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CFF" w:rsidRDefault="009B5596" w:rsidP="009B5596">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EB885865-720C-4B4B-9024-8161F9586223" style="width:450.7pt;height:361.85pt">
            <v:imagedata r:id="rId8" o:title=""/>
          </v:shape>
        </w:pict>
      </w:r>
    </w:p>
    <w:bookmarkEnd w:id="0"/>
    <w:p w:rsidR="00B81CFF" w:rsidRDefault="00B81CFF">
      <w:pPr>
        <w:rPr>
          <w:noProof/>
        </w:rPr>
        <w:sectPr w:rsidR="00B81CFF" w:rsidSect="009B5596">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B81CFF" w:rsidRDefault="009B5596">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lastRenderedPageBreak/>
        <w:t>Vu:</w:t>
      </w:r>
    </w:p>
    <w:p w:rsidR="00B81CFF" w:rsidRDefault="009B5596">
      <w:pPr>
        <w:pStyle w:val="Tiret0"/>
        <w:rPr>
          <w:noProof/>
        </w:rPr>
      </w:pPr>
      <w:r>
        <w:rPr>
          <w:noProof/>
        </w:rPr>
        <w:t>le traité sur le fonctionnement de l’Union européenne, et notamment son article 314, lu en combinaison avec le traité instituant la Communauté européenne de l’énergie atomique, et notamment son article 106 </w:t>
      </w:r>
      <w:r>
        <w:rPr>
          <w:i/>
          <w:iCs/>
          <w:noProof/>
        </w:rPr>
        <w:t>bis</w:t>
      </w:r>
      <w:r>
        <w:rPr>
          <w:noProof/>
        </w:rPr>
        <w:t>,</w:t>
      </w:r>
    </w:p>
    <w:p w:rsidR="00B81CFF" w:rsidRDefault="009B5596">
      <w:pPr>
        <w:pStyle w:val="Tiret0"/>
        <w:tabs>
          <w:tab w:val="clear" w:pos="850"/>
          <w:tab w:val="num" w:pos="927"/>
        </w:tabs>
        <w:rPr>
          <w:rFonts w:cs="Arial"/>
          <w:noProof/>
          <w:szCs w:val="18"/>
        </w:rPr>
      </w:pPr>
      <w:r>
        <w:rPr>
          <w:noProof/>
        </w:rPr>
        <w:t>le règlement (UE, Euratom) 2018/1046 du Parlement européen et du Conseil du 18 juillet 2018 relatif aux règles financières applicables au budget général de l’Union [...]</w:t>
      </w:r>
      <w:r>
        <w:rPr>
          <w:rStyle w:val="FootnoteReference"/>
          <w:noProof/>
        </w:rPr>
        <w:footnoteReference w:id="2"/>
      </w:r>
      <w:r>
        <w:rPr>
          <w:noProof/>
        </w:rPr>
        <w:t>, et notamment son article 44,</w:t>
      </w:r>
    </w:p>
    <w:p w:rsidR="00B81CFF" w:rsidRDefault="009B5596">
      <w:pPr>
        <w:pStyle w:val="Tiret0"/>
        <w:tabs>
          <w:tab w:val="clear" w:pos="850"/>
          <w:tab w:val="num" w:pos="927"/>
        </w:tabs>
        <w:rPr>
          <w:noProof/>
        </w:rPr>
      </w:pPr>
      <w:r>
        <w:rPr>
          <w:noProof/>
        </w:rPr>
        <w:t>le budget général de l’Union européenne pour l’exercice 2020, adopté le 27 novembre 2019</w:t>
      </w:r>
      <w:r>
        <w:rPr>
          <w:rStyle w:val="FootnoteReference"/>
          <w:noProof/>
        </w:rPr>
        <w:footnoteReference w:id="3"/>
      </w:r>
      <w:r>
        <w:rPr>
          <w:noProof/>
        </w:rPr>
        <w:t>,</w:t>
      </w:r>
    </w:p>
    <w:p w:rsidR="00B81CFF" w:rsidRDefault="009B5596">
      <w:pPr>
        <w:pStyle w:val="Tiret0"/>
        <w:rPr>
          <w:noProof/>
        </w:rPr>
      </w:pPr>
      <w:r>
        <w:rPr>
          <w:noProof/>
        </w:rPr>
        <w:t>le budget rectificatif nº 1/2020</w:t>
      </w:r>
      <w:r>
        <w:rPr>
          <w:rStyle w:val="FootnoteReference"/>
          <w:noProof/>
        </w:rPr>
        <w:footnoteReference w:id="4"/>
      </w:r>
      <w:r>
        <w:rPr>
          <w:noProof/>
        </w:rPr>
        <w:t>, adopté le 17 avril 2020,</w:t>
      </w:r>
    </w:p>
    <w:p w:rsidR="00B81CFF" w:rsidRDefault="009B5596">
      <w:pPr>
        <w:pStyle w:val="Tiret0"/>
        <w:rPr>
          <w:noProof/>
        </w:rPr>
      </w:pPr>
      <w:r>
        <w:rPr>
          <w:noProof/>
        </w:rPr>
        <w:t>le budget rectificatif nº 2/2020</w:t>
      </w:r>
      <w:r>
        <w:rPr>
          <w:rStyle w:val="FootnoteReference"/>
          <w:noProof/>
        </w:rPr>
        <w:footnoteReference w:id="5"/>
      </w:r>
      <w:r>
        <w:rPr>
          <w:noProof/>
        </w:rPr>
        <w:t>, adopté le 17 avril 2020,</w:t>
      </w:r>
    </w:p>
    <w:p w:rsidR="00B81CFF" w:rsidRDefault="009B5596">
      <w:pPr>
        <w:pStyle w:val="Tiret0"/>
        <w:rPr>
          <w:noProof/>
        </w:rPr>
      </w:pPr>
      <w:r>
        <w:rPr>
          <w:noProof/>
        </w:rPr>
        <w:t>le budget rectificatif nº 3/2020</w:t>
      </w:r>
      <w:r>
        <w:rPr>
          <w:rStyle w:val="FootnoteReference"/>
          <w:noProof/>
        </w:rPr>
        <w:footnoteReference w:id="6"/>
      </w:r>
      <w:r>
        <w:rPr>
          <w:noProof/>
        </w:rPr>
        <w:t>, adopté le 17 juin 2020,</w:t>
      </w:r>
    </w:p>
    <w:p w:rsidR="00B81CFF" w:rsidRDefault="009B5596">
      <w:pPr>
        <w:pStyle w:val="Tiret0"/>
        <w:rPr>
          <w:noProof/>
        </w:rPr>
      </w:pPr>
      <w:r>
        <w:rPr>
          <w:noProof/>
        </w:rPr>
        <w:t>le budget rectificatif nº 4/2020</w:t>
      </w:r>
      <w:r>
        <w:rPr>
          <w:rStyle w:val="FootnoteReference"/>
          <w:noProof/>
        </w:rPr>
        <w:footnoteReference w:id="7"/>
      </w:r>
      <w:r>
        <w:rPr>
          <w:noProof/>
        </w:rPr>
        <w:t>, adopté le 17 juin 2020,</w:t>
      </w:r>
    </w:p>
    <w:p w:rsidR="00B81CFF" w:rsidRDefault="009B5596">
      <w:pPr>
        <w:pStyle w:val="Tiret0"/>
        <w:rPr>
          <w:noProof/>
        </w:rPr>
      </w:pPr>
      <w:r>
        <w:rPr>
          <w:noProof/>
        </w:rPr>
        <w:t>le budget rectificatif nº 5/2020</w:t>
      </w:r>
      <w:r>
        <w:rPr>
          <w:rStyle w:val="FootnoteReference"/>
          <w:noProof/>
        </w:rPr>
        <w:footnoteReference w:id="8"/>
      </w:r>
      <w:r>
        <w:rPr>
          <w:noProof/>
        </w:rPr>
        <w:t>, adopté le 10 juillet 2020,</w:t>
      </w:r>
    </w:p>
    <w:p w:rsidR="00B81CFF" w:rsidRDefault="009B5596">
      <w:pPr>
        <w:pStyle w:val="Tiret0"/>
        <w:rPr>
          <w:noProof/>
        </w:rPr>
      </w:pPr>
      <w:r>
        <w:rPr>
          <w:noProof/>
        </w:rPr>
        <w:t>le budget rectificatif nº 6/2020</w:t>
      </w:r>
      <w:r>
        <w:rPr>
          <w:rStyle w:val="FootnoteReference"/>
          <w:noProof/>
        </w:rPr>
        <w:footnoteReference w:id="9"/>
      </w:r>
      <w:r>
        <w:rPr>
          <w:noProof/>
        </w:rPr>
        <w:t>, adopté le 17 septembre 2020,</w:t>
      </w:r>
    </w:p>
    <w:p w:rsidR="00B81CFF" w:rsidRDefault="009B5596">
      <w:pPr>
        <w:pStyle w:val="Tiret0"/>
        <w:rPr>
          <w:noProof/>
        </w:rPr>
      </w:pPr>
      <w:r>
        <w:rPr>
          <w:noProof/>
        </w:rPr>
        <w:t>le budget rectificatif nº 7/2020</w:t>
      </w:r>
      <w:r>
        <w:rPr>
          <w:rStyle w:val="FootnoteReference"/>
          <w:noProof/>
        </w:rPr>
        <w:footnoteReference w:id="10"/>
      </w:r>
      <w:r>
        <w:rPr>
          <w:noProof/>
        </w:rPr>
        <w:t>, adopté le 5 octobre 2020,</w:t>
      </w:r>
    </w:p>
    <w:p w:rsidR="00B81CFF" w:rsidRDefault="009B5596">
      <w:pPr>
        <w:pStyle w:val="Tiret0"/>
        <w:rPr>
          <w:noProof/>
        </w:rPr>
      </w:pPr>
      <w:r>
        <w:rPr>
          <w:noProof/>
        </w:rPr>
        <w:t>le projet de budget rectificatif nº 9/2020</w:t>
      </w:r>
      <w:r>
        <w:rPr>
          <w:rStyle w:val="FootnoteReference"/>
          <w:noProof/>
        </w:rPr>
        <w:footnoteReference w:id="11"/>
      </w:r>
      <w:r>
        <w:rPr>
          <w:noProof/>
        </w:rPr>
        <w:t>, adopté le 9 octobre 2020,</w:t>
      </w:r>
    </w:p>
    <w:p w:rsidR="00B81CFF" w:rsidRDefault="009B55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 Commission européenne présente ci-après au Parlement européen et au Conseil le projet de budget rectificatif nº 10/2020 au budget 2020.</w:t>
      </w:r>
    </w:p>
    <w:p w:rsidR="00B81CFF" w:rsidRDefault="00B81CFF">
      <w:pPr>
        <w:spacing w:after="0" w:line="240" w:lineRule="auto"/>
        <w:rPr>
          <w:rFonts w:ascii="Times New Roman" w:eastAsia="Times New Roman" w:hAnsi="Times New Roman" w:cs="Times New Roman"/>
          <w:b/>
          <w:noProof/>
          <w:sz w:val="24"/>
          <w:szCs w:val="24"/>
          <w:u w:val="single"/>
          <w:lang w:eastAsia="en-GB"/>
        </w:rPr>
      </w:pPr>
    </w:p>
    <w:p w:rsidR="00B81CFF" w:rsidRDefault="009B5596">
      <w:pPr>
        <w:spacing w:after="0" w:line="240" w:lineRule="auto"/>
        <w:jc w:val="both"/>
        <w:rPr>
          <w:rFonts w:ascii="Times New Roman" w:eastAsia="Times New Roman" w:hAnsi="Times New Roman" w:cs="Times New Roman"/>
          <w:b/>
          <w:noProof/>
          <w:sz w:val="24"/>
          <w:szCs w:val="24"/>
          <w:u w:val="single"/>
        </w:rPr>
      </w:pPr>
      <w:r>
        <w:rPr>
          <w:rFonts w:ascii="Times New Roman" w:hAnsi="Times New Roman"/>
          <w:b/>
          <w:noProof/>
          <w:sz w:val="24"/>
          <w:szCs w:val="24"/>
          <w:u w:val="single"/>
        </w:rPr>
        <w:t>MODIFICATIONS À L’ÉTAT DES RECETTES ET DES DÉPENSES PAR SECTION</w:t>
      </w:r>
    </w:p>
    <w:p w:rsidR="00B81CFF" w:rsidRDefault="00B81CFF">
      <w:pPr>
        <w:spacing w:after="0" w:line="240" w:lineRule="auto"/>
        <w:rPr>
          <w:rFonts w:ascii="Times New Roman" w:eastAsia="Times New Roman" w:hAnsi="Times New Roman" w:cs="Times New Roman"/>
          <w:b/>
          <w:noProof/>
          <w:sz w:val="24"/>
          <w:szCs w:val="24"/>
          <w:u w:val="single"/>
          <w:lang w:eastAsia="ko-KR"/>
        </w:rPr>
      </w:pPr>
    </w:p>
    <w:p w:rsidR="00B81CFF" w:rsidRDefault="009B559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Les modifications apportées à l’état général des recettes et à la section III sont disponibles sur EUR-Lex (</w:t>
      </w:r>
      <w:hyperlink r:id="rId15" w:history="1">
        <w:r>
          <w:rPr>
            <w:rFonts w:ascii="Times New Roman" w:hAnsi="Times New Roman"/>
            <w:noProof/>
            <w:sz w:val="24"/>
            <w:szCs w:val="24"/>
            <w:u w:val="single"/>
          </w:rPr>
          <w:t>https://eur-lex.europa.eu/budget/www/index-fr.htm</w:t>
        </w:r>
      </w:hyperlink>
      <w:r>
        <w:rPr>
          <w:rFonts w:ascii="Times New Roman" w:hAnsi="Times New Roman"/>
          <w:noProof/>
          <w:sz w:val="24"/>
          <w:szCs w:val="24"/>
        </w:rPr>
        <w:t>).</w:t>
      </w:r>
    </w:p>
    <w:p w:rsidR="00B81CFF" w:rsidRDefault="00B81CFF">
      <w:pPr>
        <w:spacing w:after="0" w:line="240" w:lineRule="auto"/>
        <w:rPr>
          <w:rFonts w:ascii="Times New Roman" w:eastAsia="Times New Roman" w:hAnsi="Times New Roman" w:cs="Times New Roman"/>
          <w:noProof/>
          <w:sz w:val="24"/>
          <w:szCs w:val="24"/>
          <w:lang w:eastAsia="en-GB"/>
        </w:rPr>
        <w:sectPr w:rsidR="00B81CFF">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pPr>
    </w:p>
    <w:p w:rsidR="00B81CFF" w:rsidRDefault="009B5596">
      <w:pPr>
        <w:pStyle w:val="TOCHeading"/>
        <w:rPr>
          <w:noProof/>
        </w:rPr>
      </w:pPr>
      <w:r>
        <w:rPr>
          <w:noProof/>
        </w:rPr>
        <w:t>TABLE DES MATIÈRES</w:t>
      </w:r>
    </w:p>
    <w:sdt>
      <w:sdtPr>
        <w:rPr>
          <w:b w:val="0"/>
          <w:bCs w:val="0"/>
          <w:caps w:val="0"/>
          <w:smallCaps/>
          <w:noProof/>
          <w:sz w:val="24"/>
          <w:szCs w:val="24"/>
          <w:lang w:eastAsia="de-DE"/>
        </w:rPr>
        <w:id w:val="2029912794"/>
        <w:docPartObj>
          <w:docPartGallery w:val="Table of Contents"/>
          <w:docPartUnique/>
        </w:docPartObj>
      </w:sdtPr>
      <w:sdtEndPr>
        <w:rPr>
          <w:b/>
        </w:rPr>
      </w:sdtEndPr>
      <w:sdtContent>
        <w:p w:rsidR="00B81CFF" w:rsidRDefault="009B5596">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r>
            <w:rPr>
              <w:noProof/>
            </w:rPr>
            <w:fldChar w:fldCharType="begin"/>
          </w:r>
          <w:r>
            <w:rPr>
              <w:noProof/>
            </w:rPr>
            <w:instrText xml:space="preserve"> TOC \o "1-3" \h \z \u </w:instrText>
          </w:r>
          <w:r>
            <w:rPr>
              <w:noProof/>
            </w:rPr>
            <w:fldChar w:fldCharType="separate"/>
          </w:r>
          <w:hyperlink w:anchor="_Toc53742098" w:history="1">
            <w:r>
              <w:rPr>
                <w:rStyle w:val="Hyperlink"/>
                <w:smallCaps/>
                <w:noProof/>
              </w:rPr>
              <w:t>1.</w:t>
            </w:r>
            <w:r>
              <w:rPr>
                <w:rFonts w:asciiTheme="minorHAnsi" w:eastAsiaTheme="minorEastAsia" w:hAnsiTheme="minorHAnsi" w:cstheme="minorBidi"/>
                <w:b w:val="0"/>
                <w:bCs w:val="0"/>
                <w:caps w:val="0"/>
                <w:noProof/>
                <w:sz w:val="22"/>
                <w:szCs w:val="22"/>
                <w:lang w:val="en-US" w:eastAsia="en-US"/>
              </w:rPr>
              <w:tab/>
            </w:r>
            <w:r>
              <w:rPr>
                <w:rStyle w:val="Hyperlink"/>
                <w:smallCaps/>
                <w:noProof/>
              </w:rPr>
              <w:t>Introduction</w:t>
            </w:r>
            <w:r>
              <w:rPr>
                <w:noProof/>
                <w:webHidden/>
              </w:rPr>
              <w:tab/>
            </w:r>
            <w:r>
              <w:rPr>
                <w:noProof/>
                <w:webHidden/>
              </w:rPr>
              <w:fldChar w:fldCharType="begin"/>
            </w:r>
            <w:r>
              <w:rPr>
                <w:noProof/>
                <w:webHidden/>
              </w:rPr>
              <w:instrText xml:space="preserve"> PAGEREF _Toc53742098 \h </w:instrText>
            </w:r>
            <w:r>
              <w:rPr>
                <w:noProof/>
                <w:webHidden/>
              </w:rPr>
            </w:r>
            <w:r>
              <w:rPr>
                <w:noProof/>
                <w:webHidden/>
              </w:rPr>
              <w:fldChar w:fldCharType="separate"/>
            </w:r>
            <w:r>
              <w:rPr>
                <w:noProof/>
                <w:webHidden/>
              </w:rPr>
              <w:t>3</w:t>
            </w:r>
            <w:r>
              <w:rPr>
                <w:noProof/>
                <w:webHidden/>
              </w:rPr>
              <w:fldChar w:fldCharType="end"/>
            </w:r>
          </w:hyperlink>
        </w:p>
        <w:p w:rsidR="00B81CFF" w:rsidRDefault="009B5596">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hyperlink w:anchor="_Toc53742099" w:history="1">
            <w:r>
              <w:rPr>
                <w:rStyle w:val="Hyperlink"/>
                <w:noProof/>
              </w:rPr>
              <w:t>2.</w:t>
            </w:r>
            <w:r>
              <w:rPr>
                <w:rFonts w:asciiTheme="minorHAnsi" w:eastAsiaTheme="minorEastAsia" w:hAnsiTheme="minorHAnsi" w:cstheme="minorBidi"/>
                <w:b w:val="0"/>
                <w:bCs w:val="0"/>
                <w:caps w:val="0"/>
                <w:noProof/>
                <w:sz w:val="22"/>
                <w:szCs w:val="22"/>
                <w:lang w:val="en-US" w:eastAsia="en-US"/>
              </w:rPr>
              <w:tab/>
            </w:r>
            <w:r>
              <w:rPr>
                <w:rStyle w:val="Hyperlink"/>
                <w:noProof/>
              </w:rPr>
              <w:t>Besoins supplémentaires en crédits de paiement</w:t>
            </w:r>
            <w:r>
              <w:rPr>
                <w:noProof/>
                <w:webHidden/>
              </w:rPr>
              <w:tab/>
            </w:r>
            <w:r>
              <w:rPr>
                <w:noProof/>
                <w:webHidden/>
              </w:rPr>
              <w:fldChar w:fldCharType="begin"/>
            </w:r>
            <w:r>
              <w:rPr>
                <w:noProof/>
                <w:webHidden/>
              </w:rPr>
              <w:instrText xml:space="preserve"> PAGEREF _Toc53742099 \h </w:instrText>
            </w:r>
            <w:r>
              <w:rPr>
                <w:noProof/>
                <w:webHidden/>
              </w:rPr>
            </w:r>
            <w:r>
              <w:rPr>
                <w:noProof/>
                <w:webHidden/>
              </w:rPr>
              <w:fldChar w:fldCharType="separate"/>
            </w:r>
            <w:r>
              <w:rPr>
                <w:noProof/>
                <w:webHidden/>
              </w:rPr>
              <w:t>3</w:t>
            </w:r>
            <w:r>
              <w:rPr>
                <w:noProof/>
                <w:webHidden/>
              </w:rPr>
              <w:fldChar w:fldCharType="end"/>
            </w:r>
          </w:hyperlink>
        </w:p>
        <w:p w:rsidR="00B81CFF" w:rsidRDefault="009B5596">
          <w:pPr>
            <w:pStyle w:val="TOC1"/>
            <w:tabs>
              <w:tab w:val="left" w:pos="660"/>
              <w:tab w:val="right" w:leader="dot" w:pos="9855"/>
            </w:tabs>
            <w:rPr>
              <w:rFonts w:asciiTheme="minorHAnsi" w:eastAsiaTheme="minorEastAsia" w:hAnsiTheme="minorHAnsi" w:cstheme="minorBidi"/>
              <w:b w:val="0"/>
              <w:bCs w:val="0"/>
              <w:caps w:val="0"/>
              <w:noProof/>
              <w:sz w:val="22"/>
              <w:szCs w:val="22"/>
              <w:lang w:val="en-US" w:eastAsia="en-US"/>
            </w:rPr>
          </w:pPr>
          <w:hyperlink w:anchor="_Toc53742100" w:history="1">
            <w:r>
              <w:rPr>
                <w:rStyle w:val="Hyperlink"/>
                <w:noProof/>
              </w:rPr>
              <w:t>2.1.</w:t>
            </w:r>
            <w:r>
              <w:rPr>
                <w:rFonts w:asciiTheme="minorHAnsi" w:eastAsiaTheme="minorEastAsia" w:hAnsiTheme="minorHAnsi" w:cstheme="minorBidi"/>
                <w:b w:val="0"/>
                <w:bCs w:val="0"/>
                <w:caps w:val="0"/>
                <w:noProof/>
                <w:sz w:val="22"/>
                <w:szCs w:val="22"/>
                <w:lang w:val="en-US" w:eastAsia="en-US"/>
              </w:rPr>
              <w:tab/>
            </w:r>
            <w:r>
              <w:rPr>
                <w:rStyle w:val="Hyperlink"/>
                <w:noProof/>
              </w:rPr>
              <w:t>Compétitivité des entreprises et des petites et moyennes entreprises (COSME)</w:t>
            </w:r>
            <w:r>
              <w:rPr>
                <w:noProof/>
                <w:webHidden/>
              </w:rPr>
              <w:tab/>
            </w:r>
            <w:r>
              <w:rPr>
                <w:noProof/>
                <w:webHidden/>
              </w:rPr>
              <w:fldChar w:fldCharType="begin"/>
            </w:r>
            <w:r>
              <w:rPr>
                <w:noProof/>
                <w:webHidden/>
              </w:rPr>
              <w:instrText xml:space="preserve"> PAGEREF _Toc53742100 \h </w:instrText>
            </w:r>
            <w:r>
              <w:rPr>
                <w:noProof/>
                <w:webHidden/>
              </w:rPr>
            </w:r>
            <w:r>
              <w:rPr>
                <w:noProof/>
                <w:webHidden/>
              </w:rPr>
              <w:fldChar w:fldCharType="separate"/>
            </w:r>
            <w:r>
              <w:rPr>
                <w:noProof/>
                <w:webHidden/>
              </w:rPr>
              <w:t>4</w:t>
            </w:r>
            <w:r>
              <w:rPr>
                <w:noProof/>
                <w:webHidden/>
              </w:rPr>
              <w:fldChar w:fldCharType="end"/>
            </w:r>
          </w:hyperlink>
        </w:p>
        <w:p w:rsidR="00B81CFF" w:rsidRDefault="009B5596">
          <w:pPr>
            <w:pStyle w:val="TOC1"/>
            <w:tabs>
              <w:tab w:val="left" w:pos="660"/>
              <w:tab w:val="right" w:leader="dot" w:pos="9855"/>
            </w:tabs>
            <w:rPr>
              <w:rFonts w:asciiTheme="minorHAnsi" w:eastAsiaTheme="minorEastAsia" w:hAnsiTheme="minorHAnsi" w:cstheme="minorBidi"/>
              <w:b w:val="0"/>
              <w:bCs w:val="0"/>
              <w:caps w:val="0"/>
              <w:noProof/>
              <w:sz w:val="22"/>
              <w:szCs w:val="22"/>
              <w:lang w:val="en-US" w:eastAsia="en-US"/>
            </w:rPr>
          </w:pPr>
          <w:hyperlink w:anchor="_Toc53742101" w:history="1">
            <w:r>
              <w:rPr>
                <w:rStyle w:val="Hyperlink"/>
                <w:noProof/>
              </w:rPr>
              <w:t>2.2.</w:t>
            </w:r>
            <w:r>
              <w:rPr>
                <w:rFonts w:asciiTheme="minorHAnsi" w:eastAsiaTheme="minorEastAsia" w:hAnsiTheme="minorHAnsi" w:cstheme="minorBidi"/>
                <w:b w:val="0"/>
                <w:bCs w:val="0"/>
                <w:caps w:val="0"/>
                <w:noProof/>
                <w:sz w:val="22"/>
                <w:szCs w:val="22"/>
                <w:lang w:val="en-US" w:eastAsia="en-US"/>
              </w:rPr>
              <w:tab/>
            </w:r>
            <w:r>
              <w:rPr>
                <w:rStyle w:val="Hyperlink"/>
                <w:noProof/>
              </w:rPr>
              <w:t>Mécanisme pour l’interconnexion en Europe (MIE) — Contribution du Fonds de cohésion</w:t>
            </w:r>
            <w:r>
              <w:rPr>
                <w:noProof/>
                <w:webHidden/>
              </w:rPr>
              <w:tab/>
            </w:r>
            <w:r>
              <w:rPr>
                <w:noProof/>
                <w:webHidden/>
              </w:rPr>
              <w:fldChar w:fldCharType="begin"/>
            </w:r>
            <w:r>
              <w:rPr>
                <w:noProof/>
                <w:webHidden/>
              </w:rPr>
              <w:instrText xml:space="preserve"> PAGEREF _Toc53742101 \h </w:instrText>
            </w:r>
            <w:r>
              <w:rPr>
                <w:noProof/>
                <w:webHidden/>
              </w:rPr>
            </w:r>
            <w:r>
              <w:rPr>
                <w:noProof/>
                <w:webHidden/>
              </w:rPr>
              <w:fldChar w:fldCharType="separate"/>
            </w:r>
            <w:r>
              <w:rPr>
                <w:noProof/>
                <w:webHidden/>
              </w:rPr>
              <w:t>4</w:t>
            </w:r>
            <w:r>
              <w:rPr>
                <w:noProof/>
                <w:webHidden/>
              </w:rPr>
              <w:fldChar w:fldCharType="end"/>
            </w:r>
          </w:hyperlink>
        </w:p>
        <w:p w:rsidR="00B81CFF" w:rsidRDefault="009B5596">
          <w:pPr>
            <w:pStyle w:val="TOC1"/>
            <w:tabs>
              <w:tab w:val="left" w:pos="660"/>
              <w:tab w:val="right" w:leader="dot" w:pos="9855"/>
            </w:tabs>
            <w:rPr>
              <w:rFonts w:asciiTheme="minorHAnsi" w:eastAsiaTheme="minorEastAsia" w:hAnsiTheme="minorHAnsi" w:cstheme="minorBidi"/>
              <w:b w:val="0"/>
              <w:bCs w:val="0"/>
              <w:caps w:val="0"/>
              <w:noProof/>
              <w:sz w:val="22"/>
              <w:szCs w:val="22"/>
              <w:lang w:val="en-US" w:eastAsia="en-US"/>
            </w:rPr>
          </w:pPr>
          <w:hyperlink w:anchor="_Toc53742102" w:history="1">
            <w:r>
              <w:rPr>
                <w:rStyle w:val="Hyperlink"/>
                <w:noProof/>
              </w:rPr>
              <w:t>2.3.</w:t>
            </w:r>
            <w:r>
              <w:rPr>
                <w:rFonts w:asciiTheme="minorHAnsi" w:eastAsiaTheme="minorEastAsia" w:hAnsiTheme="minorHAnsi" w:cstheme="minorBidi"/>
                <w:b w:val="0"/>
                <w:bCs w:val="0"/>
                <w:caps w:val="0"/>
                <w:noProof/>
                <w:sz w:val="22"/>
                <w:szCs w:val="22"/>
                <w:lang w:val="en-US" w:eastAsia="en-US"/>
              </w:rPr>
              <w:tab/>
            </w:r>
            <w:r>
              <w:rPr>
                <w:rStyle w:val="Hyperlink"/>
                <w:noProof/>
              </w:rPr>
              <w:t>Fonds européen agricole pour le développement rural (Feader)</w:t>
            </w:r>
            <w:r>
              <w:rPr>
                <w:noProof/>
                <w:webHidden/>
              </w:rPr>
              <w:tab/>
            </w:r>
            <w:r>
              <w:rPr>
                <w:noProof/>
                <w:webHidden/>
              </w:rPr>
              <w:fldChar w:fldCharType="begin"/>
            </w:r>
            <w:r>
              <w:rPr>
                <w:noProof/>
                <w:webHidden/>
              </w:rPr>
              <w:instrText xml:space="preserve"> PAGEREF _Toc53742102 \h </w:instrText>
            </w:r>
            <w:r>
              <w:rPr>
                <w:noProof/>
                <w:webHidden/>
              </w:rPr>
            </w:r>
            <w:r>
              <w:rPr>
                <w:noProof/>
                <w:webHidden/>
              </w:rPr>
              <w:fldChar w:fldCharType="separate"/>
            </w:r>
            <w:r>
              <w:rPr>
                <w:noProof/>
                <w:webHidden/>
              </w:rPr>
              <w:t>5</w:t>
            </w:r>
            <w:r>
              <w:rPr>
                <w:noProof/>
                <w:webHidden/>
              </w:rPr>
              <w:fldChar w:fldCharType="end"/>
            </w:r>
          </w:hyperlink>
        </w:p>
        <w:p w:rsidR="00B81CFF" w:rsidRDefault="009B5596">
          <w:pPr>
            <w:pStyle w:val="TOC1"/>
            <w:tabs>
              <w:tab w:val="left" w:pos="660"/>
              <w:tab w:val="right" w:leader="dot" w:pos="9855"/>
            </w:tabs>
            <w:rPr>
              <w:rFonts w:asciiTheme="minorHAnsi" w:eastAsiaTheme="minorEastAsia" w:hAnsiTheme="minorHAnsi" w:cstheme="minorBidi"/>
              <w:b w:val="0"/>
              <w:bCs w:val="0"/>
              <w:caps w:val="0"/>
              <w:noProof/>
              <w:sz w:val="22"/>
              <w:szCs w:val="22"/>
              <w:lang w:val="en-US" w:eastAsia="en-US"/>
            </w:rPr>
          </w:pPr>
          <w:hyperlink w:anchor="_Toc53742103" w:history="1">
            <w:r>
              <w:rPr>
                <w:rStyle w:val="Hyperlink"/>
                <w:noProof/>
              </w:rPr>
              <w:t>2.4.</w:t>
            </w:r>
            <w:r>
              <w:rPr>
                <w:rFonts w:asciiTheme="minorHAnsi" w:eastAsiaTheme="minorEastAsia" w:hAnsiTheme="minorHAnsi" w:cstheme="minorBidi"/>
                <w:b w:val="0"/>
                <w:bCs w:val="0"/>
                <w:caps w:val="0"/>
                <w:noProof/>
                <w:sz w:val="22"/>
                <w:szCs w:val="22"/>
                <w:lang w:val="en-US" w:eastAsia="en-US"/>
              </w:rPr>
              <w:tab/>
            </w:r>
            <w:r>
              <w:rPr>
                <w:rStyle w:val="Hyperlink"/>
                <w:noProof/>
              </w:rPr>
              <w:t>Réaction de l’UE au niveau mondial face à la pandémie de COVID-19</w:t>
            </w:r>
            <w:r>
              <w:rPr>
                <w:noProof/>
                <w:webHidden/>
              </w:rPr>
              <w:tab/>
            </w:r>
            <w:r>
              <w:rPr>
                <w:noProof/>
                <w:webHidden/>
              </w:rPr>
              <w:fldChar w:fldCharType="begin"/>
            </w:r>
            <w:r>
              <w:rPr>
                <w:noProof/>
                <w:webHidden/>
              </w:rPr>
              <w:instrText xml:space="preserve"> PAGEREF _Toc53742103 \h </w:instrText>
            </w:r>
            <w:r>
              <w:rPr>
                <w:noProof/>
                <w:webHidden/>
              </w:rPr>
            </w:r>
            <w:r>
              <w:rPr>
                <w:noProof/>
                <w:webHidden/>
              </w:rPr>
              <w:fldChar w:fldCharType="separate"/>
            </w:r>
            <w:r>
              <w:rPr>
                <w:noProof/>
                <w:webHidden/>
              </w:rPr>
              <w:t>5</w:t>
            </w:r>
            <w:r>
              <w:rPr>
                <w:noProof/>
                <w:webHidden/>
              </w:rPr>
              <w:fldChar w:fldCharType="end"/>
            </w:r>
          </w:hyperlink>
        </w:p>
        <w:p w:rsidR="00B81CFF" w:rsidRDefault="009B5596">
          <w:pPr>
            <w:pStyle w:val="TOC2"/>
            <w:rPr>
              <w:rFonts w:eastAsiaTheme="minorEastAsia"/>
              <w:noProof/>
              <w:lang w:val="en-US"/>
            </w:rPr>
          </w:pPr>
          <w:hyperlink w:anchor="_Toc53742104" w:history="1">
            <w:r>
              <w:rPr>
                <w:rStyle w:val="Hyperlink"/>
                <w:rFonts w:ascii="Times New Roman" w:hAnsi="Times New Roman"/>
                <w:i/>
                <w:noProof/>
              </w:rPr>
              <w:t>2.4.1</w:t>
            </w:r>
            <w:r>
              <w:rPr>
                <w:rFonts w:eastAsiaTheme="minorEastAsia"/>
                <w:noProof/>
                <w:lang w:val="en-US"/>
              </w:rPr>
              <w:tab/>
            </w:r>
            <w:r>
              <w:rPr>
                <w:rStyle w:val="Hyperlink"/>
                <w:rFonts w:ascii="Times New Roman" w:hAnsi="Times New Roman"/>
                <w:i/>
                <w:noProof/>
              </w:rPr>
              <w:t>Instrument d'aide de préadhésion (IAP II)</w:t>
            </w:r>
            <w:r>
              <w:rPr>
                <w:noProof/>
                <w:webHidden/>
              </w:rPr>
              <w:tab/>
            </w:r>
            <w:r>
              <w:rPr>
                <w:noProof/>
                <w:webHidden/>
              </w:rPr>
              <w:fldChar w:fldCharType="begin"/>
            </w:r>
            <w:r>
              <w:rPr>
                <w:noProof/>
                <w:webHidden/>
              </w:rPr>
              <w:instrText xml:space="preserve"> PAGEREF _Toc53742104 \h </w:instrText>
            </w:r>
            <w:r>
              <w:rPr>
                <w:noProof/>
                <w:webHidden/>
              </w:rPr>
            </w:r>
            <w:r>
              <w:rPr>
                <w:noProof/>
                <w:webHidden/>
              </w:rPr>
              <w:fldChar w:fldCharType="separate"/>
            </w:r>
            <w:r>
              <w:rPr>
                <w:noProof/>
                <w:webHidden/>
              </w:rPr>
              <w:t>6</w:t>
            </w:r>
            <w:r>
              <w:rPr>
                <w:noProof/>
                <w:webHidden/>
              </w:rPr>
              <w:fldChar w:fldCharType="end"/>
            </w:r>
          </w:hyperlink>
        </w:p>
        <w:p w:rsidR="00B81CFF" w:rsidRDefault="009B5596">
          <w:pPr>
            <w:pStyle w:val="TOC2"/>
            <w:rPr>
              <w:rFonts w:eastAsiaTheme="minorEastAsia"/>
              <w:noProof/>
              <w:lang w:val="en-US"/>
            </w:rPr>
          </w:pPr>
          <w:hyperlink w:anchor="_Toc53742105" w:history="1">
            <w:r>
              <w:rPr>
                <w:rStyle w:val="Hyperlink"/>
                <w:rFonts w:ascii="Times New Roman" w:hAnsi="Times New Roman"/>
                <w:i/>
                <w:noProof/>
              </w:rPr>
              <w:t>2.4.2</w:t>
            </w:r>
            <w:r>
              <w:rPr>
                <w:rFonts w:eastAsiaTheme="minorEastAsia"/>
                <w:noProof/>
                <w:lang w:val="en-US"/>
              </w:rPr>
              <w:tab/>
            </w:r>
            <w:r>
              <w:rPr>
                <w:rStyle w:val="Hyperlink"/>
                <w:rFonts w:ascii="Times New Roman" w:hAnsi="Times New Roman"/>
                <w:i/>
                <w:noProof/>
              </w:rPr>
              <w:t>Instrument européen de voisinage (IEV)</w:t>
            </w:r>
            <w:r>
              <w:rPr>
                <w:noProof/>
                <w:webHidden/>
              </w:rPr>
              <w:tab/>
            </w:r>
            <w:r>
              <w:rPr>
                <w:noProof/>
                <w:webHidden/>
              </w:rPr>
              <w:fldChar w:fldCharType="begin"/>
            </w:r>
            <w:r>
              <w:rPr>
                <w:noProof/>
                <w:webHidden/>
              </w:rPr>
              <w:instrText xml:space="preserve"> PAGEREF _Toc53742105 \h </w:instrText>
            </w:r>
            <w:r>
              <w:rPr>
                <w:noProof/>
                <w:webHidden/>
              </w:rPr>
            </w:r>
            <w:r>
              <w:rPr>
                <w:noProof/>
                <w:webHidden/>
              </w:rPr>
              <w:fldChar w:fldCharType="separate"/>
            </w:r>
            <w:r>
              <w:rPr>
                <w:noProof/>
                <w:webHidden/>
              </w:rPr>
              <w:t>6</w:t>
            </w:r>
            <w:r>
              <w:rPr>
                <w:noProof/>
                <w:webHidden/>
              </w:rPr>
              <w:fldChar w:fldCharType="end"/>
            </w:r>
          </w:hyperlink>
        </w:p>
        <w:p w:rsidR="00B81CFF" w:rsidRDefault="009B5596">
          <w:pPr>
            <w:pStyle w:val="TOC2"/>
            <w:rPr>
              <w:rFonts w:eastAsiaTheme="minorEastAsia"/>
              <w:noProof/>
              <w:lang w:val="en-US"/>
            </w:rPr>
          </w:pPr>
          <w:hyperlink w:anchor="_Toc53742106" w:history="1">
            <w:r>
              <w:rPr>
                <w:rStyle w:val="Hyperlink"/>
                <w:rFonts w:ascii="Times New Roman" w:hAnsi="Times New Roman"/>
                <w:i/>
                <w:noProof/>
              </w:rPr>
              <w:t>2.4.3</w:t>
            </w:r>
            <w:r>
              <w:rPr>
                <w:rFonts w:eastAsiaTheme="minorEastAsia"/>
                <w:noProof/>
                <w:lang w:val="en-US"/>
              </w:rPr>
              <w:tab/>
            </w:r>
            <w:r>
              <w:rPr>
                <w:rStyle w:val="Hyperlink"/>
                <w:rFonts w:ascii="Times New Roman" w:hAnsi="Times New Roman"/>
                <w:i/>
                <w:noProof/>
              </w:rPr>
              <w:t>Instrument de financement de la coopération au développement (ICD)</w:t>
            </w:r>
            <w:r>
              <w:rPr>
                <w:noProof/>
                <w:webHidden/>
              </w:rPr>
              <w:tab/>
            </w:r>
            <w:r>
              <w:rPr>
                <w:noProof/>
                <w:webHidden/>
              </w:rPr>
              <w:fldChar w:fldCharType="begin"/>
            </w:r>
            <w:r>
              <w:rPr>
                <w:noProof/>
                <w:webHidden/>
              </w:rPr>
              <w:instrText xml:space="preserve"> PAGEREF _Toc53742106 \h </w:instrText>
            </w:r>
            <w:r>
              <w:rPr>
                <w:noProof/>
                <w:webHidden/>
              </w:rPr>
            </w:r>
            <w:r>
              <w:rPr>
                <w:noProof/>
                <w:webHidden/>
              </w:rPr>
              <w:fldChar w:fldCharType="separate"/>
            </w:r>
            <w:r>
              <w:rPr>
                <w:noProof/>
                <w:webHidden/>
              </w:rPr>
              <w:t>7</w:t>
            </w:r>
            <w:r>
              <w:rPr>
                <w:noProof/>
                <w:webHidden/>
              </w:rPr>
              <w:fldChar w:fldCharType="end"/>
            </w:r>
          </w:hyperlink>
        </w:p>
        <w:p w:rsidR="00B81CFF" w:rsidRDefault="009B5596">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hyperlink w:anchor="_Toc53742107" w:history="1">
            <w:r>
              <w:rPr>
                <w:rStyle w:val="Hyperlink"/>
                <w:noProof/>
              </w:rPr>
              <w:t>3.</w:t>
            </w:r>
            <w:r>
              <w:rPr>
                <w:rFonts w:asciiTheme="minorHAnsi" w:eastAsiaTheme="minorEastAsia" w:hAnsiTheme="minorHAnsi" w:cstheme="minorBidi"/>
                <w:b w:val="0"/>
                <w:bCs w:val="0"/>
                <w:caps w:val="0"/>
                <w:noProof/>
                <w:sz w:val="22"/>
                <w:szCs w:val="22"/>
                <w:lang w:val="en-US" w:eastAsia="en-US"/>
              </w:rPr>
              <w:tab/>
            </w:r>
            <w:r>
              <w:rPr>
                <w:rStyle w:val="Hyperlink"/>
                <w:noProof/>
              </w:rPr>
              <w:t>Autres ajustements concernant les dépenses</w:t>
            </w:r>
            <w:r>
              <w:rPr>
                <w:noProof/>
                <w:webHidden/>
              </w:rPr>
              <w:tab/>
            </w:r>
            <w:r>
              <w:rPr>
                <w:noProof/>
                <w:webHidden/>
              </w:rPr>
              <w:fldChar w:fldCharType="begin"/>
            </w:r>
            <w:r>
              <w:rPr>
                <w:noProof/>
                <w:webHidden/>
              </w:rPr>
              <w:instrText xml:space="preserve"> PAGEREF _Toc53742107 \h </w:instrText>
            </w:r>
            <w:r>
              <w:rPr>
                <w:noProof/>
                <w:webHidden/>
              </w:rPr>
            </w:r>
            <w:r>
              <w:rPr>
                <w:noProof/>
                <w:webHidden/>
              </w:rPr>
              <w:fldChar w:fldCharType="separate"/>
            </w:r>
            <w:r>
              <w:rPr>
                <w:noProof/>
                <w:webHidden/>
              </w:rPr>
              <w:t>7</w:t>
            </w:r>
            <w:r>
              <w:rPr>
                <w:noProof/>
                <w:webHidden/>
              </w:rPr>
              <w:fldChar w:fldCharType="end"/>
            </w:r>
          </w:hyperlink>
        </w:p>
        <w:p w:rsidR="00B81CFF" w:rsidRDefault="009B5596">
          <w:pPr>
            <w:pStyle w:val="TOC1"/>
            <w:tabs>
              <w:tab w:val="left" w:pos="660"/>
              <w:tab w:val="right" w:leader="dot" w:pos="9855"/>
            </w:tabs>
            <w:rPr>
              <w:rFonts w:asciiTheme="minorHAnsi" w:eastAsiaTheme="minorEastAsia" w:hAnsiTheme="minorHAnsi" w:cstheme="minorBidi"/>
              <w:b w:val="0"/>
              <w:bCs w:val="0"/>
              <w:caps w:val="0"/>
              <w:noProof/>
              <w:sz w:val="22"/>
              <w:szCs w:val="22"/>
              <w:lang w:val="en-US" w:eastAsia="en-US"/>
            </w:rPr>
          </w:pPr>
          <w:hyperlink w:anchor="_Toc53742108" w:history="1">
            <w:r>
              <w:rPr>
                <w:rStyle w:val="Hyperlink"/>
                <w:noProof/>
              </w:rPr>
              <w:t>3.1.</w:t>
            </w:r>
            <w:r>
              <w:rPr>
                <w:rFonts w:asciiTheme="minorHAnsi" w:eastAsiaTheme="minorEastAsia" w:hAnsiTheme="minorHAnsi" w:cstheme="minorBidi"/>
                <w:b w:val="0"/>
                <w:bCs w:val="0"/>
                <w:caps w:val="0"/>
                <w:noProof/>
                <w:sz w:val="22"/>
                <w:szCs w:val="22"/>
                <w:lang w:val="en-US" w:eastAsia="en-US"/>
              </w:rPr>
              <w:tab/>
            </w:r>
            <w:r>
              <w:rPr>
                <w:rStyle w:val="Hyperlink"/>
                <w:noProof/>
              </w:rPr>
              <w:t>Fonds européen agricole de garantie (FEAGA)</w:t>
            </w:r>
            <w:r>
              <w:rPr>
                <w:noProof/>
                <w:webHidden/>
              </w:rPr>
              <w:tab/>
            </w:r>
            <w:r>
              <w:rPr>
                <w:noProof/>
                <w:webHidden/>
              </w:rPr>
              <w:fldChar w:fldCharType="begin"/>
            </w:r>
            <w:r>
              <w:rPr>
                <w:noProof/>
                <w:webHidden/>
              </w:rPr>
              <w:instrText xml:space="preserve"> PAGEREF _Toc53742108 \h </w:instrText>
            </w:r>
            <w:r>
              <w:rPr>
                <w:noProof/>
                <w:webHidden/>
              </w:rPr>
            </w:r>
            <w:r>
              <w:rPr>
                <w:noProof/>
                <w:webHidden/>
              </w:rPr>
              <w:fldChar w:fldCharType="separate"/>
            </w:r>
            <w:r>
              <w:rPr>
                <w:noProof/>
                <w:webHidden/>
              </w:rPr>
              <w:t>7</w:t>
            </w:r>
            <w:r>
              <w:rPr>
                <w:noProof/>
                <w:webHidden/>
              </w:rPr>
              <w:fldChar w:fldCharType="end"/>
            </w:r>
          </w:hyperlink>
        </w:p>
        <w:p w:rsidR="00B81CFF" w:rsidRDefault="009B5596">
          <w:pPr>
            <w:pStyle w:val="TOC2"/>
            <w:rPr>
              <w:rFonts w:eastAsiaTheme="minorEastAsia"/>
              <w:noProof/>
              <w:lang w:val="en-US"/>
            </w:rPr>
          </w:pPr>
          <w:hyperlink w:anchor="_Toc53742109" w:history="1">
            <w:r>
              <w:rPr>
                <w:rStyle w:val="Hyperlink"/>
                <w:rFonts w:ascii="Times New Roman" w:eastAsia="Calibri" w:hAnsi="Times New Roman" w:cs="Times New Roman"/>
                <w:b/>
                <w:noProof/>
              </w:rPr>
              <w:t>3.2.</w:t>
            </w:r>
            <w:r>
              <w:rPr>
                <w:rFonts w:eastAsiaTheme="minorEastAsia"/>
                <w:noProof/>
                <w:lang w:val="en-US"/>
              </w:rPr>
              <w:tab/>
            </w:r>
            <w:r>
              <w:rPr>
                <w:rStyle w:val="Hyperlink"/>
                <w:rFonts w:ascii="Times New Roman" w:hAnsi="Times New Roman"/>
                <w:b/>
                <w:noProof/>
              </w:rPr>
              <w:t>Organismes décentralisés</w:t>
            </w:r>
            <w:r>
              <w:rPr>
                <w:noProof/>
                <w:webHidden/>
              </w:rPr>
              <w:tab/>
            </w:r>
            <w:r>
              <w:rPr>
                <w:noProof/>
                <w:webHidden/>
              </w:rPr>
              <w:fldChar w:fldCharType="begin"/>
            </w:r>
            <w:r>
              <w:rPr>
                <w:noProof/>
                <w:webHidden/>
              </w:rPr>
              <w:instrText xml:space="preserve"> PAGEREF _Toc53742109 \h </w:instrText>
            </w:r>
            <w:r>
              <w:rPr>
                <w:noProof/>
                <w:webHidden/>
              </w:rPr>
            </w:r>
            <w:r>
              <w:rPr>
                <w:noProof/>
                <w:webHidden/>
              </w:rPr>
              <w:fldChar w:fldCharType="separate"/>
            </w:r>
            <w:r>
              <w:rPr>
                <w:noProof/>
                <w:webHidden/>
              </w:rPr>
              <w:t>8</w:t>
            </w:r>
            <w:r>
              <w:rPr>
                <w:noProof/>
                <w:webHidden/>
              </w:rPr>
              <w:fldChar w:fldCharType="end"/>
            </w:r>
          </w:hyperlink>
        </w:p>
        <w:p w:rsidR="00B81CFF" w:rsidRDefault="009B5596">
          <w:pPr>
            <w:pStyle w:val="TOC2"/>
            <w:rPr>
              <w:rFonts w:eastAsiaTheme="minorEastAsia"/>
              <w:noProof/>
              <w:lang w:val="en-US"/>
            </w:rPr>
          </w:pPr>
          <w:hyperlink w:anchor="_Toc53742110" w:history="1">
            <w:r>
              <w:rPr>
                <w:rStyle w:val="Hyperlink"/>
                <w:rFonts w:ascii="Times New Roman" w:hAnsi="Times New Roman"/>
                <w:i/>
                <w:noProof/>
              </w:rPr>
              <w:t xml:space="preserve">3.2.1 </w:t>
            </w:r>
            <w:r>
              <w:rPr>
                <w:rFonts w:eastAsiaTheme="minorEastAsia"/>
                <w:noProof/>
                <w:lang w:val="en-US"/>
              </w:rPr>
              <w:tab/>
            </w:r>
            <w:r>
              <w:rPr>
                <w:rStyle w:val="Hyperlink"/>
                <w:rFonts w:ascii="Times New Roman" w:hAnsi="Times New Roman"/>
                <w:i/>
                <w:noProof/>
              </w:rPr>
              <w:t>Autorités européennes de surveillance (AES)</w:t>
            </w:r>
            <w:r>
              <w:rPr>
                <w:noProof/>
                <w:webHidden/>
              </w:rPr>
              <w:tab/>
            </w:r>
            <w:r>
              <w:rPr>
                <w:noProof/>
                <w:webHidden/>
              </w:rPr>
              <w:fldChar w:fldCharType="begin"/>
            </w:r>
            <w:r>
              <w:rPr>
                <w:noProof/>
                <w:webHidden/>
              </w:rPr>
              <w:instrText xml:space="preserve"> PAGEREF _Toc53742110 \h </w:instrText>
            </w:r>
            <w:r>
              <w:rPr>
                <w:noProof/>
                <w:webHidden/>
              </w:rPr>
            </w:r>
            <w:r>
              <w:rPr>
                <w:noProof/>
                <w:webHidden/>
              </w:rPr>
              <w:fldChar w:fldCharType="separate"/>
            </w:r>
            <w:r>
              <w:rPr>
                <w:noProof/>
                <w:webHidden/>
              </w:rPr>
              <w:t>8</w:t>
            </w:r>
            <w:r>
              <w:rPr>
                <w:noProof/>
                <w:webHidden/>
              </w:rPr>
              <w:fldChar w:fldCharType="end"/>
            </w:r>
          </w:hyperlink>
        </w:p>
        <w:p w:rsidR="00B81CFF" w:rsidRDefault="009B5596">
          <w:pPr>
            <w:pStyle w:val="TOC2"/>
            <w:rPr>
              <w:rFonts w:eastAsiaTheme="minorEastAsia"/>
              <w:noProof/>
              <w:lang w:val="en-US"/>
            </w:rPr>
          </w:pPr>
          <w:hyperlink w:anchor="_Toc53742111" w:history="1">
            <w:r>
              <w:rPr>
                <w:rStyle w:val="Hyperlink"/>
                <w:rFonts w:ascii="Times New Roman" w:hAnsi="Times New Roman"/>
                <w:i/>
                <w:noProof/>
              </w:rPr>
              <w:t>3.2.2</w:t>
            </w:r>
            <w:r>
              <w:rPr>
                <w:rFonts w:eastAsiaTheme="minorEastAsia"/>
                <w:noProof/>
                <w:lang w:val="en-US"/>
              </w:rPr>
              <w:tab/>
            </w:r>
            <w:r>
              <w:rPr>
                <w:rStyle w:val="Hyperlink"/>
                <w:rFonts w:ascii="Times New Roman" w:hAnsi="Times New Roman"/>
                <w:i/>
                <w:noProof/>
              </w:rPr>
              <w:t>Autorité européenne du travail</w:t>
            </w:r>
            <w:r>
              <w:rPr>
                <w:noProof/>
                <w:webHidden/>
              </w:rPr>
              <w:tab/>
            </w:r>
            <w:r>
              <w:rPr>
                <w:noProof/>
                <w:webHidden/>
              </w:rPr>
              <w:fldChar w:fldCharType="begin"/>
            </w:r>
            <w:r>
              <w:rPr>
                <w:noProof/>
                <w:webHidden/>
              </w:rPr>
              <w:instrText xml:space="preserve"> PAGEREF _Toc53742111 \h </w:instrText>
            </w:r>
            <w:r>
              <w:rPr>
                <w:noProof/>
                <w:webHidden/>
              </w:rPr>
            </w:r>
            <w:r>
              <w:rPr>
                <w:noProof/>
                <w:webHidden/>
              </w:rPr>
              <w:fldChar w:fldCharType="separate"/>
            </w:r>
            <w:r>
              <w:rPr>
                <w:noProof/>
                <w:webHidden/>
              </w:rPr>
              <w:t>9</w:t>
            </w:r>
            <w:r>
              <w:rPr>
                <w:noProof/>
                <w:webHidden/>
              </w:rPr>
              <w:fldChar w:fldCharType="end"/>
            </w:r>
          </w:hyperlink>
        </w:p>
        <w:p w:rsidR="00B81CFF" w:rsidRDefault="009B5596">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hyperlink w:anchor="_Toc53742112" w:history="1">
            <w:r>
              <w:rPr>
                <w:rStyle w:val="Hyperlink"/>
                <w:noProof/>
              </w:rPr>
              <w:t>4.</w:t>
            </w:r>
            <w:r>
              <w:rPr>
                <w:rFonts w:asciiTheme="minorHAnsi" w:eastAsiaTheme="minorEastAsia" w:hAnsiTheme="minorHAnsi" w:cstheme="minorBidi"/>
                <w:b w:val="0"/>
                <w:bCs w:val="0"/>
                <w:caps w:val="0"/>
                <w:noProof/>
                <w:sz w:val="22"/>
                <w:szCs w:val="22"/>
                <w:lang w:val="en-US" w:eastAsia="en-US"/>
              </w:rPr>
              <w:tab/>
            </w:r>
            <w:r>
              <w:rPr>
                <w:rStyle w:val="Hyperlink"/>
                <w:noProof/>
              </w:rPr>
              <w:t>Ajustements des recettes</w:t>
            </w:r>
            <w:r>
              <w:rPr>
                <w:noProof/>
                <w:webHidden/>
              </w:rPr>
              <w:tab/>
            </w:r>
            <w:r>
              <w:rPr>
                <w:noProof/>
                <w:webHidden/>
              </w:rPr>
              <w:fldChar w:fldCharType="begin"/>
            </w:r>
            <w:r>
              <w:rPr>
                <w:noProof/>
                <w:webHidden/>
              </w:rPr>
              <w:instrText xml:space="preserve"> PAGEREF _Toc53742112 \h </w:instrText>
            </w:r>
            <w:r>
              <w:rPr>
                <w:noProof/>
                <w:webHidden/>
              </w:rPr>
            </w:r>
            <w:r>
              <w:rPr>
                <w:noProof/>
                <w:webHidden/>
              </w:rPr>
              <w:fldChar w:fldCharType="separate"/>
            </w:r>
            <w:r>
              <w:rPr>
                <w:noProof/>
                <w:webHidden/>
              </w:rPr>
              <w:t>9</w:t>
            </w:r>
            <w:r>
              <w:rPr>
                <w:noProof/>
                <w:webHidden/>
              </w:rPr>
              <w:fldChar w:fldCharType="end"/>
            </w:r>
          </w:hyperlink>
        </w:p>
        <w:p w:rsidR="00B81CFF" w:rsidRDefault="009B5596">
          <w:pPr>
            <w:pStyle w:val="TOC2"/>
            <w:rPr>
              <w:rFonts w:eastAsiaTheme="minorEastAsia"/>
              <w:noProof/>
              <w:lang w:val="en-US"/>
            </w:rPr>
          </w:pPr>
          <w:hyperlink w:anchor="_Toc53742113" w:history="1">
            <w:r>
              <w:rPr>
                <w:rStyle w:val="Hyperlink"/>
                <w:rFonts w:ascii="Times New Roman" w:hAnsi="Times New Roman"/>
                <w:b/>
                <w:noProof/>
              </w:rPr>
              <w:t>4.1</w:t>
            </w:r>
            <w:r>
              <w:rPr>
                <w:rFonts w:eastAsiaTheme="minorEastAsia"/>
                <w:noProof/>
                <w:lang w:val="en-US"/>
              </w:rPr>
              <w:tab/>
            </w:r>
            <w:r>
              <w:rPr>
                <w:rStyle w:val="Hyperlink"/>
                <w:rFonts w:ascii="Times New Roman" w:hAnsi="Times New Roman"/>
                <w:b/>
                <w:noProof/>
              </w:rPr>
              <w:t>Différences de change en matière de ressources propres</w:t>
            </w:r>
            <w:r>
              <w:rPr>
                <w:noProof/>
                <w:webHidden/>
              </w:rPr>
              <w:tab/>
            </w:r>
            <w:r>
              <w:rPr>
                <w:noProof/>
                <w:webHidden/>
              </w:rPr>
              <w:fldChar w:fldCharType="begin"/>
            </w:r>
            <w:r>
              <w:rPr>
                <w:noProof/>
                <w:webHidden/>
              </w:rPr>
              <w:instrText xml:space="preserve"> PAGEREF _Toc53742113 \h </w:instrText>
            </w:r>
            <w:r>
              <w:rPr>
                <w:noProof/>
                <w:webHidden/>
              </w:rPr>
            </w:r>
            <w:r>
              <w:rPr>
                <w:noProof/>
                <w:webHidden/>
              </w:rPr>
              <w:fldChar w:fldCharType="separate"/>
            </w:r>
            <w:r>
              <w:rPr>
                <w:noProof/>
                <w:webHidden/>
              </w:rPr>
              <w:t>9</w:t>
            </w:r>
            <w:r>
              <w:rPr>
                <w:noProof/>
                <w:webHidden/>
              </w:rPr>
              <w:fldChar w:fldCharType="end"/>
            </w:r>
          </w:hyperlink>
        </w:p>
        <w:p w:rsidR="00B81CFF" w:rsidRDefault="009B5596">
          <w:pPr>
            <w:pStyle w:val="TOC2"/>
            <w:rPr>
              <w:rFonts w:eastAsiaTheme="minorEastAsia"/>
              <w:noProof/>
              <w:lang w:val="en-US"/>
            </w:rPr>
          </w:pPr>
          <w:hyperlink w:anchor="_Toc53742114" w:history="1">
            <w:r>
              <w:rPr>
                <w:rStyle w:val="Hyperlink"/>
                <w:rFonts w:ascii="Times New Roman" w:hAnsi="Times New Roman"/>
                <w:b/>
                <w:noProof/>
              </w:rPr>
              <w:t>4.2</w:t>
            </w:r>
            <w:r>
              <w:rPr>
                <w:rFonts w:eastAsiaTheme="minorEastAsia"/>
                <w:noProof/>
                <w:lang w:val="en-US"/>
              </w:rPr>
              <w:tab/>
            </w:r>
            <w:r>
              <w:rPr>
                <w:rStyle w:val="Hyperlink"/>
                <w:rFonts w:ascii="Times New Roman" w:hAnsi="Times New Roman"/>
                <w:b/>
                <w:noProof/>
              </w:rPr>
              <w:t>Amendes et astreintes</w:t>
            </w:r>
            <w:r>
              <w:rPr>
                <w:noProof/>
                <w:webHidden/>
              </w:rPr>
              <w:tab/>
            </w:r>
            <w:r>
              <w:rPr>
                <w:noProof/>
                <w:webHidden/>
              </w:rPr>
              <w:fldChar w:fldCharType="begin"/>
            </w:r>
            <w:r>
              <w:rPr>
                <w:noProof/>
                <w:webHidden/>
              </w:rPr>
              <w:instrText xml:space="preserve"> PAGEREF _Toc53742114 \h </w:instrText>
            </w:r>
            <w:r>
              <w:rPr>
                <w:noProof/>
                <w:webHidden/>
              </w:rPr>
            </w:r>
            <w:r>
              <w:rPr>
                <w:noProof/>
                <w:webHidden/>
              </w:rPr>
              <w:fldChar w:fldCharType="separate"/>
            </w:r>
            <w:r>
              <w:rPr>
                <w:noProof/>
                <w:webHidden/>
              </w:rPr>
              <w:t>10</w:t>
            </w:r>
            <w:r>
              <w:rPr>
                <w:noProof/>
                <w:webHidden/>
              </w:rPr>
              <w:fldChar w:fldCharType="end"/>
            </w:r>
          </w:hyperlink>
        </w:p>
        <w:p w:rsidR="00B81CFF" w:rsidRDefault="009B5596">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hyperlink w:anchor="_Toc53742115" w:history="1">
            <w:r>
              <w:rPr>
                <w:rStyle w:val="Hyperlink"/>
                <w:noProof/>
              </w:rPr>
              <w:t>5.</w:t>
            </w:r>
            <w:r>
              <w:rPr>
                <w:rFonts w:asciiTheme="minorHAnsi" w:eastAsiaTheme="minorEastAsia" w:hAnsiTheme="minorHAnsi" w:cstheme="minorBidi"/>
                <w:b w:val="0"/>
                <w:bCs w:val="0"/>
                <w:caps w:val="0"/>
                <w:noProof/>
                <w:sz w:val="22"/>
                <w:szCs w:val="22"/>
                <w:lang w:val="en-US" w:eastAsia="en-US"/>
              </w:rPr>
              <w:tab/>
            </w:r>
            <w:r>
              <w:rPr>
                <w:rStyle w:val="Hyperlink"/>
                <w:noProof/>
              </w:rPr>
              <w:t>Tableau récapitulatif par rubrique du CFP</w:t>
            </w:r>
            <w:r>
              <w:rPr>
                <w:noProof/>
                <w:webHidden/>
              </w:rPr>
              <w:tab/>
            </w:r>
            <w:r>
              <w:rPr>
                <w:noProof/>
                <w:webHidden/>
              </w:rPr>
              <w:fldChar w:fldCharType="begin"/>
            </w:r>
            <w:r>
              <w:rPr>
                <w:noProof/>
                <w:webHidden/>
              </w:rPr>
              <w:instrText xml:space="preserve"> PAGEREF _Toc53742115 \h </w:instrText>
            </w:r>
            <w:r>
              <w:rPr>
                <w:noProof/>
                <w:webHidden/>
              </w:rPr>
            </w:r>
            <w:r>
              <w:rPr>
                <w:noProof/>
                <w:webHidden/>
              </w:rPr>
              <w:fldChar w:fldCharType="separate"/>
            </w:r>
            <w:r>
              <w:rPr>
                <w:noProof/>
                <w:webHidden/>
              </w:rPr>
              <w:t>11</w:t>
            </w:r>
            <w:r>
              <w:rPr>
                <w:noProof/>
                <w:webHidden/>
              </w:rPr>
              <w:fldChar w:fldCharType="end"/>
            </w:r>
          </w:hyperlink>
        </w:p>
        <w:p w:rsidR="00B81CFF" w:rsidRDefault="009B5596">
          <w:pPr>
            <w:pStyle w:val="ManualHeading1"/>
            <w:ind w:left="0" w:firstLine="0"/>
            <w:rPr>
              <w:bCs/>
              <w:noProof/>
            </w:rPr>
          </w:pPr>
          <w:r>
            <w:rPr>
              <w:b w:val="0"/>
              <w:bCs/>
              <w:noProof/>
            </w:rPr>
            <w:fldChar w:fldCharType="end"/>
          </w:r>
        </w:p>
      </w:sdtContent>
    </w:sdt>
    <w:p w:rsidR="00B81CFF" w:rsidRDefault="00B81CFF">
      <w:pPr>
        <w:rPr>
          <w:b/>
          <w:noProof/>
          <w:u w:val="single"/>
          <w:lang w:eastAsia="de-DE"/>
        </w:rPr>
        <w:sectPr w:rsidR="00B81CFF">
          <w:headerReference w:type="even" r:id="rId22"/>
          <w:headerReference w:type="default" r:id="rId23"/>
          <w:footerReference w:type="even" r:id="rId24"/>
          <w:footerReference w:type="default" r:id="rId25"/>
          <w:headerReference w:type="first" r:id="rId26"/>
          <w:footerReference w:type="first" r:id="rId27"/>
          <w:pgSz w:w="11907" w:h="16839"/>
          <w:pgMar w:top="1021" w:right="1021" w:bottom="1021" w:left="1021" w:header="709" w:footer="709" w:gutter="0"/>
          <w:cols w:space="708"/>
          <w:docGrid w:linePitch="360"/>
        </w:sectPr>
      </w:pPr>
    </w:p>
    <w:p w:rsidR="00B81CFF" w:rsidRDefault="009B5596">
      <w:pPr>
        <w:pStyle w:val="Exposdesmotifstitre"/>
        <w:rPr>
          <w:noProof/>
        </w:rPr>
      </w:pPr>
      <w:r>
        <w:rPr>
          <w:noProof/>
        </w:rPr>
        <w:t>EXPOSÉ DES MOTIFS</w:t>
      </w:r>
    </w:p>
    <w:p w:rsidR="00B81CFF" w:rsidRDefault="009B5596">
      <w:pPr>
        <w:pStyle w:val="ListParagraph"/>
        <w:keepNext/>
        <w:numPr>
          <w:ilvl w:val="0"/>
          <w:numId w:val="2"/>
        </w:numPr>
        <w:tabs>
          <w:tab w:val="left" w:pos="850"/>
        </w:tabs>
        <w:spacing w:before="360" w:after="120" w:line="240" w:lineRule="auto"/>
        <w:jc w:val="both"/>
        <w:outlineLvl w:val="0"/>
        <w:rPr>
          <w:rFonts w:ascii="Times New Roman" w:eastAsia="Times New Roman" w:hAnsi="Times New Roman" w:cs="Times New Roman"/>
          <w:b/>
          <w:smallCaps/>
          <w:noProof/>
          <w:sz w:val="24"/>
          <w:szCs w:val="24"/>
        </w:rPr>
      </w:pPr>
      <w:bookmarkStart w:id="2" w:name="_Toc52346050"/>
      <w:bookmarkStart w:id="3" w:name="_Toc53742098"/>
      <w:bookmarkStart w:id="4" w:name="_Toc351469332"/>
      <w:bookmarkStart w:id="5" w:name="_Toc361649879"/>
      <w:bookmarkStart w:id="6" w:name="_Toc514181802"/>
      <w:bookmarkStart w:id="7" w:name="_Toc430865947"/>
      <w:bookmarkStart w:id="8" w:name="_Toc430867525"/>
      <w:r>
        <w:rPr>
          <w:rFonts w:ascii="Times New Roman" w:hAnsi="Times New Roman"/>
          <w:b/>
          <w:smallCaps/>
          <w:noProof/>
          <w:sz w:val="24"/>
          <w:szCs w:val="24"/>
        </w:rPr>
        <w:t>Introduction</w:t>
      </w:r>
      <w:bookmarkEnd w:id="2"/>
      <w:bookmarkEnd w:id="3"/>
    </w:p>
    <w:p w:rsidR="00B81CFF" w:rsidRDefault="009B5596">
      <w:pPr>
        <w:pStyle w:val="ListDash"/>
        <w:rPr>
          <w:noProof/>
        </w:rPr>
      </w:pPr>
      <w:bookmarkStart w:id="9" w:name="_Toc34373733"/>
      <w:bookmarkStart w:id="10" w:name="_Toc41571881"/>
      <w:bookmarkStart w:id="11" w:name="_Toc35506109"/>
      <w:bookmarkStart w:id="12" w:name="_Toc12621018"/>
      <w:r>
        <w:rPr>
          <w:noProof/>
        </w:rPr>
        <w:t>Le projet de budget rectificatif (PBR) nº 10 pour l'exercice 2020 a un triple objectif:</w:t>
      </w:r>
    </w:p>
    <w:p w:rsidR="00B81CFF" w:rsidRDefault="009B5596">
      <w:pPr>
        <w:pStyle w:val="ListDash"/>
        <w:numPr>
          <w:ilvl w:val="0"/>
          <w:numId w:val="9"/>
        </w:numPr>
        <w:ind w:left="360"/>
        <w:rPr>
          <w:noProof/>
        </w:rPr>
      </w:pPr>
      <w:r>
        <w:rPr>
          <w:noProof/>
        </w:rPr>
        <w:t xml:space="preserve">augmenter le niveau des crédits de paiement en fonction des prévisions actualisées et après prise en compte des redéploiements proposés dans le «virement global» (DEC 16/2020 soumis au Parlement et au Conseil au début d’octobre); </w:t>
      </w:r>
    </w:p>
    <w:p w:rsidR="00B81CFF" w:rsidRDefault="009B5596">
      <w:pPr>
        <w:pStyle w:val="ListDash"/>
        <w:numPr>
          <w:ilvl w:val="0"/>
          <w:numId w:val="9"/>
        </w:numPr>
        <w:ind w:left="360"/>
        <w:rPr>
          <w:noProof/>
        </w:rPr>
      </w:pPr>
      <w:r>
        <w:rPr>
          <w:noProof/>
        </w:rPr>
        <w:t>adapter le volet des recettes de manière à tenir compte de l’incidence des différences de change et de la perception d’amendes supplémentaires; et</w:t>
      </w:r>
    </w:p>
    <w:p w:rsidR="00B81CFF" w:rsidRDefault="009B5596">
      <w:pPr>
        <w:pStyle w:val="ListDash"/>
        <w:numPr>
          <w:ilvl w:val="0"/>
          <w:numId w:val="9"/>
        </w:numPr>
        <w:ind w:left="360"/>
        <w:rPr>
          <w:noProof/>
        </w:rPr>
      </w:pPr>
      <w:r>
        <w:rPr>
          <w:noProof/>
        </w:rPr>
        <w:t>budgétiser d’autres ajustements des dépenses plus limités. Ceux-ci portent sur le niveau des crédits du Fonds européen agricole de garantie (FEAGA) et de certains organismes décentralisés (AEMF, AEAPP, ABE et Autorité européenne du travail).</w:t>
      </w:r>
    </w:p>
    <w:p w:rsidR="00B81CFF" w:rsidRDefault="009B5596">
      <w:pPr>
        <w:pStyle w:val="ListDash"/>
        <w:rPr>
          <w:noProof/>
        </w:rPr>
      </w:pPr>
      <w:r>
        <w:rPr>
          <w:noProof/>
        </w:rPr>
        <w:t xml:space="preserve">L’augmentation globale des crédits de paiement (1 569,3 millions d’EUR) demandée concerne les rubriques 1a </w:t>
      </w:r>
      <w:r>
        <w:rPr>
          <w:i/>
          <w:noProof/>
        </w:rPr>
        <w:t>«Compétitivité pour la croissance et l’emploi»</w:t>
      </w:r>
      <w:r>
        <w:rPr>
          <w:noProof/>
        </w:rPr>
        <w:t xml:space="preserve">, 1b </w:t>
      </w:r>
      <w:r>
        <w:rPr>
          <w:i/>
          <w:noProof/>
        </w:rPr>
        <w:t>«Cohésion économique, sociale et territoriale»</w:t>
      </w:r>
      <w:r>
        <w:rPr>
          <w:noProof/>
        </w:rPr>
        <w:t xml:space="preserve">, 2 </w:t>
      </w:r>
      <w:r>
        <w:rPr>
          <w:i/>
          <w:noProof/>
        </w:rPr>
        <w:t>«Croissance durable: ressources naturelles»</w:t>
      </w:r>
      <w:r>
        <w:rPr>
          <w:noProof/>
        </w:rPr>
        <w:t xml:space="preserve"> et 4 </w:t>
      </w:r>
      <w:r>
        <w:rPr>
          <w:i/>
          <w:noProof/>
        </w:rPr>
        <w:t>«L’Europe dans le monde»</w:t>
      </w:r>
      <w:r>
        <w:rPr>
          <w:noProof/>
        </w:rPr>
        <w:t xml:space="preserve">. </w:t>
      </w:r>
    </w:p>
    <w:p w:rsidR="00B81CFF" w:rsidRDefault="009B5596">
      <w:pPr>
        <w:pStyle w:val="ListDash"/>
        <w:rPr>
          <w:noProof/>
        </w:rPr>
      </w:pPr>
      <w:r>
        <w:rPr>
          <w:noProof/>
        </w:rPr>
        <w:t>L’augmentation des crédits d’engagement dans la rubrique 2 est légèrement rééquilibrée par les économies réalisées dans le cadre des agences de la rubrique 1a, ce qui se traduit par une augmentation globale des engagements de 36,4 millions d’EUR.</w:t>
      </w:r>
    </w:p>
    <w:p w:rsidR="00B81CFF" w:rsidRDefault="009B5596">
      <w:pPr>
        <w:pStyle w:val="ListDash"/>
        <w:rPr>
          <w:noProof/>
        </w:rPr>
      </w:pPr>
      <w:r>
        <w:rPr>
          <w:noProof/>
        </w:rPr>
        <w:t>L’incidence globale sur le volet des recettes est une diminution des autres recettes à hauteur de 588 millions d’EUR, rééquilibrée par une augmentation correspondante des contributions RNB.</w:t>
      </w:r>
    </w:p>
    <w:p w:rsidR="00B81CFF" w:rsidRDefault="009B5596">
      <w:pPr>
        <w:pStyle w:val="ManualHeading1"/>
        <w:numPr>
          <w:ilvl w:val="0"/>
          <w:numId w:val="2"/>
        </w:numPr>
        <w:rPr>
          <w:noProof/>
        </w:rPr>
      </w:pPr>
      <w:bookmarkStart w:id="13" w:name="_Toc52346051"/>
      <w:bookmarkStart w:id="14" w:name="_Toc53742099"/>
      <w:r>
        <w:rPr>
          <w:noProof/>
        </w:rPr>
        <w:t>Besoins supplémentaires en crédits de paiement</w:t>
      </w:r>
      <w:bookmarkEnd w:id="13"/>
      <w:bookmarkEnd w:id="14"/>
    </w:p>
    <w:p w:rsidR="00B81CFF" w:rsidRDefault="009B5596">
      <w:pPr>
        <w:pStyle w:val="ListDash"/>
        <w:rPr>
          <w:noProof/>
        </w:rPr>
      </w:pPr>
      <w:r>
        <w:rPr>
          <w:noProof/>
        </w:rPr>
        <w:t>Le «virement global» est un exercice annuel organisé au niveau institutionnel au sein de la Commission, pour lequel l’ensemble des directions générales et des services sont invités à examiner, au début du mois de septembre, leur exécution respective des paiements du budget en cours jusqu’à la fin de l’exercice concerné. Il vise à garantir une exécution maximale du budget, en termes de crédits de paiement, à la fin de l’exercice en recourant à la sous-exécution attendue pour répondre aux besoins supplémentaires. Une demande de virement ad hoc (au titre de l’article 31 du règlement financier) est par conséquent présentée chaque année au Parlement et au Conseil au début du mois d’octobre.</w:t>
      </w:r>
    </w:p>
    <w:p w:rsidR="00B81CFF" w:rsidRDefault="009B5596">
      <w:pPr>
        <w:pStyle w:val="ListDash"/>
        <w:rPr>
          <w:noProof/>
        </w:rPr>
      </w:pPr>
      <w:r>
        <w:rPr>
          <w:noProof/>
        </w:rPr>
        <w:t>Le PBR nº 8 pour l’exercice 2020, présenté par la Commission à la fin du mois d’août, était dissocié du «virement global» et ne comportait que des demandes pour lesquelles une action urgente de la part de l’Union était requise. Dès lors, le PBR nº 8, qui proposait de demander un montant substantiel de crédits de paiement supplémentaires (soit 6 190 millions d’EUR), portait exclusivement sur deux éléments spécifiques: procurer des crédits de paiement supplémentaires i) en faveur de l’instrument d’aide d’urgence pour financer la stratégie concernant les vaccins contre la COVID-19 et ii) en faveur de la cohésion à la suite de l’adoption de l’initiative d’investissement+ en réaction au coronavirus (CRII+)</w:t>
      </w:r>
      <w:r>
        <w:rPr>
          <w:noProof/>
        </w:rPr>
        <w:footnoteReference w:id="12"/>
      </w:r>
      <w:r>
        <w:rPr>
          <w:noProof/>
        </w:rPr>
        <w:t>.</w:t>
      </w:r>
    </w:p>
    <w:p w:rsidR="00B81CFF" w:rsidRDefault="009B5596">
      <w:pPr>
        <w:pStyle w:val="ListDash"/>
        <w:rPr>
          <w:noProof/>
        </w:rPr>
      </w:pPr>
      <w:r>
        <w:rPr>
          <w:noProof/>
        </w:rPr>
        <w:t>Outre les demandes figurant dans le PBR nº 8, l’exercice de «virement global» 2020 a donné lieu à des besoins supplémentaires bruts en crédits de paiements de 2 125,2 millions d’EUR, qui n’ont été que partiellement compensés par une sous-exécution attendue des paiements de 595,4 millions d’EUR. Les crédits de paiement supplémentaires demandés dans le présent PBR nº 10 visent à combler la différence de 1 529,8 millions d’EUR, comme expliqué aux sections 2.1 à 2.4.</w:t>
      </w:r>
    </w:p>
    <w:p w:rsidR="00B81CFF" w:rsidRDefault="009B5596">
      <w:pPr>
        <w:pStyle w:val="ManualHeading1"/>
        <w:numPr>
          <w:ilvl w:val="1"/>
          <w:numId w:val="2"/>
        </w:numPr>
        <w:tabs>
          <w:tab w:val="clear" w:pos="850"/>
          <w:tab w:val="left" w:pos="600"/>
        </w:tabs>
        <w:ind w:left="600" w:hanging="600"/>
        <w:rPr>
          <w:smallCaps w:val="0"/>
          <w:noProof/>
        </w:rPr>
      </w:pPr>
      <w:bookmarkStart w:id="15" w:name="_Toc52346052"/>
      <w:bookmarkStart w:id="16" w:name="_Toc53742100"/>
      <w:r>
        <w:rPr>
          <w:smallCaps w:val="0"/>
          <w:noProof/>
        </w:rPr>
        <w:t>Compétitivité des entreprises et des petites et moyennes entreprises (COSME)</w:t>
      </w:r>
      <w:bookmarkEnd w:id="15"/>
      <w:bookmarkEnd w:id="16"/>
    </w:p>
    <w:p w:rsidR="00B81CFF" w:rsidRDefault="009B5596">
      <w:pPr>
        <w:pStyle w:val="ListDash"/>
        <w:rPr>
          <w:noProof/>
        </w:rPr>
      </w:pPr>
      <w:r>
        <w:rPr>
          <w:noProof/>
        </w:rPr>
        <w:t>En raison de la crise de la COVID-19, de nombreuses petites et moyennes entreprises (PME) à travers l’Union ont été confrontées à un manque soudain de liquidités. Comme annoncé dans la communication</w:t>
      </w:r>
      <w:r>
        <w:rPr>
          <w:rStyle w:val="FootnoteReference"/>
          <w:noProof/>
        </w:rPr>
        <w:footnoteReference w:id="13"/>
      </w:r>
      <w:r>
        <w:rPr>
          <w:noProof/>
        </w:rPr>
        <w:t xml:space="preserve"> du 13 mars 2020 relative à une réaction économique coordonnée à la crise de la COVID-19, la Commission a décidé de réorienter 1 milliard d’EUR du Fonds européen pour les investissements stratégiques (EFSI) vers les mécanismes de garantie existants. Dans le cadre de cette initiative, le mécanisme de garantie de prêts du programme COSME a été renforcé à hauteur de 714 millions d’EUR pour inciter les banques à fournir des liquidités aux entreprises dans le but d’aider au moins 100 000 entreprises européennes à accéder à environ 8 milliards d’EUR de financements.</w:t>
      </w:r>
    </w:p>
    <w:p w:rsidR="00B81CFF" w:rsidRDefault="009B5596">
      <w:pPr>
        <w:pStyle w:val="ListDash"/>
        <w:rPr>
          <w:noProof/>
        </w:rPr>
      </w:pPr>
      <w:r>
        <w:rPr>
          <w:noProof/>
        </w:rPr>
        <w:t xml:space="preserve">Le partenaire chargé de la mise en œuvre, à savoir le Fonds européen d’investissement (FEI), a publié un appel à manifestation d’intérêt révisé invitant les intermédiaires financiers à introduire une demande pour la mesure spécifique COVID, qui a été clôturé avec succès à la fin du mois de mai de cette année. Ce renforcement entraîne un accroissement des besoins en crédits de paiement, étant donné que les besoins de trésorerie du FEI doivent d’abord être couverts par l’intermédiaire du mécanisme de garantie de prêts du programme COSME (tranche de première perte) avant que les appels de liquidités ne soient effectués dans le cadre de l’EFSI (tranche de deuxième perte). </w:t>
      </w:r>
    </w:p>
    <w:p w:rsidR="00B81CFF" w:rsidRDefault="009B5596">
      <w:pPr>
        <w:pStyle w:val="ListDash"/>
        <w:rPr>
          <w:noProof/>
        </w:rPr>
      </w:pPr>
      <w:r>
        <w:rPr>
          <w:noProof/>
        </w:rPr>
        <w:t>Les redéploiements internes ont partiellement couvert ces besoins imprévus, mais des crédits de paiement supplémentaires de 93,8 millions d’EUR sont nécessaires pour permettre à la Commission européenne d’honorer ses obligations contractuelles vis-à-vis du FEI.</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4588"/>
        <w:gridCol w:w="1701"/>
        <w:gridCol w:w="1701"/>
      </w:tblGrid>
      <w:tr w:rsidR="00B81CFF">
        <w:trPr>
          <w:jc w:val="center"/>
        </w:trPr>
        <w:tc>
          <w:tcPr>
            <w:tcW w:w="9222" w:type="dxa"/>
            <w:gridSpan w:val="4"/>
            <w:tcBorders>
              <w:top w:val="nil"/>
              <w:left w:val="nil"/>
              <w:bottom w:val="single" w:sz="4" w:space="0" w:color="auto"/>
              <w:right w:val="nil"/>
            </w:tcBorders>
            <w:shd w:val="clear" w:color="auto" w:fill="auto"/>
            <w:vAlign w:val="center"/>
          </w:tcPr>
          <w:p w:rsidR="00B81CFF" w:rsidRDefault="009B5596">
            <w:pPr>
              <w:keepNext/>
              <w:widowControl w:val="0"/>
              <w:spacing w:before="15" w:after="15" w:line="240" w:lineRule="auto"/>
              <w:jc w:val="right"/>
              <w:rPr>
                <w:rFonts w:ascii="Times New Roman" w:eastAsia="Times New Roman" w:hAnsi="Times New Roman" w:cs="Times New Roman"/>
                <w:i/>
                <w:noProof/>
                <w:sz w:val="20"/>
                <w:szCs w:val="20"/>
              </w:rPr>
            </w:pPr>
            <w:r>
              <w:rPr>
                <w:rFonts w:ascii="Times New Roman" w:hAnsi="Times New Roman"/>
                <w:i/>
                <w:iCs/>
                <w:noProof/>
                <w:sz w:val="20"/>
                <w:szCs w:val="20"/>
              </w:rPr>
              <w:t>en EUR</w:t>
            </w:r>
          </w:p>
        </w:tc>
      </w:tr>
      <w:tr w:rsidR="00B81CFF">
        <w:trPr>
          <w:jc w:val="center"/>
        </w:trPr>
        <w:tc>
          <w:tcPr>
            <w:tcW w:w="1232" w:type="dxa"/>
            <w:tcBorders>
              <w:top w:val="single" w:sz="4" w:space="0" w:color="auto"/>
            </w:tcBorders>
            <w:shd w:val="clear" w:color="auto" w:fill="D9D9D9"/>
            <w:vAlign w:val="center"/>
          </w:tcPr>
          <w:p w:rsidR="00B81CFF" w:rsidRDefault="009B5596">
            <w:pPr>
              <w:keepNext/>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Ligne budgétaire</w:t>
            </w:r>
          </w:p>
        </w:tc>
        <w:tc>
          <w:tcPr>
            <w:tcW w:w="4588" w:type="dxa"/>
            <w:tcBorders>
              <w:top w:val="single" w:sz="4" w:space="0" w:color="auto"/>
            </w:tcBorders>
            <w:shd w:val="clear" w:color="auto" w:fill="D9D9D9"/>
            <w:vAlign w:val="center"/>
          </w:tcPr>
          <w:p w:rsidR="00B81CFF" w:rsidRDefault="009B5596">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Intitulé</w:t>
            </w:r>
          </w:p>
        </w:tc>
        <w:tc>
          <w:tcPr>
            <w:tcW w:w="1701" w:type="dxa"/>
            <w:tcBorders>
              <w:top w:val="single" w:sz="4" w:space="0" w:color="auto"/>
            </w:tcBorders>
            <w:shd w:val="clear" w:color="auto" w:fill="D9D9D9"/>
            <w:vAlign w:val="center"/>
          </w:tcPr>
          <w:p w:rsidR="00B81CFF" w:rsidRDefault="009B5596">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Crédits d'engagement</w:t>
            </w:r>
          </w:p>
        </w:tc>
        <w:tc>
          <w:tcPr>
            <w:tcW w:w="1701" w:type="dxa"/>
            <w:tcBorders>
              <w:top w:val="single" w:sz="4" w:space="0" w:color="auto"/>
            </w:tcBorders>
            <w:shd w:val="clear" w:color="auto" w:fill="D9D9D9"/>
            <w:vAlign w:val="center"/>
          </w:tcPr>
          <w:p w:rsidR="00B81CFF" w:rsidRDefault="009B5596">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Crédits de paiement</w:t>
            </w:r>
          </w:p>
        </w:tc>
      </w:tr>
      <w:tr w:rsidR="00B81CFF">
        <w:trPr>
          <w:jc w:val="center"/>
        </w:trPr>
        <w:tc>
          <w:tcPr>
            <w:tcW w:w="9222" w:type="dxa"/>
            <w:gridSpan w:val="4"/>
            <w:shd w:val="clear" w:color="auto" w:fill="F2F2F2"/>
            <w:vAlign w:val="center"/>
          </w:tcPr>
          <w:p w:rsidR="00B81CFF" w:rsidRDefault="009B5596">
            <w:pPr>
              <w:widowControl w:val="0"/>
              <w:spacing w:before="15" w:after="15" w:line="240" w:lineRule="auto"/>
              <w:rPr>
                <w:rFonts w:ascii="Times New Roman" w:eastAsia="Times New Roman" w:hAnsi="Times New Roman" w:cs="Times New Roman"/>
                <w:i/>
                <w:noProof/>
                <w:sz w:val="20"/>
                <w:szCs w:val="20"/>
              </w:rPr>
            </w:pPr>
            <w:r>
              <w:rPr>
                <w:rFonts w:ascii="Times New Roman" w:hAnsi="Times New Roman"/>
                <w:i/>
                <w:noProof/>
                <w:sz w:val="20"/>
                <w:szCs w:val="20"/>
              </w:rPr>
              <w:t>Section III — Commission</w:t>
            </w:r>
          </w:p>
        </w:tc>
      </w:tr>
      <w:tr w:rsidR="00B81CFF">
        <w:trPr>
          <w:jc w:val="center"/>
        </w:trPr>
        <w:tc>
          <w:tcPr>
            <w:tcW w:w="1232" w:type="dxa"/>
          </w:tcPr>
          <w:p w:rsidR="00B81CFF" w:rsidRDefault="009B5596">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szCs w:val="20"/>
              </w:rPr>
              <w:t>02 02 02</w:t>
            </w:r>
          </w:p>
        </w:tc>
        <w:tc>
          <w:tcPr>
            <w:tcW w:w="4588" w:type="dxa"/>
          </w:tcPr>
          <w:p w:rsidR="00B81CFF" w:rsidRDefault="009B5596">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Améliorer l’accès au financement pour les petites et moyennes entreprises, sous forme d’investissements en fonds propres et d’emprunts</w:t>
            </w:r>
          </w:p>
        </w:tc>
        <w:tc>
          <w:tcPr>
            <w:tcW w:w="1701" w:type="dxa"/>
          </w:tcPr>
          <w:p w:rsidR="00B81CFF" w:rsidRDefault="009B5596">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w:t>
            </w:r>
          </w:p>
        </w:tc>
        <w:tc>
          <w:tcPr>
            <w:tcW w:w="1701" w:type="dxa"/>
          </w:tcPr>
          <w:p w:rsidR="00B81CFF" w:rsidRDefault="009B5596">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93 800 000</w:t>
            </w:r>
          </w:p>
        </w:tc>
      </w:tr>
      <w:tr w:rsidR="00B81CFF">
        <w:trPr>
          <w:jc w:val="center"/>
        </w:trPr>
        <w:tc>
          <w:tcPr>
            <w:tcW w:w="5820" w:type="dxa"/>
            <w:gridSpan w:val="2"/>
            <w:shd w:val="clear" w:color="auto" w:fill="D9D9D9"/>
          </w:tcPr>
          <w:p w:rsidR="00B81CFF" w:rsidRDefault="009B5596">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b/>
                <w:noProof/>
                <w:sz w:val="20"/>
                <w:szCs w:val="20"/>
              </w:rPr>
              <w:t>Total</w:t>
            </w:r>
            <w:r>
              <w:rPr>
                <w:rFonts w:ascii="Times New Roman" w:hAnsi="Times New Roman"/>
                <w:b/>
                <w:noProof/>
                <w:sz w:val="20"/>
                <w:szCs w:val="20"/>
              </w:rPr>
              <w:tab/>
            </w:r>
          </w:p>
        </w:tc>
        <w:tc>
          <w:tcPr>
            <w:tcW w:w="1701" w:type="dxa"/>
            <w:shd w:val="clear" w:color="auto" w:fill="D9D9D9"/>
          </w:tcPr>
          <w:p w:rsidR="00B81CFF" w:rsidRDefault="009B5596">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0</w:t>
            </w:r>
          </w:p>
        </w:tc>
        <w:tc>
          <w:tcPr>
            <w:tcW w:w="1701" w:type="dxa"/>
            <w:shd w:val="clear" w:color="auto" w:fill="D9D9D9"/>
          </w:tcPr>
          <w:p w:rsidR="00B81CFF" w:rsidRDefault="009B5596">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93 800 000</w:t>
            </w:r>
          </w:p>
        </w:tc>
      </w:tr>
    </w:tbl>
    <w:p w:rsidR="00B81CFF" w:rsidRDefault="009B5596">
      <w:pPr>
        <w:pStyle w:val="ManualHeading1"/>
        <w:numPr>
          <w:ilvl w:val="1"/>
          <w:numId w:val="2"/>
        </w:numPr>
        <w:tabs>
          <w:tab w:val="clear" w:pos="850"/>
          <w:tab w:val="left" w:pos="600"/>
        </w:tabs>
        <w:ind w:left="600" w:hanging="600"/>
        <w:rPr>
          <w:smallCaps w:val="0"/>
          <w:noProof/>
        </w:rPr>
      </w:pPr>
      <w:bookmarkStart w:id="17" w:name="_Toc52346053"/>
      <w:bookmarkStart w:id="18" w:name="_Toc53742101"/>
      <w:bookmarkEnd w:id="9"/>
      <w:bookmarkEnd w:id="10"/>
      <w:r>
        <w:rPr>
          <w:smallCaps w:val="0"/>
          <w:noProof/>
        </w:rPr>
        <w:t>Mécanisme pour l’interconnexion en Europe (MIE) — Contribution du Fonds de cohésion</w:t>
      </w:r>
      <w:bookmarkEnd w:id="17"/>
      <w:bookmarkEnd w:id="18"/>
    </w:p>
    <w:p w:rsidR="00B81CFF" w:rsidRDefault="009B5596">
      <w:pPr>
        <w:pStyle w:val="ListDash"/>
        <w:rPr>
          <w:noProof/>
        </w:rPr>
      </w:pPr>
      <w:bookmarkStart w:id="19" w:name="_Toc494994373"/>
      <w:r>
        <w:rPr>
          <w:noProof/>
        </w:rPr>
        <w:t xml:space="preserve">La mise en œuvre du volet «cohésion» du mécanisme pour l’interconnexion en Europe pour les transports (MIE-FC) progressant plus rapidement que prévu, les besoins en crédits de paiement pour le reste de l’année dépassent les montants actuellement disponibles. </w:t>
      </w:r>
    </w:p>
    <w:p w:rsidR="00B81CFF" w:rsidRDefault="009B5596">
      <w:pPr>
        <w:pStyle w:val="ListDash"/>
        <w:rPr>
          <w:noProof/>
        </w:rPr>
      </w:pPr>
      <w:r>
        <w:rPr>
          <w:noProof/>
        </w:rPr>
        <w:t>Les bénéficiaires ont l’obligation de présenter une demande de paiement intermédiaire tous les deux ans, tout en ayant la possibilité de soumettre chaque année une demande de paiement intermédiaire «volontaire». En 2020, plusieurs grands bénéficiaires ont fait usage de cette flexibilité et ont présenté un nombre plus élevé de demandes de paiement intermédiaire que la moyenne observée les années précédentes. Ce rythme d’exécution rapide, qui n’était pas prévu initialement dans le budget 2020, constitue le principal motif de l’augmentation des besoins en crédits de paiement.</w:t>
      </w:r>
    </w:p>
    <w:p w:rsidR="00B81CFF" w:rsidRDefault="009B5596">
      <w:pPr>
        <w:pStyle w:val="ListDash"/>
        <w:rPr>
          <w:noProof/>
        </w:rPr>
      </w:pPr>
      <w:r>
        <w:rPr>
          <w:noProof/>
        </w:rPr>
        <w:t>La Commission, qui a procédé à une analyse approfondie, action par action, des besoins en crédits de paiement et des disponibilités budgétaires actuelles, en tenant compte d’un redéploiement des crédits de paiement disponibles au sein du chapitre MIE Transports, estime qu’un renforcement de 100 millions d’EUR en crédits de paiement est nécessaire pour respecter les délais de paiement et honorer l’ensemble des obligations légales.</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4588"/>
        <w:gridCol w:w="1701"/>
        <w:gridCol w:w="1701"/>
      </w:tblGrid>
      <w:tr w:rsidR="00B81CFF">
        <w:trPr>
          <w:jc w:val="center"/>
        </w:trPr>
        <w:tc>
          <w:tcPr>
            <w:tcW w:w="9222" w:type="dxa"/>
            <w:gridSpan w:val="4"/>
            <w:tcBorders>
              <w:top w:val="nil"/>
              <w:left w:val="nil"/>
              <w:bottom w:val="single" w:sz="4" w:space="0" w:color="auto"/>
              <w:right w:val="nil"/>
            </w:tcBorders>
            <w:shd w:val="clear" w:color="auto" w:fill="auto"/>
            <w:vAlign w:val="center"/>
          </w:tcPr>
          <w:p w:rsidR="00B81CFF" w:rsidRDefault="009B5596">
            <w:pPr>
              <w:widowControl w:val="0"/>
              <w:spacing w:before="15" w:after="15" w:line="240" w:lineRule="auto"/>
              <w:jc w:val="right"/>
              <w:rPr>
                <w:rFonts w:ascii="Times New Roman" w:eastAsia="Times New Roman" w:hAnsi="Times New Roman" w:cs="Times New Roman"/>
                <w:i/>
                <w:noProof/>
                <w:sz w:val="20"/>
                <w:szCs w:val="20"/>
              </w:rPr>
            </w:pPr>
            <w:r>
              <w:rPr>
                <w:rFonts w:ascii="Times New Roman" w:hAnsi="Times New Roman"/>
                <w:i/>
                <w:iCs/>
                <w:noProof/>
                <w:sz w:val="20"/>
                <w:szCs w:val="20"/>
              </w:rPr>
              <w:t>en EUR</w:t>
            </w:r>
          </w:p>
        </w:tc>
      </w:tr>
      <w:tr w:rsidR="00B81CFF">
        <w:trPr>
          <w:jc w:val="center"/>
        </w:trPr>
        <w:tc>
          <w:tcPr>
            <w:tcW w:w="1232" w:type="dxa"/>
            <w:tcBorders>
              <w:top w:val="single" w:sz="4" w:space="0" w:color="auto"/>
            </w:tcBorders>
            <w:shd w:val="clear" w:color="auto" w:fill="D9D9D9"/>
            <w:vAlign w:val="center"/>
          </w:tcPr>
          <w:p w:rsidR="00B81CFF" w:rsidRDefault="009B5596">
            <w:pPr>
              <w:keepNext/>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Ligne budgétaire</w:t>
            </w:r>
          </w:p>
        </w:tc>
        <w:tc>
          <w:tcPr>
            <w:tcW w:w="4588" w:type="dxa"/>
            <w:tcBorders>
              <w:top w:val="single" w:sz="4" w:space="0" w:color="auto"/>
            </w:tcBorders>
            <w:shd w:val="clear" w:color="auto" w:fill="D9D9D9"/>
            <w:vAlign w:val="center"/>
          </w:tcPr>
          <w:p w:rsidR="00B81CFF" w:rsidRDefault="009B5596">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Intitulé</w:t>
            </w:r>
          </w:p>
        </w:tc>
        <w:tc>
          <w:tcPr>
            <w:tcW w:w="1701" w:type="dxa"/>
            <w:tcBorders>
              <w:top w:val="single" w:sz="4" w:space="0" w:color="auto"/>
            </w:tcBorders>
            <w:shd w:val="clear" w:color="auto" w:fill="D9D9D9"/>
            <w:vAlign w:val="center"/>
          </w:tcPr>
          <w:p w:rsidR="00B81CFF" w:rsidRDefault="009B5596">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Crédits d'engagement</w:t>
            </w:r>
          </w:p>
        </w:tc>
        <w:tc>
          <w:tcPr>
            <w:tcW w:w="1701" w:type="dxa"/>
            <w:tcBorders>
              <w:top w:val="single" w:sz="4" w:space="0" w:color="auto"/>
            </w:tcBorders>
            <w:shd w:val="clear" w:color="auto" w:fill="D9D9D9"/>
            <w:vAlign w:val="center"/>
          </w:tcPr>
          <w:p w:rsidR="00B81CFF" w:rsidRDefault="009B5596">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Crédits de paiement</w:t>
            </w:r>
          </w:p>
        </w:tc>
      </w:tr>
      <w:tr w:rsidR="00B81CFF">
        <w:trPr>
          <w:jc w:val="center"/>
        </w:trPr>
        <w:tc>
          <w:tcPr>
            <w:tcW w:w="9222" w:type="dxa"/>
            <w:gridSpan w:val="4"/>
            <w:shd w:val="clear" w:color="auto" w:fill="F2F2F2"/>
            <w:vAlign w:val="center"/>
          </w:tcPr>
          <w:p w:rsidR="00B81CFF" w:rsidRDefault="009B5596">
            <w:pPr>
              <w:widowControl w:val="0"/>
              <w:spacing w:before="15" w:after="15" w:line="240" w:lineRule="auto"/>
              <w:rPr>
                <w:rFonts w:ascii="Times New Roman" w:eastAsia="Times New Roman" w:hAnsi="Times New Roman" w:cs="Times New Roman"/>
                <w:i/>
                <w:noProof/>
                <w:sz w:val="20"/>
                <w:szCs w:val="20"/>
              </w:rPr>
            </w:pPr>
            <w:r>
              <w:rPr>
                <w:rFonts w:ascii="Times New Roman" w:hAnsi="Times New Roman"/>
                <w:i/>
                <w:noProof/>
                <w:sz w:val="20"/>
                <w:szCs w:val="20"/>
              </w:rPr>
              <w:t>Section III — Commission</w:t>
            </w:r>
          </w:p>
        </w:tc>
      </w:tr>
      <w:tr w:rsidR="00B81CFF">
        <w:trPr>
          <w:jc w:val="center"/>
        </w:trPr>
        <w:tc>
          <w:tcPr>
            <w:tcW w:w="1232" w:type="dxa"/>
          </w:tcPr>
          <w:p w:rsidR="00B81CFF" w:rsidRDefault="009B5596">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szCs w:val="20"/>
              </w:rPr>
              <w:t>06 02 01 04</w:t>
            </w:r>
          </w:p>
        </w:tc>
        <w:tc>
          <w:tcPr>
            <w:tcW w:w="4588" w:type="dxa"/>
          </w:tcPr>
          <w:p w:rsidR="00B81CFF" w:rsidRDefault="009B5596">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Mécanisme pour l’interconnexion en Europe (MIE) — Dotation du Fonds de cohésion</w:t>
            </w:r>
          </w:p>
        </w:tc>
        <w:tc>
          <w:tcPr>
            <w:tcW w:w="1701" w:type="dxa"/>
          </w:tcPr>
          <w:p w:rsidR="00B81CFF" w:rsidRDefault="009B5596">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w:t>
            </w:r>
          </w:p>
        </w:tc>
        <w:tc>
          <w:tcPr>
            <w:tcW w:w="1701" w:type="dxa"/>
          </w:tcPr>
          <w:p w:rsidR="00B81CFF" w:rsidRDefault="009B5596">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100 000 000</w:t>
            </w:r>
          </w:p>
        </w:tc>
      </w:tr>
      <w:tr w:rsidR="00B81CFF">
        <w:trPr>
          <w:jc w:val="center"/>
        </w:trPr>
        <w:tc>
          <w:tcPr>
            <w:tcW w:w="5820" w:type="dxa"/>
            <w:gridSpan w:val="2"/>
            <w:shd w:val="clear" w:color="auto" w:fill="D9D9D9"/>
          </w:tcPr>
          <w:p w:rsidR="00B81CFF" w:rsidRDefault="009B5596">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b/>
                <w:noProof/>
                <w:sz w:val="20"/>
                <w:szCs w:val="20"/>
              </w:rPr>
              <w:t>Total</w:t>
            </w:r>
            <w:r>
              <w:rPr>
                <w:rFonts w:ascii="Times New Roman" w:hAnsi="Times New Roman"/>
                <w:b/>
                <w:noProof/>
                <w:sz w:val="20"/>
                <w:szCs w:val="20"/>
              </w:rPr>
              <w:tab/>
            </w:r>
          </w:p>
        </w:tc>
        <w:tc>
          <w:tcPr>
            <w:tcW w:w="1701" w:type="dxa"/>
            <w:shd w:val="clear" w:color="auto" w:fill="D9D9D9"/>
          </w:tcPr>
          <w:p w:rsidR="00B81CFF" w:rsidRDefault="009B5596">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0</w:t>
            </w:r>
          </w:p>
        </w:tc>
        <w:tc>
          <w:tcPr>
            <w:tcW w:w="1701" w:type="dxa"/>
            <w:shd w:val="clear" w:color="auto" w:fill="D9D9D9"/>
          </w:tcPr>
          <w:p w:rsidR="00B81CFF" w:rsidRDefault="009B5596">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100 000 000</w:t>
            </w:r>
          </w:p>
        </w:tc>
      </w:tr>
    </w:tbl>
    <w:p w:rsidR="00B81CFF" w:rsidRDefault="009B5596">
      <w:pPr>
        <w:pStyle w:val="ManualHeading1"/>
        <w:numPr>
          <w:ilvl w:val="1"/>
          <w:numId w:val="2"/>
        </w:numPr>
        <w:tabs>
          <w:tab w:val="clear" w:pos="850"/>
          <w:tab w:val="left" w:pos="600"/>
        </w:tabs>
        <w:ind w:left="600" w:hanging="600"/>
        <w:rPr>
          <w:smallCaps w:val="0"/>
          <w:noProof/>
        </w:rPr>
      </w:pPr>
      <w:bookmarkStart w:id="20" w:name="_Toc52346054"/>
      <w:bookmarkStart w:id="21" w:name="_Toc53742102"/>
      <w:bookmarkStart w:id="22" w:name="_Toc41571882"/>
      <w:bookmarkEnd w:id="19"/>
      <w:r>
        <w:rPr>
          <w:smallCaps w:val="0"/>
          <w:noProof/>
        </w:rPr>
        <w:t>Fonds européen agricole pour le développement rural (Feader)</w:t>
      </w:r>
      <w:bookmarkEnd w:id="20"/>
      <w:bookmarkEnd w:id="21"/>
    </w:p>
    <w:p w:rsidR="00B81CFF" w:rsidRDefault="009B5596">
      <w:pPr>
        <w:pStyle w:val="ListDash"/>
        <w:rPr>
          <w:noProof/>
        </w:rPr>
      </w:pPr>
      <w:r>
        <w:rPr>
          <w:noProof/>
        </w:rPr>
        <w:t xml:space="preserve">La crise de la COVID-19 n’a pas ralenti l’exécution financière des programmes financés par le Feader. </w:t>
      </w:r>
    </w:p>
    <w:p w:rsidR="00B81CFF" w:rsidRDefault="009B5596">
      <w:pPr>
        <w:pStyle w:val="ListDash"/>
        <w:rPr>
          <w:noProof/>
        </w:rPr>
      </w:pPr>
      <w:r>
        <w:rPr>
          <w:noProof/>
        </w:rPr>
        <w:t xml:space="preserve">La Commission, qui a procédé à une analyse approfondie des prévisions communiquées par les États membres à la fin du mois d’août 2020, estime qu’un renforcement de 750 millions d’EUR en crédits de paiement est nécessaire pour couvrir toutes les demandes de paiement attendues devant être honorées en 2020. Ces prévisions tiennent également compte de l’incidence estimée du paiement forfaitaire proposé par la Commission pour venir en aide aux agriculteurs ou petites et moyennes entreprises agricoles touchés par la COVID-19 (sur la base de la part maximale finalement convenue de 2 % de la contribution de l’Union, et non 1 % tel qu’initialement proposé par la Commission). Certains États membres ont en fait déjà commencé à introduire cette nouvelle mesure Feader dans leurs programmes de développement rural, et d’autres devraient suivre. </w:t>
      </w:r>
    </w:p>
    <w:p w:rsidR="00B81CFF" w:rsidRDefault="009B5596">
      <w:pPr>
        <w:pStyle w:val="ListDash"/>
        <w:rPr>
          <w:noProof/>
        </w:rPr>
      </w:pPr>
      <w:r>
        <w:rPr>
          <w:noProof/>
        </w:rPr>
        <w:t xml:space="preserve">Cette évolution se traduit déjà en 2020 par des demandes de remboursement supplémentaires. </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4588"/>
        <w:gridCol w:w="1701"/>
        <w:gridCol w:w="1701"/>
      </w:tblGrid>
      <w:tr w:rsidR="00B81CFF">
        <w:trPr>
          <w:jc w:val="center"/>
        </w:trPr>
        <w:tc>
          <w:tcPr>
            <w:tcW w:w="9222" w:type="dxa"/>
            <w:gridSpan w:val="4"/>
            <w:tcBorders>
              <w:top w:val="nil"/>
              <w:left w:val="nil"/>
              <w:bottom w:val="single" w:sz="4" w:space="0" w:color="auto"/>
              <w:right w:val="nil"/>
            </w:tcBorders>
            <w:shd w:val="clear" w:color="auto" w:fill="auto"/>
            <w:vAlign w:val="center"/>
          </w:tcPr>
          <w:p w:rsidR="00B81CFF" w:rsidRDefault="009B5596">
            <w:pPr>
              <w:keepNext/>
              <w:widowControl w:val="0"/>
              <w:spacing w:before="15" w:after="15" w:line="240" w:lineRule="auto"/>
              <w:jc w:val="right"/>
              <w:rPr>
                <w:rFonts w:ascii="Times New Roman" w:eastAsia="Times New Roman" w:hAnsi="Times New Roman" w:cs="Times New Roman"/>
                <w:i/>
                <w:noProof/>
                <w:sz w:val="20"/>
                <w:szCs w:val="20"/>
              </w:rPr>
            </w:pPr>
            <w:r>
              <w:rPr>
                <w:rFonts w:ascii="Times New Roman" w:hAnsi="Times New Roman"/>
                <w:i/>
                <w:iCs/>
                <w:noProof/>
                <w:sz w:val="20"/>
                <w:szCs w:val="20"/>
              </w:rPr>
              <w:t>en EUR</w:t>
            </w:r>
          </w:p>
        </w:tc>
      </w:tr>
      <w:tr w:rsidR="00B81CFF">
        <w:trPr>
          <w:jc w:val="center"/>
        </w:trPr>
        <w:tc>
          <w:tcPr>
            <w:tcW w:w="1232" w:type="dxa"/>
            <w:tcBorders>
              <w:top w:val="single" w:sz="4" w:space="0" w:color="auto"/>
            </w:tcBorders>
            <w:shd w:val="clear" w:color="auto" w:fill="D9D9D9"/>
            <w:vAlign w:val="center"/>
          </w:tcPr>
          <w:p w:rsidR="00B81CFF" w:rsidRDefault="009B5596">
            <w:pPr>
              <w:keepNext/>
              <w:keepLines/>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Ligne budgétaire</w:t>
            </w:r>
          </w:p>
        </w:tc>
        <w:tc>
          <w:tcPr>
            <w:tcW w:w="4588" w:type="dxa"/>
            <w:tcBorders>
              <w:top w:val="single" w:sz="4" w:space="0" w:color="auto"/>
            </w:tcBorders>
            <w:shd w:val="clear" w:color="auto" w:fill="D9D9D9"/>
            <w:vAlign w:val="center"/>
          </w:tcPr>
          <w:p w:rsidR="00B81CFF" w:rsidRDefault="009B5596">
            <w:pPr>
              <w:keepNext/>
              <w:keepLines/>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Intitulé</w:t>
            </w:r>
          </w:p>
        </w:tc>
        <w:tc>
          <w:tcPr>
            <w:tcW w:w="1701" w:type="dxa"/>
            <w:tcBorders>
              <w:top w:val="single" w:sz="4" w:space="0" w:color="auto"/>
            </w:tcBorders>
            <w:shd w:val="clear" w:color="auto" w:fill="D9D9D9"/>
            <w:vAlign w:val="center"/>
          </w:tcPr>
          <w:p w:rsidR="00B81CFF" w:rsidRDefault="009B5596">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Crédits d'engagement</w:t>
            </w:r>
          </w:p>
        </w:tc>
        <w:tc>
          <w:tcPr>
            <w:tcW w:w="1701" w:type="dxa"/>
            <w:tcBorders>
              <w:top w:val="single" w:sz="4" w:space="0" w:color="auto"/>
            </w:tcBorders>
            <w:shd w:val="clear" w:color="auto" w:fill="D9D9D9"/>
            <w:vAlign w:val="center"/>
          </w:tcPr>
          <w:p w:rsidR="00B81CFF" w:rsidRDefault="009B5596">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Crédits de paiement</w:t>
            </w:r>
          </w:p>
        </w:tc>
      </w:tr>
      <w:tr w:rsidR="00B81CFF">
        <w:trPr>
          <w:jc w:val="center"/>
        </w:trPr>
        <w:tc>
          <w:tcPr>
            <w:tcW w:w="9222" w:type="dxa"/>
            <w:gridSpan w:val="4"/>
            <w:shd w:val="clear" w:color="auto" w:fill="F2F2F2"/>
            <w:vAlign w:val="center"/>
          </w:tcPr>
          <w:p w:rsidR="00B81CFF" w:rsidRDefault="009B5596">
            <w:pPr>
              <w:keepNext/>
              <w:keepLines/>
              <w:widowControl w:val="0"/>
              <w:spacing w:before="15" w:after="15" w:line="240" w:lineRule="auto"/>
              <w:rPr>
                <w:rFonts w:ascii="Times New Roman" w:eastAsia="Times New Roman" w:hAnsi="Times New Roman" w:cs="Times New Roman"/>
                <w:i/>
                <w:noProof/>
                <w:sz w:val="20"/>
                <w:szCs w:val="20"/>
              </w:rPr>
            </w:pPr>
            <w:r>
              <w:rPr>
                <w:rFonts w:ascii="Times New Roman" w:hAnsi="Times New Roman"/>
                <w:i/>
                <w:noProof/>
                <w:sz w:val="20"/>
                <w:szCs w:val="20"/>
              </w:rPr>
              <w:t>Section III — Commission</w:t>
            </w:r>
          </w:p>
        </w:tc>
      </w:tr>
      <w:tr w:rsidR="00B81CFF">
        <w:trPr>
          <w:jc w:val="center"/>
        </w:trPr>
        <w:tc>
          <w:tcPr>
            <w:tcW w:w="1232" w:type="dxa"/>
          </w:tcPr>
          <w:p w:rsidR="00B81CFF" w:rsidRDefault="009B5596">
            <w:pPr>
              <w:keepNext/>
              <w:keepLines/>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szCs w:val="20"/>
              </w:rPr>
              <w:t>05 04 60 01</w:t>
            </w:r>
          </w:p>
        </w:tc>
        <w:tc>
          <w:tcPr>
            <w:tcW w:w="4588" w:type="dxa"/>
          </w:tcPr>
          <w:p w:rsidR="00B81CFF" w:rsidRDefault="009B5596">
            <w:pPr>
              <w:keepNext/>
              <w:keepLines/>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Promouvoir le développement rural durable et un secteur agricole de l’Union plus équilibré d’un point de vue territorial et environnemental, plus respectueux du climat et plus innovant</w:t>
            </w:r>
          </w:p>
        </w:tc>
        <w:tc>
          <w:tcPr>
            <w:tcW w:w="1701" w:type="dxa"/>
          </w:tcPr>
          <w:p w:rsidR="00B81CFF" w:rsidRDefault="009B5596">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w:t>
            </w:r>
          </w:p>
        </w:tc>
        <w:tc>
          <w:tcPr>
            <w:tcW w:w="1701" w:type="dxa"/>
          </w:tcPr>
          <w:p w:rsidR="00B81CFF" w:rsidRDefault="009B5596">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750 000 000</w:t>
            </w:r>
          </w:p>
        </w:tc>
      </w:tr>
      <w:tr w:rsidR="00B81CFF">
        <w:trPr>
          <w:jc w:val="center"/>
        </w:trPr>
        <w:tc>
          <w:tcPr>
            <w:tcW w:w="5820" w:type="dxa"/>
            <w:gridSpan w:val="2"/>
            <w:shd w:val="clear" w:color="auto" w:fill="D9D9D9"/>
          </w:tcPr>
          <w:p w:rsidR="00B81CFF" w:rsidRDefault="009B5596">
            <w:pPr>
              <w:keepNext/>
              <w:keepLines/>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b/>
                <w:noProof/>
                <w:sz w:val="20"/>
                <w:szCs w:val="20"/>
              </w:rPr>
              <w:t>Total</w:t>
            </w:r>
            <w:r>
              <w:rPr>
                <w:rFonts w:ascii="Times New Roman" w:hAnsi="Times New Roman"/>
                <w:b/>
                <w:noProof/>
                <w:sz w:val="20"/>
                <w:szCs w:val="20"/>
              </w:rPr>
              <w:tab/>
            </w:r>
          </w:p>
        </w:tc>
        <w:tc>
          <w:tcPr>
            <w:tcW w:w="1701" w:type="dxa"/>
            <w:shd w:val="clear" w:color="auto" w:fill="D9D9D9"/>
          </w:tcPr>
          <w:p w:rsidR="00B81CFF" w:rsidRDefault="009B5596">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0</w:t>
            </w:r>
          </w:p>
        </w:tc>
        <w:tc>
          <w:tcPr>
            <w:tcW w:w="1701" w:type="dxa"/>
            <w:shd w:val="clear" w:color="auto" w:fill="D9D9D9"/>
          </w:tcPr>
          <w:p w:rsidR="00B81CFF" w:rsidRDefault="009B5596">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750 000 000</w:t>
            </w:r>
          </w:p>
        </w:tc>
      </w:tr>
    </w:tbl>
    <w:p w:rsidR="00B81CFF" w:rsidRDefault="009B5596">
      <w:pPr>
        <w:pStyle w:val="ManualHeading1"/>
        <w:numPr>
          <w:ilvl w:val="1"/>
          <w:numId w:val="2"/>
        </w:numPr>
        <w:tabs>
          <w:tab w:val="clear" w:pos="850"/>
          <w:tab w:val="left" w:pos="600"/>
        </w:tabs>
        <w:ind w:left="600" w:hanging="600"/>
        <w:rPr>
          <w:smallCaps w:val="0"/>
          <w:noProof/>
        </w:rPr>
      </w:pPr>
      <w:bookmarkStart w:id="23" w:name="_Toc52346055"/>
      <w:bookmarkStart w:id="24" w:name="_Toc53742103"/>
      <w:bookmarkEnd w:id="11"/>
      <w:bookmarkEnd w:id="22"/>
      <w:r>
        <w:rPr>
          <w:smallCaps w:val="0"/>
          <w:noProof/>
        </w:rPr>
        <w:t>Réaction de l’UE au niveau mondial face à la pandémie de COVID-19</w:t>
      </w:r>
      <w:bookmarkEnd w:id="23"/>
      <w:bookmarkEnd w:id="24"/>
    </w:p>
    <w:p w:rsidR="00B81CFF" w:rsidRDefault="009B5596">
      <w:pPr>
        <w:pStyle w:val="ListDash"/>
        <w:rPr>
          <w:b/>
          <w:smallCaps/>
          <w:noProof/>
        </w:rPr>
      </w:pPr>
      <w:bookmarkStart w:id="25" w:name="_Toc35506112"/>
      <w:r>
        <w:rPr>
          <w:noProof/>
        </w:rPr>
        <w:t>À la suite de la publication de la communication conjointe sur la réaction de l’UE au niveau mondial face à la pandémie de COVID-19</w:t>
      </w:r>
      <w:r>
        <w:rPr>
          <w:rStyle w:val="FootnoteReference"/>
          <w:noProof/>
          <w:lang w:eastAsia="en-GB"/>
        </w:rPr>
        <w:footnoteReference w:id="14"/>
      </w:r>
      <w:r>
        <w:rPr>
          <w:noProof/>
        </w:rPr>
        <w:t>, dans laquelle l’Union exprimait sa solidarité et sa volonté d’aider les pays partenaires à faire face aux conséquences sanitaires, économiques et sociales de la crise dans le cadre des efforts déployés par l’équipe d’Europe, la Commission a reprogrammé ses opérations au titre de l’instrument d’aide de préadhésion (IAP II), de l’instrument européen de voisinage (IEV) et de l’instrument de financement de la coopération au développement (ICD). Par conséquent, il est nécessaire de renforcer les crédits de paiement de ces trois instruments à hauteur d’un montant total de 586 millions d’EUR, comme suit:</w:t>
      </w:r>
    </w:p>
    <w:p w:rsidR="00B81CFF" w:rsidRDefault="009B5596">
      <w:pPr>
        <w:keepNext/>
        <w:tabs>
          <w:tab w:val="left" w:pos="850"/>
        </w:tabs>
        <w:spacing w:before="240" w:after="120"/>
        <w:ind w:left="850" w:hanging="850"/>
        <w:jc w:val="both"/>
        <w:outlineLvl w:val="1"/>
        <w:rPr>
          <w:rFonts w:ascii="Times New Roman" w:eastAsia="Calibri" w:hAnsi="Times New Roman" w:cs="Times New Roman"/>
          <w:i/>
          <w:noProof/>
          <w:sz w:val="24"/>
          <w:szCs w:val="24"/>
        </w:rPr>
      </w:pPr>
      <w:bookmarkStart w:id="26" w:name="_Toc52346056"/>
      <w:bookmarkStart w:id="27" w:name="_Toc53742104"/>
      <w:r>
        <w:rPr>
          <w:rFonts w:ascii="Times New Roman" w:hAnsi="Times New Roman"/>
          <w:i/>
          <w:noProof/>
          <w:sz w:val="24"/>
          <w:szCs w:val="24"/>
        </w:rPr>
        <w:t>2.4.1</w:t>
      </w:r>
      <w:r>
        <w:rPr>
          <w:rFonts w:ascii="Times New Roman" w:hAnsi="Times New Roman"/>
          <w:i/>
          <w:noProof/>
          <w:sz w:val="24"/>
          <w:szCs w:val="24"/>
        </w:rPr>
        <w:tab/>
        <w:t>Instrument d'aide de préadhésion (IAP II)</w:t>
      </w:r>
      <w:bookmarkEnd w:id="26"/>
      <w:bookmarkEnd w:id="27"/>
    </w:p>
    <w:p w:rsidR="00B81CFF" w:rsidRDefault="009B5596">
      <w:pPr>
        <w:pStyle w:val="ListDash"/>
        <w:rPr>
          <w:noProof/>
        </w:rPr>
      </w:pPr>
      <w:r>
        <w:rPr>
          <w:noProof/>
        </w:rPr>
        <w:t>En ce qui concerne l’IAP II, les versements au titre de l’appui budgétaire ont été ajustés et avancés, et le préfinancement ainsi que le soutien en gestion indirecte ont été augmentés afin d’accélérer la mise en œuvre.</w:t>
      </w:r>
    </w:p>
    <w:p w:rsidR="00B81CFF" w:rsidRDefault="009B5596">
      <w:pPr>
        <w:pStyle w:val="ListDash"/>
        <w:rPr>
          <w:noProof/>
        </w:rPr>
      </w:pPr>
      <w:r>
        <w:rPr>
          <w:noProof/>
        </w:rPr>
        <w:t>Sur la base des prévisions révisées concernant les paiements à effectuer jusqu’à la fin de 2020, et outre les redéploiements recensés, des crédits supplémentaires d’un montant total de 210 millions d’EUR sont nécessaires pour couvrir les paiements relatifs aux contrats pour le Monténégro, l’Albanie, le Kosovo</w:t>
      </w:r>
      <w:r>
        <w:rPr>
          <w:rStyle w:val="FootnoteReference"/>
          <w:noProof/>
          <w:lang w:eastAsia="en-GB"/>
        </w:rPr>
        <w:footnoteReference w:id="15"/>
      </w:r>
      <w:r>
        <w:rPr>
          <w:noProof/>
        </w:rPr>
        <w:t>, la Serbie, la Macédoine du Nord et la Turquie, ainsi que les versements au titre de l’appui budgétaire en faveur de la Serbie, de l’Albanie et de la Macédoine du Nord.</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4588"/>
        <w:gridCol w:w="1701"/>
        <w:gridCol w:w="1701"/>
      </w:tblGrid>
      <w:tr w:rsidR="00B81CFF">
        <w:trPr>
          <w:jc w:val="center"/>
        </w:trPr>
        <w:tc>
          <w:tcPr>
            <w:tcW w:w="9222" w:type="dxa"/>
            <w:gridSpan w:val="4"/>
            <w:tcBorders>
              <w:top w:val="nil"/>
              <w:left w:val="nil"/>
              <w:bottom w:val="single" w:sz="4" w:space="0" w:color="auto"/>
              <w:right w:val="nil"/>
            </w:tcBorders>
            <w:shd w:val="clear" w:color="auto" w:fill="auto"/>
            <w:vAlign w:val="center"/>
          </w:tcPr>
          <w:p w:rsidR="00B81CFF" w:rsidRDefault="009B5596">
            <w:pPr>
              <w:widowControl w:val="0"/>
              <w:spacing w:before="15" w:after="15" w:line="240" w:lineRule="auto"/>
              <w:jc w:val="right"/>
              <w:rPr>
                <w:rFonts w:ascii="Times New Roman" w:eastAsia="Times New Roman" w:hAnsi="Times New Roman" w:cs="Times New Roman"/>
                <w:i/>
                <w:noProof/>
                <w:sz w:val="20"/>
                <w:szCs w:val="20"/>
              </w:rPr>
            </w:pPr>
            <w:r>
              <w:rPr>
                <w:rFonts w:ascii="Times New Roman" w:hAnsi="Times New Roman"/>
                <w:i/>
                <w:iCs/>
                <w:noProof/>
                <w:sz w:val="20"/>
                <w:szCs w:val="20"/>
              </w:rPr>
              <w:t>en EUR</w:t>
            </w:r>
          </w:p>
        </w:tc>
      </w:tr>
      <w:tr w:rsidR="00B81CFF">
        <w:trPr>
          <w:jc w:val="center"/>
        </w:trPr>
        <w:tc>
          <w:tcPr>
            <w:tcW w:w="1232" w:type="dxa"/>
            <w:tcBorders>
              <w:top w:val="single" w:sz="4" w:space="0" w:color="auto"/>
            </w:tcBorders>
            <w:shd w:val="clear" w:color="auto" w:fill="D9D9D9"/>
            <w:vAlign w:val="center"/>
          </w:tcPr>
          <w:p w:rsidR="00B81CFF" w:rsidRDefault="009B5596">
            <w:pPr>
              <w:keepNext/>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Ligne budgétaire</w:t>
            </w:r>
          </w:p>
        </w:tc>
        <w:tc>
          <w:tcPr>
            <w:tcW w:w="4588" w:type="dxa"/>
            <w:tcBorders>
              <w:top w:val="single" w:sz="4" w:space="0" w:color="auto"/>
            </w:tcBorders>
            <w:shd w:val="clear" w:color="auto" w:fill="D9D9D9"/>
            <w:vAlign w:val="center"/>
          </w:tcPr>
          <w:p w:rsidR="00B81CFF" w:rsidRDefault="009B5596">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Intitulé</w:t>
            </w:r>
          </w:p>
        </w:tc>
        <w:tc>
          <w:tcPr>
            <w:tcW w:w="1701" w:type="dxa"/>
            <w:tcBorders>
              <w:top w:val="single" w:sz="4" w:space="0" w:color="auto"/>
            </w:tcBorders>
            <w:shd w:val="clear" w:color="auto" w:fill="D9D9D9"/>
            <w:vAlign w:val="center"/>
          </w:tcPr>
          <w:p w:rsidR="00B81CFF" w:rsidRDefault="009B5596">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Crédits d'engagement</w:t>
            </w:r>
          </w:p>
        </w:tc>
        <w:tc>
          <w:tcPr>
            <w:tcW w:w="1701" w:type="dxa"/>
            <w:tcBorders>
              <w:top w:val="single" w:sz="4" w:space="0" w:color="auto"/>
            </w:tcBorders>
            <w:shd w:val="clear" w:color="auto" w:fill="D9D9D9"/>
            <w:vAlign w:val="center"/>
          </w:tcPr>
          <w:p w:rsidR="00B81CFF" w:rsidRDefault="009B5596">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Crédits de paiement</w:t>
            </w:r>
          </w:p>
        </w:tc>
      </w:tr>
      <w:tr w:rsidR="00B81CFF">
        <w:trPr>
          <w:jc w:val="center"/>
        </w:trPr>
        <w:tc>
          <w:tcPr>
            <w:tcW w:w="9222" w:type="dxa"/>
            <w:gridSpan w:val="4"/>
            <w:shd w:val="clear" w:color="auto" w:fill="F2F2F2"/>
            <w:vAlign w:val="center"/>
          </w:tcPr>
          <w:p w:rsidR="00B81CFF" w:rsidRDefault="009B5596">
            <w:pPr>
              <w:widowControl w:val="0"/>
              <w:spacing w:before="15" w:after="15" w:line="240" w:lineRule="auto"/>
              <w:rPr>
                <w:rFonts w:ascii="Times New Roman" w:eastAsia="Times New Roman" w:hAnsi="Times New Roman" w:cs="Times New Roman"/>
                <w:i/>
                <w:noProof/>
                <w:sz w:val="20"/>
                <w:szCs w:val="20"/>
              </w:rPr>
            </w:pPr>
            <w:r>
              <w:rPr>
                <w:rFonts w:ascii="Times New Roman" w:hAnsi="Times New Roman"/>
                <w:i/>
                <w:noProof/>
                <w:sz w:val="20"/>
                <w:szCs w:val="20"/>
              </w:rPr>
              <w:t>Section III — Commission</w:t>
            </w:r>
          </w:p>
        </w:tc>
      </w:tr>
      <w:tr w:rsidR="00B81CFF">
        <w:trPr>
          <w:trHeight w:val="489"/>
          <w:jc w:val="center"/>
        </w:trPr>
        <w:tc>
          <w:tcPr>
            <w:tcW w:w="1232" w:type="dxa"/>
          </w:tcPr>
          <w:p w:rsidR="00B81CFF" w:rsidRDefault="009B5596">
            <w:pPr>
              <w:widowControl w:val="0"/>
              <w:spacing w:before="15" w:after="15" w:line="240" w:lineRule="auto"/>
              <w:ind w:left="-138" w:right="-113"/>
              <w:jc w:val="center"/>
              <w:rPr>
                <w:rFonts w:ascii="Times New Roman" w:eastAsia="Times New Roman" w:hAnsi="Times New Roman" w:cs="Times New Roman"/>
                <w:noProof/>
                <w:sz w:val="20"/>
                <w:szCs w:val="20"/>
              </w:rPr>
            </w:pPr>
            <w:r>
              <w:rPr>
                <w:rFonts w:ascii="Times New Roman" w:hAnsi="Times New Roman"/>
                <w:noProof/>
                <w:sz w:val="20"/>
                <w:szCs w:val="20"/>
              </w:rPr>
              <w:t>22 02 01 01</w:t>
            </w:r>
          </w:p>
        </w:tc>
        <w:tc>
          <w:tcPr>
            <w:tcW w:w="4588" w:type="dxa"/>
          </w:tcPr>
          <w:p w:rsidR="00B81CFF" w:rsidRDefault="009B5596">
            <w:pPr>
              <w:widowControl w:val="0"/>
              <w:tabs>
                <w:tab w:val="left" w:pos="1350"/>
              </w:tabs>
              <w:spacing w:before="15" w:after="15" w:line="240" w:lineRule="auto"/>
              <w:jc w:val="both"/>
              <w:rPr>
                <w:rFonts w:ascii="Times New Roman" w:eastAsia="Times New Roman" w:hAnsi="Times New Roman" w:cs="Times New Roman"/>
                <w:noProof/>
                <w:sz w:val="20"/>
                <w:szCs w:val="20"/>
              </w:rPr>
            </w:pPr>
            <w:r>
              <w:rPr>
                <w:rFonts w:ascii="Times New Roman" w:hAnsi="Times New Roman"/>
                <w:noProof/>
                <w:sz w:val="20"/>
                <w:szCs w:val="20"/>
              </w:rPr>
              <w:t>Balkans occidentaux - Soutenir les réformes politiques et l’alignement progressif connexe sur l’acquis de l’Union</w:t>
            </w:r>
          </w:p>
        </w:tc>
        <w:tc>
          <w:tcPr>
            <w:tcW w:w="1701" w:type="dxa"/>
          </w:tcPr>
          <w:p w:rsidR="00B81CFF" w:rsidRDefault="009B5596">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w:t>
            </w:r>
          </w:p>
        </w:tc>
        <w:tc>
          <w:tcPr>
            <w:tcW w:w="1701" w:type="dxa"/>
          </w:tcPr>
          <w:p w:rsidR="00B81CFF" w:rsidRDefault="009B5596">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40 000 000</w:t>
            </w:r>
          </w:p>
        </w:tc>
      </w:tr>
      <w:tr w:rsidR="00B81CFF">
        <w:trPr>
          <w:jc w:val="center"/>
        </w:trPr>
        <w:tc>
          <w:tcPr>
            <w:tcW w:w="1232" w:type="dxa"/>
          </w:tcPr>
          <w:p w:rsidR="00B81CFF" w:rsidRDefault="009B5596">
            <w:pPr>
              <w:widowControl w:val="0"/>
              <w:spacing w:before="15" w:after="15" w:line="240" w:lineRule="auto"/>
              <w:ind w:left="-138" w:right="-113"/>
              <w:jc w:val="center"/>
              <w:rPr>
                <w:rFonts w:ascii="Times New Roman" w:eastAsia="Times New Roman" w:hAnsi="Times New Roman" w:cs="Times New Roman"/>
                <w:noProof/>
                <w:sz w:val="20"/>
                <w:szCs w:val="20"/>
              </w:rPr>
            </w:pPr>
            <w:r>
              <w:rPr>
                <w:rFonts w:ascii="Times New Roman" w:hAnsi="Times New Roman"/>
                <w:noProof/>
                <w:sz w:val="20"/>
                <w:szCs w:val="20"/>
              </w:rPr>
              <w:t>22 02 01 02</w:t>
            </w:r>
          </w:p>
        </w:tc>
        <w:tc>
          <w:tcPr>
            <w:tcW w:w="4588" w:type="dxa"/>
          </w:tcPr>
          <w:p w:rsidR="00B81CFF" w:rsidRDefault="009B5596">
            <w:pPr>
              <w:widowControl w:val="0"/>
              <w:tabs>
                <w:tab w:val="left" w:pos="1350"/>
              </w:tabs>
              <w:spacing w:before="15" w:after="15" w:line="240" w:lineRule="auto"/>
              <w:jc w:val="both"/>
              <w:rPr>
                <w:rFonts w:ascii="Times New Roman" w:eastAsia="Times New Roman" w:hAnsi="Times New Roman" w:cs="Times New Roman"/>
                <w:noProof/>
                <w:sz w:val="20"/>
                <w:szCs w:val="20"/>
              </w:rPr>
            </w:pPr>
            <w:r>
              <w:rPr>
                <w:rFonts w:ascii="Times New Roman" w:hAnsi="Times New Roman"/>
                <w:noProof/>
                <w:sz w:val="20"/>
                <w:szCs w:val="20"/>
              </w:rPr>
              <w:t>Balkans occidentaux - Soutenir le développement économique, social et territorial et l’alignement progressif connexe sur l’acquis de l’Union</w:t>
            </w:r>
          </w:p>
        </w:tc>
        <w:tc>
          <w:tcPr>
            <w:tcW w:w="1701" w:type="dxa"/>
          </w:tcPr>
          <w:p w:rsidR="00B81CFF" w:rsidRDefault="009B5596">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w:t>
            </w:r>
          </w:p>
        </w:tc>
        <w:tc>
          <w:tcPr>
            <w:tcW w:w="1701" w:type="dxa"/>
          </w:tcPr>
          <w:p w:rsidR="00B81CFF" w:rsidRDefault="009B5596">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70 000 000</w:t>
            </w:r>
          </w:p>
        </w:tc>
      </w:tr>
      <w:tr w:rsidR="00B81CFF">
        <w:trPr>
          <w:jc w:val="center"/>
        </w:trPr>
        <w:tc>
          <w:tcPr>
            <w:tcW w:w="1232" w:type="dxa"/>
          </w:tcPr>
          <w:p w:rsidR="00B81CFF" w:rsidRDefault="009B5596">
            <w:pPr>
              <w:widowControl w:val="0"/>
              <w:spacing w:before="15" w:after="15" w:line="240" w:lineRule="auto"/>
              <w:ind w:left="-138" w:right="-113"/>
              <w:jc w:val="center"/>
              <w:rPr>
                <w:rFonts w:ascii="Times New Roman" w:eastAsia="Times New Roman" w:hAnsi="Times New Roman" w:cs="Times New Roman"/>
                <w:noProof/>
                <w:sz w:val="20"/>
                <w:szCs w:val="20"/>
              </w:rPr>
            </w:pPr>
            <w:r>
              <w:rPr>
                <w:rFonts w:ascii="Times New Roman" w:hAnsi="Times New Roman"/>
                <w:noProof/>
                <w:sz w:val="20"/>
                <w:szCs w:val="20"/>
              </w:rPr>
              <w:t>22 02 03 01</w:t>
            </w:r>
          </w:p>
        </w:tc>
        <w:tc>
          <w:tcPr>
            <w:tcW w:w="4588" w:type="dxa"/>
          </w:tcPr>
          <w:p w:rsidR="00B81CFF" w:rsidRDefault="009B5596">
            <w:pPr>
              <w:widowControl w:val="0"/>
              <w:tabs>
                <w:tab w:val="left" w:pos="1350"/>
              </w:tabs>
              <w:spacing w:before="15" w:after="15" w:line="240" w:lineRule="auto"/>
              <w:jc w:val="both"/>
              <w:rPr>
                <w:rFonts w:ascii="Times New Roman" w:eastAsia="Times New Roman" w:hAnsi="Times New Roman" w:cs="Times New Roman"/>
                <w:noProof/>
                <w:sz w:val="20"/>
                <w:szCs w:val="20"/>
              </w:rPr>
            </w:pPr>
            <w:r>
              <w:rPr>
                <w:rFonts w:ascii="Times New Roman" w:hAnsi="Times New Roman"/>
                <w:noProof/>
                <w:sz w:val="20"/>
                <w:szCs w:val="20"/>
              </w:rPr>
              <w:t>Turquie - Soutenir les réformes politiques et l’alignement progressif connexe sur l’acquis de l’Union</w:t>
            </w:r>
          </w:p>
        </w:tc>
        <w:tc>
          <w:tcPr>
            <w:tcW w:w="1701" w:type="dxa"/>
          </w:tcPr>
          <w:p w:rsidR="00B81CFF" w:rsidRDefault="009B5596">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w:t>
            </w:r>
          </w:p>
        </w:tc>
        <w:tc>
          <w:tcPr>
            <w:tcW w:w="1701" w:type="dxa"/>
          </w:tcPr>
          <w:p w:rsidR="00B81CFF" w:rsidRDefault="009B5596">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10 000 000</w:t>
            </w:r>
          </w:p>
        </w:tc>
      </w:tr>
      <w:tr w:rsidR="00B81CFF">
        <w:trPr>
          <w:jc w:val="center"/>
        </w:trPr>
        <w:tc>
          <w:tcPr>
            <w:tcW w:w="1232" w:type="dxa"/>
          </w:tcPr>
          <w:p w:rsidR="00B81CFF" w:rsidRDefault="009B5596">
            <w:pPr>
              <w:widowControl w:val="0"/>
              <w:spacing w:before="15" w:after="15" w:line="240" w:lineRule="auto"/>
              <w:ind w:left="-138" w:right="-113"/>
              <w:jc w:val="center"/>
              <w:rPr>
                <w:rFonts w:ascii="Times New Roman" w:eastAsia="Times New Roman" w:hAnsi="Times New Roman" w:cs="Times New Roman"/>
                <w:noProof/>
                <w:sz w:val="20"/>
                <w:szCs w:val="20"/>
              </w:rPr>
            </w:pPr>
            <w:r>
              <w:rPr>
                <w:rFonts w:ascii="Times New Roman" w:hAnsi="Times New Roman"/>
                <w:noProof/>
                <w:sz w:val="20"/>
                <w:szCs w:val="20"/>
              </w:rPr>
              <w:t>22 02 03 02</w:t>
            </w:r>
          </w:p>
        </w:tc>
        <w:tc>
          <w:tcPr>
            <w:tcW w:w="4588" w:type="dxa"/>
          </w:tcPr>
          <w:p w:rsidR="00B81CFF" w:rsidRDefault="009B5596">
            <w:pPr>
              <w:widowControl w:val="0"/>
              <w:tabs>
                <w:tab w:val="left" w:pos="1350"/>
              </w:tabs>
              <w:spacing w:before="15" w:after="15" w:line="240" w:lineRule="auto"/>
              <w:jc w:val="both"/>
              <w:rPr>
                <w:rFonts w:ascii="Times New Roman" w:eastAsia="Times New Roman" w:hAnsi="Times New Roman" w:cs="Times New Roman"/>
                <w:noProof/>
                <w:sz w:val="20"/>
                <w:szCs w:val="20"/>
              </w:rPr>
            </w:pPr>
            <w:r>
              <w:rPr>
                <w:rFonts w:ascii="Times New Roman" w:hAnsi="Times New Roman"/>
                <w:noProof/>
                <w:sz w:val="20"/>
                <w:szCs w:val="20"/>
              </w:rPr>
              <w:t>Turquie - Soutenir le développement économique, social et territorial et l’alignement progressif connexe sur l’acquis de l’Union</w:t>
            </w:r>
          </w:p>
        </w:tc>
        <w:tc>
          <w:tcPr>
            <w:tcW w:w="1701" w:type="dxa"/>
          </w:tcPr>
          <w:p w:rsidR="00B81CFF" w:rsidRDefault="009B5596">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w:t>
            </w:r>
          </w:p>
        </w:tc>
        <w:tc>
          <w:tcPr>
            <w:tcW w:w="1701" w:type="dxa"/>
          </w:tcPr>
          <w:p w:rsidR="00B81CFF" w:rsidRDefault="009B5596">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90 000 000</w:t>
            </w:r>
          </w:p>
        </w:tc>
      </w:tr>
      <w:tr w:rsidR="00B81CFF">
        <w:trPr>
          <w:jc w:val="center"/>
        </w:trPr>
        <w:tc>
          <w:tcPr>
            <w:tcW w:w="5820" w:type="dxa"/>
            <w:gridSpan w:val="2"/>
            <w:shd w:val="clear" w:color="auto" w:fill="D9D9D9"/>
          </w:tcPr>
          <w:p w:rsidR="00B81CFF" w:rsidRDefault="009B5596">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b/>
                <w:noProof/>
                <w:sz w:val="20"/>
                <w:szCs w:val="20"/>
              </w:rPr>
              <w:t>Total</w:t>
            </w:r>
            <w:r>
              <w:rPr>
                <w:rFonts w:ascii="Times New Roman" w:hAnsi="Times New Roman"/>
                <w:b/>
                <w:noProof/>
                <w:sz w:val="20"/>
                <w:szCs w:val="20"/>
              </w:rPr>
              <w:tab/>
            </w:r>
          </w:p>
        </w:tc>
        <w:tc>
          <w:tcPr>
            <w:tcW w:w="1701" w:type="dxa"/>
            <w:shd w:val="clear" w:color="auto" w:fill="D9D9D9"/>
          </w:tcPr>
          <w:p w:rsidR="00B81CFF" w:rsidRDefault="009B5596">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0</w:t>
            </w:r>
          </w:p>
        </w:tc>
        <w:tc>
          <w:tcPr>
            <w:tcW w:w="1701" w:type="dxa"/>
            <w:shd w:val="clear" w:color="auto" w:fill="D9D9D9"/>
          </w:tcPr>
          <w:p w:rsidR="00B81CFF" w:rsidRDefault="009B5596">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210 000 000</w:t>
            </w:r>
          </w:p>
        </w:tc>
      </w:tr>
    </w:tbl>
    <w:p w:rsidR="00B81CFF" w:rsidRDefault="009B5596">
      <w:pPr>
        <w:keepNext/>
        <w:tabs>
          <w:tab w:val="left" w:pos="850"/>
        </w:tabs>
        <w:spacing w:before="240" w:after="120"/>
        <w:ind w:left="850" w:hanging="850"/>
        <w:jc w:val="both"/>
        <w:outlineLvl w:val="1"/>
        <w:rPr>
          <w:rFonts w:ascii="Times New Roman" w:eastAsia="Calibri" w:hAnsi="Times New Roman" w:cs="Times New Roman"/>
          <w:i/>
          <w:noProof/>
          <w:sz w:val="24"/>
          <w:szCs w:val="24"/>
        </w:rPr>
      </w:pPr>
      <w:bookmarkStart w:id="28" w:name="_Toc52346057"/>
      <w:bookmarkStart w:id="29" w:name="_Toc53742105"/>
      <w:r>
        <w:rPr>
          <w:rFonts w:ascii="Times New Roman" w:hAnsi="Times New Roman"/>
          <w:i/>
          <w:noProof/>
        </w:rPr>
        <w:t>2</w:t>
      </w:r>
      <w:r>
        <w:rPr>
          <w:rFonts w:ascii="Times New Roman" w:hAnsi="Times New Roman"/>
          <w:i/>
          <w:noProof/>
          <w:sz w:val="24"/>
          <w:szCs w:val="24"/>
        </w:rPr>
        <w:t>.4.2</w:t>
      </w:r>
      <w:r>
        <w:rPr>
          <w:rFonts w:ascii="Times New Roman" w:hAnsi="Times New Roman"/>
          <w:i/>
          <w:noProof/>
          <w:sz w:val="24"/>
          <w:szCs w:val="24"/>
        </w:rPr>
        <w:tab/>
        <w:t>Instrument européen de voisinage (IEV)</w:t>
      </w:r>
      <w:bookmarkEnd w:id="28"/>
      <w:bookmarkEnd w:id="29"/>
    </w:p>
    <w:p w:rsidR="00B81CFF" w:rsidRDefault="009B5596">
      <w:pPr>
        <w:spacing w:before="240" w:after="20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En ce qui concerne l’IEV, la Commission a modifié et augmenté le budget des programmes en cours afin d’accélérer leur mise en œuvre et les paiements correspondants.</w:t>
      </w:r>
    </w:p>
    <w:p w:rsidR="00B81CFF" w:rsidRDefault="009B5596">
      <w:pPr>
        <w:spacing w:before="240" w:after="20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Outre les redéploiements déjà déterminés à la suite des prévisions révisées, des crédits de paiement supplémentaires d’un montant total de 286 millions d’EUR sont nécessaires pour couvrir l’accélération des décaissements de plusieurs programmes d’appui budgétaire en faveur du Maroc, de la Tunisie, de la Jordanie, de l’Algérie, de la Géorgie et de l’Arménie, ainsi que pour compléter les enveloppes de plusieurs autres programmes nationaux et régionaux au profit des petites et moyennes entreprises (par exemple, en faveur de la résilience et la stabilité en Ukraine orientale et en Arménie).</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4588"/>
        <w:gridCol w:w="1701"/>
        <w:gridCol w:w="1701"/>
      </w:tblGrid>
      <w:tr w:rsidR="00B81CFF">
        <w:trPr>
          <w:jc w:val="center"/>
        </w:trPr>
        <w:tc>
          <w:tcPr>
            <w:tcW w:w="9222" w:type="dxa"/>
            <w:gridSpan w:val="4"/>
            <w:tcBorders>
              <w:top w:val="nil"/>
              <w:left w:val="nil"/>
              <w:bottom w:val="single" w:sz="4" w:space="0" w:color="auto"/>
              <w:right w:val="nil"/>
            </w:tcBorders>
            <w:vAlign w:val="center"/>
            <w:hideMark/>
          </w:tcPr>
          <w:p w:rsidR="00B81CFF" w:rsidRDefault="009B5596">
            <w:pPr>
              <w:widowControl w:val="0"/>
              <w:spacing w:before="15" w:after="15" w:line="240" w:lineRule="auto"/>
              <w:jc w:val="right"/>
              <w:rPr>
                <w:rFonts w:ascii="Times New Roman" w:eastAsia="Times New Roman" w:hAnsi="Times New Roman" w:cs="Times New Roman"/>
                <w:i/>
                <w:noProof/>
                <w:sz w:val="20"/>
                <w:szCs w:val="20"/>
              </w:rPr>
            </w:pPr>
            <w:r>
              <w:rPr>
                <w:rFonts w:ascii="Times New Roman" w:hAnsi="Times New Roman"/>
                <w:i/>
                <w:iCs/>
                <w:noProof/>
                <w:sz w:val="20"/>
                <w:szCs w:val="20"/>
              </w:rPr>
              <w:t>en EUR</w:t>
            </w:r>
          </w:p>
        </w:tc>
      </w:tr>
      <w:tr w:rsidR="00B81CFF">
        <w:trPr>
          <w:jc w:val="center"/>
        </w:trPr>
        <w:tc>
          <w:tcPr>
            <w:tcW w:w="12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81CFF" w:rsidRDefault="009B5596">
            <w:pPr>
              <w:keepNext/>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Ligne budgétaire</w:t>
            </w:r>
          </w:p>
        </w:tc>
        <w:tc>
          <w:tcPr>
            <w:tcW w:w="45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81CFF" w:rsidRDefault="009B5596">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Intitulé</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81CFF" w:rsidRDefault="009B5596">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Crédits d'engagement</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81CFF" w:rsidRDefault="009B5596">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Crédits de paiement</w:t>
            </w:r>
          </w:p>
        </w:tc>
      </w:tr>
      <w:tr w:rsidR="00B81CFF">
        <w:trPr>
          <w:jc w:val="center"/>
        </w:trPr>
        <w:tc>
          <w:tcPr>
            <w:tcW w:w="9222"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B81CFF" w:rsidRDefault="009B5596">
            <w:pPr>
              <w:widowControl w:val="0"/>
              <w:spacing w:before="15" w:after="15" w:line="240" w:lineRule="auto"/>
              <w:rPr>
                <w:rFonts w:ascii="Times New Roman" w:eastAsia="Times New Roman" w:hAnsi="Times New Roman" w:cs="Times New Roman"/>
                <w:i/>
                <w:noProof/>
                <w:sz w:val="20"/>
                <w:szCs w:val="20"/>
              </w:rPr>
            </w:pPr>
            <w:r>
              <w:rPr>
                <w:rFonts w:ascii="Times New Roman" w:hAnsi="Times New Roman"/>
                <w:i/>
                <w:noProof/>
                <w:sz w:val="20"/>
                <w:szCs w:val="20"/>
              </w:rPr>
              <w:t>Section III — Commission</w:t>
            </w:r>
          </w:p>
        </w:tc>
      </w:tr>
      <w:tr w:rsidR="00B81CFF">
        <w:trPr>
          <w:jc w:val="center"/>
        </w:trPr>
        <w:tc>
          <w:tcPr>
            <w:tcW w:w="1232" w:type="dxa"/>
            <w:tcBorders>
              <w:top w:val="single" w:sz="4" w:space="0" w:color="auto"/>
              <w:left w:val="single" w:sz="4" w:space="0" w:color="auto"/>
              <w:bottom w:val="single" w:sz="4" w:space="0" w:color="auto"/>
              <w:right w:val="single" w:sz="4" w:space="0" w:color="auto"/>
            </w:tcBorders>
            <w:hideMark/>
          </w:tcPr>
          <w:p w:rsidR="00B81CFF" w:rsidRDefault="009B5596">
            <w:pPr>
              <w:widowControl w:val="0"/>
              <w:spacing w:before="15" w:after="15" w:line="240" w:lineRule="auto"/>
              <w:ind w:left="-18" w:right="-113"/>
              <w:jc w:val="both"/>
              <w:rPr>
                <w:rFonts w:ascii="Times New Roman" w:eastAsia="Times New Roman" w:hAnsi="Times New Roman" w:cs="Times New Roman"/>
                <w:noProof/>
                <w:sz w:val="20"/>
                <w:szCs w:val="20"/>
              </w:rPr>
            </w:pPr>
            <w:r>
              <w:rPr>
                <w:rFonts w:ascii="Times New Roman" w:hAnsi="Times New Roman"/>
                <w:noProof/>
                <w:sz w:val="20"/>
                <w:szCs w:val="20"/>
              </w:rPr>
              <w:t xml:space="preserve">22 04 01 02 </w:t>
            </w:r>
          </w:p>
        </w:tc>
        <w:tc>
          <w:tcPr>
            <w:tcW w:w="4588" w:type="dxa"/>
            <w:tcBorders>
              <w:top w:val="single" w:sz="4" w:space="0" w:color="auto"/>
              <w:left w:val="single" w:sz="4" w:space="0" w:color="auto"/>
              <w:bottom w:val="single" w:sz="4" w:space="0" w:color="auto"/>
              <w:right w:val="single" w:sz="4" w:space="0" w:color="auto"/>
            </w:tcBorders>
            <w:hideMark/>
          </w:tcPr>
          <w:p w:rsidR="00B81CFF" w:rsidRDefault="009B5596">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Pays méditerranéens -- Réduction de la pauvreté et développement durable</w:t>
            </w:r>
          </w:p>
        </w:tc>
        <w:tc>
          <w:tcPr>
            <w:tcW w:w="1701" w:type="dxa"/>
            <w:tcBorders>
              <w:top w:val="single" w:sz="4" w:space="0" w:color="auto"/>
              <w:left w:val="single" w:sz="4" w:space="0" w:color="auto"/>
              <w:bottom w:val="single" w:sz="4" w:space="0" w:color="auto"/>
              <w:right w:val="single" w:sz="4" w:space="0" w:color="auto"/>
            </w:tcBorders>
            <w:hideMark/>
          </w:tcPr>
          <w:p w:rsidR="00B81CFF" w:rsidRDefault="009B5596">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B81CFF" w:rsidRDefault="009B5596">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221 000 000</w:t>
            </w:r>
          </w:p>
        </w:tc>
      </w:tr>
      <w:tr w:rsidR="00B81CFF">
        <w:trPr>
          <w:jc w:val="center"/>
        </w:trPr>
        <w:tc>
          <w:tcPr>
            <w:tcW w:w="1232" w:type="dxa"/>
            <w:tcBorders>
              <w:top w:val="single" w:sz="4" w:space="0" w:color="auto"/>
              <w:left w:val="single" w:sz="4" w:space="0" w:color="auto"/>
              <w:bottom w:val="single" w:sz="4" w:space="0" w:color="auto"/>
              <w:right w:val="single" w:sz="4" w:space="0" w:color="auto"/>
            </w:tcBorders>
            <w:hideMark/>
          </w:tcPr>
          <w:p w:rsidR="00B81CFF" w:rsidRDefault="009B5596">
            <w:pPr>
              <w:widowControl w:val="0"/>
              <w:spacing w:before="15" w:after="15" w:line="240" w:lineRule="auto"/>
              <w:ind w:left="-18" w:right="-113"/>
              <w:jc w:val="both"/>
              <w:rPr>
                <w:rFonts w:ascii="Times New Roman" w:eastAsia="Times New Roman" w:hAnsi="Times New Roman" w:cs="Times New Roman"/>
                <w:noProof/>
                <w:sz w:val="20"/>
                <w:szCs w:val="20"/>
              </w:rPr>
            </w:pPr>
            <w:r>
              <w:rPr>
                <w:rFonts w:ascii="Times New Roman" w:hAnsi="Times New Roman"/>
                <w:noProof/>
                <w:sz w:val="20"/>
                <w:szCs w:val="20"/>
              </w:rPr>
              <w:t>22 04 02 02</w:t>
            </w:r>
          </w:p>
        </w:tc>
        <w:tc>
          <w:tcPr>
            <w:tcW w:w="4588" w:type="dxa"/>
            <w:tcBorders>
              <w:top w:val="single" w:sz="4" w:space="0" w:color="auto"/>
              <w:left w:val="single" w:sz="4" w:space="0" w:color="auto"/>
              <w:bottom w:val="single" w:sz="4" w:space="0" w:color="auto"/>
              <w:right w:val="single" w:sz="4" w:space="0" w:color="auto"/>
            </w:tcBorders>
            <w:hideMark/>
          </w:tcPr>
          <w:p w:rsidR="00B81CFF" w:rsidRDefault="009B5596">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Partenariat oriental -- Réduction de la pauvreté et développement durable</w:t>
            </w:r>
          </w:p>
        </w:tc>
        <w:tc>
          <w:tcPr>
            <w:tcW w:w="1701" w:type="dxa"/>
            <w:tcBorders>
              <w:top w:val="single" w:sz="4" w:space="0" w:color="auto"/>
              <w:left w:val="single" w:sz="4" w:space="0" w:color="auto"/>
              <w:bottom w:val="single" w:sz="4" w:space="0" w:color="auto"/>
              <w:right w:val="single" w:sz="4" w:space="0" w:color="auto"/>
            </w:tcBorders>
            <w:hideMark/>
          </w:tcPr>
          <w:p w:rsidR="00B81CFF" w:rsidRDefault="009B5596">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B81CFF" w:rsidRDefault="009B5596">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65 000 000</w:t>
            </w:r>
          </w:p>
        </w:tc>
      </w:tr>
      <w:tr w:rsidR="00B81CFF">
        <w:trPr>
          <w:jc w:val="center"/>
        </w:trPr>
        <w:tc>
          <w:tcPr>
            <w:tcW w:w="582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B81CFF" w:rsidRDefault="009B5596">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b/>
                <w:noProof/>
                <w:sz w:val="20"/>
                <w:szCs w:val="20"/>
              </w:rPr>
              <w:t>Total</w:t>
            </w:r>
            <w:r>
              <w:rPr>
                <w:rFonts w:ascii="Times New Roman" w:hAnsi="Times New Roman"/>
                <w:b/>
                <w:noProof/>
                <w:sz w:val="20"/>
                <w:szCs w:val="20"/>
              </w:rPr>
              <w:tab/>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B81CFF" w:rsidRDefault="009B5596">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B81CFF" w:rsidRDefault="009B5596">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286 000 000</w:t>
            </w:r>
          </w:p>
        </w:tc>
      </w:tr>
    </w:tbl>
    <w:p w:rsidR="00B81CFF" w:rsidRDefault="009B5596">
      <w:pPr>
        <w:keepNext/>
        <w:tabs>
          <w:tab w:val="left" w:pos="850"/>
        </w:tabs>
        <w:spacing w:before="240" w:after="120"/>
        <w:ind w:left="850" w:hanging="850"/>
        <w:jc w:val="both"/>
        <w:outlineLvl w:val="1"/>
        <w:rPr>
          <w:rFonts w:ascii="Times New Roman" w:eastAsia="Calibri" w:hAnsi="Times New Roman" w:cs="Times New Roman"/>
          <w:i/>
          <w:noProof/>
          <w:sz w:val="24"/>
          <w:szCs w:val="24"/>
        </w:rPr>
      </w:pPr>
      <w:bookmarkStart w:id="30" w:name="_Toc52346058"/>
      <w:bookmarkStart w:id="31" w:name="_Toc53742106"/>
      <w:r>
        <w:rPr>
          <w:rFonts w:ascii="Times New Roman" w:hAnsi="Times New Roman"/>
          <w:i/>
          <w:noProof/>
          <w:sz w:val="24"/>
          <w:szCs w:val="24"/>
        </w:rPr>
        <w:t>2.4.3</w:t>
      </w:r>
      <w:r>
        <w:rPr>
          <w:rFonts w:ascii="Times New Roman" w:hAnsi="Times New Roman"/>
          <w:i/>
          <w:noProof/>
          <w:sz w:val="24"/>
          <w:szCs w:val="24"/>
        </w:rPr>
        <w:tab/>
        <w:t>Instrument de financement de la coopération au développement (ICD)</w:t>
      </w:r>
      <w:bookmarkEnd w:id="30"/>
      <w:bookmarkEnd w:id="31"/>
    </w:p>
    <w:p w:rsidR="00B81CFF" w:rsidRDefault="009B5596">
      <w:pPr>
        <w:spacing w:before="240" w:after="20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En ce qui concerne l’ICD, la Commission a accéléré les décaissements liés aux opérations d’appui budgétaire dans plusieurs pays, et certains fonds ont été réaffectés à de nouveaux projets spécifiquement destinés à faire face à la crise de la COVID-19, par exemple en Afghanistan. Les contrats correspondants, en cours de signature, donneront lieu à des versements de préfinancement dès 2020.</w:t>
      </w:r>
    </w:p>
    <w:p w:rsidR="00B81CFF" w:rsidRDefault="009B5596">
      <w:pPr>
        <w:spacing w:before="240" w:after="20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Les besoins les plus urgents ont déjà été couverts par des redéploiements, mais seulement en partie. Des crédits de paiement supplémentaires d’un montant total de 90 millions d’EUR sont dès lors nécessaires pour couvrir l’accélération des décaissements en faveur du Népal, du Myanmar/de la Birmanie, du Cambodge,</w:t>
      </w:r>
      <w:r>
        <w:rPr>
          <w:noProof/>
        </w:rPr>
        <w:t xml:space="preserve"> </w:t>
      </w:r>
      <w:r>
        <w:rPr>
          <w:rFonts w:ascii="Times New Roman" w:hAnsi="Times New Roman"/>
          <w:noProof/>
          <w:sz w:val="24"/>
          <w:szCs w:val="24"/>
        </w:rPr>
        <w:t>du Tadjikistan, de l’Ouzbékistan et de l’Afghanistan.</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4588"/>
        <w:gridCol w:w="1701"/>
        <w:gridCol w:w="1701"/>
      </w:tblGrid>
      <w:tr w:rsidR="00B81CFF">
        <w:trPr>
          <w:jc w:val="center"/>
        </w:trPr>
        <w:tc>
          <w:tcPr>
            <w:tcW w:w="9222" w:type="dxa"/>
            <w:gridSpan w:val="4"/>
            <w:tcBorders>
              <w:top w:val="nil"/>
              <w:left w:val="nil"/>
              <w:bottom w:val="single" w:sz="4" w:space="0" w:color="auto"/>
              <w:right w:val="nil"/>
            </w:tcBorders>
            <w:vAlign w:val="center"/>
            <w:hideMark/>
          </w:tcPr>
          <w:p w:rsidR="00B81CFF" w:rsidRDefault="009B5596">
            <w:pPr>
              <w:widowControl w:val="0"/>
              <w:spacing w:before="15" w:after="15" w:line="240" w:lineRule="auto"/>
              <w:jc w:val="right"/>
              <w:rPr>
                <w:rFonts w:ascii="Times New Roman" w:eastAsia="Times New Roman" w:hAnsi="Times New Roman" w:cs="Times New Roman"/>
                <w:i/>
                <w:noProof/>
                <w:sz w:val="20"/>
                <w:szCs w:val="20"/>
              </w:rPr>
            </w:pPr>
            <w:r>
              <w:rPr>
                <w:rFonts w:ascii="Times New Roman" w:hAnsi="Times New Roman"/>
                <w:i/>
                <w:iCs/>
                <w:noProof/>
                <w:sz w:val="20"/>
                <w:szCs w:val="20"/>
              </w:rPr>
              <w:t>en EUR</w:t>
            </w:r>
          </w:p>
        </w:tc>
      </w:tr>
      <w:tr w:rsidR="00B81CFF">
        <w:trPr>
          <w:jc w:val="center"/>
        </w:trPr>
        <w:tc>
          <w:tcPr>
            <w:tcW w:w="12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81CFF" w:rsidRDefault="009B5596">
            <w:pPr>
              <w:keepNext/>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Ligne budgétaire</w:t>
            </w:r>
          </w:p>
        </w:tc>
        <w:tc>
          <w:tcPr>
            <w:tcW w:w="45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81CFF" w:rsidRDefault="009B5596">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Intitulé</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81CFF" w:rsidRDefault="009B5596">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Crédits d'engagement</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81CFF" w:rsidRDefault="009B5596">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Crédits de paiement</w:t>
            </w:r>
          </w:p>
        </w:tc>
      </w:tr>
      <w:tr w:rsidR="00B81CFF">
        <w:trPr>
          <w:jc w:val="center"/>
        </w:trPr>
        <w:tc>
          <w:tcPr>
            <w:tcW w:w="9222"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B81CFF" w:rsidRDefault="009B5596">
            <w:pPr>
              <w:widowControl w:val="0"/>
              <w:spacing w:before="15" w:after="15" w:line="240" w:lineRule="auto"/>
              <w:rPr>
                <w:rFonts w:ascii="Times New Roman" w:eastAsia="Times New Roman" w:hAnsi="Times New Roman" w:cs="Times New Roman"/>
                <w:i/>
                <w:noProof/>
                <w:sz w:val="20"/>
                <w:szCs w:val="20"/>
              </w:rPr>
            </w:pPr>
            <w:r>
              <w:rPr>
                <w:rFonts w:ascii="Times New Roman" w:hAnsi="Times New Roman"/>
                <w:i/>
                <w:noProof/>
                <w:sz w:val="20"/>
                <w:szCs w:val="20"/>
              </w:rPr>
              <w:t>Section III — Commission</w:t>
            </w:r>
          </w:p>
        </w:tc>
      </w:tr>
      <w:tr w:rsidR="00B81CFF">
        <w:trPr>
          <w:jc w:val="center"/>
        </w:trPr>
        <w:tc>
          <w:tcPr>
            <w:tcW w:w="1232" w:type="dxa"/>
            <w:tcBorders>
              <w:top w:val="single" w:sz="4" w:space="0" w:color="auto"/>
              <w:left w:val="single" w:sz="4" w:space="0" w:color="auto"/>
              <w:bottom w:val="single" w:sz="4" w:space="0" w:color="auto"/>
              <w:right w:val="single" w:sz="4" w:space="0" w:color="auto"/>
            </w:tcBorders>
            <w:hideMark/>
          </w:tcPr>
          <w:p w:rsidR="00B81CFF" w:rsidRDefault="009B5596">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szCs w:val="20"/>
              </w:rPr>
              <w:t>21 02 02</w:t>
            </w:r>
          </w:p>
        </w:tc>
        <w:tc>
          <w:tcPr>
            <w:tcW w:w="4588" w:type="dxa"/>
            <w:tcBorders>
              <w:top w:val="single" w:sz="4" w:space="0" w:color="auto"/>
              <w:left w:val="single" w:sz="4" w:space="0" w:color="auto"/>
              <w:bottom w:val="single" w:sz="4" w:space="0" w:color="auto"/>
              <w:right w:val="single" w:sz="4" w:space="0" w:color="auto"/>
            </w:tcBorders>
            <w:hideMark/>
          </w:tcPr>
          <w:p w:rsidR="00B81CFF" w:rsidRDefault="009B5596">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Coopération avec l’Asie</w:t>
            </w:r>
          </w:p>
        </w:tc>
        <w:tc>
          <w:tcPr>
            <w:tcW w:w="1701" w:type="dxa"/>
            <w:tcBorders>
              <w:top w:val="single" w:sz="4" w:space="0" w:color="auto"/>
              <w:left w:val="single" w:sz="4" w:space="0" w:color="auto"/>
              <w:bottom w:val="single" w:sz="4" w:space="0" w:color="auto"/>
              <w:right w:val="single" w:sz="4" w:space="0" w:color="auto"/>
            </w:tcBorders>
            <w:hideMark/>
          </w:tcPr>
          <w:p w:rsidR="00B81CFF" w:rsidRDefault="009B5596">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B81CFF" w:rsidRDefault="009B5596">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50 000 000</w:t>
            </w:r>
          </w:p>
        </w:tc>
      </w:tr>
      <w:tr w:rsidR="00B81CFF">
        <w:trPr>
          <w:jc w:val="center"/>
        </w:trPr>
        <w:tc>
          <w:tcPr>
            <w:tcW w:w="1232" w:type="dxa"/>
            <w:tcBorders>
              <w:top w:val="single" w:sz="4" w:space="0" w:color="auto"/>
              <w:left w:val="single" w:sz="4" w:space="0" w:color="auto"/>
              <w:bottom w:val="single" w:sz="4" w:space="0" w:color="auto"/>
              <w:right w:val="single" w:sz="4" w:space="0" w:color="auto"/>
            </w:tcBorders>
            <w:hideMark/>
          </w:tcPr>
          <w:p w:rsidR="00B81CFF" w:rsidRDefault="009B5596">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szCs w:val="20"/>
              </w:rPr>
              <w:t>21 02 03</w:t>
            </w:r>
          </w:p>
        </w:tc>
        <w:tc>
          <w:tcPr>
            <w:tcW w:w="4588" w:type="dxa"/>
            <w:tcBorders>
              <w:top w:val="single" w:sz="4" w:space="0" w:color="auto"/>
              <w:left w:val="single" w:sz="4" w:space="0" w:color="auto"/>
              <w:bottom w:val="single" w:sz="4" w:space="0" w:color="auto"/>
              <w:right w:val="single" w:sz="4" w:space="0" w:color="auto"/>
            </w:tcBorders>
            <w:hideMark/>
          </w:tcPr>
          <w:p w:rsidR="00B81CFF" w:rsidRDefault="009B5596">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Coopération avec l’Asie centrale</w:t>
            </w:r>
          </w:p>
        </w:tc>
        <w:tc>
          <w:tcPr>
            <w:tcW w:w="1701" w:type="dxa"/>
            <w:tcBorders>
              <w:top w:val="single" w:sz="4" w:space="0" w:color="auto"/>
              <w:left w:val="single" w:sz="4" w:space="0" w:color="auto"/>
              <w:bottom w:val="single" w:sz="4" w:space="0" w:color="auto"/>
              <w:right w:val="single" w:sz="4" w:space="0" w:color="auto"/>
            </w:tcBorders>
            <w:hideMark/>
          </w:tcPr>
          <w:p w:rsidR="00B81CFF" w:rsidRDefault="009B5596">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B81CFF" w:rsidRDefault="009B5596">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15 000 000</w:t>
            </w:r>
          </w:p>
        </w:tc>
      </w:tr>
      <w:tr w:rsidR="00B81CFF">
        <w:trPr>
          <w:jc w:val="center"/>
        </w:trPr>
        <w:tc>
          <w:tcPr>
            <w:tcW w:w="1232" w:type="dxa"/>
            <w:tcBorders>
              <w:top w:val="single" w:sz="4" w:space="0" w:color="auto"/>
              <w:left w:val="single" w:sz="4" w:space="0" w:color="auto"/>
              <w:bottom w:val="single" w:sz="4" w:space="0" w:color="auto"/>
              <w:right w:val="single" w:sz="4" w:space="0" w:color="auto"/>
            </w:tcBorders>
            <w:hideMark/>
          </w:tcPr>
          <w:p w:rsidR="00B81CFF" w:rsidRDefault="009B5596">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szCs w:val="20"/>
              </w:rPr>
              <w:t>21 02 05</w:t>
            </w:r>
          </w:p>
        </w:tc>
        <w:tc>
          <w:tcPr>
            <w:tcW w:w="4588" w:type="dxa"/>
            <w:tcBorders>
              <w:top w:val="single" w:sz="4" w:space="0" w:color="auto"/>
              <w:left w:val="single" w:sz="4" w:space="0" w:color="auto"/>
              <w:bottom w:val="single" w:sz="4" w:space="0" w:color="auto"/>
              <w:right w:val="single" w:sz="4" w:space="0" w:color="auto"/>
            </w:tcBorders>
            <w:hideMark/>
          </w:tcPr>
          <w:p w:rsidR="00B81CFF" w:rsidRDefault="009B5596">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Coopération avec l’Afghanistan</w:t>
            </w:r>
          </w:p>
        </w:tc>
        <w:tc>
          <w:tcPr>
            <w:tcW w:w="1701" w:type="dxa"/>
            <w:tcBorders>
              <w:top w:val="single" w:sz="4" w:space="0" w:color="auto"/>
              <w:left w:val="single" w:sz="4" w:space="0" w:color="auto"/>
              <w:bottom w:val="single" w:sz="4" w:space="0" w:color="auto"/>
              <w:right w:val="single" w:sz="4" w:space="0" w:color="auto"/>
            </w:tcBorders>
            <w:hideMark/>
          </w:tcPr>
          <w:p w:rsidR="00B81CFF" w:rsidRDefault="009B5596">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B81CFF" w:rsidRDefault="009B5596">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25 000 000</w:t>
            </w:r>
          </w:p>
        </w:tc>
      </w:tr>
      <w:tr w:rsidR="00B81CFF">
        <w:trPr>
          <w:jc w:val="center"/>
        </w:trPr>
        <w:tc>
          <w:tcPr>
            <w:tcW w:w="582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B81CFF" w:rsidRDefault="009B5596">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b/>
                <w:noProof/>
                <w:sz w:val="20"/>
                <w:szCs w:val="20"/>
              </w:rPr>
              <w:t>Total</w:t>
            </w:r>
            <w:r>
              <w:rPr>
                <w:rFonts w:ascii="Times New Roman" w:hAnsi="Times New Roman"/>
                <w:b/>
                <w:noProof/>
                <w:sz w:val="20"/>
                <w:szCs w:val="20"/>
              </w:rPr>
              <w:tab/>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B81CFF" w:rsidRDefault="009B5596">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B81CFF" w:rsidRDefault="009B5596">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90 000 000</w:t>
            </w:r>
          </w:p>
        </w:tc>
      </w:tr>
    </w:tbl>
    <w:p w:rsidR="00B81CFF" w:rsidRDefault="009B5596">
      <w:pPr>
        <w:pStyle w:val="ManualHeading1"/>
        <w:numPr>
          <w:ilvl w:val="0"/>
          <w:numId w:val="2"/>
        </w:numPr>
        <w:rPr>
          <w:noProof/>
        </w:rPr>
      </w:pPr>
      <w:bookmarkStart w:id="32" w:name="_Toc52346059"/>
      <w:bookmarkStart w:id="33" w:name="_Toc53742107"/>
      <w:r>
        <w:rPr>
          <w:noProof/>
        </w:rPr>
        <w:t>Autres ajustements concernant les dépenses</w:t>
      </w:r>
      <w:bookmarkEnd w:id="32"/>
      <w:bookmarkEnd w:id="33"/>
    </w:p>
    <w:p w:rsidR="00B81CFF" w:rsidRDefault="009B5596">
      <w:pPr>
        <w:pStyle w:val="ManualHeading1"/>
        <w:numPr>
          <w:ilvl w:val="1"/>
          <w:numId w:val="2"/>
        </w:numPr>
        <w:tabs>
          <w:tab w:val="clear" w:pos="850"/>
          <w:tab w:val="left" w:pos="600"/>
        </w:tabs>
        <w:ind w:left="600" w:hanging="600"/>
        <w:rPr>
          <w:smallCaps w:val="0"/>
          <w:noProof/>
        </w:rPr>
      </w:pPr>
      <w:bookmarkStart w:id="34" w:name="_Toc52346060"/>
      <w:bookmarkStart w:id="35" w:name="_Toc53742108"/>
      <w:bookmarkStart w:id="36" w:name="_Toc462410058"/>
      <w:bookmarkStart w:id="37" w:name="_Toc494994378"/>
      <w:bookmarkStart w:id="38" w:name="_Toc525202232"/>
      <w:bookmarkStart w:id="39" w:name="_Toc43387607"/>
      <w:r>
        <w:rPr>
          <w:smallCaps w:val="0"/>
          <w:noProof/>
        </w:rPr>
        <w:t>Fonds européen agricole de garantie (FEAGA)</w:t>
      </w:r>
      <w:bookmarkEnd w:id="34"/>
      <w:bookmarkEnd w:id="35"/>
    </w:p>
    <w:p w:rsidR="00B81CFF" w:rsidRDefault="009B5596">
      <w:pPr>
        <w:spacing w:before="240" w:after="20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Dans le cadre de mesures exceptionnelles visant à faire face à la crise de la COVID-19, la Commission a adopté, avant l’été, deux trains de mesures relatives aux marchés agricoles. Le premier train de mesures était destiné à fournir des avances et à garantir le bon fonctionnement des différents régimes de paiements directs, ainsi qu’à assouplir les contrôles. Le deuxième train de mesures était axé sur un ensemble de dispositions relatives aux mesures de soutien du marché, en particulier dans les secteurs des fruits et légumes et du vin. </w:t>
      </w:r>
    </w:p>
    <w:p w:rsidR="00B81CFF" w:rsidRDefault="009B5596">
      <w:pPr>
        <w:spacing w:before="240" w:after="20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Grâce à ces mesures, la Commission a créé les conditions nécessaires à l’utilisation intégrale des crédits FEAGA au titre du budget 2020. Tant le niveau d’exécution actuel que les prévisions récentes des États membres confirment cette hypothèse. </w:t>
      </w:r>
    </w:p>
    <w:p w:rsidR="00B81CFF" w:rsidRDefault="009B5596">
      <w:pPr>
        <w:spacing w:before="240" w:after="20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L’exécution budgétaire du FEAGA pour 2020 est déjà très avancée, notamment pour les paiements directs, dont l’exécution est encore meilleure que les années précédentes. Les dépenses relatives au marché seront principalement concentrées à la toute fin de l’exercice, de nombreuses incertitudes planant encore sur le niveau effectif des dépenses, en particulier pour les programmes d’aide au secteur vitivinicole, le soutien aux organisations de producteurs dans le secteur des fruits et légumes et les programmes à destination des écoles.</w:t>
      </w:r>
    </w:p>
    <w:p w:rsidR="00B81CFF" w:rsidRDefault="009B5596">
      <w:pPr>
        <w:spacing w:before="240" w:after="20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Selon les informations actuellement disponibles, les recettes affectées du FEAGA devraient être inférieures de 176 millions d’EUR au montant budgétisé. Cette différence s’explique par a) le règlement des conséquences financières de l’affaire C-252/18 P de la Cour de justice en faveur de la Grèce, b) la baisse des recettes affectées provenant des décisions d’apurement de conformité et d’apurement des comptes prises par la Commission et c) le report de certains recouvrements à 2021.</w:t>
      </w:r>
    </w:p>
    <w:p w:rsidR="00B81CFF" w:rsidRDefault="009B5596">
      <w:pPr>
        <w:spacing w:before="240" w:after="20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Par conséquent, il existe un risque de léger déficit par rapport aux crédits actuellement disponibles dans le budget du FEAGA pour 2020, qui pourrait être couvert par la mobilisation de la marge encore disponible au titre de la rubrique 2.</w:t>
      </w:r>
    </w:p>
    <w:p w:rsidR="00B81CFF" w:rsidRDefault="009B5596">
      <w:pPr>
        <w:spacing w:before="240" w:after="20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Sur la base des informations actuellement disponibles et compte tenu des prévisions des États membres, la Commission propose de renforcer la ligne budgétaire relative aux fonds opérationnels des organisations de producteurs dans le cadre du FEAGA comme indiqué ci-dessous:</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4588"/>
        <w:gridCol w:w="1701"/>
        <w:gridCol w:w="1701"/>
      </w:tblGrid>
      <w:tr w:rsidR="00B81CFF">
        <w:trPr>
          <w:jc w:val="center"/>
        </w:trPr>
        <w:tc>
          <w:tcPr>
            <w:tcW w:w="9222" w:type="dxa"/>
            <w:gridSpan w:val="4"/>
            <w:tcBorders>
              <w:top w:val="nil"/>
              <w:left w:val="nil"/>
              <w:bottom w:val="single" w:sz="4" w:space="0" w:color="auto"/>
              <w:right w:val="nil"/>
            </w:tcBorders>
            <w:shd w:val="clear" w:color="auto" w:fill="auto"/>
            <w:vAlign w:val="center"/>
          </w:tcPr>
          <w:p w:rsidR="00B81CFF" w:rsidRDefault="009B5596">
            <w:pPr>
              <w:widowControl w:val="0"/>
              <w:spacing w:before="15" w:after="15" w:line="240" w:lineRule="auto"/>
              <w:jc w:val="right"/>
              <w:rPr>
                <w:rFonts w:ascii="Times New Roman" w:eastAsia="Times New Roman" w:hAnsi="Times New Roman" w:cs="Times New Roman"/>
                <w:i/>
                <w:noProof/>
                <w:sz w:val="20"/>
                <w:szCs w:val="20"/>
              </w:rPr>
            </w:pPr>
            <w:r>
              <w:rPr>
                <w:rFonts w:ascii="Times New Roman" w:hAnsi="Times New Roman"/>
                <w:i/>
                <w:iCs/>
                <w:noProof/>
                <w:sz w:val="20"/>
                <w:szCs w:val="20"/>
              </w:rPr>
              <w:t>en EUR</w:t>
            </w:r>
          </w:p>
        </w:tc>
      </w:tr>
      <w:tr w:rsidR="00B81CFF">
        <w:trPr>
          <w:jc w:val="center"/>
        </w:trPr>
        <w:tc>
          <w:tcPr>
            <w:tcW w:w="1232" w:type="dxa"/>
            <w:tcBorders>
              <w:top w:val="single" w:sz="4" w:space="0" w:color="auto"/>
            </w:tcBorders>
            <w:shd w:val="clear" w:color="auto" w:fill="D9D9D9"/>
            <w:vAlign w:val="center"/>
          </w:tcPr>
          <w:p w:rsidR="00B81CFF" w:rsidRDefault="009B5596">
            <w:pPr>
              <w:keepNext/>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Ligne budgétaire</w:t>
            </w:r>
          </w:p>
        </w:tc>
        <w:tc>
          <w:tcPr>
            <w:tcW w:w="4588" w:type="dxa"/>
            <w:tcBorders>
              <w:top w:val="single" w:sz="4" w:space="0" w:color="auto"/>
            </w:tcBorders>
            <w:shd w:val="clear" w:color="auto" w:fill="D9D9D9"/>
            <w:vAlign w:val="center"/>
          </w:tcPr>
          <w:p w:rsidR="00B81CFF" w:rsidRDefault="009B5596">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Intitulé</w:t>
            </w:r>
          </w:p>
        </w:tc>
        <w:tc>
          <w:tcPr>
            <w:tcW w:w="1701" w:type="dxa"/>
            <w:tcBorders>
              <w:top w:val="single" w:sz="4" w:space="0" w:color="auto"/>
            </w:tcBorders>
            <w:shd w:val="clear" w:color="auto" w:fill="D9D9D9"/>
            <w:vAlign w:val="center"/>
          </w:tcPr>
          <w:p w:rsidR="00B81CFF" w:rsidRDefault="009B5596">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Crédits d'engagement</w:t>
            </w:r>
          </w:p>
        </w:tc>
        <w:tc>
          <w:tcPr>
            <w:tcW w:w="1701" w:type="dxa"/>
            <w:tcBorders>
              <w:top w:val="single" w:sz="4" w:space="0" w:color="auto"/>
            </w:tcBorders>
            <w:shd w:val="clear" w:color="auto" w:fill="D9D9D9"/>
            <w:vAlign w:val="center"/>
          </w:tcPr>
          <w:p w:rsidR="00B81CFF" w:rsidRDefault="009B5596">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Crédits de paiement</w:t>
            </w:r>
          </w:p>
        </w:tc>
      </w:tr>
      <w:tr w:rsidR="00B81CFF">
        <w:trPr>
          <w:jc w:val="center"/>
        </w:trPr>
        <w:tc>
          <w:tcPr>
            <w:tcW w:w="9222" w:type="dxa"/>
            <w:gridSpan w:val="4"/>
            <w:shd w:val="clear" w:color="auto" w:fill="F2F2F2"/>
            <w:vAlign w:val="center"/>
          </w:tcPr>
          <w:p w:rsidR="00B81CFF" w:rsidRDefault="009B5596">
            <w:pPr>
              <w:widowControl w:val="0"/>
              <w:spacing w:before="15" w:after="15" w:line="240" w:lineRule="auto"/>
              <w:rPr>
                <w:rFonts w:ascii="Times New Roman" w:eastAsia="Times New Roman" w:hAnsi="Times New Roman" w:cs="Times New Roman"/>
                <w:i/>
                <w:noProof/>
                <w:sz w:val="20"/>
                <w:szCs w:val="20"/>
              </w:rPr>
            </w:pPr>
            <w:r>
              <w:rPr>
                <w:rFonts w:ascii="Times New Roman" w:hAnsi="Times New Roman"/>
                <w:i/>
                <w:noProof/>
                <w:sz w:val="20"/>
                <w:szCs w:val="20"/>
              </w:rPr>
              <w:t>Section III — Commission</w:t>
            </w:r>
          </w:p>
        </w:tc>
      </w:tr>
      <w:tr w:rsidR="00B81CFF">
        <w:trPr>
          <w:jc w:val="center"/>
        </w:trPr>
        <w:tc>
          <w:tcPr>
            <w:tcW w:w="1232" w:type="dxa"/>
          </w:tcPr>
          <w:p w:rsidR="00B81CFF" w:rsidRDefault="009B5596">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szCs w:val="20"/>
              </w:rPr>
              <w:t>05 02 08 03</w:t>
            </w:r>
          </w:p>
        </w:tc>
        <w:tc>
          <w:tcPr>
            <w:tcW w:w="4588" w:type="dxa"/>
          </w:tcPr>
          <w:p w:rsidR="00B81CFF" w:rsidRDefault="009B5596">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Fonds opérationnels des organisations de producteurs</w:t>
            </w:r>
          </w:p>
        </w:tc>
        <w:tc>
          <w:tcPr>
            <w:tcW w:w="1701" w:type="dxa"/>
          </w:tcPr>
          <w:p w:rsidR="00B81CFF" w:rsidRDefault="009B5596">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48 655 078</w:t>
            </w:r>
          </w:p>
        </w:tc>
        <w:tc>
          <w:tcPr>
            <w:tcW w:w="1701" w:type="dxa"/>
          </w:tcPr>
          <w:p w:rsidR="00B81CFF" w:rsidRDefault="009B5596">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48 655 078</w:t>
            </w:r>
          </w:p>
        </w:tc>
      </w:tr>
      <w:tr w:rsidR="00B81CFF">
        <w:trPr>
          <w:jc w:val="center"/>
        </w:trPr>
        <w:tc>
          <w:tcPr>
            <w:tcW w:w="5820" w:type="dxa"/>
            <w:gridSpan w:val="2"/>
            <w:shd w:val="clear" w:color="auto" w:fill="D9D9D9"/>
          </w:tcPr>
          <w:p w:rsidR="00B81CFF" w:rsidRDefault="009B5596">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b/>
                <w:noProof/>
                <w:sz w:val="20"/>
                <w:szCs w:val="20"/>
              </w:rPr>
              <w:t>Total</w:t>
            </w:r>
            <w:r>
              <w:rPr>
                <w:rFonts w:ascii="Times New Roman" w:hAnsi="Times New Roman"/>
                <w:b/>
                <w:noProof/>
                <w:sz w:val="20"/>
                <w:szCs w:val="20"/>
              </w:rPr>
              <w:tab/>
            </w:r>
          </w:p>
        </w:tc>
        <w:tc>
          <w:tcPr>
            <w:tcW w:w="1701" w:type="dxa"/>
            <w:shd w:val="clear" w:color="auto" w:fill="D9D9D9"/>
          </w:tcPr>
          <w:p w:rsidR="00B81CFF" w:rsidRDefault="009B5596">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48 655 078</w:t>
            </w:r>
          </w:p>
        </w:tc>
        <w:tc>
          <w:tcPr>
            <w:tcW w:w="1701" w:type="dxa"/>
            <w:shd w:val="clear" w:color="auto" w:fill="D9D9D9"/>
          </w:tcPr>
          <w:p w:rsidR="00B81CFF" w:rsidRDefault="009B5596">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48 655 078</w:t>
            </w:r>
          </w:p>
        </w:tc>
      </w:tr>
    </w:tbl>
    <w:p w:rsidR="00B81CFF" w:rsidRDefault="009B5596">
      <w:pPr>
        <w:pStyle w:val="ListParagraph"/>
        <w:keepNext/>
        <w:numPr>
          <w:ilvl w:val="1"/>
          <w:numId w:val="2"/>
        </w:numPr>
        <w:tabs>
          <w:tab w:val="left" w:pos="600"/>
        </w:tabs>
        <w:spacing w:before="360" w:after="120"/>
        <w:ind w:left="600" w:hanging="600"/>
        <w:jc w:val="both"/>
        <w:outlineLvl w:val="1"/>
        <w:rPr>
          <w:rFonts w:ascii="Times New Roman" w:eastAsia="Calibri" w:hAnsi="Times New Roman" w:cs="Times New Roman"/>
          <w:b/>
          <w:noProof/>
          <w:sz w:val="24"/>
          <w:szCs w:val="24"/>
        </w:rPr>
      </w:pPr>
      <w:bookmarkStart w:id="40" w:name="_Toc52346061"/>
      <w:bookmarkStart w:id="41" w:name="_Toc53742109"/>
      <w:bookmarkEnd w:id="36"/>
      <w:bookmarkEnd w:id="37"/>
      <w:bookmarkEnd w:id="38"/>
      <w:bookmarkEnd w:id="39"/>
      <w:r>
        <w:rPr>
          <w:rFonts w:ascii="Times New Roman" w:hAnsi="Times New Roman"/>
          <w:b/>
          <w:noProof/>
          <w:sz w:val="24"/>
          <w:szCs w:val="24"/>
        </w:rPr>
        <w:t>Organismes décentralisés</w:t>
      </w:r>
      <w:bookmarkEnd w:id="40"/>
      <w:bookmarkEnd w:id="41"/>
    </w:p>
    <w:p w:rsidR="00B81CFF" w:rsidRDefault="009B5596">
      <w:pPr>
        <w:keepNext/>
        <w:tabs>
          <w:tab w:val="left" w:pos="850"/>
        </w:tabs>
        <w:spacing w:before="240" w:after="120"/>
        <w:ind w:left="850" w:hanging="850"/>
        <w:jc w:val="both"/>
        <w:outlineLvl w:val="1"/>
        <w:rPr>
          <w:rFonts w:ascii="Times New Roman" w:eastAsia="Calibri" w:hAnsi="Times New Roman" w:cs="Times New Roman"/>
          <w:i/>
          <w:noProof/>
          <w:sz w:val="24"/>
          <w:szCs w:val="24"/>
        </w:rPr>
      </w:pPr>
      <w:bookmarkStart w:id="42" w:name="_Toc35506106"/>
      <w:bookmarkStart w:id="43" w:name="_Toc52346062"/>
      <w:bookmarkStart w:id="44" w:name="_Toc53742110"/>
      <w:r>
        <w:rPr>
          <w:rFonts w:ascii="Times New Roman" w:hAnsi="Times New Roman"/>
          <w:i/>
          <w:noProof/>
          <w:sz w:val="24"/>
          <w:szCs w:val="24"/>
        </w:rPr>
        <w:t xml:space="preserve">3.2.1 </w:t>
      </w:r>
      <w:r>
        <w:rPr>
          <w:rFonts w:ascii="Times New Roman" w:hAnsi="Times New Roman"/>
          <w:i/>
          <w:noProof/>
          <w:sz w:val="24"/>
          <w:szCs w:val="24"/>
        </w:rPr>
        <w:tab/>
      </w:r>
      <w:bookmarkEnd w:id="42"/>
      <w:r>
        <w:rPr>
          <w:rFonts w:ascii="Times New Roman" w:hAnsi="Times New Roman"/>
          <w:i/>
          <w:noProof/>
          <w:sz w:val="24"/>
          <w:szCs w:val="24"/>
        </w:rPr>
        <w:t>Autorités européennes de surveillance (AES)</w:t>
      </w:r>
      <w:bookmarkEnd w:id="43"/>
      <w:bookmarkEnd w:id="44"/>
    </w:p>
    <w:p w:rsidR="00B81CFF" w:rsidRDefault="009B5596">
      <w:pPr>
        <w:spacing w:before="120" w:after="120"/>
        <w:jc w:val="both"/>
        <w:rPr>
          <w:rFonts w:ascii="Times New Roman" w:hAnsi="Times New Roman" w:cs="Times New Roman"/>
          <w:noProof/>
          <w:sz w:val="24"/>
          <w:szCs w:val="24"/>
        </w:rPr>
      </w:pPr>
      <w:r>
        <w:rPr>
          <w:rFonts w:ascii="Times New Roman" w:hAnsi="Times New Roman"/>
          <w:noProof/>
          <w:sz w:val="24"/>
          <w:szCs w:val="24"/>
        </w:rPr>
        <w:t>Les trois autorités européennes de surveillance (AES) ont recensé des économies qui résultent de l’incidence actuelle de la COVID-19 sur leurs travaux, ainsi que de la nécessité réduite de contributions de l’UE liées à la mise en œuvre des éléments suivants:</w:t>
      </w:r>
    </w:p>
    <w:p w:rsidR="00B81CFF" w:rsidRDefault="009B5596">
      <w:pPr>
        <w:pStyle w:val="ListParagraph"/>
        <w:numPr>
          <w:ilvl w:val="0"/>
          <w:numId w:val="10"/>
        </w:numPr>
        <w:spacing w:before="120" w:after="120"/>
        <w:jc w:val="both"/>
        <w:rPr>
          <w:rFonts w:ascii="Times New Roman" w:hAnsi="Times New Roman" w:cs="Times New Roman"/>
          <w:noProof/>
          <w:sz w:val="24"/>
          <w:szCs w:val="24"/>
        </w:rPr>
      </w:pPr>
      <w:r>
        <w:rPr>
          <w:rFonts w:ascii="Times New Roman" w:hAnsi="Times New Roman"/>
          <w:noProof/>
          <w:sz w:val="24"/>
          <w:szCs w:val="24"/>
        </w:rPr>
        <w:t>le cadre destiné à faciliter les investissements durables pour chacune des trois AES;</w:t>
      </w:r>
    </w:p>
    <w:p w:rsidR="00B81CFF" w:rsidRDefault="009B5596">
      <w:pPr>
        <w:pStyle w:val="ListParagraph"/>
        <w:numPr>
          <w:ilvl w:val="0"/>
          <w:numId w:val="10"/>
        </w:numPr>
        <w:spacing w:before="120" w:after="120"/>
        <w:jc w:val="both"/>
        <w:rPr>
          <w:rFonts w:ascii="Times New Roman" w:hAnsi="Times New Roman" w:cs="Times New Roman"/>
          <w:noProof/>
          <w:sz w:val="24"/>
          <w:szCs w:val="24"/>
        </w:rPr>
      </w:pPr>
      <w:r>
        <w:rPr>
          <w:rFonts w:ascii="Times New Roman" w:hAnsi="Times New Roman"/>
          <w:noProof/>
          <w:sz w:val="24"/>
          <w:szCs w:val="24"/>
        </w:rPr>
        <w:t>la législation relative aux prestataires européens de services de financement participatif et aux titres adossés à des obligations souveraines (SBBS) pour l’Autorité européenne des marchés financiers (AEMF).</w:t>
      </w:r>
    </w:p>
    <w:p w:rsidR="00B81CFF" w:rsidRDefault="009B5596">
      <w:pPr>
        <w:spacing w:before="120" w:after="120"/>
        <w:jc w:val="both"/>
        <w:rPr>
          <w:rFonts w:ascii="Times New Roman" w:hAnsi="Times New Roman" w:cs="Times New Roman"/>
          <w:noProof/>
          <w:sz w:val="24"/>
          <w:szCs w:val="24"/>
        </w:rPr>
      </w:pPr>
      <w:r>
        <w:rPr>
          <w:rFonts w:ascii="Times New Roman" w:hAnsi="Times New Roman"/>
          <w:noProof/>
          <w:sz w:val="24"/>
          <w:szCs w:val="24"/>
        </w:rPr>
        <w:t>En outre, un besoin d’avance moins élevé a été déterminé pour la perception par l’AEMF des frais découlant de l’acte délégué relatif à la surveillance des contreparties centrales de pays tiers</w:t>
      </w:r>
      <w:r>
        <w:rPr>
          <w:rStyle w:val="FootnoteReference"/>
          <w:rFonts w:ascii="Times New Roman" w:hAnsi="Times New Roman" w:cs="Times New Roman"/>
          <w:noProof/>
          <w:sz w:val="24"/>
          <w:szCs w:val="24"/>
          <w:lang w:eastAsia="de-DE"/>
        </w:rPr>
        <w:footnoteReference w:id="16"/>
      </w:r>
      <w:r>
        <w:rPr>
          <w:rFonts w:ascii="Times New Roman" w:hAnsi="Times New Roman"/>
          <w:noProof/>
          <w:sz w:val="24"/>
          <w:szCs w:val="24"/>
        </w:rPr>
        <w:t>.</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4588"/>
        <w:gridCol w:w="1701"/>
        <w:gridCol w:w="1701"/>
      </w:tblGrid>
      <w:tr w:rsidR="00B81CFF">
        <w:trPr>
          <w:jc w:val="center"/>
        </w:trPr>
        <w:tc>
          <w:tcPr>
            <w:tcW w:w="9222" w:type="dxa"/>
            <w:gridSpan w:val="4"/>
            <w:tcBorders>
              <w:top w:val="nil"/>
              <w:left w:val="nil"/>
              <w:bottom w:val="single" w:sz="4" w:space="0" w:color="auto"/>
              <w:right w:val="nil"/>
            </w:tcBorders>
            <w:shd w:val="clear" w:color="auto" w:fill="auto"/>
            <w:vAlign w:val="center"/>
          </w:tcPr>
          <w:p w:rsidR="00B81CFF" w:rsidRDefault="009B5596">
            <w:pPr>
              <w:keepNext/>
              <w:widowControl w:val="0"/>
              <w:spacing w:before="15" w:after="15" w:line="240" w:lineRule="auto"/>
              <w:jc w:val="right"/>
              <w:rPr>
                <w:rFonts w:ascii="Times New Roman" w:eastAsia="Times New Roman" w:hAnsi="Times New Roman" w:cs="Times New Roman"/>
                <w:i/>
                <w:noProof/>
                <w:sz w:val="20"/>
                <w:szCs w:val="20"/>
              </w:rPr>
            </w:pPr>
            <w:r>
              <w:rPr>
                <w:rFonts w:ascii="Times New Roman" w:hAnsi="Times New Roman"/>
                <w:i/>
                <w:iCs/>
                <w:noProof/>
                <w:sz w:val="20"/>
                <w:szCs w:val="20"/>
              </w:rPr>
              <w:t>en EUR</w:t>
            </w:r>
          </w:p>
        </w:tc>
      </w:tr>
      <w:tr w:rsidR="00B81CFF">
        <w:trPr>
          <w:jc w:val="center"/>
        </w:trPr>
        <w:tc>
          <w:tcPr>
            <w:tcW w:w="1232" w:type="dxa"/>
            <w:tcBorders>
              <w:top w:val="single" w:sz="4" w:space="0" w:color="auto"/>
            </w:tcBorders>
            <w:shd w:val="clear" w:color="auto" w:fill="D9D9D9"/>
            <w:vAlign w:val="center"/>
          </w:tcPr>
          <w:p w:rsidR="00B81CFF" w:rsidRDefault="009B5596">
            <w:pPr>
              <w:keepNext/>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Ligne budgétaire</w:t>
            </w:r>
          </w:p>
        </w:tc>
        <w:tc>
          <w:tcPr>
            <w:tcW w:w="4588" w:type="dxa"/>
            <w:tcBorders>
              <w:top w:val="single" w:sz="4" w:space="0" w:color="auto"/>
            </w:tcBorders>
            <w:shd w:val="clear" w:color="auto" w:fill="D9D9D9"/>
            <w:vAlign w:val="center"/>
          </w:tcPr>
          <w:p w:rsidR="00B81CFF" w:rsidRDefault="009B5596">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Intitulé</w:t>
            </w:r>
          </w:p>
        </w:tc>
        <w:tc>
          <w:tcPr>
            <w:tcW w:w="1701" w:type="dxa"/>
            <w:tcBorders>
              <w:top w:val="single" w:sz="4" w:space="0" w:color="auto"/>
            </w:tcBorders>
            <w:shd w:val="clear" w:color="auto" w:fill="D9D9D9"/>
            <w:vAlign w:val="center"/>
          </w:tcPr>
          <w:p w:rsidR="00B81CFF" w:rsidRDefault="009B5596">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Crédits d'engagement</w:t>
            </w:r>
          </w:p>
        </w:tc>
        <w:tc>
          <w:tcPr>
            <w:tcW w:w="1701" w:type="dxa"/>
            <w:tcBorders>
              <w:top w:val="single" w:sz="4" w:space="0" w:color="auto"/>
            </w:tcBorders>
            <w:shd w:val="clear" w:color="auto" w:fill="D9D9D9"/>
            <w:vAlign w:val="center"/>
          </w:tcPr>
          <w:p w:rsidR="00B81CFF" w:rsidRDefault="009B5596">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Crédits de paiement</w:t>
            </w:r>
          </w:p>
        </w:tc>
      </w:tr>
      <w:tr w:rsidR="00B81CFF">
        <w:trPr>
          <w:jc w:val="center"/>
        </w:trPr>
        <w:tc>
          <w:tcPr>
            <w:tcW w:w="9222" w:type="dxa"/>
            <w:gridSpan w:val="4"/>
            <w:shd w:val="clear" w:color="auto" w:fill="F2F2F2"/>
            <w:vAlign w:val="center"/>
          </w:tcPr>
          <w:p w:rsidR="00B81CFF" w:rsidRDefault="009B5596">
            <w:pPr>
              <w:widowControl w:val="0"/>
              <w:spacing w:before="15" w:after="15" w:line="240" w:lineRule="auto"/>
              <w:rPr>
                <w:rFonts w:ascii="Times New Roman" w:eastAsia="Times New Roman" w:hAnsi="Times New Roman" w:cs="Times New Roman"/>
                <w:i/>
                <w:noProof/>
                <w:sz w:val="20"/>
                <w:szCs w:val="20"/>
              </w:rPr>
            </w:pPr>
            <w:r>
              <w:rPr>
                <w:rFonts w:ascii="Times New Roman" w:hAnsi="Times New Roman"/>
                <w:i/>
                <w:noProof/>
                <w:sz w:val="20"/>
                <w:szCs w:val="20"/>
              </w:rPr>
              <w:t>Section III — Commission</w:t>
            </w:r>
          </w:p>
        </w:tc>
      </w:tr>
      <w:tr w:rsidR="00B81CFF">
        <w:trPr>
          <w:jc w:val="center"/>
        </w:trPr>
        <w:tc>
          <w:tcPr>
            <w:tcW w:w="1232" w:type="dxa"/>
          </w:tcPr>
          <w:p w:rsidR="00B81CFF" w:rsidRDefault="009B5596">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szCs w:val="20"/>
              </w:rPr>
              <w:t>12 02 04</w:t>
            </w:r>
          </w:p>
        </w:tc>
        <w:tc>
          <w:tcPr>
            <w:tcW w:w="4588" w:type="dxa"/>
          </w:tcPr>
          <w:p w:rsidR="00B81CFF" w:rsidRDefault="009B5596">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Autorité bancaire européenne</w:t>
            </w:r>
          </w:p>
        </w:tc>
        <w:tc>
          <w:tcPr>
            <w:tcW w:w="1701" w:type="dxa"/>
          </w:tcPr>
          <w:p w:rsidR="00B81CFF" w:rsidRDefault="009B5596">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-1 416 000</w:t>
            </w:r>
          </w:p>
        </w:tc>
        <w:tc>
          <w:tcPr>
            <w:tcW w:w="1701" w:type="dxa"/>
          </w:tcPr>
          <w:p w:rsidR="00B81CFF" w:rsidRDefault="009B5596">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-1 416 000</w:t>
            </w:r>
          </w:p>
        </w:tc>
      </w:tr>
      <w:tr w:rsidR="00B81CFF">
        <w:trPr>
          <w:jc w:val="center"/>
        </w:trPr>
        <w:tc>
          <w:tcPr>
            <w:tcW w:w="1232" w:type="dxa"/>
          </w:tcPr>
          <w:p w:rsidR="00B81CFF" w:rsidRDefault="009B5596">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szCs w:val="20"/>
              </w:rPr>
              <w:t>12 02 05</w:t>
            </w:r>
          </w:p>
        </w:tc>
        <w:tc>
          <w:tcPr>
            <w:tcW w:w="4588" w:type="dxa"/>
          </w:tcPr>
          <w:p w:rsidR="00B81CFF" w:rsidRDefault="009B5596">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Autorité européenne des assurances et des pensions professionnelles</w:t>
            </w:r>
          </w:p>
        </w:tc>
        <w:tc>
          <w:tcPr>
            <w:tcW w:w="1701" w:type="dxa"/>
          </w:tcPr>
          <w:p w:rsidR="00B81CFF" w:rsidRDefault="009B5596">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-314 636</w:t>
            </w:r>
          </w:p>
        </w:tc>
        <w:tc>
          <w:tcPr>
            <w:tcW w:w="1701" w:type="dxa"/>
          </w:tcPr>
          <w:p w:rsidR="00B81CFF" w:rsidRDefault="009B5596">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-314 636</w:t>
            </w:r>
          </w:p>
        </w:tc>
      </w:tr>
      <w:tr w:rsidR="00B81CFF">
        <w:trPr>
          <w:jc w:val="center"/>
        </w:trPr>
        <w:tc>
          <w:tcPr>
            <w:tcW w:w="1232" w:type="dxa"/>
          </w:tcPr>
          <w:p w:rsidR="00B81CFF" w:rsidRDefault="009B5596">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szCs w:val="20"/>
              </w:rPr>
              <w:t>12 02 06</w:t>
            </w:r>
          </w:p>
        </w:tc>
        <w:tc>
          <w:tcPr>
            <w:tcW w:w="4588" w:type="dxa"/>
          </w:tcPr>
          <w:p w:rsidR="00B81CFF" w:rsidRDefault="009B5596">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Autorité européenne des marchés financiers</w:t>
            </w:r>
          </w:p>
        </w:tc>
        <w:tc>
          <w:tcPr>
            <w:tcW w:w="1701" w:type="dxa"/>
          </w:tcPr>
          <w:p w:rsidR="00B81CFF" w:rsidRDefault="009B5596">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-7 383 576</w:t>
            </w:r>
          </w:p>
        </w:tc>
        <w:tc>
          <w:tcPr>
            <w:tcW w:w="1701" w:type="dxa"/>
          </w:tcPr>
          <w:p w:rsidR="00B81CFF" w:rsidRDefault="009B5596">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-7 383 576</w:t>
            </w:r>
          </w:p>
        </w:tc>
      </w:tr>
      <w:tr w:rsidR="00B81CFF">
        <w:trPr>
          <w:jc w:val="center"/>
        </w:trPr>
        <w:tc>
          <w:tcPr>
            <w:tcW w:w="5820" w:type="dxa"/>
            <w:gridSpan w:val="2"/>
            <w:shd w:val="clear" w:color="auto" w:fill="D9D9D9"/>
          </w:tcPr>
          <w:p w:rsidR="00B81CFF" w:rsidRDefault="009B5596">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b/>
                <w:noProof/>
                <w:sz w:val="20"/>
                <w:szCs w:val="20"/>
              </w:rPr>
              <w:t>Total</w:t>
            </w:r>
            <w:r>
              <w:rPr>
                <w:rFonts w:ascii="Times New Roman" w:hAnsi="Times New Roman"/>
                <w:b/>
                <w:noProof/>
                <w:sz w:val="20"/>
                <w:szCs w:val="20"/>
              </w:rPr>
              <w:tab/>
            </w:r>
          </w:p>
        </w:tc>
        <w:tc>
          <w:tcPr>
            <w:tcW w:w="1701" w:type="dxa"/>
            <w:shd w:val="clear" w:color="auto" w:fill="D9D9D9"/>
          </w:tcPr>
          <w:p w:rsidR="00B81CFF" w:rsidRDefault="009B5596">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-9 114 212</w:t>
            </w:r>
          </w:p>
        </w:tc>
        <w:tc>
          <w:tcPr>
            <w:tcW w:w="1701" w:type="dxa"/>
            <w:shd w:val="clear" w:color="auto" w:fill="D9D9D9"/>
          </w:tcPr>
          <w:p w:rsidR="00B81CFF" w:rsidRDefault="009B5596">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-9 114 212</w:t>
            </w:r>
          </w:p>
        </w:tc>
      </w:tr>
    </w:tbl>
    <w:p w:rsidR="00B81CFF" w:rsidRDefault="009B5596">
      <w:pPr>
        <w:keepNext/>
        <w:tabs>
          <w:tab w:val="left" w:pos="850"/>
        </w:tabs>
        <w:spacing w:before="240" w:after="120"/>
        <w:ind w:left="850" w:hanging="850"/>
        <w:jc w:val="both"/>
        <w:outlineLvl w:val="1"/>
        <w:rPr>
          <w:rFonts w:ascii="Times New Roman" w:eastAsia="Calibri" w:hAnsi="Times New Roman" w:cs="Times New Roman"/>
          <w:i/>
          <w:noProof/>
          <w:sz w:val="24"/>
          <w:szCs w:val="24"/>
        </w:rPr>
      </w:pPr>
      <w:bookmarkStart w:id="45" w:name="_Toc52346063"/>
      <w:bookmarkStart w:id="46" w:name="_Toc53742111"/>
      <w:bookmarkStart w:id="47" w:name="_Toc43387613"/>
      <w:r>
        <w:rPr>
          <w:rFonts w:ascii="Times New Roman" w:hAnsi="Times New Roman"/>
          <w:i/>
          <w:noProof/>
          <w:sz w:val="24"/>
          <w:szCs w:val="24"/>
        </w:rPr>
        <w:t>3.2.2</w:t>
      </w:r>
      <w:r>
        <w:rPr>
          <w:rFonts w:ascii="Times New Roman" w:hAnsi="Times New Roman"/>
          <w:i/>
          <w:noProof/>
          <w:sz w:val="24"/>
          <w:szCs w:val="24"/>
        </w:rPr>
        <w:tab/>
        <w:t>Autorité européenne du travail</w:t>
      </w:r>
      <w:bookmarkEnd w:id="45"/>
      <w:bookmarkEnd w:id="46"/>
    </w:p>
    <w:p w:rsidR="00B81CFF" w:rsidRDefault="009B5596">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La crise de la COVID-19 a eu une incidence sur les travaux de l’Autorité européenne du travail en réduisant le nombre de réunions sur place et d’inspections communes et en ralentissant le rythme de recrutement du personnel. </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4588"/>
        <w:gridCol w:w="1701"/>
        <w:gridCol w:w="1701"/>
      </w:tblGrid>
      <w:tr w:rsidR="00B81CFF">
        <w:trPr>
          <w:jc w:val="center"/>
        </w:trPr>
        <w:tc>
          <w:tcPr>
            <w:tcW w:w="9222" w:type="dxa"/>
            <w:gridSpan w:val="4"/>
            <w:tcBorders>
              <w:top w:val="nil"/>
              <w:left w:val="nil"/>
              <w:bottom w:val="single" w:sz="4" w:space="0" w:color="auto"/>
              <w:right w:val="nil"/>
            </w:tcBorders>
            <w:shd w:val="clear" w:color="auto" w:fill="auto"/>
            <w:vAlign w:val="center"/>
          </w:tcPr>
          <w:p w:rsidR="00B81CFF" w:rsidRDefault="009B5596">
            <w:pPr>
              <w:widowControl w:val="0"/>
              <w:spacing w:before="15" w:after="15" w:line="240" w:lineRule="auto"/>
              <w:jc w:val="right"/>
              <w:rPr>
                <w:rFonts w:ascii="Times New Roman" w:eastAsia="Times New Roman" w:hAnsi="Times New Roman" w:cs="Times New Roman"/>
                <w:i/>
                <w:noProof/>
                <w:sz w:val="20"/>
                <w:szCs w:val="20"/>
              </w:rPr>
            </w:pPr>
            <w:r>
              <w:rPr>
                <w:rFonts w:ascii="Times New Roman" w:hAnsi="Times New Roman"/>
                <w:i/>
                <w:iCs/>
                <w:noProof/>
                <w:sz w:val="20"/>
                <w:szCs w:val="20"/>
              </w:rPr>
              <w:t>en EUR</w:t>
            </w:r>
          </w:p>
        </w:tc>
      </w:tr>
      <w:tr w:rsidR="00B81CFF">
        <w:trPr>
          <w:jc w:val="center"/>
        </w:trPr>
        <w:tc>
          <w:tcPr>
            <w:tcW w:w="1232" w:type="dxa"/>
            <w:tcBorders>
              <w:top w:val="single" w:sz="4" w:space="0" w:color="auto"/>
            </w:tcBorders>
            <w:shd w:val="clear" w:color="auto" w:fill="D9D9D9"/>
            <w:vAlign w:val="center"/>
          </w:tcPr>
          <w:p w:rsidR="00B81CFF" w:rsidRDefault="009B5596">
            <w:pPr>
              <w:keepNext/>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Ligne budgétaire</w:t>
            </w:r>
          </w:p>
        </w:tc>
        <w:tc>
          <w:tcPr>
            <w:tcW w:w="4588" w:type="dxa"/>
            <w:tcBorders>
              <w:top w:val="single" w:sz="4" w:space="0" w:color="auto"/>
            </w:tcBorders>
            <w:shd w:val="clear" w:color="auto" w:fill="D9D9D9"/>
            <w:vAlign w:val="center"/>
          </w:tcPr>
          <w:p w:rsidR="00B81CFF" w:rsidRDefault="009B5596">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Intitulé</w:t>
            </w:r>
          </w:p>
        </w:tc>
        <w:tc>
          <w:tcPr>
            <w:tcW w:w="1701" w:type="dxa"/>
            <w:tcBorders>
              <w:top w:val="single" w:sz="4" w:space="0" w:color="auto"/>
            </w:tcBorders>
            <w:shd w:val="clear" w:color="auto" w:fill="D9D9D9"/>
            <w:vAlign w:val="center"/>
          </w:tcPr>
          <w:p w:rsidR="00B81CFF" w:rsidRDefault="009B5596">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Crédits d'engagement</w:t>
            </w:r>
          </w:p>
        </w:tc>
        <w:tc>
          <w:tcPr>
            <w:tcW w:w="1701" w:type="dxa"/>
            <w:tcBorders>
              <w:top w:val="single" w:sz="4" w:space="0" w:color="auto"/>
            </w:tcBorders>
            <w:shd w:val="clear" w:color="auto" w:fill="D9D9D9"/>
            <w:vAlign w:val="center"/>
          </w:tcPr>
          <w:p w:rsidR="00B81CFF" w:rsidRDefault="009B5596">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Crédits de paiement</w:t>
            </w:r>
          </w:p>
        </w:tc>
      </w:tr>
      <w:tr w:rsidR="00B81CFF">
        <w:trPr>
          <w:jc w:val="center"/>
        </w:trPr>
        <w:tc>
          <w:tcPr>
            <w:tcW w:w="9222" w:type="dxa"/>
            <w:gridSpan w:val="4"/>
            <w:shd w:val="clear" w:color="auto" w:fill="F2F2F2"/>
            <w:vAlign w:val="center"/>
          </w:tcPr>
          <w:p w:rsidR="00B81CFF" w:rsidRDefault="009B5596">
            <w:pPr>
              <w:widowControl w:val="0"/>
              <w:spacing w:before="15" w:after="15" w:line="240" w:lineRule="auto"/>
              <w:rPr>
                <w:rFonts w:ascii="Times New Roman" w:eastAsia="Times New Roman" w:hAnsi="Times New Roman" w:cs="Times New Roman"/>
                <w:i/>
                <w:noProof/>
                <w:sz w:val="20"/>
                <w:szCs w:val="20"/>
              </w:rPr>
            </w:pPr>
            <w:r>
              <w:rPr>
                <w:rFonts w:ascii="Times New Roman" w:hAnsi="Times New Roman"/>
                <w:i/>
                <w:noProof/>
                <w:sz w:val="20"/>
                <w:szCs w:val="20"/>
              </w:rPr>
              <w:t>Section III — Commission</w:t>
            </w:r>
          </w:p>
        </w:tc>
      </w:tr>
      <w:tr w:rsidR="00B81CFF">
        <w:trPr>
          <w:jc w:val="center"/>
        </w:trPr>
        <w:tc>
          <w:tcPr>
            <w:tcW w:w="1232" w:type="dxa"/>
          </w:tcPr>
          <w:p w:rsidR="00B81CFF" w:rsidRDefault="009B5596">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szCs w:val="20"/>
              </w:rPr>
              <w:t>04 03 15</w:t>
            </w:r>
          </w:p>
        </w:tc>
        <w:tc>
          <w:tcPr>
            <w:tcW w:w="4588" w:type="dxa"/>
          </w:tcPr>
          <w:p w:rsidR="00B81CFF" w:rsidRDefault="009B5596">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Autorité européenne du travail</w:t>
            </w:r>
          </w:p>
        </w:tc>
        <w:tc>
          <w:tcPr>
            <w:tcW w:w="1701" w:type="dxa"/>
          </w:tcPr>
          <w:p w:rsidR="00B81CFF" w:rsidRDefault="009B5596">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-3 105 725</w:t>
            </w:r>
          </w:p>
        </w:tc>
        <w:tc>
          <w:tcPr>
            <w:tcW w:w="1701" w:type="dxa"/>
          </w:tcPr>
          <w:p w:rsidR="00B81CFF" w:rsidRDefault="009B5596">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w:t>
            </w:r>
          </w:p>
        </w:tc>
      </w:tr>
      <w:tr w:rsidR="00B81CFF">
        <w:trPr>
          <w:jc w:val="center"/>
        </w:trPr>
        <w:tc>
          <w:tcPr>
            <w:tcW w:w="5820" w:type="dxa"/>
            <w:gridSpan w:val="2"/>
            <w:shd w:val="clear" w:color="auto" w:fill="D9D9D9"/>
          </w:tcPr>
          <w:p w:rsidR="00B81CFF" w:rsidRDefault="009B5596">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b/>
                <w:noProof/>
                <w:sz w:val="20"/>
                <w:szCs w:val="20"/>
              </w:rPr>
              <w:t>Total</w:t>
            </w:r>
            <w:r>
              <w:rPr>
                <w:rFonts w:ascii="Times New Roman" w:hAnsi="Times New Roman"/>
                <w:b/>
                <w:noProof/>
                <w:sz w:val="20"/>
                <w:szCs w:val="20"/>
              </w:rPr>
              <w:tab/>
            </w:r>
          </w:p>
        </w:tc>
        <w:tc>
          <w:tcPr>
            <w:tcW w:w="1701" w:type="dxa"/>
            <w:shd w:val="clear" w:color="auto" w:fill="D9D9D9"/>
          </w:tcPr>
          <w:p w:rsidR="00B81CFF" w:rsidRDefault="009B5596">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-3 105 725</w:t>
            </w:r>
          </w:p>
        </w:tc>
        <w:tc>
          <w:tcPr>
            <w:tcW w:w="1701" w:type="dxa"/>
            <w:shd w:val="clear" w:color="auto" w:fill="D9D9D9"/>
          </w:tcPr>
          <w:p w:rsidR="00B81CFF" w:rsidRDefault="009B5596">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0</w:t>
            </w:r>
          </w:p>
        </w:tc>
      </w:tr>
    </w:tbl>
    <w:p w:rsidR="00B81CFF" w:rsidRDefault="009B5596">
      <w:pPr>
        <w:pStyle w:val="ManualHeading1"/>
        <w:numPr>
          <w:ilvl w:val="0"/>
          <w:numId w:val="2"/>
        </w:numPr>
        <w:rPr>
          <w:noProof/>
        </w:rPr>
      </w:pPr>
      <w:bookmarkStart w:id="48" w:name="_Toc52283348"/>
      <w:bookmarkStart w:id="49" w:name="_Toc52283380"/>
      <w:bookmarkStart w:id="50" w:name="_Toc52284698"/>
      <w:bookmarkStart w:id="51" w:name="_Toc52346064"/>
      <w:bookmarkStart w:id="52" w:name="_Toc53742112"/>
      <w:bookmarkEnd w:id="48"/>
      <w:bookmarkEnd w:id="49"/>
      <w:bookmarkEnd w:id="50"/>
      <w:r>
        <w:rPr>
          <w:noProof/>
        </w:rPr>
        <w:t>Ajustements des recettes</w:t>
      </w:r>
      <w:bookmarkEnd w:id="51"/>
      <w:bookmarkEnd w:id="52"/>
    </w:p>
    <w:p w:rsidR="00B81CFF" w:rsidRDefault="009B5596">
      <w:pPr>
        <w:keepNext/>
        <w:tabs>
          <w:tab w:val="left" w:pos="600"/>
        </w:tabs>
        <w:spacing w:before="240" w:after="120"/>
        <w:jc w:val="both"/>
        <w:outlineLvl w:val="1"/>
        <w:rPr>
          <w:rFonts w:ascii="Times New Roman" w:eastAsia="Calibri" w:hAnsi="Times New Roman" w:cs="Times New Roman"/>
          <w:b/>
          <w:noProof/>
          <w:sz w:val="24"/>
          <w:szCs w:val="24"/>
        </w:rPr>
      </w:pPr>
      <w:bookmarkStart w:id="53" w:name="_Toc53742113"/>
      <w:r>
        <w:rPr>
          <w:rFonts w:ascii="Times New Roman" w:hAnsi="Times New Roman"/>
          <w:b/>
          <w:noProof/>
          <w:sz w:val="24"/>
          <w:szCs w:val="24"/>
        </w:rPr>
        <w:t>4.1</w:t>
      </w:r>
      <w:r>
        <w:rPr>
          <w:rFonts w:ascii="Times New Roman" w:hAnsi="Times New Roman"/>
          <w:b/>
          <w:noProof/>
          <w:sz w:val="24"/>
          <w:szCs w:val="24"/>
        </w:rPr>
        <w:tab/>
      </w:r>
      <w:bookmarkStart w:id="54" w:name="_Toc52346065"/>
      <w:r>
        <w:rPr>
          <w:rFonts w:ascii="Times New Roman" w:hAnsi="Times New Roman"/>
          <w:b/>
          <w:noProof/>
          <w:sz w:val="24"/>
          <w:szCs w:val="24"/>
        </w:rPr>
        <w:t>Différences de change en matière de ressources propres</w:t>
      </w:r>
      <w:bookmarkEnd w:id="47"/>
      <w:bookmarkEnd w:id="54"/>
      <w:bookmarkEnd w:id="53"/>
    </w:p>
    <w:p w:rsidR="00B81CFF" w:rsidRDefault="009B5596">
      <w:pPr>
        <w:jc w:val="both"/>
        <w:rPr>
          <w:rFonts w:ascii="Times New Roman" w:eastAsia="Calibri" w:hAnsi="Times New Roman" w:cs="Times New Roman"/>
          <w:b/>
          <w:noProof/>
          <w:sz w:val="24"/>
          <w:szCs w:val="24"/>
        </w:rPr>
      </w:pPr>
      <w:r>
        <w:rPr>
          <w:rFonts w:ascii="Times New Roman" w:hAnsi="Times New Roman"/>
          <w:noProof/>
          <w:sz w:val="24"/>
          <w:szCs w:val="24"/>
        </w:rPr>
        <w:t>Le budget est établi en euros, tandis que les contributions des États membres sont déterminées en monnaie nationale. Les contributions annuelles des États membres sont versées en 12 tranches mensuelles («douzièmes»). Chaque tranche versée dans une monnaie autre que l’euro est comptabilisée selon les taux de change mensuels du mois au cours duquel le paiement est effectué.</w:t>
      </w:r>
    </w:p>
    <w:p w:rsidR="00B81CFF" w:rsidRDefault="009B5596">
      <w:pPr>
        <w:spacing w:before="120" w:after="120"/>
        <w:jc w:val="both"/>
        <w:rPr>
          <w:rFonts w:ascii="Times New Roman" w:eastAsia="Calibri" w:hAnsi="Times New Roman" w:cs="Times New Roman"/>
          <w:noProof/>
          <w:sz w:val="24"/>
          <w:szCs w:val="24"/>
        </w:rPr>
      </w:pPr>
      <w:r>
        <w:rPr>
          <w:rFonts w:ascii="Times New Roman" w:hAnsi="Times New Roman"/>
          <w:noProof/>
          <w:sz w:val="24"/>
          <w:szCs w:val="24"/>
        </w:rPr>
        <w:t>Pour les États membres ne faisant pas partie de la zone euro, le budget est converti en monnaie nationale au taux de change du dernier jour de cotation de l’année civile précédant l’exercice budgétaire</w:t>
      </w:r>
      <w:r>
        <w:rPr>
          <w:rStyle w:val="FootnoteReference"/>
          <w:rFonts w:ascii="Times New Roman" w:eastAsia="Calibri" w:hAnsi="Times New Roman" w:cs="Times New Roman"/>
          <w:noProof/>
          <w:sz w:val="24"/>
          <w:szCs w:val="24"/>
          <w:lang w:eastAsia="de-DE"/>
        </w:rPr>
        <w:footnoteReference w:id="17"/>
      </w:r>
      <w:r>
        <w:rPr>
          <w:rFonts w:ascii="Times New Roman" w:hAnsi="Times New Roman"/>
          <w:noProof/>
          <w:sz w:val="24"/>
          <w:szCs w:val="24"/>
        </w:rPr>
        <w:t>. Ainsi, pour 2020, c’est le taux de change du 31 décembre 2019 qui est utilisé pour convertir le budget en monnaies autres que l’euro.</w:t>
      </w:r>
    </w:p>
    <w:p w:rsidR="00B81CFF" w:rsidRDefault="009B5596">
      <w:pPr>
        <w:spacing w:before="120" w:after="120"/>
        <w:jc w:val="both"/>
        <w:rPr>
          <w:rFonts w:ascii="Times New Roman" w:eastAsia="Calibri" w:hAnsi="Times New Roman" w:cs="Times New Roman"/>
          <w:noProof/>
          <w:sz w:val="24"/>
          <w:szCs w:val="24"/>
        </w:rPr>
      </w:pPr>
      <w:r>
        <w:rPr>
          <w:rFonts w:ascii="Times New Roman" w:hAnsi="Times New Roman"/>
          <w:noProof/>
          <w:sz w:val="24"/>
          <w:szCs w:val="24"/>
        </w:rPr>
        <w:t>Par conséquent, toute différence entre les taux de change utilisés pour le calcul du «douzième» mensuel en monnaie nationale et les taux comptables applicables au cours du mois du paiement du «douzième» entraîne inévitablement des écarts entre les montants de ressources propres en euros prévus dans le budget et le montant effectivement encaissé.</w:t>
      </w:r>
    </w:p>
    <w:p w:rsidR="00B81CFF" w:rsidRDefault="009B5596">
      <w:pPr>
        <w:spacing w:before="120" w:after="120"/>
        <w:jc w:val="both"/>
        <w:rPr>
          <w:rFonts w:ascii="Times New Roman" w:eastAsia="Calibri" w:hAnsi="Times New Roman" w:cs="Times New Roman"/>
          <w:noProof/>
          <w:sz w:val="24"/>
          <w:szCs w:val="24"/>
        </w:rPr>
      </w:pPr>
      <w:r>
        <w:rPr>
          <w:rFonts w:ascii="Times New Roman" w:hAnsi="Times New Roman"/>
          <w:noProof/>
          <w:sz w:val="24"/>
          <w:szCs w:val="24"/>
        </w:rPr>
        <w:t>Il se peut que les fluctuations mensuelles des taux de change se compensent mutuellement au cours d’un exercice budgétaire. En 2020, l’évolution des taux de change est toutefois globalement négative. De janvier à juin, un total négatif de 400,6 millions d’EUR de différences de change a été enregistré pour les ressources propres et inscrit dans le budget rectificatif nº 7.</w:t>
      </w:r>
    </w:p>
    <w:p w:rsidR="00B81CFF" w:rsidRDefault="009B5596">
      <w:pPr>
        <w:spacing w:before="120" w:after="120"/>
        <w:jc w:val="both"/>
        <w:rPr>
          <w:rFonts w:ascii="Times New Roman" w:eastAsia="Calibri" w:hAnsi="Times New Roman" w:cs="Times New Roman"/>
          <w:noProof/>
          <w:sz w:val="24"/>
          <w:szCs w:val="24"/>
        </w:rPr>
      </w:pPr>
      <w:r>
        <w:rPr>
          <w:rFonts w:ascii="Times New Roman" w:hAnsi="Times New Roman"/>
          <w:noProof/>
          <w:sz w:val="24"/>
          <w:szCs w:val="24"/>
        </w:rPr>
        <w:t>L’exposé des motifs du budget rectificatif nº 7 soulignait la possibilité de nouvelles évolutions négatives des taux de change et, partant, de modifications budgétaires supplémentaires qui seraient proposées à l’autorité budgétaire dans un projet de budget rectificatif à l’automne.</w:t>
      </w:r>
    </w:p>
    <w:p w:rsidR="00B81CFF" w:rsidRDefault="009B5596">
      <w:pPr>
        <w:spacing w:before="120" w:after="120"/>
        <w:jc w:val="both"/>
        <w:rPr>
          <w:rFonts w:ascii="Times New Roman" w:eastAsia="Calibri" w:hAnsi="Times New Roman" w:cs="Times New Roman"/>
          <w:noProof/>
          <w:sz w:val="24"/>
          <w:szCs w:val="24"/>
        </w:rPr>
      </w:pPr>
      <w:r>
        <w:rPr>
          <w:rFonts w:ascii="Times New Roman" w:hAnsi="Times New Roman"/>
          <w:noProof/>
          <w:sz w:val="24"/>
          <w:szCs w:val="24"/>
        </w:rPr>
        <w:t>Depuis lors (juillet à septembre), l’évolution des taux de change, notamment sous l’effet de la dépréciation de la livre sterling, a entraîné un déficit supplémentaire de 180 millions d’EUR. En septembre, la livre sterling s’est à nouveau fortement dépréciée. Si elle se maintient globalement au même niveau qu’au 1</w:t>
      </w:r>
      <w:r>
        <w:rPr>
          <w:rFonts w:ascii="Times New Roman" w:hAnsi="Times New Roman"/>
          <w:noProof/>
          <w:sz w:val="24"/>
          <w:szCs w:val="24"/>
          <w:vertAlign w:val="superscript"/>
        </w:rPr>
        <w:t>er</w:t>
      </w:r>
      <w:r>
        <w:rPr>
          <w:rFonts w:ascii="Times New Roman" w:hAnsi="Times New Roman"/>
          <w:noProof/>
          <w:sz w:val="24"/>
          <w:szCs w:val="24"/>
        </w:rPr>
        <w:t> octobre, un nouveau déficit de change de 536 millions d’EUR en termes de ressources propres devrait être enregistré au cours des trois derniers mois de l’année.</w:t>
      </w:r>
    </w:p>
    <w:p w:rsidR="00B81CFF" w:rsidRDefault="009B5596">
      <w:pPr>
        <w:spacing w:before="120" w:after="120"/>
        <w:jc w:val="both"/>
        <w:rPr>
          <w:rFonts w:ascii="Times New Roman" w:eastAsia="Calibri" w:hAnsi="Times New Roman" w:cs="Times New Roman"/>
          <w:noProof/>
          <w:sz w:val="24"/>
          <w:szCs w:val="24"/>
        </w:rPr>
      </w:pPr>
      <w:r>
        <w:rPr>
          <w:rFonts w:ascii="Times New Roman" w:hAnsi="Times New Roman"/>
          <w:noProof/>
          <w:sz w:val="24"/>
          <w:szCs w:val="24"/>
        </w:rPr>
        <w:t xml:space="preserve">Pour réduire le risque de déficit budgétaire à la fin de 2020, il est proposé d’inscrire au budget un montant négatif de 716 millions d’EUR (en plus du montant négatif de 400,6 millions d’EUR déjà budgétisé dans le budget rectificatif nº 7) afin de compenser les différences de change jusqu’à la fin de l’exercice. </w:t>
      </w: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
        <w:gridCol w:w="6480"/>
        <w:gridCol w:w="1704"/>
        <w:gridCol w:w="51"/>
      </w:tblGrid>
      <w:tr w:rsidR="00B81CFF">
        <w:tc>
          <w:tcPr>
            <w:tcW w:w="9303" w:type="dxa"/>
            <w:gridSpan w:val="4"/>
            <w:tcBorders>
              <w:top w:val="nil"/>
              <w:left w:val="nil"/>
              <w:bottom w:val="single" w:sz="4" w:space="0" w:color="auto"/>
              <w:right w:val="nil"/>
            </w:tcBorders>
            <w:shd w:val="clear" w:color="auto" w:fill="auto"/>
            <w:vAlign w:val="center"/>
          </w:tcPr>
          <w:p w:rsidR="00B81CFF" w:rsidRDefault="009B5596">
            <w:pPr>
              <w:widowControl w:val="0"/>
              <w:spacing w:before="15" w:after="15" w:line="240" w:lineRule="auto"/>
              <w:jc w:val="right"/>
              <w:rPr>
                <w:rFonts w:ascii="Times New Roman" w:eastAsia="Times New Roman" w:hAnsi="Times New Roman" w:cs="Times New Roman"/>
                <w:i/>
                <w:noProof/>
                <w:sz w:val="24"/>
                <w:szCs w:val="24"/>
              </w:rPr>
            </w:pPr>
            <w:r>
              <w:rPr>
                <w:rFonts w:ascii="Times New Roman" w:hAnsi="Times New Roman"/>
                <w:i/>
                <w:iCs/>
                <w:noProof/>
                <w:sz w:val="24"/>
                <w:szCs w:val="24"/>
              </w:rPr>
              <w:t>en EUR</w:t>
            </w:r>
          </w:p>
        </w:tc>
      </w:tr>
      <w:tr w:rsidR="00B81CFF">
        <w:trPr>
          <w:gridAfter w:val="1"/>
          <w:wAfter w:w="51" w:type="dxa"/>
        </w:trPr>
        <w:tc>
          <w:tcPr>
            <w:tcW w:w="1068" w:type="dxa"/>
            <w:tcBorders>
              <w:top w:val="single" w:sz="4" w:space="0" w:color="auto"/>
            </w:tcBorders>
            <w:shd w:val="clear" w:color="auto" w:fill="D9D9D9"/>
            <w:vAlign w:val="center"/>
          </w:tcPr>
          <w:p w:rsidR="00B81CFF" w:rsidRDefault="009B5596">
            <w:pPr>
              <w:keepNext/>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Ligne de recettes</w:t>
            </w:r>
          </w:p>
        </w:tc>
        <w:tc>
          <w:tcPr>
            <w:tcW w:w="6480" w:type="dxa"/>
            <w:tcBorders>
              <w:top w:val="single" w:sz="4" w:space="0" w:color="auto"/>
            </w:tcBorders>
            <w:shd w:val="clear" w:color="auto" w:fill="D9D9D9"/>
            <w:vAlign w:val="center"/>
          </w:tcPr>
          <w:p w:rsidR="00B81CFF" w:rsidRDefault="009B5596">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Intitulé</w:t>
            </w:r>
          </w:p>
        </w:tc>
        <w:tc>
          <w:tcPr>
            <w:tcW w:w="1704" w:type="dxa"/>
            <w:tcBorders>
              <w:top w:val="single" w:sz="4" w:space="0" w:color="auto"/>
            </w:tcBorders>
            <w:shd w:val="clear" w:color="auto" w:fill="D9D9D9"/>
            <w:vAlign w:val="center"/>
          </w:tcPr>
          <w:p w:rsidR="00B81CFF" w:rsidRDefault="009B5596">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Montant</w:t>
            </w:r>
          </w:p>
        </w:tc>
      </w:tr>
      <w:tr w:rsidR="00B81CFF">
        <w:trPr>
          <w:gridAfter w:val="1"/>
          <w:wAfter w:w="51" w:type="dxa"/>
        </w:trPr>
        <w:tc>
          <w:tcPr>
            <w:tcW w:w="1068" w:type="dxa"/>
          </w:tcPr>
          <w:p w:rsidR="00B81CFF" w:rsidRDefault="009B5596">
            <w:pPr>
              <w:widowControl w:val="0"/>
              <w:spacing w:before="15" w:after="15" w:line="240" w:lineRule="auto"/>
              <w:ind w:right="-113"/>
              <w:jc w:val="center"/>
              <w:rPr>
                <w:rFonts w:ascii="Times New Roman" w:eastAsia="Times New Roman" w:hAnsi="Times New Roman" w:cs="Times New Roman"/>
                <w:noProof/>
                <w:sz w:val="20"/>
                <w:szCs w:val="20"/>
              </w:rPr>
            </w:pPr>
            <w:r>
              <w:rPr>
                <w:rFonts w:ascii="Times New Roman" w:hAnsi="Times New Roman"/>
                <w:noProof/>
                <w:sz w:val="20"/>
                <w:szCs w:val="20"/>
              </w:rPr>
              <w:t>3 9 0</w:t>
            </w:r>
          </w:p>
        </w:tc>
        <w:tc>
          <w:tcPr>
            <w:tcW w:w="6480" w:type="dxa"/>
          </w:tcPr>
          <w:p w:rsidR="00B81CFF" w:rsidRDefault="009B5596">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Ajustement lié aux différences de change pour les ressources propres</w:t>
            </w:r>
          </w:p>
        </w:tc>
        <w:tc>
          <w:tcPr>
            <w:tcW w:w="1704" w:type="dxa"/>
          </w:tcPr>
          <w:p w:rsidR="00B81CFF" w:rsidRDefault="009B5596">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-716 000 000</w:t>
            </w:r>
          </w:p>
        </w:tc>
      </w:tr>
      <w:tr w:rsidR="00B81CFF">
        <w:trPr>
          <w:gridAfter w:val="1"/>
          <w:wAfter w:w="51" w:type="dxa"/>
        </w:trPr>
        <w:tc>
          <w:tcPr>
            <w:tcW w:w="7548" w:type="dxa"/>
            <w:gridSpan w:val="2"/>
            <w:shd w:val="clear" w:color="auto" w:fill="D9D9D9"/>
          </w:tcPr>
          <w:p w:rsidR="00B81CFF" w:rsidRDefault="009B5596">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b/>
                <w:noProof/>
                <w:sz w:val="20"/>
                <w:szCs w:val="20"/>
              </w:rPr>
              <w:t>Total</w:t>
            </w:r>
            <w:r>
              <w:rPr>
                <w:rFonts w:ascii="Times New Roman" w:hAnsi="Times New Roman"/>
                <w:b/>
                <w:noProof/>
                <w:sz w:val="20"/>
                <w:szCs w:val="20"/>
              </w:rPr>
              <w:tab/>
            </w:r>
          </w:p>
        </w:tc>
        <w:tc>
          <w:tcPr>
            <w:tcW w:w="1704" w:type="dxa"/>
            <w:shd w:val="clear" w:color="auto" w:fill="D9D9D9"/>
          </w:tcPr>
          <w:p w:rsidR="00B81CFF" w:rsidRDefault="009B5596">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-716 000 000</w:t>
            </w:r>
          </w:p>
        </w:tc>
      </w:tr>
    </w:tbl>
    <w:p w:rsidR="00B81CFF" w:rsidRDefault="00B81CFF">
      <w:pPr>
        <w:rPr>
          <w:rFonts w:ascii="Times New Roman" w:eastAsia="Calibri" w:hAnsi="Times New Roman" w:cs="Times New Roman"/>
          <w:b/>
          <w:noProof/>
          <w:sz w:val="24"/>
          <w:szCs w:val="24"/>
        </w:rPr>
      </w:pPr>
      <w:bookmarkStart w:id="55" w:name="_Toc43387614"/>
    </w:p>
    <w:p w:rsidR="00B81CFF" w:rsidRDefault="009B5596">
      <w:pPr>
        <w:keepNext/>
        <w:tabs>
          <w:tab w:val="left" w:pos="600"/>
        </w:tabs>
        <w:spacing w:before="240" w:after="120"/>
        <w:jc w:val="both"/>
        <w:outlineLvl w:val="1"/>
        <w:rPr>
          <w:rFonts w:ascii="Times New Roman" w:eastAsia="Calibri" w:hAnsi="Times New Roman" w:cs="Times New Roman"/>
          <w:b/>
          <w:noProof/>
          <w:sz w:val="24"/>
          <w:szCs w:val="24"/>
        </w:rPr>
      </w:pPr>
      <w:bookmarkStart w:id="56" w:name="_Toc53742114"/>
      <w:r>
        <w:rPr>
          <w:rFonts w:ascii="Times New Roman" w:hAnsi="Times New Roman"/>
          <w:b/>
          <w:noProof/>
          <w:sz w:val="24"/>
          <w:szCs w:val="24"/>
        </w:rPr>
        <w:t>4.2</w:t>
      </w:r>
      <w:r>
        <w:rPr>
          <w:rFonts w:ascii="Times New Roman" w:hAnsi="Times New Roman"/>
          <w:b/>
          <w:noProof/>
          <w:sz w:val="24"/>
          <w:szCs w:val="24"/>
        </w:rPr>
        <w:tab/>
      </w:r>
      <w:bookmarkStart w:id="57" w:name="_Toc52346066"/>
      <w:r>
        <w:rPr>
          <w:rFonts w:ascii="Times New Roman" w:hAnsi="Times New Roman"/>
          <w:b/>
          <w:noProof/>
          <w:sz w:val="24"/>
          <w:szCs w:val="24"/>
        </w:rPr>
        <w:t>Amendes et astreintes</w:t>
      </w:r>
      <w:bookmarkEnd w:id="55"/>
      <w:bookmarkEnd w:id="57"/>
      <w:bookmarkEnd w:id="56"/>
    </w:p>
    <w:p w:rsidR="00B81CFF" w:rsidRDefault="009B5596">
      <w:pPr>
        <w:spacing w:before="120" w:after="120"/>
        <w:jc w:val="both"/>
        <w:rPr>
          <w:rFonts w:ascii="Times New Roman" w:hAnsi="Times New Roman" w:cs="Times New Roman"/>
          <w:noProof/>
          <w:sz w:val="24"/>
          <w:szCs w:val="24"/>
        </w:rPr>
      </w:pPr>
      <w:r>
        <w:rPr>
          <w:rFonts w:ascii="Times New Roman" w:hAnsi="Times New Roman"/>
          <w:noProof/>
          <w:sz w:val="24"/>
          <w:szCs w:val="24"/>
        </w:rPr>
        <w:t>Compte tenu des montants qui ont été encaissés jusqu’à la fin de septembre, il est proposé d’augmenter de 128 millions d’EUR les prévisions inscrites dans le budget 2020 (218 millions d’EUR</w:t>
      </w:r>
      <w:r>
        <w:rPr>
          <w:rStyle w:val="FootnoteReference"/>
          <w:rFonts w:ascii="Times New Roman" w:eastAsia="Calibri" w:hAnsi="Times New Roman" w:cs="Times New Roman"/>
          <w:noProof/>
          <w:sz w:val="24"/>
          <w:szCs w:val="24"/>
        </w:rPr>
        <w:footnoteReference w:id="18"/>
      </w:r>
      <w:r>
        <w:rPr>
          <w:rFonts w:ascii="Times New Roman" w:hAnsi="Times New Roman"/>
          <w:noProof/>
          <w:sz w:val="24"/>
          <w:szCs w:val="24"/>
        </w:rPr>
        <w:t>), ce qui réduira d’autant les contributions des États membres au budget de l’UE au titre des ressources propres.</w:t>
      </w:r>
    </w:p>
    <w:p w:rsidR="00B81CFF" w:rsidRDefault="009B5596">
      <w:pPr>
        <w:spacing w:before="120" w:after="120"/>
        <w:jc w:val="both"/>
        <w:rPr>
          <w:rFonts w:ascii="Times New Roman" w:hAnsi="Times New Roman" w:cs="Times New Roman"/>
          <w:noProof/>
          <w:sz w:val="24"/>
          <w:szCs w:val="24"/>
        </w:rPr>
      </w:pPr>
      <w:r>
        <w:rPr>
          <w:rFonts w:ascii="Times New Roman" w:hAnsi="Times New Roman"/>
          <w:noProof/>
          <w:sz w:val="24"/>
          <w:szCs w:val="24"/>
        </w:rPr>
        <w:t>Le détail par ligne est présenté dans le tableau ci-dessous.</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
        <w:gridCol w:w="6480"/>
        <w:gridCol w:w="1701"/>
        <w:gridCol w:w="27"/>
      </w:tblGrid>
      <w:tr w:rsidR="00B81CFF">
        <w:tc>
          <w:tcPr>
            <w:tcW w:w="9276" w:type="dxa"/>
            <w:gridSpan w:val="4"/>
            <w:tcBorders>
              <w:top w:val="nil"/>
              <w:left w:val="nil"/>
              <w:bottom w:val="single" w:sz="4" w:space="0" w:color="auto"/>
              <w:right w:val="nil"/>
            </w:tcBorders>
            <w:shd w:val="clear" w:color="auto" w:fill="auto"/>
            <w:vAlign w:val="center"/>
          </w:tcPr>
          <w:p w:rsidR="00B81CFF" w:rsidRDefault="009B5596">
            <w:pPr>
              <w:widowControl w:val="0"/>
              <w:spacing w:before="15" w:after="15" w:line="240" w:lineRule="auto"/>
              <w:jc w:val="right"/>
              <w:rPr>
                <w:rFonts w:ascii="Times New Roman" w:eastAsia="Times New Roman" w:hAnsi="Times New Roman" w:cs="Times New Roman"/>
                <w:i/>
                <w:noProof/>
                <w:sz w:val="24"/>
                <w:szCs w:val="24"/>
              </w:rPr>
            </w:pPr>
            <w:r>
              <w:rPr>
                <w:rFonts w:ascii="Times New Roman" w:hAnsi="Times New Roman"/>
                <w:i/>
                <w:iCs/>
                <w:noProof/>
                <w:sz w:val="24"/>
                <w:szCs w:val="24"/>
              </w:rPr>
              <w:t>en EUR</w:t>
            </w:r>
          </w:p>
        </w:tc>
      </w:tr>
      <w:tr w:rsidR="00B81CFF">
        <w:trPr>
          <w:gridAfter w:val="1"/>
          <w:wAfter w:w="27" w:type="dxa"/>
        </w:trPr>
        <w:tc>
          <w:tcPr>
            <w:tcW w:w="1068" w:type="dxa"/>
            <w:tcBorders>
              <w:top w:val="single" w:sz="4" w:space="0" w:color="auto"/>
            </w:tcBorders>
            <w:shd w:val="clear" w:color="auto" w:fill="D9D9D9"/>
            <w:vAlign w:val="center"/>
          </w:tcPr>
          <w:p w:rsidR="00B81CFF" w:rsidRDefault="009B5596">
            <w:pPr>
              <w:keepNext/>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Ligne de recettes</w:t>
            </w:r>
          </w:p>
        </w:tc>
        <w:tc>
          <w:tcPr>
            <w:tcW w:w="6480" w:type="dxa"/>
            <w:tcBorders>
              <w:top w:val="single" w:sz="4" w:space="0" w:color="auto"/>
            </w:tcBorders>
            <w:shd w:val="clear" w:color="auto" w:fill="D9D9D9"/>
            <w:vAlign w:val="center"/>
          </w:tcPr>
          <w:p w:rsidR="00B81CFF" w:rsidRDefault="009B5596">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Intitulé</w:t>
            </w:r>
          </w:p>
        </w:tc>
        <w:tc>
          <w:tcPr>
            <w:tcW w:w="1701" w:type="dxa"/>
            <w:tcBorders>
              <w:top w:val="single" w:sz="4" w:space="0" w:color="auto"/>
            </w:tcBorders>
            <w:shd w:val="clear" w:color="auto" w:fill="D9D9D9"/>
            <w:vAlign w:val="center"/>
          </w:tcPr>
          <w:p w:rsidR="00B81CFF" w:rsidRDefault="009B5596">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Montant</w:t>
            </w:r>
          </w:p>
        </w:tc>
      </w:tr>
      <w:tr w:rsidR="00B81CFF">
        <w:trPr>
          <w:gridAfter w:val="1"/>
          <w:wAfter w:w="27" w:type="dxa"/>
        </w:trPr>
        <w:tc>
          <w:tcPr>
            <w:tcW w:w="1068" w:type="dxa"/>
          </w:tcPr>
          <w:p w:rsidR="00B81CFF" w:rsidRDefault="009B5596">
            <w:pPr>
              <w:widowControl w:val="0"/>
              <w:spacing w:before="15" w:after="15" w:line="240" w:lineRule="auto"/>
              <w:ind w:right="-113"/>
              <w:jc w:val="center"/>
              <w:rPr>
                <w:rFonts w:ascii="Times New Roman" w:eastAsia="Times New Roman" w:hAnsi="Times New Roman" w:cs="Times New Roman"/>
                <w:noProof/>
                <w:sz w:val="20"/>
                <w:szCs w:val="20"/>
              </w:rPr>
            </w:pPr>
            <w:r>
              <w:rPr>
                <w:rFonts w:ascii="Times New Roman" w:hAnsi="Times New Roman"/>
                <w:noProof/>
                <w:sz w:val="20"/>
                <w:szCs w:val="20"/>
              </w:rPr>
              <w:t>7 1 0</w:t>
            </w:r>
          </w:p>
        </w:tc>
        <w:tc>
          <w:tcPr>
            <w:tcW w:w="6480" w:type="dxa"/>
          </w:tcPr>
          <w:p w:rsidR="00B81CFF" w:rsidRDefault="009B5596">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Amendes, astreintes et sanctions liées à la mise en œuvre des règles de concurrence</w:t>
            </w:r>
          </w:p>
        </w:tc>
        <w:tc>
          <w:tcPr>
            <w:tcW w:w="1701" w:type="dxa"/>
          </w:tcPr>
          <w:p w:rsidR="00B81CFF" w:rsidRDefault="009B5596">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71 000 000</w:t>
            </w:r>
          </w:p>
        </w:tc>
      </w:tr>
      <w:tr w:rsidR="00B81CFF">
        <w:trPr>
          <w:gridAfter w:val="1"/>
          <w:wAfter w:w="27" w:type="dxa"/>
        </w:trPr>
        <w:tc>
          <w:tcPr>
            <w:tcW w:w="1068" w:type="dxa"/>
          </w:tcPr>
          <w:p w:rsidR="00B81CFF" w:rsidRDefault="009B5596">
            <w:pPr>
              <w:widowControl w:val="0"/>
              <w:spacing w:before="15" w:after="15" w:line="240" w:lineRule="auto"/>
              <w:ind w:right="-113"/>
              <w:jc w:val="center"/>
              <w:rPr>
                <w:rFonts w:ascii="Times New Roman" w:eastAsia="Times New Roman" w:hAnsi="Times New Roman" w:cs="Times New Roman"/>
                <w:noProof/>
                <w:sz w:val="20"/>
                <w:szCs w:val="20"/>
              </w:rPr>
            </w:pPr>
            <w:r>
              <w:rPr>
                <w:rFonts w:ascii="Times New Roman" w:hAnsi="Times New Roman"/>
                <w:noProof/>
                <w:sz w:val="20"/>
                <w:szCs w:val="20"/>
              </w:rPr>
              <w:t>7 1 1</w:t>
            </w:r>
          </w:p>
        </w:tc>
        <w:tc>
          <w:tcPr>
            <w:tcW w:w="6480" w:type="dxa"/>
          </w:tcPr>
          <w:p w:rsidR="00B81CFF" w:rsidRDefault="009B5596">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Astreintes et sommes forfaitaires imposées aux États membres en cas d’inexécution d’un arrêt de la Cour de justice de l’Union européenne en constatation de manquement aux obligations découlant du traité</w:t>
            </w:r>
          </w:p>
        </w:tc>
        <w:tc>
          <w:tcPr>
            <w:tcW w:w="1701" w:type="dxa"/>
          </w:tcPr>
          <w:p w:rsidR="00B81CFF" w:rsidRDefault="009B5596">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57 000 000</w:t>
            </w:r>
          </w:p>
        </w:tc>
      </w:tr>
      <w:tr w:rsidR="00B81CFF">
        <w:trPr>
          <w:gridAfter w:val="1"/>
          <w:wAfter w:w="27" w:type="dxa"/>
        </w:trPr>
        <w:tc>
          <w:tcPr>
            <w:tcW w:w="7548" w:type="dxa"/>
            <w:gridSpan w:val="2"/>
            <w:shd w:val="clear" w:color="auto" w:fill="D9D9D9"/>
          </w:tcPr>
          <w:p w:rsidR="00B81CFF" w:rsidRDefault="009B5596">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b/>
                <w:noProof/>
                <w:sz w:val="20"/>
                <w:szCs w:val="20"/>
              </w:rPr>
              <w:t>Total</w:t>
            </w:r>
            <w:r>
              <w:rPr>
                <w:rFonts w:ascii="Times New Roman" w:hAnsi="Times New Roman"/>
                <w:b/>
                <w:noProof/>
                <w:sz w:val="20"/>
                <w:szCs w:val="20"/>
              </w:rPr>
              <w:tab/>
            </w:r>
          </w:p>
        </w:tc>
        <w:tc>
          <w:tcPr>
            <w:tcW w:w="1701" w:type="dxa"/>
            <w:shd w:val="clear" w:color="auto" w:fill="D9D9D9"/>
          </w:tcPr>
          <w:p w:rsidR="00B81CFF" w:rsidRDefault="009B5596">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128 000 000</w:t>
            </w:r>
          </w:p>
        </w:tc>
      </w:tr>
    </w:tbl>
    <w:p w:rsidR="00B81CFF" w:rsidRDefault="009B5596">
      <w:pPr>
        <w:pStyle w:val="Text1"/>
        <w:ind w:left="0"/>
        <w:rPr>
          <w:b/>
          <w:smallCaps/>
          <w:noProof/>
        </w:rPr>
      </w:pPr>
      <w:r>
        <w:rPr>
          <w:noProof/>
        </w:rPr>
        <w:br w:type="page"/>
      </w:r>
    </w:p>
    <w:p w:rsidR="00B81CFF" w:rsidRDefault="009B5596">
      <w:pPr>
        <w:pStyle w:val="ManualHeading1"/>
        <w:numPr>
          <w:ilvl w:val="0"/>
          <w:numId w:val="2"/>
        </w:numPr>
        <w:rPr>
          <w:noProof/>
        </w:rPr>
      </w:pPr>
      <w:bookmarkStart w:id="58" w:name="_Toc41571886"/>
      <w:bookmarkStart w:id="59" w:name="_Toc52346067"/>
      <w:bookmarkStart w:id="60" w:name="_Toc53742115"/>
      <w:r>
        <w:rPr>
          <w:noProof/>
        </w:rPr>
        <w:t>Tableau récapitulatif par rubrique du CFP</w:t>
      </w:r>
      <w:bookmarkEnd w:id="12"/>
      <w:bookmarkEnd w:id="25"/>
      <w:bookmarkEnd w:id="58"/>
      <w:bookmarkEnd w:id="59"/>
      <w:bookmarkEnd w:id="60"/>
    </w:p>
    <w:tbl>
      <w:tblPr>
        <w:tblW w:w="10425" w:type="dxa"/>
        <w:jc w:val="center"/>
        <w:tblLook w:val="04A0" w:firstRow="1" w:lastRow="0" w:firstColumn="1" w:lastColumn="0" w:noHBand="0" w:noVBand="1"/>
      </w:tblPr>
      <w:tblGrid>
        <w:gridCol w:w="356"/>
        <w:gridCol w:w="2560"/>
        <w:gridCol w:w="1251"/>
        <w:gridCol w:w="1330"/>
        <w:gridCol w:w="1131"/>
        <w:gridCol w:w="1288"/>
        <w:gridCol w:w="1247"/>
        <w:gridCol w:w="1216"/>
        <w:gridCol w:w="46"/>
      </w:tblGrid>
      <w:tr w:rsidR="00B81CFF">
        <w:trPr>
          <w:trHeight w:val="188"/>
          <w:jc w:val="center"/>
        </w:trPr>
        <w:tc>
          <w:tcPr>
            <w:tcW w:w="10425" w:type="dxa"/>
            <w:gridSpan w:val="9"/>
            <w:tcBorders>
              <w:top w:val="nil"/>
              <w:left w:val="nil"/>
              <w:bottom w:val="single" w:sz="4" w:space="0" w:color="auto"/>
              <w:right w:val="nil"/>
            </w:tcBorders>
            <w:shd w:val="clear" w:color="auto" w:fill="auto"/>
            <w:noWrap/>
            <w:vAlign w:val="bottom"/>
            <w:hideMark/>
          </w:tcPr>
          <w:bookmarkEnd w:id="4"/>
          <w:bookmarkEnd w:id="5"/>
          <w:bookmarkEnd w:id="6"/>
          <w:bookmarkEnd w:id="7"/>
          <w:bookmarkEnd w:id="8"/>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en EUR</w:t>
            </w:r>
          </w:p>
        </w:tc>
      </w:tr>
      <w:tr w:rsidR="00B81CFF">
        <w:trPr>
          <w:gridAfter w:val="1"/>
          <w:wAfter w:w="46" w:type="dxa"/>
          <w:trHeight w:val="209"/>
          <w:jc w:val="center"/>
        </w:trPr>
        <w:tc>
          <w:tcPr>
            <w:tcW w:w="2916"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p w:rsidR="00B81CFF" w:rsidRDefault="009B5596">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Rubrique</w:t>
            </w:r>
          </w:p>
        </w:tc>
        <w:tc>
          <w:tcPr>
            <w:tcW w:w="2581" w:type="dxa"/>
            <w:gridSpan w:val="2"/>
            <w:tcBorders>
              <w:top w:val="single" w:sz="4" w:space="0" w:color="auto"/>
              <w:left w:val="nil"/>
              <w:bottom w:val="nil"/>
              <w:right w:val="single" w:sz="4" w:space="0" w:color="000000"/>
            </w:tcBorders>
            <w:shd w:val="clear" w:color="000000" w:fill="D9D9D9"/>
            <w:vAlign w:val="center"/>
            <w:hideMark/>
          </w:tcPr>
          <w:p w:rsidR="00B81CFF" w:rsidRDefault="009B5596">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Budget 2020</w:t>
            </w:r>
          </w:p>
        </w:tc>
        <w:tc>
          <w:tcPr>
            <w:tcW w:w="2419"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B81CFF" w:rsidRDefault="009B5596">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Projet de budget rectificatif 10/2020</w:t>
            </w:r>
          </w:p>
        </w:tc>
        <w:tc>
          <w:tcPr>
            <w:tcW w:w="2463" w:type="dxa"/>
            <w:gridSpan w:val="2"/>
            <w:tcBorders>
              <w:top w:val="single" w:sz="4" w:space="0" w:color="auto"/>
              <w:left w:val="nil"/>
              <w:bottom w:val="nil"/>
              <w:right w:val="single" w:sz="4" w:space="0" w:color="000000"/>
            </w:tcBorders>
            <w:shd w:val="clear" w:color="000000" w:fill="D9D9D9"/>
            <w:vAlign w:val="center"/>
            <w:hideMark/>
          </w:tcPr>
          <w:p w:rsidR="00B81CFF" w:rsidRDefault="009B5596">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Budget 2020</w:t>
            </w:r>
          </w:p>
        </w:tc>
      </w:tr>
      <w:tr w:rsidR="00B81CFF">
        <w:trPr>
          <w:gridAfter w:val="1"/>
          <w:wAfter w:w="46" w:type="dxa"/>
          <w:trHeight w:val="209"/>
          <w:jc w:val="center"/>
        </w:trPr>
        <w:tc>
          <w:tcPr>
            <w:tcW w:w="2916" w:type="dxa"/>
            <w:gridSpan w:val="2"/>
            <w:vMerge/>
            <w:tcBorders>
              <w:top w:val="single" w:sz="4" w:space="0" w:color="auto"/>
              <w:left w:val="single" w:sz="4" w:space="0" w:color="auto"/>
              <w:bottom w:val="nil"/>
              <w:right w:val="single" w:sz="4" w:space="0" w:color="000000"/>
            </w:tcBorders>
            <w:vAlign w:val="center"/>
            <w:hideMark/>
          </w:tcPr>
          <w:p w:rsidR="00B81CFF" w:rsidRDefault="00B81CFF">
            <w:pPr>
              <w:spacing w:after="0" w:line="240" w:lineRule="auto"/>
              <w:rPr>
                <w:rFonts w:ascii="Times New Roman" w:eastAsia="Times New Roman" w:hAnsi="Times New Roman" w:cs="Times New Roman"/>
                <w:b/>
                <w:bCs/>
                <w:noProof/>
                <w:color w:val="000000"/>
                <w:sz w:val="14"/>
                <w:szCs w:val="14"/>
                <w:lang w:val="en-US"/>
              </w:rPr>
            </w:pPr>
          </w:p>
        </w:tc>
        <w:tc>
          <w:tcPr>
            <w:tcW w:w="2581" w:type="dxa"/>
            <w:gridSpan w:val="2"/>
            <w:tcBorders>
              <w:top w:val="nil"/>
              <w:left w:val="nil"/>
              <w:bottom w:val="single" w:sz="4" w:space="0" w:color="auto"/>
              <w:right w:val="single" w:sz="4" w:space="0" w:color="000000"/>
            </w:tcBorders>
            <w:shd w:val="clear" w:color="000000" w:fill="D9D9D9"/>
            <w:vAlign w:val="center"/>
            <w:hideMark/>
          </w:tcPr>
          <w:p w:rsidR="00B81CFF" w:rsidRDefault="009B5596">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(y compris BR 1-7 et PBR 9/2020)</w:t>
            </w:r>
          </w:p>
        </w:tc>
        <w:tc>
          <w:tcPr>
            <w:tcW w:w="2419" w:type="dxa"/>
            <w:gridSpan w:val="2"/>
            <w:vMerge/>
            <w:tcBorders>
              <w:top w:val="single" w:sz="4" w:space="0" w:color="auto"/>
              <w:left w:val="single" w:sz="4" w:space="0" w:color="auto"/>
              <w:bottom w:val="single" w:sz="4" w:space="0" w:color="000000"/>
              <w:right w:val="single" w:sz="4" w:space="0" w:color="000000"/>
            </w:tcBorders>
            <w:vAlign w:val="center"/>
            <w:hideMark/>
          </w:tcPr>
          <w:p w:rsidR="00B81CFF" w:rsidRDefault="00B81CFF">
            <w:pPr>
              <w:spacing w:after="0" w:line="240" w:lineRule="auto"/>
              <w:rPr>
                <w:rFonts w:ascii="Times New Roman" w:eastAsia="Times New Roman" w:hAnsi="Times New Roman" w:cs="Times New Roman"/>
                <w:b/>
                <w:bCs/>
                <w:noProof/>
                <w:color w:val="000000"/>
                <w:sz w:val="14"/>
                <w:szCs w:val="14"/>
                <w:lang w:val="fr-BE"/>
              </w:rPr>
            </w:pPr>
          </w:p>
        </w:tc>
        <w:tc>
          <w:tcPr>
            <w:tcW w:w="2463" w:type="dxa"/>
            <w:gridSpan w:val="2"/>
            <w:tcBorders>
              <w:top w:val="nil"/>
              <w:left w:val="nil"/>
              <w:bottom w:val="single" w:sz="4" w:space="0" w:color="auto"/>
              <w:right w:val="single" w:sz="4" w:space="0" w:color="000000"/>
            </w:tcBorders>
            <w:shd w:val="clear" w:color="000000" w:fill="D9D9D9"/>
            <w:vAlign w:val="center"/>
            <w:hideMark/>
          </w:tcPr>
          <w:p w:rsidR="00B81CFF" w:rsidRDefault="009B5596">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(y compris BR 1-7 et PBR 9-10/2020)</w:t>
            </w:r>
          </w:p>
        </w:tc>
      </w:tr>
      <w:tr w:rsidR="00B81CFF">
        <w:trPr>
          <w:gridAfter w:val="1"/>
          <w:wAfter w:w="46" w:type="dxa"/>
          <w:trHeight w:val="209"/>
          <w:jc w:val="center"/>
        </w:trPr>
        <w:tc>
          <w:tcPr>
            <w:tcW w:w="2916" w:type="dxa"/>
            <w:gridSpan w:val="2"/>
            <w:vMerge/>
            <w:tcBorders>
              <w:top w:val="single" w:sz="4" w:space="0" w:color="auto"/>
              <w:left w:val="single" w:sz="4" w:space="0" w:color="auto"/>
              <w:bottom w:val="nil"/>
              <w:right w:val="single" w:sz="4" w:space="0" w:color="000000"/>
            </w:tcBorders>
            <w:vAlign w:val="center"/>
            <w:hideMark/>
          </w:tcPr>
          <w:p w:rsidR="00B81CFF" w:rsidRDefault="00B81CFF">
            <w:pPr>
              <w:spacing w:after="0" w:line="240" w:lineRule="auto"/>
              <w:rPr>
                <w:rFonts w:ascii="Times New Roman" w:eastAsia="Times New Roman" w:hAnsi="Times New Roman" w:cs="Times New Roman"/>
                <w:b/>
                <w:bCs/>
                <w:noProof/>
                <w:color w:val="000000"/>
                <w:sz w:val="14"/>
                <w:szCs w:val="14"/>
                <w:lang w:val="fr-BE"/>
              </w:rPr>
            </w:pPr>
          </w:p>
        </w:tc>
        <w:tc>
          <w:tcPr>
            <w:tcW w:w="1251" w:type="dxa"/>
            <w:tcBorders>
              <w:top w:val="nil"/>
              <w:left w:val="nil"/>
              <w:bottom w:val="nil"/>
              <w:right w:val="single" w:sz="4" w:space="0" w:color="auto"/>
            </w:tcBorders>
            <w:shd w:val="clear" w:color="000000" w:fill="D9D9D9"/>
            <w:vAlign w:val="center"/>
            <w:hideMark/>
          </w:tcPr>
          <w:p w:rsidR="00B81CFF" w:rsidRDefault="009B5596">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CE</w:t>
            </w:r>
          </w:p>
        </w:tc>
        <w:tc>
          <w:tcPr>
            <w:tcW w:w="1330" w:type="dxa"/>
            <w:tcBorders>
              <w:top w:val="nil"/>
              <w:left w:val="nil"/>
              <w:bottom w:val="single" w:sz="4" w:space="0" w:color="auto"/>
              <w:right w:val="single" w:sz="4" w:space="0" w:color="auto"/>
            </w:tcBorders>
            <w:shd w:val="clear" w:color="000000" w:fill="D9D9D9"/>
            <w:vAlign w:val="center"/>
            <w:hideMark/>
          </w:tcPr>
          <w:p w:rsidR="00B81CFF" w:rsidRDefault="009B5596">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CP</w:t>
            </w:r>
          </w:p>
        </w:tc>
        <w:tc>
          <w:tcPr>
            <w:tcW w:w="1131" w:type="dxa"/>
            <w:tcBorders>
              <w:top w:val="nil"/>
              <w:left w:val="nil"/>
              <w:bottom w:val="single" w:sz="4" w:space="0" w:color="auto"/>
              <w:right w:val="single" w:sz="4" w:space="0" w:color="auto"/>
            </w:tcBorders>
            <w:shd w:val="clear" w:color="000000" w:fill="D9D9D9"/>
            <w:vAlign w:val="center"/>
            <w:hideMark/>
          </w:tcPr>
          <w:p w:rsidR="00B81CFF" w:rsidRDefault="009B5596">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CE</w:t>
            </w:r>
          </w:p>
        </w:tc>
        <w:tc>
          <w:tcPr>
            <w:tcW w:w="1288" w:type="dxa"/>
            <w:tcBorders>
              <w:top w:val="nil"/>
              <w:left w:val="nil"/>
              <w:bottom w:val="single" w:sz="4" w:space="0" w:color="auto"/>
              <w:right w:val="single" w:sz="4" w:space="0" w:color="auto"/>
            </w:tcBorders>
            <w:shd w:val="clear" w:color="000000" w:fill="D9D9D9"/>
            <w:vAlign w:val="center"/>
            <w:hideMark/>
          </w:tcPr>
          <w:p w:rsidR="00B81CFF" w:rsidRDefault="009B5596">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CP</w:t>
            </w:r>
          </w:p>
        </w:tc>
        <w:tc>
          <w:tcPr>
            <w:tcW w:w="1247" w:type="dxa"/>
            <w:tcBorders>
              <w:top w:val="nil"/>
              <w:left w:val="nil"/>
              <w:bottom w:val="single" w:sz="4" w:space="0" w:color="auto"/>
              <w:right w:val="single" w:sz="4" w:space="0" w:color="auto"/>
            </w:tcBorders>
            <w:shd w:val="clear" w:color="000000" w:fill="D9D9D9"/>
            <w:vAlign w:val="center"/>
            <w:hideMark/>
          </w:tcPr>
          <w:p w:rsidR="00B81CFF" w:rsidRDefault="009B5596">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CE</w:t>
            </w:r>
          </w:p>
        </w:tc>
        <w:tc>
          <w:tcPr>
            <w:tcW w:w="1216" w:type="dxa"/>
            <w:tcBorders>
              <w:top w:val="nil"/>
              <w:left w:val="nil"/>
              <w:bottom w:val="single" w:sz="4" w:space="0" w:color="auto"/>
              <w:right w:val="single" w:sz="4" w:space="0" w:color="auto"/>
            </w:tcBorders>
            <w:shd w:val="clear" w:color="000000" w:fill="D9D9D9"/>
            <w:vAlign w:val="center"/>
            <w:hideMark/>
          </w:tcPr>
          <w:p w:rsidR="00B81CFF" w:rsidRDefault="009B5596">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CP</w:t>
            </w:r>
          </w:p>
        </w:tc>
      </w:tr>
      <w:tr w:rsidR="00B81CFF">
        <w:trPr>
          <w:gridAfter w:val="1"/>
          <w:wAfter w:w="46" w:type="dxa"/>
          <w:trHeight w:val="227"/>
          <w:jc w:val="center"/>
        </w:trPr>
        <w:tc>
          <w:tcPr>
            <w:tcW w:w="356" w:type="dxa"/>
            <w:tcBorders>
              <w:top w:val="single" w:sz="4" w:space="0" w:color="auto"/>
              <w:left w:val="single" w:sz="4" w:space="0" w:color="auto"/>
              <w:bottom w:val="dotted" w:sz="4" w:space="0" w:color="auto"/>
              <w:right w:val="nil"/>
            </w:tcBorders>
            <w:shd w:val="clear" w:color="auto" w:fill="auto"/>
            <w:vAlign w:val="center"/>
            <w:hideMark/>
          </w:tcPr>
          <w:p w:rsidR="00B81CFF" w:rsidRDefault="009B5596">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w:t>
            </w:r>
          </w:p>
        </w:tc>
        <w:tc>
          <w:tcPr>
            <w:tcW w:w="2560" w:type="dxa"/>
            <w:tcBorders>
              <w:top w:val="single" w:sz="4" w:space="0" w:color="auto"/>
              <w:left w:val="nil"/>
              <w:bottom w:val="dotted" w:sz="4" w:space="0" w:color="auto"/>
              <w:right w:val="single" w:sz="4" w:space="0" w:color="auto"/>
            </w:tcBorders>
            <w:shd w:val="clear" w:color="auto" w:fill="auto"/>
            <w:vAlign w:val="center"/>
            <w:hideMark/>
          </w:tcPr>
          <w:p w:rsidR="00B81CFF" w:rsidRDefault="009B5596">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Croissance intelligente et inclusive</w:t>
            </w:r>
          </w:p>
        </w:tc>
        <w:tc>
          <w:tcPr>
            <w:tcW w:w="1251" w:type="dxa"/>
            <w:tcBorders>
              <w:top w:val="single" w:sz="4" w:space="0" w:color="auto"/>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83 930 597 837</w:t>
            </w:r>
          </w:p>
        </w:tc>
        <w:tc>
          <w:tcPr>
            <w:tcW w:w="1330"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77 453 828 442</w:t>
            </w:r>
          </w:p>
        </w:tc>
        <w:tc>
          <w:tcPr>
            <w:tcW w:w="113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- 12 219 937</w:t>
            </w:r>
          </w:p>
        </w:tc>
        <w:tc>
          <w:tcPr>
            <w:tcW w:w="1288"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184 685 788</w:t>
            </w:r>
          </w:p>
        </w:tc>
        <w:tc>
          <w:tcPr>
            <w:tcW w:w="1247"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83 918 377 900</w:t>
            </w:r>
          </w:p>
        </w:tc>
        <w:tc>
          <w:tcPr>
            <w:tcW w:w="1216"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77 638 514 230</w:t>
            </w:r>
          </w:p>
        </w:tc>
      </w:tr>
      <w:tr w:rsidR="00B81CF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Plafond </w:t>
            </w:r>
          </w:p>
        </w:tc>
        <w:tc>
          <w:tcPr>
            <w:tcW w:w="125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83 661 000 000</w:t>
            </w:r>
          </w:p>
        </w:tc>
        <w:tc>
          <w:tcPr>
            <w:tcW w:w="1330"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3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88"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47"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83 661 000 000</w:t>
            </w:r>
          </w:p>
        </w:tc>
        <w:tc>
          <w:tcPr>
            <w:tcW w:w="1216"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rsidR="00B81CF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Marge</w:t>
            </w:r>
          </w:p>
        </w:tc>
        <w:tc>
          <w:tcPr>
            <w:tcW w:w="1251"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30"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31"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88"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47"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16"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rsidR="00B81CFF">
        <w:trPr>
          <w:gridAfter w:val="1"/>
          <w:wAfter w:w="46" w:type="dxa"/>
          <w:trHeight w:val="227"/>
          <w:jc w:val="center"/>
        </w:trPr>
        <w:tc>
          <w:tcPr>
            <w:tcW w:w="356" w:type="dxa"/>
            <w:tcBorders>
              <w:top w:val="nil"/>
              <w:left w:val="single" w:sz="4" w:space="0" w:color="auto"/>
              <w:bottom w:val="dotted" w:sz="4" w:space="0" w:color="auto"/>
              <w:right w:val="nil"/>
            </w:tcBorders>
            <w:shd w:val="clear" w:color="auto" w:fill="auto"/>
            <w:vAlign w:val="center"/>
            <w:hideMark/>
          </w:tcPr>
          <w:p w:rsidR="00B81CFF" w:rsidRDefault="009B5596">
            <w:pPr>
              <w:spacing w:after="0" w:line="240" w:lineRule="auto"/>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1a</w:t>
            </w:r>
          </w:p>
        </w:tc>
        <w:tc>
          <w:tcPr>
            <w:tcW w:w="2560"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Compétitivité pour la croissance et l’emploi</w:t>
            </w:r>
          </w:p>
        </w:tc>
        <w:tc>
          <w:tcPr>
            <w:tcW w:w="125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25 284 773 982</w:t>
            </w:r>
          </w:p>
        </w:tc>
        <w:tc>
          <w:tcPr>
            <w:tcW w:w="1330"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22 308 071 592</w:t>
            </w:r>
          </w:p>
        </w:tc>
        <w:tc>
          <w:tcPr>
            <w:tcW w:w="113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- 12 219 937</w:t>
            </w:r>
          </w:p>
        </w:tc>
        <w:tc>
          <w:tcPr>
            <w:tcW w:w="1288"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84 685 788</w:t>
            </w:r>
          </w:p>
        </w:tc>
        <w:tc>
          <w:tcPr>
            <w:tcW w:w="1247"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25 272 554 045</w:t>
            </w:r>
          </w:p>
        </w:tc>
        <w:tc>
          <w:tcPr>
            <w:tcW w:w="1216"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22 392 757 380</w:t>
            </w:r>
          </w:p>
        </w:tc>
      </w:tr>
      <w:tr w:rsidR="00B81CF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dont part relevant de la marge globale pour les engagements</w:t>
            </w:r>
          </w:p>
        </w:tc>
        <w:tc>
          <w:tcPr>
            <w:tcW w:w="125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93 773 982</w:t>
            </w:r>
          </w:p>
        </w:tc>
        <w:tc>
          <w:tcPr>
            <w:tcW w:w="1330"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3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- 12 219 937</w:t>
            </w:r>
          </w:p>
        </w:tc>
        <w:tc>
          <w:tcPr>
            <w:tcW w:w="1288"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w:t>
            </w:r>
          </w:p>
        </w:tc>
        <w:tc>
          <w:tcPr>
            <w:tcW w:w="1247"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81 554 045</w:t>
            </w:r>
          </w:p>
        </w:tc>
        <w:tc>
          <w:tcPr>
            <w:tcW w:w="1216"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rsidR="00B81CF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Plafond</w:t>
            </w:r>
          </w:p>
        </w:tc>
        <w:tc>
          <w:tcPr>
            <w:tcW w:w="125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25 191 000 000</w:t>
            </w:r>
          </w:p>
        </w:tc>
        <w:tc>
          <w:tcPr>
            <w:tcW w:w="1330"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3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88"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47"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25 191 000 000</w:t>
            </w:r>
          </w:p>
        </w:tc>
        <w:tc>
          <w:tcPr>
            <w:tcW w:w="1216"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rsidR="00B81CF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Marge</w:t>
            </w:r>
          </w:p>
        </w:tc>
        <w:tc>
          <w:tcPr>
            <w:tcW w:w="1251"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30"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31"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88"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47"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16"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rsidR="00B81CFF">
        <w:trPr>
          <w:gridAfter w:val="1"/>
          <w:wAfter w:w="46" w:type="dxa"/>
          <w:trHeight w:val="227"/>
          <w:jc w:val="center"/>
        </w:trPr>
        <w:tc>
          <w:tcPr>
            <w:tcW w:w="356" w:type="dxa"/>
            <w:tcBorders>
              <w:top w:val="nil"/>
              <w:left w:val="single" w:sz="4" w:space="0" w:color="auto"/>
              <w:bottom w:val="dotted" w:sz="4" w:space="0" w:color="auto"/>
              <w:right w:val="nil"/>
            </w:tcBorders>
            <w:shd w:val="clear" w:color="auto" w:fill="auto"/>
            <w:vAlign w:val="center"/>
            <w:hideMark/>
          </w:tcPr>
          <w:p w:rsidR="00B81CFF" w:rsidRDefault="009B5596">
            <w:pPr>
              <w:spacing w:after="0" w:line="240" w:lineRule="auto"/>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1b </w:t>
            </w:r>
          </w:p>
        </w:tc>
        <w:tc>
          <w:tcPr>
            <w:tcW w:w="2560"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Cohésion économique, sociale et territoriale</w:t>
            </w:r>
          </w:p>
        </w:tc>
        <w:tc>
          <w:tcPr>
            <w:tcW w:w="125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58 645 823 855</w:t>
            </w:r>
          </w:p>
        </w:tc>
        <w:tc>
          <w:tcPr>
            <w:tcW w:w="1330"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55 145 756 850</w:t>
            </w:r>
          </w:p>
        </w:tc>
        <w:tc>
          <w:tcPr>
            <w:tcW w:w="113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w:t>
            </w:r>
          </w:p>
        </w:tc>
        <w:tc>
          <w:tcPr>
            <w:tcW w:w="1288"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100 000 000</w:t>
            </w:r>
          </w:p>
        </w:tc>
        <w:tc>
          <w:tcPr>
            <w:tcW w:w="1247"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58 645 823 855</w:t>
            </w:r>
          </w:p>
        </w:tc>
        <w:tc>
          <w:tcPr>
            <w:tcW w:w="1216"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55 245 756 850</w:t>
            </w:r>
          </w:p>
        </w:tc>
      </w:tr>
      <w:tr w:rsidR="00B81CF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dont part relevant de la marge globale pour les engagements</w:t>
            </w:r>
          </w:p>
        </w:tc>
        <w:tc>
          <w:tcPr>
            <w:tcW w:w="125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175 823 855</w:t>
            </w:r>
          </w:p>
        </w:tc>
        <w:tc>
          <w:tcPr>
            <w:tcW w:w="1330"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3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88"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47"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175 823 855</w:t>
            </w:r>
          </w:p>
        </w:tc>
        <w:tc>
          <w:tcPr>
            <w:tcW w:w="1216"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rsidR="00B81CF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Plafond</w:t>
            </w:r>
          </w:p>
        </w:tc>
        <w:tc>
          <w:tcPr>
            <w:tcW w:w="125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58 470 000 000</w:t>
            </w:r>
          </w:p>
        </w:tc>
        <w:tc>
          <w:tcPr>
            <w:tcW w:w="1330"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3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88"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47"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58 470 000 000</w:t>
            </w:r>
          </w:p>
        </w:tc>
        <w:tc>
          <w:tcPr>
            <w:tcW w:w="1216"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rsidR="00B81CF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Marge</w:t>
            </w:r>
          </w:p>
        </w:tc>
        <w:tc>
          <w:tcPr>
            <w:tcW w:w="1251"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30"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31"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88"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47"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16"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rsidR="00B81CFF">
        <w:trPr>
          <w:gridAfter w:val="1"/>
          <w:wAfter w:w="46" w:type="dxa"/>
          <w:trHeight w:val="375"/>
          <w:jc w:val="center"/>
        </w:trPr>
        <w:tc>
          <w:tcPr>
            <w:tcW w:w="356" w:type="dxa"/>
            <w:tcBorders>
              <w:top w:val="nil"/>
              <w:left w:val="single" w:sz="4" w:space="0" w:color="auto"/>
              <w:bottom w:val="dotted" w:sz="4" w:space="0" w:color="auto"/>
              <w:right w:val="nil"/>
            </w:tcBorders>
            <w:shd w:val="clear" w:color="auto" w:fill="auto"/>
            <w:vAlign w:val="center"/>
            <w:hideMark/>
          </w:tcPr>
          <w:p w:rsidR="00B81CFF" w:rsidRDefault="009B5596">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2.</w:t>
            </w:r>
          </w:p>
        </w:tc>
        <w:tc>
          <w:tcPr>
            <w:tcW w:w="2560"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Croissance durable: ressources naturelles</w:t>
            </w:r>
          </w:p>
        </w:tc>
        <w:tc>
          <w:tcPr>
            <w:tcW w:w="125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59 907 021 051</w:t>
            </w:r>
          </w:p>
        </w:tc>
        <w:tc>
          <w:tcPr>
            <w:tcW w:w="1330"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57 904 492 439</w:t>
            </w:r>
          </w:p>
        </w:tc>
        <w:tc>
          <w:tcPr>
            <w:tcW w:w="113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48 655 078</w:t>
            </w:r>
          </w:p>
        </w:tc>
        <w:tc>
          <w:tcPr>
            <w:tcW w:w="1288"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798 655 078</w:t>
            </w:r>
          </w:p>
        </w:tc>
        <w:tc>
          <w:tcPr>
            <w:tcW w:w="1247"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59 955 676 129</w:t>
            </w:r>
          </w:p>
        </w:tc>
        <w:tc>
          <w:tcPr>
            <w:tcW w:w="1216"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58 703 147 517</w:t>
            </w:r>
          </w:p>
        </w:tc>
      </w:tr>
      <w:tr w:rsidR="00B81CF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Plafond</w:t>
            </w:r>
          </w:p>
        </w:tc>
        <w:tc>
          <w:tcPr>
            <w:tcW w:w="125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60 421 000 000</w:t>
            </w:r>
          </w:p>
        </w:tc>
        <w:tc>
          <w:tcPr>
            <w:tcW w:w="1330"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3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88"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47"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60 421 000 000</w:t>
            </w:r>
          </w:p>
        </w:tc>
        <w:tc>
          <w:tcPr>
            <w:tcW w:w="1216"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rsidR="00B81CF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dont part compensée sur la marge pour imprévus</w:t>
            </w:r>
          </w:p>
        </w:tc>
        <w:tc>
          <w:tcPr>
            <w:tcW w:w="125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- 465 323 871</w:t>
            </w:r>
          </w:p>
        </w:tc>
        <w:tc>
          <w:tcPr>
            <w:tcW w:w="1330"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3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88"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47"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- 465 323 871</w:t>
            </w:r>
          </w:p>
        </w:tc>
        <w:tc>
          <w:tcPr>
            <w:tcW w:w="1216"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rsidR="00B81CF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Marge</w:t>
            </w:r>
          </w:p>
        </w:tc>
        <w:tc>
          <w:tcPr>
            <w:tcW w:w="1251"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48 655 078</w:t>
            </w:r>
          </w:p>
        </w:tc>
        <w:tc>
          <w:tcPr>
            <w:tcW w:w="1330"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31"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88"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47"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16"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rsidR="00B81CFF">
        <w:trPr>
          <w:gridAfter w:val="1"/>
          <w:wAfter w:w="46" w:type="dxa"/>
          <w:trHeight w:val="346"/>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B81CFF" w:rsidRDefault="009B5596">
            <w:pPr>
              <w:spacing w:after="0" w:line="240" w:lineRule="auto"/>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dont: Fonds européen agricole de garantie (FEAGA) — Dépenses relatives au marché et paiements directs</w:t>
            </w:r>
          </w:p>
        </w:tc>
        <w:tc>
          <w:tcPr>
            <w:tcW w:w="125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43 410 105 687</w:t>
            </w:r>
          </w:p>
        </w:tc>
        <w:tc>
          <w:tcPr>
            <w:tcW w:w="1330"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43 380 031 798</w:t>
            </w:r>
          </w:p>
        </w:tc>
        <w:tc>
          <w:tcPr>
            <w:tcW w:w="113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48 655 078</w:t>
            </w:r>
          </w:p>
        </w:tc>
        <w:tc>
          <w:tcPr>
            <w:tcW w:w="1288"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48 655 078</w:t>
            </w:r>
          </w:p>
        </w:tc>
        <w:tc>
          <w:tcPr>
            <w:tcW w:w="1247"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43 458 760 765</w:t>
            </w:r>
          </w:p>
        </w:tc>
        <w:tc>
          <w:tcPr>
            <w:tcW w:w="1216"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43 428 686 876</w:t>
            </w:r>
          </w:p>
        </w:tc>
      </w:tr>
      <w:tr w:rsidR="00B81CF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Sous-plafond</w:t>
            </w:r>
          </w:p>
        </w:tc>
        <w:tc>
          <w:tcPr>
            <w:tcW w:w="125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43 888 000 000</w:t>
            </w:r>
          </w:p>
        </w:tc>
        <w:tc>
          <w:tcPr>
            <w:tcW w:w="1330"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3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88"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47"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43 888 000 000</w:t>
            </w:r>
          </w:p>
        </w:tc>
        <w:tc>
          <w:tcPr>
            <w:tcW w:w="1216"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rsidR="00B81CF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Écart d’arrondis exclu du calcul de la marge</w:t>
            </w:r>
          </w:p>
        </w:tc>
        <w:tc>
          <w:tcPr>
            <w:tcW w:w="125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888 000</w:t>
            </w:r>
          </w:p>
        </w:tc>
        <w:tc>
          <w:tcPr>
            <w:tcW w:w="1330"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3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88"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47"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888 000</w:t>
            </w:r>
          </w:p>
        </w:tc>
        <w:tc>
          <w:tcPr>
            <w:tcW w:w="1216"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rsidR="00B81CF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dont part compensée sur la marge pour imprévus</w:t>
            </w:r>
          </w:p>
        </w:tc>
        <w:tc>
          <w:tcPr>
            <w:tcW w:w="125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- 428 351 235</w:t>
            </w:r>
          </w:p>
        </w:tc>
        <w:tc>
          <w:tcPr>
            <w:tcW w:w="1330"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3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88"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47"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- 428 351 235</w:t>
            </w:r>
          </w:p>
        </w:tc>
        <w:tc>
          <w:tcPr>
            <w:tcW w:w="1216"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rsidR="00B81CF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Marge du FEAGA</w:t>
            </w:r>
          </w:p>
        </w:tc>
        <w:tc>
          <w:tcPr>
            <w:tcW w:w="1251"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48 655 078</w:t>
            </w:r>
          </w:p>
        </w:tc>
        <w:tc>
          <w:tcPr>
            <w:tcW w:w="1330"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31"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88"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47"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16"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rsidR="00B81CFF">
        <w:trPr>
          <w:gridAfter w:val="1"/>
          <w:wAfter w:w="46" w:type="dxa"/>
          <w:trHeight w:val="227"/>
          <w:jc w:val="center"/>
        </w:trPr>
        <w:tc>
          <w:tcPr>
            <w:tcW w:w="356" w:type="dxa"/>
            <w:tcBorders>
              <w:top w:val="nil"/>
              <w:left w:val="single" w:sz="4" w:space="0" w:color="auto"/>
              <w:bottom w:val="dotted" w:sz="4" w:space="0" w:color="auto"/>
              <w:right w:val="nil"/>
            </w:tcBorders>
            <w:shd w:val="clear" w:color="auto" w:fill="auto"/>
            <w:vAlign w:val="center"/>
            <w:hideMark/>
          </w:tcPr>
          <w:p w:rsidR="00B81CFF" w:rsidRDefault="009B5596">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3.</w:t>
            </w:r>
          </w:p>
        </w:tc>
        <w:tc>
          <w:tcPr>
            <w:tcW w:w="2560"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Sécurité et citoyenneté</w:t>
            </w:r>
          </w:p>
        </w:tc>
        <w:tc>
          <w:tcPr>
            <w:tcW w:w="125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7 152 374 489</w:t>
            </w:r>
          </w:p>
        </w:tc>
        <w:tc>
          <w:tcPr>
            <w:tcW w:w="1330"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6 368 527 141</w:t>
            </w:r>
          </w:p>
        </w:tc>
        <w:tc>
          <w:tcPr>
            <w:tcW w:w="113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w:t>
            </w:r>
          </w:p>
        </w:tc>
        <w:tc>
          <w:tcPr>
            <w:tcW w:w="1288"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w:t>
            </w:r>
          </w:p>
        </w:tc>
        <w:tc>
          <w:tcPr>
            <w:tcW w:w="1247"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7 152 374 489</w:t>
            </w:r>
          </w:p>
        </w:tc>
        <w:tc>
          <w:tcPr>
            <w:tcW w:w="1216"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6 368 527 141</w:t>
            </w:r>
          </w:p>
        </w:tc>
      </w:tr>
      <w:tr w:rsidR="00B81CF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dont part relevant de l’instrument de flexibilité</w:t>
            </w:r>
          </w:p>
        </w:tc>
        <w:tc>
          <w:tcPr>
            <w:tcW w:w="125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1 094 414 188</w:t>
            </w:r>
          </w:p>
        </w:tc>
        <w:tc>
          <w:tcPr>
            <w:tcW w:w="1330"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3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88"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47"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1 094 414 188</w:t>
            </w:r>
          </w:p>
        </w:tc>
        <w:tc>
          <w:tcPr>
            <w:tcW w:w="1216"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rsidR="00B81CF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dont part relevant de la marge globale pour les engagements</w:t>
            </w:r>
          </w:p>
        </w:tc>
        <w:tc>
          <w:tcPr>
            <w:tcW w:w="125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2 392 402 163</w:t>
            </w:r>
          </w:p>
        </w:tc>
        <w:tc>
          <w:tcPr>
            <w:tcW w:w="1330"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3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88"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47"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2 392 402 163</w:t>
            </w:r>
          </w:p>
        </w:tc>
        <w:tc>
          <w:tcPr>
            <w:tcW w:w="1216"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rsidR="00B81CF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dont part relevant de la marge pour imprévus</w:t>
            </w:r>
          </w:p>
        </w:tc>
        <w:tc>
          <w:tcPr>
            <w:tcW w:w="125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714 558 138</w:t>
            </w:r>
          </w:p>
        </w:tc>
        <w:tc>
          <w:tcPr>
            <w:tcW w:w="1330"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3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88"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47"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714 558 138</w:t>
            </w:r>
          </w:p>
        </w:tc>
        <w:tc>
          <w:tcPr>
            <w:tcW w:w="1216"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rsidR="00B81CF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Plafond</w:t>
            </w:r>
          </w:p>
        </w:tc>
        <w:tc>
          <w:tcPr>
            <w:tcW w:w="125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2 951 000 000</w:t>
            </w:r>
          </w:p>
        </w:tc>
        <w:tc>
          <w:tcPr>
            <w:tcW w:w="1330"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3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88"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47"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2 951 000 000</w:t>
            </w:r>
          </w:p>
        </w:tc>
        <w:tc>
          <w:tcPr>
            <w:tcW w:w="1216"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rsidR="00B81CF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Marge</w:t>
            </w:r>
          </w:p>
        </w:tc>
        <w:tc>
          <w:tcPr>
            <w:tcW w:w="1251"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30"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31"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88"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47"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16"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rsidR="00B81CFF">
        <w:trPr>
          <w:gridAfter w:val="1"/>
          <w:wAfter w:w="46" w:type="dxa"/>
          <w:trHeight w:val="227"/>
          <w:jc w:val="center"/>
        </w:trPr>
        <w:tc>
          <w:tcPr>
            <w:tcW w:w="356" w:type="dxa"/>
            <w:tcBorders>
              <w:top w:val="nil"/>
              <w:left w:val="single" w:sz="4" w:space="0" w:color="auto"/>
              <w:bottom w:val="dotted" w:sz="4" w:space="0" w:color="auto"/>
              <w:right w:val="nil"/>
            </w:tcBorders>
            <w:shd w:val="clear" w:color="auto" w:fill="auto"/>
            <w:vAlign w:val="center"/>
            <w:hideMark/>
          </w:tcPr>
          <w:p w:rsidR="00B81CFF" w:rsidRDefault="009B5596">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4.</w:t>
            </w:r>
          </w:p>
        </w:tc>
        <w:tc>
          <w:tcPr>
            <w:tcW w:w="2560"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L’Europe dans le monde</w:t>
            </w:r>
          </w:p>
        </w:tc>
        <w:tc>
          <w:tcPr>
            <w:tcW w:w="125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10 991 572 239</w:t>
            </w:r>
          </w:p>
        </w:tc>
        <w:tc>
          <w:tcPr>
            <w:tcW w:w="1330"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9 112 061 191</w:t>
            </w:r>
          </w:p>
        </w:tc>
        <w:tc>
          <w:tcPr>
            <w:tcW w:w="113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w:t>
            </w:r>
          </w:p>
        </w:tc>
        <w:tc>
          <w:tcPr>
            <w:tcW w:w="1288"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586 000 000</w:t>
            </w:r>
          </w:p>
        </w:tc>
        <w:tc>
          <w:tcPr>
            <w:tcW w:w="1247"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10 991 572 239</w:t>
            </w:r>
          </w:p>
        </w:tc>
        <w:tc>
          <w:tcPr>
            <w:tcW w:w="1216"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9 698 061 191</w:t>
            </w:r>
          </w:p>
        </w:tc>
      </w:tr>
      <w:tr w:rsidR="00B81CF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dont part relevant de la marge pour imprévus</w:t>
            </w:r>
          </w:p>
        </w:tc>
        <w:tc>
          <w:tcPr>
            <w:tcW w:w="125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481 572 239</w:t>
            </w:r>
          </w:p>
        </w:tc>
        <w:tc>
          <w:tcPr>
            <w:tcW w:w="1330"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3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88"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47"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481 572 239</w:t>
            </w:r>
          </w:p>
        </w:tc>
        <w:tc>
          <w:tcPr>
            <w:tcW w:w="1216"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rsidR="00B81CF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Plafond</w:t>
            </w:r>
          </w:p>
        </w:tc>
        <w:tc>
          <w:tcPr>
            <w:tcW w:w="125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10 510 000 000</w:t>
            </w:r>
          </w:p>
        </w:tc>
        <w:tc>
          <w:tcPr>
            <w:tcW w:w="1330"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3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88"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47"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10 510 000 000</w:t>
            </w:r>
          </w:p>
        </w:tc>
        <w:tc>
          <w:tcPr>
            <w:tcW w:w="1216"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rsidR="00B81CF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Marge</w:t>
            </w:r>
          </w:p>
        </w:tc>
        <w:tc>
          <w:tcPr>
            <w:tcW w:w="1251" w:type="dxa"/>
            <w:tcBorders>
              <w:top w:val="nil"/>
              <w:left w:val="nil"/>
              <w:bottom w:val="single" w:sz="4" w:space="0" w:color="auto"/>
              <w:right w:val="single" w:sz="4" w:space="0" w:color="auto"/>
            </w:tcBorders>
            <w:shd w:val="clear" w:color="000000" w:fill="FFFFFF"/>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30" w:type="dxa"/>
            <w:tcBorders>
              <w:top w:val="nil"/>
              <w:left w:val="nil"/>
              <w:bottom w:val="single" w:sz="4" w:space="0" w:color="auto"/>
              <w:right w:val="single" w:sz="4" w:space="0" w:color="auto"/>
            </w:tcBorders>
            <w:shd w:val="clear" w:color="000000" w:fill="FFFFFF"/>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31"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88"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47" w:type="dxa"/>
            <w:tcBorders>
              <w:top w:val="nil"/>
              <w:left w:val="nil"/>
              <w:bottom w:val="single" w:sz="4" w:space="0" w:color="auto"/>
              <w:right w:val="single" w:sz="4" w:space="0" w:color="auto"/>
            </w:tcBorders>
            <w:shd w:val="clear" w:color="000000" w:fill="FFFFFF"/>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16"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rsidR="00B81CFF">
        <w:trPr>
          <w:gridAfter w:val="1"/>
          <w:wAfter w:w="46" w:type="dxa"/>
          <w:trHeight w:val="227"/>
          <w:jc w:val="center"/>
        </w:trPr>
        <w:tc>
          <w:tcPr>
            <w:tcW w:w="356" w:type="dxa"/>
            <w:tcBorders>
              <w:top w:val="nil"/>
              <w:left w:val="single" w:sz="4" w:space="0" w:color="auto"/>
              <w:bottom w:val="dotted" w:sz="4" w:space="0" w:color="auto"/>
              <w:right w:val="nil"/>
            </w:tcBorders>
            <w:shd w:val="clear" w:color="auto" w:fill="auto"/>
            <w:vAlign w:val="center"/>
            <w:hideMark/>
          </w:tcPr>
          <w:p w:rsidR="00B81CFF" w:rsidRDefault="009B5596">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5.</w:t>
            </w:r>
          </w:p>
        </w:tc>
        <w:tc>
          <w:tcPr>
            <w:tcW w:w="2560"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Administration</w:t>
            </w:r>
          </w:p>
        </w:tc>
        <w:tc>
          <w:tcPr>
            <w:tcW w:w="125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10 271 193 494</w:t>
            </w:r>
          </w:p>
        </w:tc>
        <w:tc>
          <w:tcPr>
            <w:tcW w:w="1330"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10 274 196 704</w:t>
            </w:r>
          </w:p>
        </w:tc>
        <w:tc>
          <w:tcPr>
            <w:tcW w:w="113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w:t>
            </w:r>
          </w:p>
        </w:tc>
        <w:tc>
          <w:tcPr>
            <w:tcW w:w="1288"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w:t>
            </w:r>
          </w:p>
        </w:tc>
        <w:tc>
          <w:tcPr>
            <w:tcW w:w="1247"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10 271 193 494</w:t>
            </w:r>
          </w:p>
        </w:tc>
        <w:tc>
          <w:tcPr>
            <w:tcW w:w="1216"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10 274 196 704</w:t>
            </w:r>
          </w:p>
        </w:tc>
      </w:tr>
      <w:tr w:rsidR="00B81CF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Plafond</w:t>
            </w:r>
          </w:p>
        </w:tc>
        <w:tc>
          <w:tcPr>
            <w:tcW w:w="125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11 254 000 000</w:t>
            </w:r>
          </w:p>
        </w:tc>
        <w:tc>
          <w:tcPr>
            <w:tcW w:w="1330"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3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88"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47"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11 254 000 000</w:t>
            </w:r>
          </w:p>
        </w:tc>
        <w:tc>
          <w:tcPr>
            <w:tcW w:w="1216"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rsidR="00B81CF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dont part compensée sur la marge pour imprévus</w:t>
            </w:r>
          </w:p>
        </w:tc>
        <w:tc>
          <w:tcPr>
            <w:tcW w:w="125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- 982 806 506</w:t>
            </w:r>
          </w:p>
        </w:tc>
        <w:tc>
          <w:tcPr>
            <w:tcW w:w="1330"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3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88"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47"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- 982 806 506</w:t>
            </w:r>
          </w:p>
        </w:tc>
        <w:tc>
          <w:tcPr>
            <w:tcW w:w="1216"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rsidR="00B81CF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Marge</w:t>
            </w:r>
          </w:p>
        </w:tc>
        <w:tc>
          <w:tcPr>
            <w:tcW w:w="125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30"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3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88"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47"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16"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rsidR="00B81CFF">
        <w:trPr>
          <w:gridAfter w:val="1"/>
          <w:wAfter w:w="46" w:type="dxa"/>
          <w:trHeight w:val="360"/>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B81CFF" w:rsidRDefault="009B5596">
            <w:pPr>
              <w:spacing w:after="0" w:line="240" w:lineRule="auto"/>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dont: dépenses administratives des institutions</w:t>
            </w:r>
          </w:p>
        </w:tc>
        <w:tc>
          <w:tcPr>
            <w:tcW w:w="1251" w:type="dxa"/>
            <w:tcBorders>
              <w:top w:val="single" w:sz="4" w:space="0" w:color="auto"/>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7 955 303 132</w:t>
            </w:r>
          </w:p>
        </w:tc>
        <w:tc>
          <w:tcPr>
            <w:tcW w:w="1330" w:type="dxa"/>
            <w:tcBorders>
              <w:top w:val="single" w:sz="4" w:space="0" w:color="auto"/>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7 958 306 342</w:t>
            </w:r>
          </w:p>
        </w:tc>
        <w:tc>
          <w:tcPr>
            <w:tcW w:w="1131" w:type="dxa"/>
            <w:tcBorders>
              <w:top w:val="single" w:sz="4" w:space="0" w:color="auto"/>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w:t>
            </w:r>
          </w:p>
        </w:tc>
        <w:tc>
          <w:tcPr>
            <w:tcW w:w="1288" w:type="dxa"/>
            <w:tcBorders>
              <w:top w:val="single" w:sz="4" w:space="0" w:color="auto"/>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w:t>
            </w:r>
          </w:p>
        </w:tc>
        <w:tc>
          <w:tcPr>
            <w:tcW w:w="1247" w:type="dxa"/>
            <w:tcBorders>
              <w:top w:val="single" w:sz="4" w:space="0" w:color="auto"/>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7 955 303 132</w:t>
            </w:r>
          </w:p>
        </w:tc>
        <w:tc>
          <w:tcPr>
            <w:tcW w:w="1216" w:type="dxa"/>
            <w:tcBorders>
              <w:top w:val="single" w:sz="4" w:space="0" w:color="auto"/>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7 958 306 342</w:t>
            </w:r>
          </w:p>
        </w:tc>
      </w:tr>
      <w:tr w:rsidR="00B81CF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Sous-plafond</w:t>
            </w:r>
          </w:p>
        </w:tc>
        <w:tc>
          <w:tcPr>
            <w:tcW w:w="125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9 071 000 000</w:t>
            </w:r>
          </w:p>
        </w:tc>
        <w:tc>
          <w:tcPr>
            <w:tcW w:w="1330"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3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88"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47"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9 071 000 000</w:t>
            </w:r>
          </w:p>
        </w:tc>
        <w:tc>
          <w:tcPr>
            <w:tcW w:w="1216"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rsidR="00B81CF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dont part compensée sur la marge pour imprévus</w:t>
            </w:r>
          </w:p>
        </w:tc>
        <w:tc>
          <w:tcPr>
            <w:tcW w:w="125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- 982 806 506</w:t>
            </w:r>
          </w:p>
        </w:tc>
        <w:tc>
          <w:tcPr>
            <w:tcW w:w="1330"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31"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88"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47"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- 982 806 506</w:t>
            </w:r>
          </w:p>
        </w:tc>
        <w:tc>
          <w:tcPr>
            <w:tcW w:w="1216" w:type="dxa"/>
            <w:tcBorders>
              <w:top w:val="nil"/>
              <w:left w:val="nil"/>
              <w:bottom w:val="dotted"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rsidR="00B81CF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Marge</w:t>
            </w:r>
          </w:p>
        </w:tc>
        <w:tc>
          <w:tcPr>
            <w:tcW w:w="1251"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132 890 362</w:t>
            </w:r>
          </w:p>
        </w:tc>
        <w:tc>
          <w:tcPr>
            <w:tcW w:w="1330"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131"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88"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c>
          <w:tcPr>
            <w:tcW w:w="1247"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132 890 362</w:t>
            </w:r>
          </w:p>
        </w:tc>
        <w:tc>
          <w:tcPr>
            <w:tcW w:w="1216"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w:t>
            </w:r>
          </w:p>
        </w:tc>
      </w:tr>
      <w:tr w:rsidR="00B81CFF">
        <w:trPr>
          <w:gridAfter w:val="1"/>
          <w:wAfter w:w="46" w:type="dxa"/>
          <w:trHeight w:val="127"/>
          <w:jc w:val="center"/>
        </w:trPr>
        <w:tc>
          <w:tcPr>
            <w:tcW w:w="2916"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Total</w:t>
            </w:r>
          </w:p>
        </w:tc>
        <w:tc>
          <w:tcPr>
            <w:tcW w:w="1251" w:type="dxa"/>
            <w:tcBorders>
              <w:top w:val="single" w:sz="4" w:space="0" w:color="auto"/>
              <w:left w:val="nil"/>
              <w:bottom w:val="dotted"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172 252 759 110</w:t>
            </w:r>
          </w:p>
        </w:tc>
        <w:tc>
          <w:tcPr>
            <w:tcW w:w="1330" w:type="dxa"/>
            <w:tcBorders>
              <w:top w:val="single" w:sz="4" w:space="0" w:color="auto"/>
              <w:left w:val="nil"/>
              <w:bottom w:val="dotted"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161 113 105 917</w:t>
            </w:r>
          </w:p>
        </w:tc>
        <w:tc>
          <w:tcPr>
            <w:tcW w:w="1131" w:type="dxa"/>
            <w:tcBorders>
              <w:top w:val="single" w:sz="4" w:space="0" w:color="auto"/>
              <w:left w:val="nil"/>
              <w:bottom w:val="dotted"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36 435 141</w:t>
            </w:r>
          </w:p>
        </w:tc>
        <w:tc>
          <w:tcPr>
            <w:tcW w:w="1288" w:type="dxa"/>
            <w:tcBorders>
              <w:top w:val="single" w:sz="4" w:space="0" w:color="auto"/>
              <w:left w:val="nil"/>
              <w:bottom w:val="dotted"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1 569 340 866</w:t>
            </w:r>
          </w:p>
        </w:tc>
        <w:tc>
          <w:tcPr>
            <w:tcW w:w="1247" w:type="dxa"/>
            <w:tcBorders>
              <w:top w:val="single" w:sz="4" w:space="0" w:color="auto"/>
              <w:left w:val="nil"/>
              <w:bottom w:val="dotted"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172 289 194 251</w:t>
            </w:r>
          </w:p>
        </w:tc>
        <w:tc>
          <w:tcPr>
            <w:tcW w:w="1216" w:type="dxa"/>
            <w:tcBorders>
              <w:top w:val="single" w:sz="4" w:space="0" w:color="auto"/>
              <w:left w:val="nil"/>
              <w:bottom w:val="dotted"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162 682 446 783</w:t>
            </w:r>
          </w:p>
        </w:tc>
      </w:tr>
      <w:tr w:rsidR="00B81CF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dont part relevant de l’instrument de flexibilité</w:t>
            </w:r>
          </w:p>
        </w:tc>
        <w:tc>
          <w:tcPr>
            <w:tcW w:w="1251" w:type="dxa"/>
            <w:tcBorders>
              <w:top w:val="nil"/>
              <w:left w:val="nil"/>
              <w:bottom w:val="dotted"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1 094 414 188</w:t>
            </w:r>
          </w:p>
        </w:tc>
        <w:tc>
          <w:tcPr>
            <w:tcW w:w="1330" w:type="dxa"/>
            <w:tcBorders>
              <w:top w:val="nil"/>
              <w:left w:val="nil"/>
              <w:bottom w:val="dotted"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1 017 029 444</w:t>
            </w:r>
          </w:p>
        </w:tc>
        <w:tc>
          <w:tcPr>
            <w:tcW w:w="1131" w:type="dxa"/>
            <w:tcBorders>
              <w:top w:val="nil"/>
              <w:left w:val="nil"/>
              <w:bottom w:val="dotted"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288" w:type="dxa"/>
            <w:tcBorders>
              <w:top w:val="nil"/>
              <w:left w:val="nil"/>
              <w:bottom w:val="dotted"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w:t>
            </w:r>
          </w:p>
        </w:tc>
        <w:tc>
          <w:tcPr>
            <w:tcW w:w="1247" w:type="dxa"/>
            <w:tcBorders>
              <w:top w:val="nil"/>
              <w:left w:val="nil"/>
              <w:bottom w:val="dotted"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1 094 414 188</w:t>
            </w:r>
          </w:p>
        </w:tc>
        <w:tc>
          <w:tcPr>
            <w:tcW w:w="1216" w:type="dxa"/>
            <w:tcBorders>
              <w:top w:val="nil"/>
              <w:left w:val="nil"/>
              <w:bottom w:val="dotted"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1 017 029 444</w:t>
            </w:r>
          </w:p>
        </w:tc>
      </w:tr>
      <w:tr w:rsidR="00B81CF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dont part relevant de la marge globale pour les engagements</w:t>
            </w:r>
          </w:p>
        </w:tc>
        <w:tc>
          <w:tcPr>
            <w:tcW w:w="1251" w:type="dxa"/>
            <w:tcBorders>
              <w:top w:val="nil"/>
              <w:left w:val="nil"/>
              <w:bottom w:val="dotted"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2 662 000 000</w:t>
            </w:r>
          </w:p>
        </w:tc>
        <w:tc>
          <w:tcPr>
            <w:tcW w:w="1330" w:type="dxa"/>
            <w:tcBorders>
              <w:top w:val="nil"/>
              <w:left w:val="nil"/>
              <w:bottom w:val="dotted"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w:t>
            </w:r>
          </w:p>
        </w:tc>
        <w:tc>
          <w:tcPr>
            <w:tcW w:w="1131" w:type="dxa"/>
            <w:tcBorders>
              <w:top w:val="nil"/>
              <w:left w:val="nil"/>
              <w:bottom w:val="dotted"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- 12 219 937</w:t>
            </w:r>
          </w:p>
        </w:tc>
        <w:tc>
          <w:tcPr>
            <w:tcW w:w="1288" w:type="dxa"/>
            <w:tcBorders>
              <w:top w:val="nil"/>
              <w:left w:val="nil"/>
              <w:bottom w:val="dotted"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w:t>
            </w:r>
          </w:p>
        </w:tc>
        <w:tc>
          <w:tcPr>
            <w:tcW w:w="1247" w:type="dxa"/>
            <w:tcBorders>
              <w:top w:val="nil"/>
              <w:left w:val="nil"/>
              <w:bottom w:val="dotted"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2 649 780 063</w:t>
            </w:r>
          </w:p>
        </w:tc>
        <w:tc>
          <w:tcPr>
            <w:tcW w:w="1216" w:type="dxa"/>
            <w:tcBorders>
              <w:top w:val="nil"/>
              <w:left w:val="nil"/>
              <w:bottom w:val="dotted"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w:t>
            </w:r>
          </w:p>
        </w:tc>
      </w:tr>
      <w:tr w:rsidR="00B81CF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dont part relevant de la marge pour imprévus</w:t>
            </w:r>
          </w:p>
        </w:tc>
        <w:tc>
          <w:tcPr>
            <w:tcW w:w="1251" w:type="dxa"/>
            <w:tcBorders>
              <w:top w:val="nil"/>
              <w:left w:val="nil"/>
              <w:bottom w:val="dotted"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1 196 130 377</w:t>
            </w:r>
          </w:p>
        </w:tc>
        <w:tc>
          <w:tcPr>
            <w:tcW w:w="1330" w:type="dxa"/>
            <w:tcBorders>
              <w:top w:val="nil"/>
              <w:left w:val="nil"/>
              <w:bottom w:val="dotted"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w:t>
            </w:r>
          </w:p>
        </w:tc>
        <w:tc>
          <w:tcPr>
            <w:tcW w:w="1131" w:type="dxa"/>
            <w:tcBorders>
              <w:top w:val="nil"/>
              <w:left w:val="nil"/>
              <w:bottom w:val="dotted"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288" w:type="dxa"/>
            <w:tcBorders>
              <w:top w:val="nil"/>
              <w:left w:val="nil"/>
              <w:bottom w:val="dotted"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w:t>
            </w:r>
          </w:p>
        </w:tc>
        <w:tc>
          <w:tcPr>
            <w:tcW w:w="1247" w:type="dxa"/>
            <w:tcBorders>
              <w:top w:val="nil"/>
              <w:left w:val="nil"/>
              <w:bottom w:val="dotted"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1 196 130 377</w:t>
            </w:r>
          </w:p>
        </w:tc>
        <w:tc>
          <w:tcPr>
            <w:tcW w:w="1216" w:type="dxa"/>
            <w:tcBorders>
              <w:top w:val="nil"/>
              <w:left w:val="nil"/>
              <w:bottom w:val="dotted"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w:t>
            </w:r>
          </w:p>
        </w:tc>
      </w:tr>
      <w:tr w:rsidR="00B81CF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Plafond</w:t>
            </w:r>
          </w:p>
        </w:tc>
        <w:tc>
          <w:tcPr>
            <w:tcW w:w="1251" w:type="dxa"/>
            <w:tcBorders>
              <w:top w:val="nil"/>
              <w:left w:val="nil"/>
              <w:bottom w:val="dotted"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168 797 000 000</w:t>
            </w:r>
          </w:p>
        </w:tc>
        <w:tc>
          <w:tcPr>
            <w:tcW w:w="1330" w:type="dxa"/>
            <w:tcBorders>
              <w:top w:val="nil"/>
              <w:left w:val="nil"/>
              <w:bottom w:val="dotted"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172 420 000 000</w:t>
            </w:r>
          </w:p>
        </w:tc>
        <w:tc>
          <w:tcPr>
            <w:tcW w:w="1131" w:type="dxa"/>
            <w:tcBorders>
              <w:top w:val="nil"/>
              <w:left w:val="nil"/>
              <w:bottom w:val="dotted"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288" w:type="dxa"/>
            <w:tcBorders>
              <w:top w:val="nil"/>
              <w:left w:val="nil"/>
              <w:bottom w:val="dotted"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w:t>
            </w:r>
          </w:p>
        </w:tc>
        <w:tc>
          <w:tcPr>
            <w:tcW w:w="1247" w:type="dxa"/>
            <w:tcBorders>
              <w:top w:val="nil"/>
              <w:left w:val="nil"/>
              <w:bottom w:val="dotted"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168 797 000 000</w:t>
            </w:r>
          </w:p>
        </w:tc>
        <w:tc>
          <w:tcPr>
            <w:tcW w:w="1216" w:type="dxa"/>
            <w:tcBorders>
              <w:top w:val="nil"/>
              <w:left w:val="nil"/>
              <w:bottom w:val="dotted"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172 420 000 000</w:t>
            </w:r>
          </w:p>
        </w:tc>
      </w:tr>
      <w:tr w:rsidR="00B81CF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dont part compensée sur la marge pour imprévus</w:t>
            </w:r>
          </w:p>
        </w:tc>
        <w:tc>
          <w:tcPr>
            <w:tcW w:w="1251" w:type="dxa"/>
            <w:tcBorders>
              <w:top w:val="nil"/>
              <w:left w:val="nil"/>
              <w:bottom w:val="dotted"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-1 448 130 377</w:t>
            </w:r>
          </w:p>
        </w:tc>
        <w:tc>
          <w:tcPr>
            <w:tcW w:w="1330" w:type="dxa"/>
            <w:tcBorders>
              <w:top w:val="nil"/>
              <w:left w:val="nil"/>
              <w:bottom w:val="dotted"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131" w:type="dxa"/>
            <w:tcBorders>
              <w:top w:val="nil"/>
              <w:left w:val="nil"/>
              <w:bottom w:val="dotted"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288" w:type="dxa"/>
            <w:tcBorders>
              <w:top w:val="nil"/>
              <w:left w:val="nil"/>
              <w:bottom w:val="dotted"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w:t>
            </w:r>
          </w:p>
        </w:tc>
        <w:tc>
          <w:tcPr>
            <w:tcW w:w="1247" w:type="dxa"/>
            <w:tcBorders>
              <w:top w:val="nil"/>
              <w:left w:val="nil"/>
              <w:bottom w:val="dotted"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-1 448 130 377</w:t>
            </w:r>
          </w:p>
        </w:tc>
        <w:tc>
          <w:tcPr>
            <w:tcW w:w="1216" w:type="dxa"/>
            <w:tcBorders>
              <w:top w:val="nil"/>
              <w:left w:val="nil"/>
              <w:bottom w:val="dotted"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r>
      <w:tr w:rsidR="00B81CFF">
        <w:trPr>
          <w:gridAfter w:val="1"/>
          <w:wAfter w:w="46" w:type="dxa"/>
          <w:trHeight w:val="207"/>
          <w:jc w:val="center"/>
        </w:trPr>
        <w:tc>
          <w:tcPr>
            <w:tcW w:w="2916" w:type="dxa"/>
            <w:gridSpan w:val="2"/>
            <w:tcBorders>
              <w:top w:val="dotted" w:sz="4" w:space="0" w:color="auto"/>
              <w:left w:val="single" w:sz="4" w:space="0" w:color="auto"/>
              <w:bottom w:val="nil"/>
              <w:right w:val="single" w:sz="4" w:space="0" w:color="000000"/>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Marge</w:t>
            </w:r>
          </w:p>
        </w:tc>
        <w:tc>
          <w:tcPr>
            <w:tcW w:w="1251" w:type="dxa"/>
            <w:tcBorders>
              <w:top w:val="nil"/>
              <w:left w:val="nil"/>
              <w:bottom w:val="single"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48 655 078</w:t>
            </w:r>
          </w:p>
        </w:tc>
        <w:tc>
          <w:tcPr>
            <w:tcW w:w="1330" w:type="dxa"/>
            <w:tcBorders>
              <w:top w:val="nil"/>
              <w:left w:val="nil"/>
              <w:bottom w:val="single"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12 323 923 527</w:t>
            </w:r>
          </w:p>
        </w:tc>
        <w:tc>
          <w:tcPr>
            <w:tcW w:w="1131" w:type="dxa"/>
            <w:tcBorders>
              <w:top w:val="nil"/>
              <w:left w:val="nil"/>
              <w:bottom w:val="single"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w:t>
            </w:r>
          </w:p>
        </w:tc>
        <w:tc>
          <w:tcPr>
            <w:tcW w:w="1288" w:type="dxa"/>
            <w:tcBorders>
              <w:top w:val="nil"/>
              <w:left w:val="nil"/>
              <w:bottom w:val="single"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w:t>
            </w:r>
          </w:p>
        </w:tc>
        <w:tc>
          <w:tcPr>
            <w:tcW w:w="1247" w:type="dxa"/>
            <w:tcBorders>
              <w:top w:val="nil"/>
              <w:left w:val="nil"/>
              <w:bottom w:val="single"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216" w:type="dxa"/>
            <w:tcBorders>
              <w:top w:val="nil"/>
              <w:left w:val="nil"/>
              <w:bottom w:val="single"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10 754 582 661</w:t>
            </w:r>
          </w:p>
        </w:tc>
      </w:tr>
      <w:tr w:rsidR="00B81CFF">
        <w:trPr>
          <w:gridAfter w:val="1"/>
          <w:wAfter w:w="46" w:type="dxa"/>
          <w:trHeight w:val="227"/>
          <w:jc w:val="center"/>
        </w:trPr>
        <w:tc>
          <w:tcPr>
            <w:tcW w:w="356" w:type="dxa"/>
            <w:tcBorders>
              <w:top w:val="single" w:sz="4" w:space="0" w:color="auto"/>
              <w:left w:val="single" w:sz="4" w:space="0" w:color="auto"/>
              <w:bottom w:val="single" w:sz="4" w:space="0" w:color="auto"/>
              <w:right w:val="nil"/>
            </w:tcBorders>
            <w:shd w:val="clear" w:color="auto" w:fill="auto"/>
            <w:vAlign w:val="center"/>
            <w:hideMark/>
          </w:tcPr>
          <w:p w:rsidR="00B81CFF" w:rsidRDefault="009B5596">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B81CFF" w:rsidRDefault="009B5596">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Autres instruments spéciaux</w:t>
            </w:r>
          </w:p>
        </w:tc>
        <w:tc>
          <w:tcPr>
            <w:tcW w:w="1251"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1 594 857 964</w:t>
            </w:r>
          </w:p>
        </w:tc>
        <w:tc>
          <w:tcPr>
            <w:tcW w:w="1330"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1 425 594 964</w:t>
            </w:r>
          </w:p>
        </w:tc>
        <w:tc>
          <w:tcPr>
            <w:tcW w:w="1131"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w:t>
            </w:r>
          </w:p>
        </w:tc>
        <w:tc>
          <w:tcPr>
            <w:tcW w:w="1288"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w:t>
            </w:r>
          </w:p>
        </w:tc>
        <w:tc>
          <w:tcPr>
            <w:tcW w:w="1247"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1 594 857 964</w:t>
            </w:r>
          </w:p>
        </w:tc>
        <w:tc>
          <w:tcPr>
            <w:tcW w:w="1216" w:type="dxa"/>
            <w:tcBorders>
              <w:top w:val="nil"/>
              <w:left w:val="nil"/>
              <w:bottom w:val="single" w:sz="4" w:space="0" w:color="auto"/>
              <w:right w:val="single" w:sz="4" w:space="0" w:color="auto"/>
            </w:tcBorders>
            <w:shd w:val="clear" w:color="auto" w:fill="auto"/>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1 425 594 964</w:t>
            </w:r>
          </w:p>
        </w:tc>
      </w:tr>
      <w:tr w:rsidR="00B81CFF">
        <w:trPr>
          <w:gridAfter w:val="1"/>
          <w:wAfter w:w="46" w:type="dxa"/>
          <w:trHeight w:val="227"/>
          <w:jc w:val="center"/>
        </w:trPr>
        <w:tc>
          <w:tcPr>
            <w:tcW w:w="2916" w:type="dxa"/>
            <w:gridSpan w:val="2"/>
            <w:tcBorders>
              <w:top w:val="nil"/>
              <w:left w:val="single" w:sz="4" w:space="0" w:color="auto"/>
              <w:bottom w:val="single" w:sz="4" w:space="0" w:color="auto"/>
              <w:right w:val="single" w:sz="4" w:space="0" w:color="000000"/>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Total général</w:t>
            </w:r>
          </w:p>
        </w:tc>
        <w:tc>
          <w:tcPr>
            <w:tcW w:w="1251" w:type="dxa"/>
            <w:tcBorders>
              <w:top w:val="nil"/>
              <w:left w:val="nil"/>
              <w:bottom w:val="single"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173 847 617 074</w:t>
            </w:r>
          </w:p>
        </w:tc>
        <w:tc>
          <w:tcPr>
            <w:tcW w:w="1330" w:type="dxa"/>
            <w:tcBorders>
              <w:top w:val="nil"/>
              <w:left w:val="nil"/>
              <w:bottom w:val="single"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162 538 700 881</w:t>
            </w:r>
          </w:p>
        </w:tc>
        <w:tc>
          <w:tcPr>
            <w:tcW w:w="1131" w:type="dxa"/>
            <w:tcBorders>
              <w:top w:val="nil"/>
              <w:left w:val="nil"/>
              <w:bottom w:val="single"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36 435 141</w:t>
            </w:r>
          </w:p>
        </w:tc>
        <w:tc>
          <w:tcPr>
            <w:tcW w:w="1288" w:type="dxa"/>
            <w:tcBorders>
              <w:top w:val="nil"/>
              <w:left w:val="nil"/>
              <w:bottom w:val="single"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1 569 340 866</w:t>
            </w:r>
          </w:p>
        </w:tc>
        <w:tc>
          <w:tcPr>
            <w:tcW w:w="1247" w:type="dxa"/>
            <w:tcBorders>
              <w:top w:val="nil"/>
              <w:left w:val="nil"/>
              <w:bottom w:val="single"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173 884 052 215</w:t>
            </w:r>
          </w:p>
        </w:tc>
        <w:tc>
          <w:tcPr>
            <w:tcW w:w="1216" w:type="dxa"/>
            <w:tcBorders>
              <w:top w:val="nil"/>
              <w:left w:val="nil"/>
              <w:bottom w:val="single" w:sz="4" w:space="0" w:color="auto"/>
              <w:right w:val="single" w:sz="4" w:space="0" w:color="auto"/>
            </w:tcBorders>
            <w:shd w:val="clear" w:color="000000" w:fill="D9D9D9"/>
            <w:vAlign w:val="center"/>
            <w:hideMark/>
          </w:tcPr>
          <w:p w:rsidR="00B81CFF" w:rsidRDefault="009B5596">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164 108 041 747</w:t>
            </w:r>
          </w:p>
        </w:tc>
      </w:tr>
    </w:tbl>
    <w:p w:rsidR="00B81CFF" w:rsidRPr="009B5596" w:rsidRDefault="00B81CFF">
      <w:pPr>
        <w:spacing w:after="200" w:line="240" w:lineRule="auto"/>
        <w:jc w:val="both"/>
        <w:rPr>
          <w:rFonts w:ascii="Times New Roman" w:eastAsia="Times New Roman" w:hAnsi="Times New Roman" w:cs="Times New Roman"/>
          <w:noProof/>
          <w:sz w:val="2"/>
          <w:szCs w:val="2"/>
          <w:lang w:eastAsia="en-GB"/>
        </w:rPr>
      </w:pPr>
    </w:p>
    <w:sectPr w:rsidR="00B81CFF" w:rsidRPr="009B5596">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596" w:rsidRDefault="009B5596">
      <w:pPr>
        <w:spacing w:after="0" w:line="240" w:lineRule="auto"/>
      </w:pPr>
      <w:r>
        <w:separator/>
      </w:r>
    </w:p>
  </w:endnote>
  <w:endnote w:type="continuationSeparator" w:id="0">
    <w:p w:rsidR="009B5596" w:rsidRDefault="009B5596">
      <w:pPr>
        <w:spacing w:after="0" w:line="240" w:lineRule="auto"/>
      </w:pPr>
      <w:r>
        <w:continuationSeparator/>
      </w:r>
    </w:p>
  </w:endnote>
  <w:endnote w:type="continuationNotice" w:id="1">
    <w:p w:rsidR="009B5596" w:rsidRDefault="009B55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596" w:rsidRPr="009B5596" w:rsidRDefault="009B5596" w:rsidP="009B559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596" w:rsidRDefault="009B559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12425967"/>
      <w:docPartObj>
        <w:docPartGallery w:val="Page Numbers (Bottom of Page)"/>
        <w:docPartUnique/>
      </w:docPartObj>
    </w:sdtPr>
    <w:sdtEndPr>
      <w:rPr>
        <w:noProof/>
      </w:rPr>
    </w:sdtEndPr>
    <w:sdtContent>
      <w:p w:rsidR="009B5596" w:rsidRDefault="009B5596">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F40ACA">
          <w:rPr>
            <w:rFonts w:ascii="Times New Roman" w:hAnsi="Times New Roman" w:cs="Times New Roman"/>
            <w:noProof/>
          </w:rPr>
          <w:t>11</w:t>
        </w:r>
        <w:r>
          <w:rPr>
            <w:rFonts w:ascii="Times New Roman" w:hAnsi="Times New Roman" w:cs="Times New Roman"/>
          </w:rPr>
          <w:fldChar w:fldCharType="end"/>
        </w:r>
      </w:p>
    </w:sdtContent>
  </w:sdt>
  <w:p w:rsidR="009B5596" w:rsidRDefault="009B55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596" w:rsidRDefault="009B55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596" w:rsidRPr="009B5596" w:rsidRDefault="009B5596" w:rsidP="009B5596">
    <w:pPr>
      <w:pStyle w:val="FooterCoverPage"/>
      <w:rPr>
        <w:rFonts w:ascii="Arial" w:hAnsi="Arial" w:cs="Arial"/>
        <w:b/>
        <w:sz w:val="48"/>
      </w:rPr>
    </w:pPr>
    <w:r w:rsidRPr="009B5596">
      <w:rPr>
        <w:rFonts w:ascii="Arial" w:hAnsi="Arial" w:cs="Arial"/>
        <w:b/>
        <w:sz w:val="48"/>
      </w:rPr>
      <w:t>FR</w:t>
    </w:r>
    <w:r w:rsidRPr="009B5596">
      <w:rPr>
        <w:rFonts w:ascii="Arial" w:hAnsi="Arial" w:cs="Arial"/>
        <w:b/>
        <w:sz w:val="48"/>
      </w:rPr>
      <w:tab/>
    </w:r>
    <w:r w:rsidRPr="009B5596">
      <w:rPr>
        <w:rFonts w:ascii="Arial" w:hAnsi="Arial" w:cs="Arial"/>
        <w:b/>
        <w:sz w:val="48"/>
      </w:rPr>
      <w:tab/>
    </w:r>
    <w:r w:rsidRPr="009B5596">
      <w:tab/>
    </w:r>
    <w:r w:rsidRPr="009B5596">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596" w:rsidRPr="009B5596" w:rsidRDefault="009B5596" w:rsidP="009B559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596" w:rsidRDefault="009B55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596" w:rsidRDefault="009B5596">
    <w:pPr>
      <w:pStyle w:val="Footer"/>
      <w:ind w:left="-851" w:right="-851"/>
      <w:rPr>
        <w:rFonts w:ascii="Arial" w:hAnsi="Arial" w:cs="Arial"/>
        <w:b/>
        <w:sz w:val="48"/>
      </w:rPr>
    </w:pPr>
    <w:r>
      <w:rPr>
        <w:rFonts w:ascii="Arial" w:hAnsi="Arial"/>
        <w:b/>
        <w:sz w:val="48"/>
      </w:rPr>
      <w:tab/>
    </w:r>
    <w:r>
      <w:fldChar w:fldCharType="begin"/>
    </w:r>
    <w:r>
      <w:instrText xml:space="preserve"> PAGE  \* MERGEFORMAT </w:instrText>
    </w:r>
    <w:r>
      <w:fldChar w:fldCharType="separate"/>
    </w:r>
    <w:r w:rsidR="00F40ACA">
      <w:rPr>
        <w:noProof/>
      </w:rPr>
      <w:t>1</w:t>
    </w:r>
    <w:r>
      <w:fldChar w:fldCharType="end"/>
    </w: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596" w:rsidRDefault="009B559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596" w:rsidRDefault="009B55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596" w:rsidRDefault="009B5596">
    <w:pPr>
      <w:pStyle w:val="Footer"/>
      <w:ind w:left="-851" w:right="-851"/>
      <w:rPr>
        <w:rFonts w:ascii="Arial" w:hAnsi="Arial" w:cs="Arial"/>
        <w:b/>
        <w:sz w:val="48"/>
      </w:rPr>
    </w:pPr>
    <w:r>
      <w:rPr>
        <w:rFonts w:ascii="Arial" w:hAnsi="Arial"/>
        <w:b/>
        <w:sz w:val="48"/>
      </w:rPr>
      <w:tab/>
    </w:r>
    <w:r>
      <w:fldChar w:fldCharType="begin"/>
    </w:r>
    <w:r>
      <w:instrText xml:space="preserve"> PAGE  \* MERGEFORMAT </w:instrText>
    </w:r>
    <w:r>
      <w:fldChar w:fldCharType="separate"/>
    </w:r>
    <w:r w:rsidR="00F40ACA">
      <w:rPr>
        <w:noProof/>
      </w:rPr>
      <w:t>2</w:t>
    </w:r>
    <w:r>
      <w:fldChar w:fldCharType="end"/>
    </w:r>
    <w: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596" w:rsidRDefault="009B5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596" w:rsidRDefault="009B5596">
      <w:pPr>
        <w:spacing w:after="0" w:line="240" w:lineRule="auto"/>
      </w:pPr>
      <w:r>
        <w:separator/>
      </w:r>
    </w:p>
  </w:footnote>
  <w:footnote w:type="continuationSeparator" w:id="0">
    <w:p w:rsidR="009B5596" w:rsidRDefault="009B5596">
      <w:pPr>
        <w:spacing w:after="0" w:line="240" w:lineRule="auto"/>
      </w:pPr>
      <w:r>
        <w:continuationSeparator/>
      </w:r>
    </w:p>
  </w:footnote>
  <w:footnote w:type="continuationNotice" w:id="1">
    <w:p w:rsidR="009B5596" w:rsidRDefault="009B5596">
      <w:pPr>
        <w:spacing w:after="0" w:line="240" w:lineRule="auto"/>
      </w:pPr>
    </w:p>
  </w:footnote>
  <w:footnote w:id="2">
    <w:p w:rsidR="009B5596" w:rsidRDefault="009B5596">
      <w:pPr>
        <w:pStyle w:val="FootnoteText"/>
      </w:pPr>
      <w:r>
        <w:rPr>
          <w:rStyle w:val="FootnoteReference"/>
        </w:rPr>
        <w:footnoteRef/>
      </w:r>
      <w:r>
        <w:t xml:space="preserve"> </w:t>
      </w:r>
      <w:r>
        <w:tab/>
      </w:r>
      <w:r>
        <w:rPr>
          <w:sz w:val="18"/>
          <w:szCs w:val="18"/>
        </w:rPr>
        <w:t>JO L 193 du 30.7.2018.</w:t>
      </w:r>
    </w:p>
  </w:footnote>
  <w:footnote w:id="3">
    <w:p w:rsidR="009B5596" w:rsidRDefault="009B5596">
      <w:pPr>
        <w:pStyle w:val="FootnoteText"/>
      </w:pPr>
      <w:r>
        <w:rPr>
          <w:rStyle w:val="FootnoteReference"/>
        </w:rPr>
        <w:footnoteRef/>
      </w:r>
      <w:r>
        <w:t xml:space="preserve"> </w:t>
      </w:r>
      <w:r>
        <w:tab/>
      </w:r>
      <w:r>
        <w:rPr>
          <w:sz w:val="18"/>
          <w:szCs w:val="18"/>
        </w:rPr>
        <w:t>JO L 57 du 27.2.2020.</w:t>
      </w:r>
    </w:p>
  </w:footnote>
  <w:footnote w:id="4">
    <w:p w:rsidR="009B5596" w:rsidRDefault="009B5596">
      <w:pPr>
        <w:pStyle w:val="FootnoteText"/>
      </w:pPr>
      <w:r>
        <w:rPr>
          <w:rStyle w:val="FootnoteReference"/>
        </w:rPr>
        <w:footnoteRef/>
      </w:r>
      <w:r>
        <w:t xml:space="preserve"> </w:t>
      </w:r>
      <w:r>
        <w:tab/>
      </w:r>
      <w:r>
        <w:rPr>
          <w:sz w:val="18"/>
          <w:szCs w:val="18"/>
        </w:rPr>
        <w:t>JO L 126 du 21.4.2020.</w:t>
      </w:r>
    </w:p>
  </w:footnote>
  <w:footnote w:id="5">
    <w:p w:rsidR="009B5596" w:rsidRDefault="009B5596">
      <w:pPr>
        <w:pStyle w:val="FootnoteText"/>
      </w:pPr>
      <w:r>
        <w:rPr>
          <w:rStyle w:val="FootnoteReference"/>
        </w:rPr>
        <w:footnoteRef/>
      </w:r>
      <w:r>
        <w:t xml:space="preserve"> </w:t>
      </w:r>
      <w:r>
        <w:tab/>
      </w:r>
      <w:r>
        <w:rPr>
          <w:sz w:val="18"/>
          <w:szCs w:val="18"/>
        </w:rPr>
        <w:t>JO L 126 du 21.4.2020.</w:t>
      </w:r>
    </w:p>
  </w:footnote>
  <w:footnote w:id="6">
    <w:p w:rsidR="009B5596" w:rsidRDefault="009B5596">
      <w:pPr>
        <w:pStyle w:val="FootnoteText"/>
      </w:pPr>
      <w:r>
        <w:rPr>
          <w:rStyle w:val="FootnoteReference"/>
        </w:rPr>
        <w:footnoteRef/>
      </w:r>
      <w:r>
        <w:t xml:space="preserve"> </w:t>
      </w:r>
      <w:r>
        <w:tab/>
      </w:r>
      <w:r>
        <w:rPr>
          <w:sz w:val="18"/>
          <w:szCs w:val="18"/>
        </w:rPr>
        <w:t>JO L 254 du 4.8.2020.</w:t>
      </w:r>
    </w:p>
  </w:footnote>
  <w:footnote w:id="7">
    <w:p w:rsidR="009B5596" w:rsidRDefault="009B5596">
      <w:pPr>
        <w:pStyle w:val="FootnoteText"/>
      </w:pPr>
      <w:r>
        <w:rPr>
          <w:rStyle w:val="FootnoteReference"/>
        </w:rPr>
        <w:footnoteRef/>
      </w:r>
      <w:r>
        <w:t xml:space="preserve"> </w:t>
      </w:r>
      <w:r>
        <w:tab/>
      </w:r>
      <w:r>
        <w:rPr>
          <w:sz w:val="18"/>
          <w:szCs w:val="18"/>
        </w:rPr>
        <w:t>JO L 254 du 4.8.2020.</w:t>
      </w:r>
    </w:p>
  </w:footnote>
  <w:footnote w:id="8">
    <w:p w:rsidR="009B5596" w:rsidRDefault="009B5596">
      <w:pPr>
        <w:pStyle w:val="FootnoteText"/>
        <w:rPr>
          <w:sz w:val="18"/>
          <w:szCs w:val="18"/>
        </w:rPr>
      </w:pPr>
      <w:r>
        <w:rPr>
          <w:rStyle w:val="FootnoteReference"/>
        </w:rPr>
        <w:footnoteRef/>
      </w:r>
      <w:r>
        <w:t xml:space="preserve"> </w:t>
      </w:r>
      <w:r>
        <w:tab/>
      </w:r>
      <w:r>
        <w:rPr>
          <w:sz w:val="18"/>
          <w:szCs w:val="18"/>
        </w:rPr>
        <w:t>JO L 299 du 11.9.2020.</w:t>
      </w:r>
    </w:p>
  </w:footnote>
  <w:footnote w:id="9">
    <w:p w:rsidR="009B5596" w:rsidRDefault="009B5596">
      <w:pPr>
        <w:pStyle w:val="FootnoteText"/>
        <w:rPr>
          <w:sz w:val="18"/>
          <w:szCs w:val="18"/>
        </w:rPr>
      </w:pPr>
      <w:r>
        <w:rPr>
          <w:rStyle w:val="FootnoteReference"/>
        </w:rPr>
        <w:footnoteRef/>
      </w:r>
      <w:r>
        <w:t xml:space="preserve"> </w:t>
      </w:r>
      <w:r>
        <w:tab/>
      </w:r>
      <w:r>
        <w:rPr>
          <w:sz w:val="18"/>
          <w:szCs w:val="18"/>
        </w:rPr>
        <w:t>JO L XXX du XX.X.2020 (proposition de projet de budget rectificatif nº 8/2020, présentée le 28.8.2020).</w:t>
      </w:r>
    </w:p>
  </w:footnote>
  <w:footnote w:id="10">
    <w:p w:rsidR="009B5596" w:rsidRDefault="009B5596">
      <w:pPr>
        <w:pStyle w:val="FootnoteText"/>
      </w:pPr>
      <w:r>
        <w:rPr>
          <w:rStyle w:val="FootnoteReference"/>
        </w:rPr>
        <w:footnoteRef/>
      </w:r>
      <w:r>
        <w:t xml:space="preserve"> </w:t>
      </w:r>
      <w:r>
        <w:tab/>
      </w:r>
      <w:r>
        <w:rPr>
          <w:sz w:val="18"/>
          <w:szCs w:val="18"/>
        </w:rPr>
        <w:t xml:space="preserve">JO L XXX du XX.X.2020. </w:t>
      </w:r>
    </w:p>
  </w:footnote>
  <w:footnote w:id="11">
    <w:p w:rsidR="009B5596" w:rsidRDefault="009B5596">
      <w:pPr>
        <w:pStyle w:val="FootnoteText"/>
      </w:pPr>
      <w:r>
        <w:rPr>
          <w:rStyle w:val="FootnoteReference"/>
        </w:rPr>
        <w:footnoteRef/>
      </w:r>
      <w:r>
        <w:t xml:space="preserve"> </w:t>
      </w:r>
      <w:r>
        <w:tab/>
      </w:r>
      <w:r>
        <w:rPr>
          <w:sz w:val="18"/>
          <w:szCs w:val="18"/>
        </w:rPr>
        <w:t>COM(2020) 961 du 9.10.2020.</w:t>
      </w:r>
    </w:p>
  </w:footnote>
  <w:footnote w:id="12">
    <w:p w:rsidR="009B5596" w:rsidRDefault="009B5596">
      <w:pPr>
        <w:pStyle w:val="FootnoteText"/>
      </w:pPr>
      <w:r>
        <w:rPr>
          <w:rStyle w:val="FootnoteReference"/>
        </w:rPr>
        <w:footnoteRef/>
      </w:r>
      <w:r>
        <w:t xml:space="preserve"> </w:t>
      </w:r>
      <w:r>
        <w:tab/>
        <w:t>Règlement (UE) 2020/558 du Parlement européen et du Conseil du 23 avril 2020 modifiant les règlements (UE) nº 1301/2013 et (UE) nº 1303/2013 en ce qui concerne des mesures spécifiques visant à offrir une flexibilité exceptionnelle pour l’utilisation des Fonds structurels et d’investissement européens en réaction à la propagation de la COVID‐19 (JO L 130 du 24.4.2020, p. 1).</w:t>
      </w:r>
    </w:p>
  </w:footnote>
  <w:footnote w:id="13">
    <w:p w:rsidR="009B5596" w:rsidRDefault="009B5596">
      <w:pPr>
        <w:pStyle w:val="Default"/>
        <w:ind w:left="360" w:hanging="360"/>
        <w:rPr>
          <w:rFonts w:eastAsia="Times New Roman"/>
          <w:color w:val="auto"/>
          <w:sz w:val="18"/>
          <w:szCs w:val="18"/>
        </w:rPr>
      </w:pPr>
      <w:r>
        <w:rPr>
          <w:rStyle w:val="FootnoteReference"/>
        </w:rPr>
        <w:footnoteRef/>
      </w:r>
      <w:r>
        <w:t xml:space="preserve"> </w:t>
      </w:r>
      <w:r>
        <w:tab/>
      </w:r>
      <w:r>
        <w:rPr>
          <w:color w:val="auto"/>
          <w:sz w:val="18"/>
          <w:szCs w:val="18"/>
        </w:rPr>
        <w:t>Communication de la Commission au Parlement européen, au Conseil européen, au Conseil, à la Banque centrale européenne, à la Banque européenne d’investissement et à l’Eurogroupe, intitulée «Réaction économique coordonnée à la flambée de COVID-19» [COM(2020) 112 final du 13.3.2020].</w:t>
      </w:r>
    </w:p>
  </w:footnote>
  <w:footnote w:id="14">
    <w:p w:rsidR="009B5596" w:rsidRDefault="009B5596">
      <w:pPr>
        <w:pStyle w:val="Default"/>
        <w:ind w:left="360" w:hanging="360"/>
        <w:jc w:val="both"/>
      </w:pPr>
      <w:r>
        <w:rPr>
          <w:rStyle w:val="FootnoteReference"/>
        </w:rPr>
        <w:footnoteRef/>
      </w:r>
      <w:r>
        <w:t xml:space="preserve"> </w:t>
      </w:r>
      <w:r>
        <w:tab/>
      </w:r>
      <w:r>
        <w:rPr>
          <w:color w:val="auto"/>
          <w:sz w:val="18"/>
          <w:szCs w:val="18"/>
        </w:rPr>
        <w:t>Communication conjointe au Parlement européen, au Conseil, au Comité économique et social européen et au Comité des régions intitulée «Communication sur la réaction de l’UE au niveau mondial face à la pandémie de COVID-19» [JOIN(2020) 11 du 8.4.2020].</w:t>
      </w:r>
    </w:p>
  </w:footnote>
  <w:footnote w:id="15">
    <w:p w:rsidR="009B5596" w:rsidRDefault="009B5596">
      <w:pPr>
        <w:pStyle w:val="FootnoteText"/>
        <w:ind w:left="360" w:hanging="360"/>
        <w:rPr>
          <w:sz w:val="18"/>
          <w:szCs w:val="18"/>
        </w:rPr>
      </w:pPr>
      <w:r>
        <w:rPr>
          <w:rStyle w:val="FootnoteReference"/>
        </w:rPr>
        <w:footnoteRef/>
      </w:r>
      <w:r>
        <w:t xml:space="preserve"> </w:t>
      </w:r>
      <w:r>
        <w:tab/>
      </w:r>
      <w:r>
        <w:rPr>
          <w:sz w:val="18"/>
          <w:szCs w:val="18"/>
        </w:rPr>
        <w:t>Cette désignation est sans préjudice des positions sur le statut et est conforme à la résolution 1244/1999 du Conseil de sécurité des Nations unies ainsi qu’à l’avis de la CIJ sur la déclaration d’indépendance du Kosovo.</w:t>
      </w:r>
    </w:p>
  </w:footnote>
  <w:footnote w:id="16">
    <w:p w:rsidR="009B5596" w:rsidRDefault="009B5596">
      <w:pPr>
        <w:pStyle w:val="FootnoteText"/>
        <w:ind w:left="360" w:hanging="360"/>
        <w:rPr>
          <w:rFonts w:eastAsia="Calibri"/>
          <w:noProof/>
        </w:rPr>
      </w:pPr>
      <w:r>
        <w:rPr>
          <w:rStyle w:val="FootnoteReference"/>
        </w:rPr>
        <w:footnoteRef/>
      </w:r>
      <w:r>
        <w:t xml:space="preserve"> </w:t>
      </w:r>
      <w:r>
        <w:tab/>
        <w:t>Règlement délégué (UE) 2020/1302 de la Commission du 14 juillet 2020 complétant le règlement (UE) nº 648/2012 du Parlement européen et du Conseil en ce qui concerne les frais facturés par l’Autorité européenne des marchés financiers aux contreparties centrales établies dans un pays tiers (JO L 305 du 21.9.2020).</w:t>
      </w:r>
    </w:p>
  </w:footnote>
  <w:footnote w:id="17">
    <w:p w:rsidR="009B5596" w:rsidRDefault="009B5596">
      <w:pPr>
        <w:pStyle w:val="FootnoteText"/>
        <w:ind w:left="360" w:hanging="360"/>
      </w:pPr>
      <w:r>
        <w:rPr>
          <w:rStyle w:val="FootnoteReference"/>
        </w:rPr>
        <w:footnoteRef/>
      </w:r>
      <w:r>
        <w:t xml:space="preserve"> </w:t>
      </w:r>
      <w:r>
        <w:tab/>
        <w:t>Voir article 10 </w:t>
      </w:r>
      <w:r>
        <w:rPr>
          <w:i/>
          <w:iCs/>
        </w:rPr>
        <w:t>bis</w:t>
      </w:r>
      <w:r>
        <w:t>, paragraphe 1, du règlement nº 609/2014 relatif à la mise à disposition.</w:t>
      </w:r>
    </w:p>
  </w:footnote>
  <w:footnote w:id="18">
    <w:p w:rsidR="009B5596" w:rsidRDefault="009B5596">
      <w:pPr>
        <w:pStyle w:val="FootnoteText"/>
        <w:ind w:left="360" w:hanging="360"/>
      </w:pPr>
      <w:r>
        <w:rPr>
          <w:rStyle w:val="FootnoteReference"/>
        </w:rPr>
        <w:footnoteRef/>
      </w:r>
      <w:r>
        <w:t xml:space="preserve"> </w:t>
      </w:r>
      <w:r>
        <w:tab/>
        <w:t>100 millions d’EUR dans le budget voté initialement, auxquels 118 millions d’EUR ont été ajoutés dans le budget rectificatif nº 7/2020.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596" w:rsidRPr="009B5596" w:rsidRDefault="009B5596" w:rsidP="009B559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596" w:rsidRDefault="009B559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596" w:rsidRDefault="009B559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596" w:rsidRDefault="009B55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596" w:rsidRPr="009B5596" w:rsidRDefault="009B5596" w:rsidP="009B559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596" w:rsidRPr="009B5596" w:rsidRDefault="009B5596" w:rsidP="009B559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596" w:rsidRDefault="009B55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596" w:rsidRDefault="009B5596">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596" w:rsidRDefault="009B559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596" w:rsidRDefault="009B559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596" w:rsidRDefault="009B5596">
    <w:pPr>
      <w:pStyle w:val="Heade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596" w:rsidRDefault="009B55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0D1"/>
    <w:multiLevelType w:val="multilevel"/>
    <w:tmpl w:val="5E2418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75501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3C62A7"/>
    <w:multiLevelType w:val="multilevel"/>
    <w:tmpl w:val="E8F46B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126641"/>
    <w:multiLevelType w:val="hybridMultilevel"/>
    <w:tmpl w:val="1D780A96"/>
    <w:lvl w:ilvl="0" w:tplc="5EFA317E">
      <w:start w:val="7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0B1963"/>
    <w:multiLevelType w:val="hybridMultilevel"/>
    <w:tmpl w:val="ED403B9A"/>
    <w:lvl w:ilvl="0" w:tplc="0809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986AD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7" w15:restartNumberingAfterBreak="0">
    <w:nsid w:val="3FF600B1"/>
    <w:multiLevelType w:val="hybridMultilevel"/>
    <w:tmpl w:val="1CE8624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6D786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525B3F"/>
    <w:multiLevelType w:val="hybridMultilevel"/>
    <w:tmpl w:val="3F529152"/>
    <w:lvl w:ilvl="0" w:tplc="C6FA14AA">
      <w:start w:val="7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EF4E13"/>
    <w:multiLevelType w:val="hybridMultilevel"/>
    <w:tmpl w:val="0A7A34B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660B7D30"/>
    <w:multiLevelType w:val="multilevel"/>
    <w:tmpl w:val="0405001F"/>
    <w:lvl w:ilvl="0">
      <w:start w:val="1"/>
      <w:numFmt w:val="decimal"/>
      <w:lvlText w:val="%1."/>
      <w:lvlJc w:val="left"/>
      <w:pPr>
        <w:ind w:left="360" w:hanging="360"/>
      </w:pPr>
    </w:lvl>
    <w:lvl w:ilvl="1">
      <w:start w:val="1"/>
      <w:numFmt w:val="decimal"/>
      <w:lvlText w:val="%1.%2."/>
      <w:lvlJc w:val="left"/>
      <w:pPr>
        <w:ind w:left="247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5565E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885476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1"/>
  </w:num>
  <w:num w:numId="3">
    <w:abstractNumId w:val="13"/>
  </w:num>
  <w:num w:numId="4">
    <w:abstractNumId w:val="12"/>
  </w:num>
  <w:num w:numId="5">
    <w:abstractNumId w:val="1"/>
  </w:num>
  <w:num w:numId="6">
    <w:abstractNumId w:val="8"/>
  </w:num>
  <w:num w:numId="7">
    <w:abstractNumId w:val="5"/>
  </w:num>
  <w:num w:numId="8">
    <w:abstractNumId w:val="10"/>
  </w:num>
  <w:num w:numId="9">
    <w:abstractNumId w:val="7"/>
  </w:num>
  <w:num w:numId="10">
    <w:abstractNumId w:val="4"/>
  </w:num>
  <w:num w:numId="11">
    <w:abstractNumId w:val="9"/>
  </w:num>
  <w:num w:numId="12">
    <w:abstractNumId w:val="2"/>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B885865-720C-4B4B-9024-8161F9586223"/>
    <w:docVar w:name="LW_COVERPAGE_TYPE" w:val="1"/>
    <w:docVar w:name="LW_CROSSREFERENCE" w:val="&lt;UNUSED&gt;"/>
    <w:docVar w:name="LW_DocType" w:val="NORMAL"/>
    <w:docVar w:name="LW_EMISSION" w:val="9.10.2020"/>
    <w:docVar w:name="LW_EMISSION_ISODATE" w:val="2020-10-09"/>
    <w:docVar w:name="LW_EMISSION_LOCATION" w:val="BRX"/>
    <w:docVar w:name="LW_EMISSION_PREFIX" w:val="Bruxelles, le "/>
    <w:docVar w:name="LW_EMISSION_SUFFIX" w:val=" "/>
    <w:docVar w:name="LW_ID_DOCTYPE_NONLW" w:val="CP-035"/>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BUD"/>
    <w:docVar w:name="LW_REF.II.NEW.CP_NUMBER" w:val="0298"/>
    <w:docVar w:name="LW_REF.II.NEW.CP_YEAR" w:val="2020"/>
    <w:docVar w:name="LW_REF.INST.NEW" w:val="COM"/>
    <w:docVar w:name="LW_REF.INST.NEW_ADOPTED" w:val="final"/>
    <w:docVar w:name="LW_REF.INST.NEW_TEXT" w:val="(2020) 9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Augmentation des crédits de paiement en fonction des prévisions actualisées en matière de dépenses et autres ajustements des dépenses et des recettes&lt;/FMT&gt;"/>
    <w:docVar w:name="LW_TYPE.DOC.CP" w:val="PROJET DE BUDGET RECTIFICATIF N° 10_x000b_AU BUDGET GÉNÉRAL 2020_x000b__x000b_"/>
  </w:docVars>
  <w:rsids>
    <w:rsidRoot w:val="00B81CFF"/>
    <w:rsid w:val="009B5596"/>
    <w:rsid w:val="00B81CFF"/>
    <w:rsid w:val="00F40A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EBDD2ABB-9568-4CDD-8246-B6F416EC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de-DE"/>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rPr>
      <w:color w:val="0000FF"/>
      <w:u w:val="single"/>
    </w:rPr>
  </w:style>
  <w:style w:type="paragraph" w:customStyle="1" w:styleId="Text1">
    <w:name w:val="Text 1"/>
    <w:basedOn w:val="Normal"/>
    <w:qFormat/>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styleId="TOC1">
    <w:name w:val="toc 1"/>
    <w:basedOn w:val="Normal"/>
    <w:next w:val="Normal"/>
    <w:uiPriority w:val="39"/>
    <w:qFormat/>
    <w:pPr>
      <w:spacing w:before="120" w:after="120" w:line="240" w:lineRule="auto"/>
    </w:pPr>
    <w:rPr>
      <w:rFonts w:ascii="Times New Roman" w:eastAsia="Times New Roman" w:hAnsi="Times New Roman" w:cs="Times New Roman"/>
      <w:b/>
      <w:bCs/>
      <w:caps/>
      <w:sz w:val="20"/>
      <w:szCs w:val="20"/>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character" w:styleId="CommentReference">
    <w:name w:val="annotation reference"/>
    <w:rPr>
      <w:sz w:val="16"/>
      <w:szCs w:val="16"/>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TOC6">
    <w:name w:val="toc 6"/>
    <w:basedOn w:val="Normal"/>
    <w:next w:val="Normal"/>
    <w:autoRedefine/>
    <w:uiPriority w:val="39"/>
    <w:semiHidden/>
    <w:unhideWhenUsed/>
    <w:pPr>
      <w:spacing w:after="100"/>
      <w:ind w:left="1100"/>
    </w:pPr>
  </w:style>
  <w:style w:type="paragraph" w:customStyle="1" w:styleId="ListDash">
    <w:name w:val="List Dash"/>
    <w:basedOn w:val="Normal"/>
    <w:link w:val="ListDashChar"/>
    <w:pPr>
      <w:spacing w:before="120" w:after="120" w:line="240" w:lineRule="auto"/>
      <w:jc w:val="both"/>
    </w:pPr>
    <w:rPr>
      <w:rFonts w:ascii="Times New Roman" w:eastAsia="Times New Roman" w:hAnsi="Times New Roman" w:cs="Times New Roman"/>
      <w:sz w:val="24"/>
      <w:szCs w:val="24"/>
      <w:lang w:eastAsia="de-DE"/>
    </w:rPr>
  </w:style>
  <w:style w:type="character" w:customStyle="1" w:styleId="ListDashChar">
    <w:name w:val="List Dash Char"/>
    <w:link w:val="ListDash"/>
    <w:rPr>
      <w:rFonts w:ascii="Times New Roman" w:eastAsia="Times New Roman" w:hAnsi="Times New Roman" w:cs="Times New Roman"/>
      <w:sz w:val="24"/>
      <w:szCs w:val="24"/>
      <w:lang w:eastAsia="de-D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pPr>
      <w:tabs>
        <w:tab w:val="left" w:pos="720"/>
        <w:tab w:val="right" w:leader="dot" w:pos="9855"/>
      </w:tabs>
      <w:spacing w:after="100"/>
    </w:p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8282">
      <w:bodyDiv w:val="1"/>
      <w:marLeft w:val="0"/>
      <w:marRight w:val="0"/>
      <w:marTop w:val="0"/>
      <w:marBottom w:val="0"/>
      <w:divBdr>
        <w:top w:val="none" w:sz="0" w:space="0" w:color="auto"/>
        <w:left w:val="none" w:sz="0" w:space="0" w:color="auto"/>
        <w:bottom w:val="none" w:sz="0" w:space="0" w:color="auto"/>
        <w:right w:val="none" w:sz="0" w:space="0" w:color="auto"/>
      </w:divBdr>
    </w:div>
    <w:div w:id="140386999">
      <w:bodyDiv w:val="1"/>
      <w:marLeft w:val="0"/>
      <w:marRight w:val="0"/>
      <w:marTop w:val="0"/>
      <w:marBottom w:val="0"/>
      <w:divBdr>
        <w:top w:val="none" w:sz="0" w:space="0" w:color="auto"/>
        <w:left w:val="none" w:sz="0" w:space="0" w:color="auto"/>
        <w:bottom w:val="none" w:sz="0" w:space="0" w:color="auto"/>
        <w:right w:val="none" w:sz="0" w:space="0" w:color="auto"/>
      </w:divBdr>
    </w:div>
    <w:div w:id="385882826">
      <w:bodyDiv w:val="1"/>
      <w:marLeft w:val="0"/>
      <w:marRight w:val="0"/>
      <w:marTop w:val="0"/>
      <w:marBottom w:val="0"/>
      <w:divBdr>
        <w:top w:val="none" w:sz="0" w:space="0" w:color="auto"/>
        <w:left w:val="none" w:sz="0" w:space="0" w:color="auto"/>
        <w:bottom w:val="none" w:sz="0" w:space="0" w:color="auto"/>
        <w:right w:val="none" w:sz="0" w:space="0" w:color="auto"/>
      </w:divBdr>
    </w:div>
    <w:div w:id="524903591">
      <w:bodyDiv w:val="1"/>
      <w:marLeft w:val="0"/>
      <w:marRight w:val="0"/>
      <w:marTop w:val="0"/>
      <w:marBottom w:val="0"/>
      <w:divBdr>
        <w:top w:val="none" w:sz="0" w:space="0" w:color="auto"/>
        <w:left w:val="none" w:sz="0" w:space="0" w:color="auto"/>
        <w:bottom w:val="none" w:sz="0" w:space="0" w:color="auto"/>
        <w:right w:val="none" w:sz="0" w:space="0" w:color="auto"/>
      </w:divBdr>
    </w:div>
    <w:div w:id="553351881">
      <w:bodyDiv w:val="1"/>
      <w:marLeft w:val="0"/>
      <w:marRight w:val="0"/>
      <w:marTop w:val="0"/>
      <w:marBottom w:val="0"/>
      <w:divBdr>
        <w:top w:val="none" w:sz="0" w:space="0" w:color="auto"/>
        <w:left w:val="none" w:sz="0" w:space="0" w:color="auto"/>
        <w:bottom w:val="none" w:sz="0" w:space="0" w:color="auto"/>
        <w:right w:val="none" w:sz="0" w:space="0" w:color="auto"/>
      </w:divBdr>
    </w:div>
    <w:div w:id="621232548">
      <w:bodyDiv w:val="1"/>
      <w:marLeft w:val="0"/>
      <w:marRight w:val="0"/>
      <w:marTop w:val="0"/>
      <w:marBottom w:val="0"/>
      <w:divBdr>
        <w:top w:val="none" w:sz="0" w:space="0" w:color="auto"/>
        <w:left w:val="none" w:sz="0" w:space="0" w:color="auto"/>
        <w:bottom w:val="none" w:sz="0" w:space="0" w:color="auto"/>
        <w:right w:val="none" w:sz="0" w:space="0" w:color="auto"/>
      </w:divBdr>
    </w:div>
    <w:div w:id="761876650">
      <w:bodyDiv w:val="1"/>
      <w:marLeft w:val="0"/>
      <w:marRight w:val="0"/>
      <w:marTop w:val="0"/>
      <w:marBottom w:val="0"/>
      <w:divBdr>
        <w:top w:val="none" w:sz="0" w:space="0" w:color="auto"/>
        <w:left w:val="none" w:sz="0" w:space="0" w:color="auto"/>
        <w:bottom w:val="none" w:sz="0" w:space="0" w:color="auto"/>
        <w:right w:val="none" w:sz="0" w:space="0" w:color="auto"/>
      </w:divBdr>
    </w:div>
    <w:div w:id="802161228">
      <w:bodyDiv w:val="1"/>
      <w:marLeft w:val="0"/>
      <w:marRight w:val="0"/>
      <w:marTop w:val="0"/>
      <w:marBottom w:val="0"/>
      <w:divBdr>
        <w:top w:val="none" w:sz="0" w:space="0" w:color="auto"/>
        <w:left w:val="none" w:sz="0" w:space="0" w:color="auto"/>
        <w:bottom w:val="none" w:sz="0" w:space="0" w:color="auto"/>
        <w:right w:val="none" w:sz="0" w:space="0" w:color="auto"/>
      </w:divBdr>
    </w:div>
    <w:div w:id="989401625">
      <w:bodyDiv w:val="1"/>
      <w:marLeft w:val="0"/>
      <w:marRight w:val="0"/>
      <w:marTop w:val="0"/>
      <w:marBottom w:val="0"/>
      <w:divBdr>
        <w:top w:val="none" w:sz="0" w:space="0" w:color="auto"/>
        <w:left w:val="none" w:sz="0" w:space="0" w:color="auto"/>
        <w:bottom w:val="none" w:sz="0" w:space="0" w:color="auto"/>
        <w:right w:val="none" w:sz="0" w:space="0" w:color="auto"/>
      </w:divBdr>
    </w:div>
    <w:div w:id="1123764486">
      <w:bodyDiv w:val="1"/>
      <w:marLeft w:val="0"/>
      <w:marRight w:val="0"/>
      <w:marTop w:val="0"/>
      <w:marBottom w:val="0"/>
      <w:divBdr>
        <w:top w:val="none" w:sz="0" w:space="0" w:color="auto"/>
        <w:left w:val="none" w:sz="0" w:space="0" w:color="auto"/>
        <w:bottom w:val="none" w:sz="0" w:space="0" w:color="auto"/>
        <w:right w:val="none" w:sz="0" w:space="0" w:color="auto"/>
      </w:divBdr>
    </w:div>
    <w:div w:id="1126117478">
      <w:bodyDiv w:val="1"/>
      <w:marLeft w:val="0"/>
      <w:marRight w:val="0"/>
      <w:marTop w:val="0"/>
      <w:marBottom w:val="0"/>
      <w:divBdr>
        <w:top w:val="none" w:sz="0" w:space="0" w:color="auto"/>
        <w:left w:val="none" w:sz="0" w:space="0" w:color="auto"/>
        <w:bottom w:val="none" w:sz="0" w:space="0" w:color="auto"/>
        <w:right w:val="none" w:sz="0" w:space="0" w:color="auto"/>
      </w:divBdr>
    </w:div>
    <w:div w:id="1193154068">
      <w:bodyDiv w:val="1"/>
      <w:marLeft w:val="0"/>
      <w:marRight w:val="0"/>
      <w:marTop w:val="0"/>
      <w:marBottom w:val="0"/>
      <w:divBdr>
        <w:top w:val="none" w:sz="0" w:space="0" w:color="auto"/>
        <w:left w:val="none" w:sz="0" w:space="0" w:color="auto"/>
        <w:bottom w:val="none" w:sz="0" w:space="0" w:color="auto"/>
        <w:right w:val="none" w:sz="0" w:space="0" w:color="auto"/>
      </w:divBdr>
    </w:div>
    <w:div w:id="1213612550">
      <w:bodyDiv w:val="1"/>
      <w:marLeft w:val="0"/>
      <w:marRight w:val="0"/>
      <w:marTop w:val="0"/>
      <w:marBottom w:val="0"/>
      <w:divBdr>
        <w:top w:val="none" w:sz="0" w:space="0" w:color="auto"/>
        <w:left w:val="none" w:sz="0" w:space="0" w:color="auto"/>
        <w:bottom w:val="none" w:sz="0" w:space="0" w:color="auto"/>
        <w:right w:val="none" w:sz="0" w:space="0" w:color="auto"/>
      </w:divBdr>
    </w:div>
    <w:div w:id="1235160125">
      <w:bodyDiv w:val="1"/>
      <w:marLeft w:val="0"/>
      <w:marRight w:val="0"/>
      <w:marTop w:val="0"/>
      <w:marBottom w:val="0"/>
      <w:divBdr>
        <w:top w:val="none" w:sz="0" w:space="0" w:color="auto"/>
        <w:left w:val="none" w:sz="0" w:space="0" w:color="auto"/>
        <w:bottom w:val="none" w:sz="0" w:space="0" w:color="auto"/>
        <w:right w:val="none" w:sz="0" w:space="0" w:color="auto"/>
      </w:divBdr>
    </w:div>
    <w:div w:id="1250231126">
      <w:bodyDiv w:val="1"/>
      <w:marLeft w:val="0"/>
      <w:marRight w:val="0"/>
      <w:marTop w:val="0"/>
      <w:marBottom w:val="0"/>
      <w:divBdr>
        <w:top w:val="none" w:sz="0" w:space="0" w:color="auto"/>
        <w:left w:val="none" w:sz="0" w:space="0" w:color="auto"/>
        <w:bottom w:val="none" w:sz="0" w:space="0" w:color="auto"/>
        <w:right w:val="none" w:sz="0" w:space="0" w:color="auto"/>
      </w:divBdr>
    </w:div>
    <w:div w:id="1319262239">
      <w:bodyDiv w:val="1"/>
      <w:marLeft w:val="0"/>
      <w:marRight w:val="0"/>
      <w:marTop w:val="0"/>
      <w:marBottom w:val="0"/>
      <w:divBdr>
        <w:top w:val="none" w:sz="0" w:space="0" w:color="auto"/>
        <w:left w:val="none" w:sz="0" w:space="0" w:color="auto"/>
        <w:bottom w:val="none" w:sz="0" w:space="0" w:color="auto"/>
        <w:right w:val="none" w:sz="0" w:space="0" w:color="auto"/>
      </w:divBdr>
      <w:divsChild>
        <w:div w:id="1553880648">
          <w:marLeft w:val="0"/>
          <w:marRight w:val="0"/>
          <w:marTop w:val="0"/>
          <w:marBottom w:val="0"/>
          <w:divBdr>
            <w:top w:val="none" w:sz="0" w:space="0" w:color="auto"/>
            <w:left w:val="none" w:sz="0" w:space="0" w:color="auto"/>
            <w:bottom w:val="none" w:sz="0" w:space="0" w:color="auto"/>
            <w:right w:val="none" w:sz="0" w:space="0" w:color="auto"/>
          </w:divBdr>
          <w:divsChild>
            <w:div w:id="1423838048">
              <w:marLeft w:val="0"/>
              <w:marRight w:val="0"/>
              <w:marTop w:val="0"/>
              <w:marBottom w:val="0"/>
              <w:divBdr>
                <w:top w:val="none" w:sz="0" w:space="0" w:color="auto"/>
                <w:left w:val="none" w:sz="0" w:space="0" w:color="auto"/>
                <w:bottom w:val="none" w:sz="0" w:space="0" w:color="auto"/>
                <w:right w:val="none" w:sz="0" w:space="0" w:color="auto"/>
              </w:divBdr>
              <w:divsChild>
                <w:div w:id="827135290">
                  <w:marLeft w:val="0"/>
                  <w:marRight w:val="0"/>
                  <w:marTop w:val="0"/>
                  <w:marBottom w:val="0"/>
                  <w:divBdr>
                    <w:top w:val="none" w:sz="0" w:space="0" w:color="auto"/>
                    <w:left w:val="none" w:sz="0" w:space="0" w:color="auto"/>
                    <w:bottom w:val="none" w:sz="0" w:space="0" w:color="auto"/>
                    <w:right w:val="none" w:sz="0" w:space="0" w:color="auto"/>
                  </w:divBdr>
                  <w:divsChild>
                    <w:div w:id="1374426018">
                      <w:marLeft w:val="0"/>
                      <w:marRight w:val="0"/>
                      <w:marTop w:val="0"/>
                      <w:marBottom w:val="0"/>
                      <w:divBdr>
                        <w:top w:val="none" w:sz="0" w:space="0" w:color="auto"/>
                        <w:left w:val="none" w:sz="0" w:space="0" w:color="auto"/>
                        <w:bottom w:val="none" w:sz="0" w:space="0" w:color="auto"/>
                        <w:right w:val="none" w:sz="0" w:space="0" w:color="auto"/>
                      </w:divBdr>
                      <w:divsChild>
                        <w:div w:id="2003074903">
                          <w:marLeft w:val="0"/>
                          <w:marRight w:val="0"/>
                          <w:marTop w:val="0"/>
                          <w:marBottom w:val="0"/>
                          <w:divBdr>
                            <w:top w:val="none" w:sz="0" w:space="0" w:color="auto"/>
                            <w:left w:val="none" w:sz="0" w:space="0" w:color="auto"/>
                            <w:bottom w:val="none" w:sz="0" w:space="0" w:color="auto"/>
                            <w:right w:val="none" w:sz="0" w:space="0" w:color="auto"/>
                          </w:divBdr>
                          <w:divsChild>
                            <w:div w:id="1019041060">
                              <w:marLeft w:val="0"/>
                              <w:marRight w:val="0"/>
                              <w:marTop w:val="0"/>
                              <w:marBottom w:val="0"/>
                              <w:divBdr>
                                <w:top w:val="none" w:sz="0" w:space="0" w:color="auto"/>
                                <w:left w:val="none" w:sz="0" w:space="0" w:color="auto"/>
                                <w:bottom w:val="none" w:sz="0" w:space="0" w:color="auto"/>
                                <w:right w:val="none" w:sz="0" w:space="0" w:color="auto"/>
                              </w:divBdr>
                              <w:divsChild>
                                <w:div w:id="246614265">
                                  <w:marLeft w:val="0"/>
                                  <w:marRight w:val="0"/>
                                  <w:marTop w:val="0"/>
                                  <w:marBottom w:val="0"/>
                                  <w:divBdr>
                                    <w:top w:val="none" w:sz="0" w:space="0" w:color="auto"/>
                                    <w:left w:val="none" w:sz="0" w:space="0" w:color="auto"/>
                                    <w:bottom w:val="none" w:sz="0" w:space="0" w:color="auto"/>
                                    <w:right w:val="none" w:sz="0" w:space="0" w:color="auto"/>
                                  </w:divBdr>
                                  <w:divsChild>
                                    <w:div w:id="1640068188">
                                      <w:marLeft w:val="0"/>
                                      <w:marRight w:val="0"/>
                                      <w:marTop w:val="0"/>
                                      <w:marBottom w:val="0"/>
                                      <w:divBdr>
                                        <w:top w:val="none" w:sz="0" w:space="0" w:color="auto"/>
                                        <w:left w:val="none" w:sz="0" w:space="0" w:color="auto"/>
                                        <w:bottom w:val="none" w:sz="0" w:space="0" w:color="auto"/>
                                        <w:right w:val="none" w:sz="0" w:space="0" w:color="auto"/>
                                      </w:divBdr>
                                      <w:divsChild>
                                        <w:div w:id="1529297560">
                                          <w:marLeft w:val="0"/>
                                          <w:marRight w:val="0"/>
                                          <w:marTop w:val="0"/>
                                          <w:marBottom w:val="0"/>
                                          <w:divBdr>
                                            <w:top w:val="none" w:sz="0" w:space="0" w:color="auto"/>
                                            <w:left w:val="none" w:sz="0" w:space="0" w:color="auto"/>
                                            <w:bottom w:val="none" w:sz="0" w:space="0" w:color="auto"/>
                                            <w:right w:val="none" w:sz="0" w:space="0" w:color="auto"/>
                                          </w:divBdr>
                                          <w:divsChild>
                                            <w:div w:id="11155919">
                                              <w:marLeft w:val="0"/>
                                              <w:marRight w:val="0"/>
                                              <w:marTop w:val="0"/>
                                              <w:marBottom w:val="0"/>
                                              <w:divBdr>
                                                <w:top w:val="none" w:sz="0" w:space="0" w:color="auto"/>
                                                <w:left w:val="none" w:sz="0" w:space="0" w:color="auto"/>
                                                <w:bottom w:val="none" w:sz="0" w:space="0" w:color="auto"/>
                                                <w:right w:val="none" w:sz="0" w:space="0" w:color="auto"/>
                                              </w:divBdr>
                                              <w:divsChild>
                                                <w:div w:id="18212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701726">
          <w:marLeft w:val="0"/>
          <w:marRight w:val="0"/>
          <w:marTop w:val="0"/>
          <w:marBottom w:val="0"/>
          <w:divBdr>
            <w:top w:val="none" w:sz="0" w:space="0" w:color="auto"/>
            <w:left w:val="none" w:sz="0" w:space="0" w:color="auto"/>
            <w:bottom w:val="none" w:sz="0" w:space="0" w:color="auto"/>
            <w:right w:val="none" w:sz="0" w:space="0" w:color="auto"/>
          </w:divBdr>
          <w:divsChild>
            <w:div w:id="2102749771">
              <w:marLeft w:val="0"/>
              <w:marRight w:val="0"/>
              <w:marTop w:val="0"/>
              <w:marBottom w:val="0"/>
              <w:divBdr>
                <w:top w:val="none" w:sz="0" w:space="0" w:color="auto"/>
                <w:left w:val="none" w:sz="0" w:space="0" w:color="auto"/>
                <w:bottom w:val="none" w:sz="0" w:space="0" w:color="auto"/>
                <w:right w:val="none" w:sz="0" w:space="0" w:color="auto"/>
              </w:divBdr>
              <w:divsChild>
                <w:div w:id="1582907177">
                  <w:marLeft w:val="0"/>
                  <w:marRight w:val="0"/>
                  <w:marTop w:val="0"/>
                  <w:marBottom w:val="0"/>
                  <w:divBdr>
                    <w:top w:val="none" w:sz="0" w:space="0" w:color="auto"/>
                    <w:left w:val="none" w:sz="0" w:space="0" w:color="auto"/>
                    <w:bottom w:val="none" w:sz="0" w:space="0" w:color="auto"/>
                    <w:right w:val="none" w:sz="0" w:space="0" w:color="auto"/>
                  </w:divBdr>
                  <w:divsChild>
                    <w:div w:id="1622151892">
                      <w:marLeft w:val="0"/>
                      <w:marRight w:val="0"/>
                      <w:marTop w:val="0"/>
                      <w:marBottom w:val="0"/>
                      <w:divBdr>
                        <w:top w:val="none" w:sz="0" w:space="0" w:color="auto"/>
                        <w:left w:val="none" w:sz="0" w:space="0" w:color="auto"/>
                        <w:bottom w:val="none" w:sz="0" w:space="0" w:color="auto"/>
                        <w:right w:val="none" w:sz="0" w:space="0" w:color="auto"/>
                      </w:divBdr>
                      <w:divsChild>
                        <w:div w:id="7019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9657">
                  <w:marLeft w:val="0"/>
                  <w:marRight w:val="0"/>
                  <w:marTop w:val="0"/>
                  <w:marBottom w:val="0"/>
                  <w:divBdr>
                    <w:top w:val="none" w:sz="0" w:space="0" w:color="auto"/>
                    <w:left w:val="none" w:sz="0" w:space="0" w:color="auto"/>
                    <w:bottom w:val="none" w:sz="0" w:space="0" w:color="auto"/>
                    <w:right w:val="none" w:sz="0" w:space="0" w:color="auto"/>
                  </w:divBdr>
                  <w:divsChild>
                    <w:div w:id="11493235">
                      <w:marLeft w:val="0"/>
                      <w:marRight w:val="0"/>
                      <w:marTop w:val="0"/>
                      <w:marBottom w:val="0"/>
                      <w:divBdr>
                        <w:top w:val="none" w:sz="0" w:space="0" w:color="auto"/>
                        <w:left w:val="none" w:sz="0" w:space="0" w:color="auto"/>
                        <w:bottom w:val="none" w:sz="0" w:space="0" w:color="auto"/>
                        <w:right w:val="none" w:sz="0" w:space="0" w:color="auto"/>
                      </w:divBdr>
                      <w:divsChild>
                        <w:div w:id="8656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6861">
                  <w:marLeft w:val="0"/>
                  <w:marRight w:val="0"/>
                  <w:marTop w:val="0"/>
                  <w:marBottom w:val="0"/>
                  <w:divBdr>
                    <w:top w:val="none" w:sz="0" w:space="0" w:color="auto"/>
                    <w:left w:val="none" w:sz="0" w:space="0" w:color="auto"/>
                    <w:bottom w:val="none" w:sz="0" w:space="0" w:color="auto"/>
                    <w:right w:val="none" w:sz="0" w:space="0" w:color="auto"/>
                  </w:divBdr>
                  <w:divsChild>
                    <w:div w:id="1984114820">
                      <w:marLeft w:val="0"/>
                      <w:marRight w:val="0"/>
                      <w:marTop w:val="0"/>
                      <w:marBottom w:val="0"/>
                      <w:divBdr>
                        <w:top w:val="none" w:sz="0" w:space="0" w:color="auto"/>
                        <w:left w:val="none" w:sz="0" w:space="0" w:color="auto"/>
                        <w:bottom w:val="none" w:sz="0" w:space="0" w:color="auto"/>
                        <w:right w:val="none" w:sz="0" w:space="0" w:color="auto"/>
                      </w:divBdr>
                      <w:divsChild>
                        <w:div w:id="108692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71647">
                  <w:marLeft w:val="0"/>
                  <w:marRight w:val="0"/>
                  <w:marTop w:val="0"/>
                  <w:marBottom w:val="0"/>
                  <w:divBdr>
                    <w:top w:val="none" w:sz="0" w:space="0" w:color="auto"/>
                    <w:left w:val="none" w:sz="0" w:space="0" w:color="auto"/>
                    <w:bottom w:val="none" w:sz="0" w:space="0" w:color="auto"/>
                    <w:right w:val="none" w:sz="0" w:space="0" w:color="auto"/>
                  </w:divBdr>
                  <w:divsChild>
                    <w:div w:id="1996033672">
                      <w:marLeft w:val="0"/>
                      <w:marRight w:val="0"/>
                      <w:marTop w:val="0"/>
                      <w:marBottom w:val="0"/>
                      <w:divBdr>
                        <w:top w:val="none" w:sz="0" w:space="0" w:color="auto"/>
                        <w:left w:val="none" w:sz="0" w:space="0" w:color="auto"/>
                        <w:bottom w:val="none" w:sz="0" w:space="0" w:color="auto"/>
                        <w:right w:val="none" w:sz="0" w:space="0" w:color="auto"/>
                      </w:divBdr>
                      <w:divsChild>
                        <w:div w:id="1393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8779">
                  <w:marLeft w:val="0"/>
                  <w:marRight w:val="0"/>
                  <w:marTop w:val="0"/>
                  <w:marBottom w:val="0"/>
                  <w:divBdr>
                    <w:top w:val="none" w:sz="0" w:space="0" w:color="auto"/>
                    <w:left w:val="none" w:sz="0" w:space="0" w:color="auto"/>
                    <w:bottom w:val="none" w:sz="0" w:space="0" w:color="auto"/>
                    <w:right w:val="none" w:sz="0" w:space="0" w:color="auto"/>
                  </w:divBdr>
                  <w:divsChild>
                    <w:div w:id="1118833214">
                      <w:marLeft w:val="0"/>
                      <w:marRight w:val="0"/>
                      <w:marTop w:val="0"/>
                      <w:marBottom w:val="0"/>
                      <w:divBdr>
                        <w:top w:val="none" w:sz="0" w:space="0" w:color="auto"/>
                        <w:left w:val="none" w:sz="0" w:space="0" w:color="auto"/>
                        <w:bottom w:val="none" w:sz="0" w:space="0" w:color="auto"/>
                        <w:right w:val="none" w:sz="0" w:space="0" w:color="auto"/>
                      </w:divBdr>
                      <w:divsChild>
                        <w:div w:id="11760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38742">
                  <w:marLeft w:val="0"/>
                  <w:marRight w:val="0"/>
                  <w:marTop w:val="0"/>
                  <w:marBottom w:val="0"/>
                  <w:divBdr>
                    <w:top w:val="none" w:sz="0" w:space="0" w:color="auto"/>
                    <w:left w:val="none" w:sz="0" w:space="0" w:color="auto"/>
                    <w:bottom w:val="none" w:sz="0" w:space="0" w:color="auto"/>
                    <w:right w:val="none" w:sz="0" w:space="0" w:color="auto"/>
                  </w:divBdr>
                  <w:divsChild>
                    <w:div w:id="1329795486">
                      <w:marLeft w:val="0"/>
                      <w:marRight w:val="0"/>
                      <w:marTop w:val="0"/>
                      <w:marBottom w:val="0"/>
                      <w:divBdr>
                        <w:top w:val="none" w:sz="0" w:space="0" w:color="auto"/>
                        <w:left w:val="none" w:sz="0" w:space="0" w:color="auto"/>
                        <w:bottom w:val="none" w:sz="0" w:space="0" w:color="auto"/>
                        <w:right w:val="none" w:sz="0" w:space="0" w:color="auto"/>
                      </w:divBdr>
                      <w:divsChild>
                        <w:div w:id="134717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82270">
                  <w:marLeft w:val="0"/>
                  <w:marRight w:val="0"/>
                  <w:marTop w:val="0"/>
                  <w:marBottom w:val="0"/>
                  <w:divBdr>
                    <w:top w:val="none" w:sz="0" w:space="0" w:color="auto"/>
                    <w:left w:val="none" w:sz="0" w:space="0" w:color="auto"/>
                    <w:bottom w:val="none" w:sz="0" w:space="0" w:color="auto"/>
                    <w:right w:val="none" w:sz="0" w:space="0" w:color="auto"/>
                  </w:divBdr>
                  <w:divsChild>
                    <w:div w:id="255796029">
                      <w:marLeft w:val="0"/>
                      <w:marRight w:val="0"/>
                      <w:marTop w:val="0"/>
                      <w:marBottom w:val="0"/>
                      <w:divBdr>
                        <w:top w:val="none" w:sz="0" w:space="0" w:color="auto"/>
                        <w:left w:val="none" w:sz="0" w:space="0" w:color="auto"/>
                        <w:bottom w:val="none" w:sz="0" w:space="0" w:color="auto"/>
                        <w:right w:val="none" w:sz="0" w:space="0" w:color="auto"/>
                      </w:divBdr>
                      <w:divsChild>
                        <w:div w:id="1656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4529">
          <w:marLeft w:val="0"/>
          <w:marRight w:val="0"/>
          <w:marTop w:val="0"/>
          <w:marBottom w:val="0"/>
          <w:divBdr>
            <w:top w:val="none" w:sz="0" w:space="0" w:color="auto"/>
            <w:left w:val="none" w:sz="0" w:space="0" w:color="auto"/>
            <w:bottom w:val="none" w:sz="0" w:space="0" w:color="auto"/>
            <w:right w:val="none" w:sz="0" w:space="0" w:color="auto"/>
          </w:divBdr>
          <w:divsChild>
            <w:div w:id="201720539">
              <w:marLeft w:val="0"/>
              <w:marRight w:val="0"/>
              <w:marTop w:val="0"/>
              <w:marBottom w:val="0"/>
              <w:divBdr>
                <w:top w:val="none" w:sz="0" w:space="0" w:color="auto"/>
                <w:left w:val="none" w:sz="0" w:space="0" w:color="auto"/>
                <w:bottom w:val="none" w:sz="0" w:space="0" w:color="auto"/>
                <w:right w:val="none" w:sz="0" w:space="0" w:color="auto"/>
              </w:divBdr>
              <w:divsChild>
                <w:div w:id="2145465948">
                  <w:marLeft w:val="0"/>
                  <w:marRight w:val="0"/>
                  <w:marTop w:val="0"/>
                  <w:marBottom w:val="0"/>
                  <w:divBdr>
                    <w:top w:val="none" w:sz="0" w:space="0" w:color="auto"/>
                    <w:left w:val="none" w:sz="0" w:space="0" w:color="auto"/>
                    <w:bottom w:val="none" w:sz="0" w:space="0" w:color="auto"/>
                    <w:right w:val="none" w:sz="0" w:space="0" w:color="auto"/>
                  </w:divBdr>
                  <w:divsChild>
                    <w:div w:id="1763798578">
                      <w:marLeft w:val="0"/>
                      <w:marRight w:val="0"/>
                      <w:marTop w:val="0"/>
                      <w:marBottom w:val="0"/>
                      <w:divBdr>
                        <w:top w:val="none" w:sz="0" w:space="0" w:color="auto"/>
                        <w:left w:val="none" w:sz="0" w:space="0" w:color="auto"/>
                        <w:bottom w:val="none" w:sz="0" w:space="0" w:color="auto"/>
                        <w:right w:val="none" w:sz="0" w:space="0" w:color="auto"/>
                      </w:divBdr>
                      <w:divsChild>
                        <w:div w:id="551693435">
                          <w:marLeft w:val="0"/>
                          <w:marRight w:val="0"/>
                          <w:marTop w:val="0"/>
                          <w:marBottom w:val="0"/>
                          <w:divBdr>
                            <w:top w:val="none" w:sz="0" w:space="0" w:color="auto"/>
                            <w:left w:val="none" w:sz="0" w:space="0" w:color="auto"/>
                            <w:bottom w:val="none" w:sz="0" w:space="0" w:color="auto"/>
                            <w:right w:val="none" w:sz="0" w:space="0" w:color="auto"/>
                          </w:divBdr>
                          <w:divsChild>
                            <w:div w:id="686520816">
                              <w:marLeft w:val="0"/>
                              <w:marRight w:val="0"/>
                              <w:marTop w:val="0"/>
                              <w:marBottom w:val="0"/>
                              <w:divBdr>
                                <w:top w:val="none" w:sz="0" w:space="0" w:color="auto"/>
                                <w:left w:val="none" w:sz="0" w:space="0" w:color="auto"/>
                                <w:bottom w:val="none" w:sz="0" w:space="0" w:color="auto"/>
                                <w:right w:val="none" w:sz="0" w:space="0" w:color="auto"/>
                              </w:divBdr>
                            </w:div>
                          </w:divsChild>
                        </w:div>
                        <w:div w:id="150484595">
                          <w:marLeft w:val="0"/>
                          <w:marRight w:val="0"/>
                          <w:marTop w:val="0"/>
                          <w:marBottom w:val="0"/>
                          <w:divBdr>
                            <w:top w:val="none" w:sz="0" w:space="0" w:color="auto"/>
                            <w:left w:val="none" w:sz="0" w:space="0" w:color="auto"/>
                            <w:bottom w:val="none" w:sz="0" w:space="0" w:color="auto"/>
                            <w:right w:val="none" w:sz="0" w:space="0" w:color="auto"/>
                          </w:divBdr>
                        </w:div>
                      </w:divsChild>
                    </w:div>
                    <w:div w:id="925458685">
                      <w:marLeft w:val="0"/>
                      <w:marRight w:val="0"/>
                      <w:marTop w:val="0"/>
                      <w:marBottom w:val="0"/>
                      <w:divBdr>
                        <w:top w:val="none" w:sz="0" w:space="0" w:color="auto"/>
                        <w:left w:val="none" w:sz="0" w:space="0" w:color="auto"/>
                        <w:bottom w:val="none" w:sz="0" w:space="0" w:color="auto"/>
                        <w:right w:val="none" w:sz="0" w:space="0" w:color="auto"/>
                      </w:divBdr>
                      <w:divsChild>
                        <w:div w:id="1665277565">
                          <w:marLeft w:val="0"/>
                          <w:marRight w:val="0"/>
                          <w:marTop w:val="0"/>
                          <w:marBottom w:val="0"/>
                          <w:divBdr>
                            <w:top w:val="none" w:sz="0" w:space="0" w:color="auto"/>
                            <w:left w:val="none" w:sz="0" w:space="0" w:color="auto"/>
                            <w:bottom w:val="none" w:sz="0" w:space="0" w:color="auto"/>
                            <w:right w:val="none" w:sz="0" w:space="0" w:color="auto"/>
                          </w:divBdr>
                          <w:divsChild>
                            <w:div w:id="373119195">
                              <w:marLeft w:val="0"/>
                              <w:marRight w:val="0"/>
                              <w:marTop w:val="0"/>
                              <w:marBottom w:val="0"/>
                              <w:divBdr>
                                <w:top w:val="none" w:sz="0" w:space="0" w:color="auto"/>
                                <w:left w:val="none" w:sz="0" w:space="0" w:color="auto"/>
                                <w:bottom w:val="none" w:sz="0" w:space="0" w:color="auto"/>
                                <w:right w:val="none" w:sz="0" w:space="0" w:color="auto"/>
                              </w:divBdr>
                              <w:divsChild>
                                <w:div w:id="665400250">
                                  <w:marLeft w:val="0"/>
                                  <w:marRight w:val="0"/>
                                  <w:marTop w:val="0"/>
                                  <w:marBottom w:val="0"/>
                                  <w:divBdr>
                                    <w:top w:val="none" w:sz="0" w:space="0" w:color="auto"/>
                                    <w:left w:val="none" w:sz="0" w:space="0" w:color="auto"/>
                                    <w:bottom w:val="none" w:sz="0" w:space="0" w:color="auto"/>
                                    <w:right w:val="none" w:sz="0" w:space="0" w:color="auto"/>
                                  </w:divBdr>
                                </w:div>
                                <w:div w:id="1299992629">
                                  <w:marLeft w:val="0"/>
                                  <w:marRight w:val="0"/>
                                  <w:marTop w:val="0"/>
                                  <w:marBottom w:val="0"/>
                                  <w:divBdr>
                                    <w:top w:val="none" w:sz="0" w:space="0" w:color="auto"/>
                                    <w:left w:val="none" w:sz="0" w:space="0" w:color="auto"/>
                                    <w:bottom w:val="none" w:sz="0" w:space="0" w:color="auto"/>
                                    <w:right w:val="none" w:sz="0" w:space="0" w:color="auto"/>
                                  </w:divBdr>
                                  <w:divsChild>
                                    <w:div w:id="20568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704477">
          <w:marLeft w:val="0"/>
          <w:marRight w:val="0"/>
          <w:marTop w:val="0"/>
          <w:marBottom w:val="0"/>
          <w:divBdr>
            <w:top w:val="none" w:sz="0" w:space="0" w:color="auto"/>
            <w:left w:val="none" w:sz="0" w:space="0" w:color="auto"/>
            <w:bottom w:val="none" w:sz="0" w:space="0" w:color="auto"/>
            <w:right w:val="none" w:sz="0" w:space="0" w:color="auto"/>
          </w:divBdr>
          <w:divsChild>
            <w:div w:id="343747102">
              <w:marLeft w:val="0"/>
              <w:marRight w:val="0"/>
              <w:marTop w:val="0"/>
              <w:marBottom w:val="0"/>
              <w:divBdr>
                <w:top w:val="none" w:sz="0" w:space="0" w:color="auto"/>
                <w:left w:val="none" w:sz="0" w:space="0" w:color="auto"/>
                <w:bottom w:val="none" w:sz="0" w:space="0" w:color="auto"/>
                <w:right w:val="none" w:sz="0" w:space="0" w:color="auto"/>
              </w:divBdr>
              <w:divsChild>
                <w:div w:id="6676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68002">
      <w:bodyDiv w:val="1"/>
      <w:marLeft w:val="0"/>
      <w:marRight w:val="0"/>
      <w:marTop w:val="0"/>
      <w:marBottom w:val="0"/>
      <w:divBdr>
        <w:top w:val="none" w:sz="0" w:space="0" w:color="auto"/>
        <w:left w:val="none" w:sz="0" w:space="0" w:color="auto"/>
        <w:bottom w:val="none" w:sz="0" w:space="0" w:color="auto"/>
        <w:right w:val="none" w:sz="0" w:space="0" w:color="auto"/>
      </w:divBdr>
    </w:div>
    <w:div w:id="1350526505">
      <w:bodyDiv w:val="1"/>
      <w:marLeft w:val="0"/>
      <w:marRight w:val="0"/>
      <w:marTop w:val="0"/>
      <w:marBottom w:val="0"/>
      <w:divBdr>
        <w:top w:val="none" w:sz="0" w:space="0" w:color="auto"/>
        <w:left w:val="none" w:sz="0" w:space="0" w:color="auto"/>
        <w:bottom w:val="none" w:sz="0" w:space="0" w:color="auto"/>
        <w:right w:val="none" w:sz="0" w:space="0" w:color="auto"/>
      </w:divBdr>
    </w:div>
    <w:div w:id="1396857928">
      <w:bodyDiv w:val="1"/>
      <w:marLeft w:val="0"/>
      <w:marRight w:val="0"/>
      <w:marTop w:val="0"/>
      <w:marBottom w:val="0"/>
      <w:divBdr>
        <w:top w:val="none" w:sz="0" w:space="0" w:color="auto"/>
        <w:left w:val="none" w:sz="0" w:space="0" w:color="auto"/>
        <w:bottom w:val="none" w:sz="0" w:space="0" w:color="auto"/>
        <w:right w:val="none" w:sz="0" w:space="0" w:color="auto"/>
      </w:divBdr>
    </w:div>
    <w:div w:id="1528057294">
      <w:bodyDiv w:val="1"/>
      <w:marLeft w:val="0"/>
      <w:marRight w:val="0"/>
      <w:marTop w:val="0"/>
      <w:marBottom w:val="0"/>
      <w:divBdr>
        <w:top w:val="none" w:sz="0" w:space="0" w:color="auto"/>
        <w:left w:val="none" w:sz="0" w:space="0" w:color="auto"/>
        <w:bottom w:val="none" w:sz="0" w:space="0" w:color="auto"/>
        <w:right w:val="none" w:sz="0" w:space="0" w:color="auto"/>
      </w:divBdr>
    </w:div>
    <w:div w:id="1715033008">
      <w:bodyDiv w:val="1"/>
      <w:marLeft w:val="0"/>
      <w:marRight w:val="0"/>
      <w:marTop w:val="0"/>
      <w:marBottom w:val="0"/>
      <w:divBdr>
        <w:top w:val="none" w:sz="0" w:space="0" w:color="auto"/>
        <w:left w:val="none" w:sz="0" w:space="0" w:color="auto"/>
        <w:bottom w:val="none" w:sz="0" w:space="0" w:color="auto"/>
        <w:right w:val="none" w:sz="0" w:space="0" w:color="auto"/>
      </w:divBdr>
    </w:div>
    <w:div w:id="1786999483">
      <w:bodyDiv w:val="1"/>
      <w:marLeft w:val="0"/>
      <w:marRight w:val="0"/>
      <w:marTop w:val="0"/>
      <w:marBottom w:val="0"/>
      <w:divBdr>
        <w:top w:val="none" w:sz="0" w:space="0" w:color="auto"/>
        <w:left w:val="none" w:sz="0" w:space="0" w:color="auto"/>
        <w:bottom w:val="none" w:sz="0" w:space="0" w:color="auto"/>
        <w:right w:val="none" w:sz="0" w:space="0" w:color="auto"/>
      </w:divBdr>
    </w:div>
    <w:div w:id="1847593432">
      <w:bodyDiv w:val="1"/>
      <w:marLeft w:val="0"/>
      <w:marRight w:val="0"/>
      <w:marTop w:val="0"/>
      <w:marBottom w:val="0"/>
      <w:divBdr>
        <w:top w:val="none" w:sz="0" w:space="0" w:color="auto"/>
        <w:left w:val="none" w:sz="0" w:space="0" w:color="auto"/>
        <w:bottom w:val="none" w:sz="0" w:space="0" w:color="auto"/>
        <w:right w:val="none" w:sz="0" w:space="0" w:color="auto"/>
      </w:divBdr>
    </w:div>
    <w:div w:id="1892956203">
      <w:bodyDiv w:val="1"/>
      <w:marLeft w:val="0"/>
      <w:marRight w:val="0"/>
      <w:marTop w:val="0"/>
      <w:marBottom w:val="0"/>
      <w:divBdr>
        <w:top w:val="none" w:sz="0" w:space="0" w:color="auto"/>
        <w:left w:val="none" w:sz="0" w:space="0" w:color="auto"/>
        <w:bottom w:val="none" w:sz="0" w:space="0" w:color="auto"/>
        <w:right w:val="none" w:sz="0" w:space="0" w:color="auto"/>
      </w:divBdr>
    </w:div>
    <w:div w:id="1894656645">
      <w:bodyDiv w:val="1"/>
      <w:marLeft w:val="0"/>
      <w:marRight w:val="0"/>
      <w:marTop w:val="0"/>
      <w:marBottom w:val="0"/>
      <w:divBdr>
        <w:top w:val="none" w:sz="0" w:space="0" w:color="auto"/>
        <w:left w:val="none" w:sz="0" w:space="0" w:color="auto"/>
        <w:bottom w:val="none" w:sz="0" w:space="0" w:color="auto"/>
        <w:right w:val="none" w:sz="0" w:space="0" w:color="auto"/>
      </w:divBdr>
    </w:div>
    <w:div w:id="1950892650">
      <w:bodyDiv w:val="1"/>
      <w:marLeft w:val="0"/>
      <w:marRight w:val="0"/>
      <w:marTop w:val="0"/>
      <w:marBottom w:val="0"/>
      <w:divBdr>
        <w:top w:val="none" w:sz="0" w:space="0" w:color="auto"/>
        <w:left w:val="none" w:sz="0" w:space="0" w:color="auto"/>
        <w:bottom w:val="none" w:sz="0" w:space="0" w:color="auto"/>
        <w:right w:val="none" w:sz="0" w:space="0" w:color="auto"/>
      </w:divBdr>
    </w:div>
    <w:div w:id="2074307647">
      <w:bodyDiv w:val="1"/>
      <w:marLeft w:val="0"/>
      <w:marRight w:val="0"/>
      <w:marTop w:val="0"/>
      <w:marBottom w:val="0"/>
      <w:divBdr>
        <w:top w:val="none" w:sz="0" w:space="0" w:color="auto"/>
        <w:left w:val="none" w:sz="0" w:space="0" w:color="auto"/>
        <w:bottom w:val="none" w:sz="0" w:space="0" w:color="auto"/>
        <w:right w:val="none" w:sz="0" w:space="0" w:color="auto"/>
      </w:divBdr>
    </w:div>
    <w:div w:id="2095012298">
      <w:bodyDiv w:val="1"/>
      <w:marLeft w:val="0"/>
      <w:marRight w:val="0"/>
      <w:marTop w:val="0"/>
      <w:marBottom w:val="0"/>
      <w:divBdr>
        <w:top w:val="none" w:sz="0" w:space="0" w:color="auto"/>
        <w:left w:val="none" w:sz="0" w:space="0" w:color="auto"/>
        <w:bottom w:val="none" w:sz="0" w:space="0" w:color="auto"/>
        <w:right w:val="none" w:sz="0" w:space="0" w:color="auto"/>
      </w:divBdr>
    </w:div>
    <w:div w:id="212896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yperlink" Target="http://eur-lex.europa.eu/budget/www/index-fr.htm" TargetMode="Externa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D6DB4-7F09-4E74-8AB7-1AB56A397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4741</Words>
  <Characters>23326</Characters>
  <Application>Microsoft Office Word</Application>
  <DocSecurity>0</DocSecurity>
  <Lines>971</Lines>
  <Paragraphs>597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PASCUAL IBANEZ Noelia (SG)</cp:lastModifiedBy>
  <cp:revision>22</cp:revision>
  <cp:lastPrinted>2020-09-30T12:17:00Z</cp:lastPrinted>
  <dcterms:created xsi:type="dcterms:W3CDTF">2020-10-06T08:20:00Z</dcterms:created>
  <dcterms:modified xsi:type="dcterms:W3CDTF">2020-10-19T13:17:00Z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 Build 20190717</vt:lpwstr>
  </property>
  <property fmtid="{D5CDD505-2E9C-101B-9397-08002B2CF9AE}" pid="8" name="Created using">
    <vt:lpwstr>LW 7.0, Build 20190717</vt:lpwstr>
  </property>
</Properties>
</file>