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29" w:rsidRDefault="00317017" w:rsidP="003170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86FB03D0-6FFE-4DC8-8F30-DB68C0405031" style="width:450.7pt;height:347.85pt">
            <v:imagedata r:id="rId8" o:title=""/>
          </v:shape>
        </w:pict>
      </w:r>
    </w:p>
    <w:bookmarkEnd w:id="0"/>
    <w:p w:rsidR="009E5F29" w:rsidRDefault="009E5F29">
      <w:pPr>
        <w:rPr>
          <w:noProof/>
        </w:rPr>
        <w:sectPr w:rsidR="009E5F29" w:rsidSect="00317017">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E5F29" w:rsidRDefault="00317017">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lastRenderedPageBreak/>
        <w:t>Като взе предвид:</w:t>
      </w:r>
    </w:p>
    <w:p w:rsidR="009E5F29" w:rsidRDefault="00317017">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rsidR="009E5F29" w:rsidRDefault="00317017">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и по-специално член 44 от него,</w:t>
      </w:r>
    </w:p>
    <w:p w:rsidR="009E5F29" w:rsidRDefault="00317017">
      <w:pPr>
        <w:pStyle w:val="Tiret0"/>
        <w:tabs>
          <w:tab w:val="clear" w:pos="850"/>
          <w:tab w:val="num" w:pos="927"/>
        </w:tabs>
        <w:rPr>
          <w:noProof/>
        </w:rPr>
      </w:pPr>
      <w:r>
        <w:rPr>
          <w:noProof/>
        </w:rPr>
        <w:t>общия бюджет на Европейския съюз за 2020 финансова година, приет на 27 ноември 2019 г.</w:t>
      </w:r>
      <w:r>
        <w:rPr>
          <w:rStyle w:val="FootnoteReference"/>
          <w:noProof/>
        </w:rPr>
        <w:footnoteReference w:id="3"/>
      </w:r>
      <w:r>
        <w:rPr>
          <w:noProof/>
        </w:rPr>
        <w:t>,</w:t>
      </w:r>
    </w:p>
    <w:p w:rsidR="009E5F29" w:rsidRDefault="00317017">
      <w:pPr>
        <w:pStyle w:val="Tiret0"/>
        <w:rPr>
          <w:noProof/>
        </w:rPr>
      </w:pPr>
      <w:r>
        <w:rPr>
          <w:noProof/>
        </w:rPr>
        <w:t>коригиращ бюджет № 1/2020</w:t>
      </w:r>
      <w:r>
        <w:rPr>
          <w:rStyle w:val="FootnoteReference"/>
          <w:noProof/>
        </w:rPr>
        <w:footnoteReference w:id="4"/>
      </w:r>
      <w:r>
        <w:rPr>
          <w:noProof/>
        </w:rPr>
        <w:t>, приет на 17 април 2020 г.,</w:t>
      </w:r>
    </w:p>
    <w:p w:rsidR="009E5F29" w:rsidRDefault="00317017">
      <w:pPr>
        <w:pStyle w:val="Tiret0"/>
        <w:rPr>
          <w:noProof/>
        </w:rPr>
      </w:pPr>
      <w:r>
        <w:rPr>
          <w:noProof/>
        </w:rPr>
        <w:t>коригиращ бюджет № 2/2020</w:t>
      </w:r>
      <w:r>
        <w:rPr>
          <w:rStyle w:val="FootnoteReference"/>
          <w:noProof/>
        </w:rPr>
        <w:footnoteReference w:id="5"/>
      </w:r>
      <w:r>
        <w:rPr>
          <w:noProof/>
        </w:rPr>
        <w:t>, приет на 17 април 2020 г.,</w:t>
      </w:r>
    </w:p>
    <w:p w:rsidR="009E5F29" w:rsidRDefault="00317017">
      <w:pPr>
        <w:pStyle w:val="Tiret0"/>
        <w:rPr>
          <w:noProof/>
        </w:rPr>
      </w:pPr>
      <w:r>
        <w:rPr>
          <w:noProof/>
        </w:rPr>
        <w:t>коригиращ бюджет № 3/2020</w:t>
      </w:r>
      <w:r>
        <w:rPr>
          <w:rStyle w:val="FootnoteReference"/>
          <w:noProof/>
        </w:rPr>
        <w:footnoteReference w:id="6"/>
      </w:r>
      <w:r>
        <w:rPr>
          <w:noProof/>
        </w:rPr>
        <w:t>, приет на 17 юни 2020 г.,</w:t>
      </w:r>
    </w:p>
    <w:p w:rsidR="009E5F29" w:rsidRDefault="00317017">
      <w:pPr>
        <w:pStyle w:val="Tiret0"/>
        <w:rPr>
          <w:noProof/>
        </w:rPr>
      </w:pPr>
      <w:r>
        <w:rPr>
          <w:noProof/>
        </w:rPr>
        <w:t>коригиращ бюджет № 4/2020</w:t>
      </w:r>
      <w:r>
        <w:rPr>
          <w:rStyle w:val="FootnoteReference"/>
          <w:noProof/>
        </w:rPr>
        <w:footnoteReference w:id="7"/>
      </w:r>
      <w:r>
        <w:rPr>
          <w:noProof/>
        </w:rPr>
        <w:t>, приет на 17 юни 2020 г.,</w:t>
      </w:r>
    </w:p>
    <w:p w:rsidR="009E5F29" w:rsidRDefault="00317017">
      <w:pPr>
        <w:pStyle w:val="Tiret0"/>
        <w:rPr>
          <w:noProof/>
        </w:rPr>
      </w:pPr>
      <w:r>
        <w:rPr>
          <w:noProof/>
        </w:rPr>
        <w:t>коригиращ бюджет № 5/2020</w:t>
      </w:r>
      <w:r>
        <w:rPr>
          <w:rStyle w:val="FootnoteReference"/>
          <w:noProof/>
        </w:rPr>
        <w:footnoteReference w:id="8"/>
      </w:r>
      <w:r>
        <w:rPr>
          <w:noProof/>
        </w:rPr>
        <w:t>, приет на 10 юли 2020 г.,</w:t>
      </w:r>
    </w:p>
    <w:p w:rsidR="009E5F29" w:rsidRDefault="00317017">
      <w:pPr>
        <w:pStyle w:val="Tiret0"/>
        <w:rPr>
          <w:noProof/>
        </w:rPr>
      </w:pPr>
      <w:r>
        <w:rPr>
          <w:noProof/>
        </w:rPr>
        <w:t>коригиращ бюджет № 6/2020</w:t>
      </w:r>
      <w:r>
        <w:rPr>
          <w:rStyle w:val="FootnoteReference"/>
          <w:noProof/>
        </w:rPr>
        <w:footnoteReference w:id="9"/>
      </w:r>
      <w:r>
        <w:rPr>
          <w:noProof/>
        </w:rPr>
        <w:t>, приет на 17 септември 2020 г.,</w:t>
      </w:r>
    </w:p>
    <w:p w:rsidR="009E5F29" w:rsidRDefault="00317017">
      <w:pPr>
        <w:pStyle w:val="Tiret0"/>
        <w:rPr>
          <w:noProof/>
        </w:rPr>
      </w:pPr>
      <w:r>
        <w:rPr>
          <w:noProof/>
        </w:rPr>
        <w:t>коригиращ бюджет № 7/2020</w:t>
      </w:r>
      <w:r>
        <w:rPr>
          <w:rStyle w:val="FootnoteReference"/>
          <w:noProof/>
        </w:rPr>
        <w:footnoteReference w:id="10"/>
      </w:r>
      <w:r>
        <w:rPr>
          <w:noProof/>
        </w:rPr>
        <w:t>, приет на 5 октомври 2020 г.,</w:t>
      </w:r>
    </w:p>
    <w:p w:rsidR="009E5F29" w:rsidRDefault="00317017">
      <w:pPr>
        <w:pStyle w:val="Tiret0"/>
        <w:rPr>
          <w:noProof/>
        </w:rPr>
      </w:pPr>
      <w:r>
        <w:rPr>
          <w:noProof/>
        </w:rPr>
        <w:t>проект на коригиращ бюджет № 9/2020</w:t>
      </w:r>
      <w:r>
        <w:rPr>
          <w:rStyle w:val="FootnoteReference"/>
          <w:noProof/>
        </w:rPr>
        <w:footnoteReference w:id="11"/>
      </w:r>
      <w:r>
        <w:rPr>
          <w:noProof/>
        </w:rPr>
        <w:t>, приет на 9 октомври 2020 г.,</w:t>
      </w:r>
    </w:p>
    <w:p w:rsidR="009E5F29" w:rsidRDefault="0031701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10/2020 към бюджета за 2020 г.</w:t>
      </w:r>
    </w:p>
    <w:p w:rsidR="009E5F29" w:rsidRDefault="009E5F29">
      <w:pPr>
        <w:spacing w:after="0" w:line="240" w:lineRule="auto"/>
        <w:rPr>
          <w:rFonts w:ascii="Times New Roman" w:eastAsia="Times New Roman" w:hAnsi="Times New Roman" w:cs="Times New Roman"/>
          <w:b/>
          <w:noProof/>
          <w:sz w:val="24"/>
          <w:szCs w:val="24"/>
          <w:u w:val="single"/>
          <w:lang w:eastAsia="en-GB"/>
        </w:rPr>
      </w:pPr>
    </w:p>
    <w:p w:rsidR="009E5F29" w:rsidRDefault="00317017">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rsidR="009E5F29" w:rsidRDefault="009E5F29">
      <w:pPr>
        <w:spacing w:after="0" w:line="240" w:lineRule="auto"/>
        <w:rPr>
          <w:rFonts w:ascii="Times New Roman" w:eastAsia="Times New Roman" w:hAnsi="Times New Roman" w:cs="Times New Roman"/>
          <w:b/>
          <w:noProof/>
          <w:sz w:val="24"/>
          <w:szCs w:val="24"/>
          <w:u w:val="single"/>
          <w:lang w:eastAsia="ko-KR"/>
        </w:rPr>
      </w:pPr>
    </w:p>
    <w:p w:rsidR="009E5F29" w:rsidRDefault="0031701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Промените в общата приходна част и в раздел III са достъпни в EUR-Lex (</w:t>
      </w:r>
      <w:hyperlink r:id="rId15" w:history="1">
        <w:r>
          <w:rPr>
            <w:rFonts w:ascii="Times New Roman" w:hAnsi="Times New Roman"/>
            <w:noProof/>
            <w:sz w:val="24"/>
            <w:szCs w:val="24"/>
            <w:u w:val="single"/>
          </w:rPr>
          <w:t>https://eur-lex.europa.eu/budget/www/index-bg.htm</w:t>
        </w:r>
      </w:hyperlink>
      <w:r>
        <w:rPr>
          <w:rFonts w:ascii="Times New Roman" w:hAnsi="Times New Roman"/>
          <w:noProof/>
          <w:sz w:val="24"/>
          <w:szCs w:val="24"/>
        </w:rPr>
        <w:t>).</w:t>
      </w:r>
    </w:p>
    <w:p w:rsidR="009E5F29" w:rsidRDefault="009E5F29">
      <w:pPr>
        <w:spacing w:after="0" w:line="240" w:lineRule="auto"/>
        <w:rPr>
          <w:rFonts w:ascii="Times New Roman" w:eastAsia="Times New Roman" w:hAnsi="Times New Roman" w:cs="Times New Roman"/>
          <w:noProof/>
          <w:sz w:val="24"/>
          <w:szCs w:val="24"/>
          <w:lang w:eastAsia="en-GB"/>
        </w:rPr>
        <w:sectPr w:rsidR="009E5F29">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9E5F29" w:rsidRDefault="00317017">
      <w:pPr>
        <w:pStyle w:val="TOCHeading"/>
        <w:rPr>
          <w:noProof/>
        </w:rPr>
      </w:pPr>
      <w:r>
        <w:rPr>
          <w:noProof/>
        </w:rPr>
        <w:t>СЪДЪРЖАНИЕ</w:t>
      </w:r>
    </w:p>
    <w:sdt>
      <w:sdtPr>
        <w:rPr>
          <w:b w:val="0"/>
          <w:bCs w:val="0"/>
          <w:caps w:val="0"/>
          <w:smallCaps/>
          <w:noProof/>
          <w:sz w:val="24"/>
          <w:szCs w:val="24"/>
          <w:lang w:eastAsia="de-DE"/>
        </w:rPr>
        <w:id w:val="2029912794"/>
        <w:docPartObj>
          <w:docPartGallery w:val="Table of Contents"/>
          <w:docPartUnique/>
        </w:docPartObj>
      </w:sdtPr>
      <w:sdtEndPr>
        <w:rPr>
          <w:b/>
        </w:rPr>
      </w:sdtEndPr>
      <w:sdtContent>
        <w:p w:rsidR="009E5F29" w:rsidRDefault="0031701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53499115"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Въведение</w:t>
            </w:r>
            <w:r>
              <w:rPr>
                <w:noProof/>
                <w:webHidden/>
              </w:rPr>
              <w:tab/>
            </w:r>
            <w:r>
              <w:rPr>
                <w:noProof/>
                <w:webHidden/>
              </w:rPr>
              <w:fldChar w:fldCharType="begin"/>
            </w:r>
            <w:r>
              <w:rPr>
                <w:noProof/>
                <w:webHidden/>
              </w:rPr>
              <w:instrText xml:space="preserve"> PAGEREF _Toc53499115 \h </w:instrText>
            </w:r>
            <w:r>
              <w:rPr>
                <w:noProof/>
                <w:webHidden/>
              </w:rPr>
            </w:r>
            <w:r>
              <w:rPr>
                <w:noProof/>
                <w:webHidden/>
              </w:rPr>
              <w:fldChar w:fldCharType="separate"/>
            </w:r>
            <w:r>
              <w:rPr>
                <w:noProof/>
                <w:webHidden/>
              </w:rPr>
              <w:t>3</w:t>
            </w:r>
            <w:r>
              <w:rPr>
                <w:noProof/>
                <w:webHidden/>
              </w:rPr>
              <w:fldChar w:fldCharType="end"/>
            </w:r>
          </w:hyperlink>
        </w:p>
        <w:p w:rsidR="009E5F29" w:rsidRDefault="0031701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499116"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Допълнителни нужди от бюджетни кредити за плащания</w:t>
            </w:r>
            <w:r>
              <w:rPr>
                <w:noProof/>
                <w:webHidden/>
              </w:rPr>
              <w:tab/>
            </w:r>
            <w:r>
              <w:rPr>
                <w:noProof/>
                <w:webHidden/>
              </w:rPr>
              <w:fldChar w:fldCharType="begin"/>
            </w:r>
            <w:r>
              <w:rPr>
                <w:noProof/>
                <w:webHidden/>
              </w:rPr>
              <w:instrText xml:space="preserve"> PAGEREF _Toc53499116 \h </w:instrText>
            </w:r>
            <w:r>
              <w:rPr>
                <w:noProof/>
                <w:webHidden/>
              </w:rPr>
            </w:r>
            <w:r>
              <w:rPr>
                <w:noProof/>
                <w:webHidden/>
              </w:rPr>
              <w:fldChar w:fldCharType="separate"/>
            </w:r>
            <w:r>
              <w:rPr>
                <w:noProof/>
                <w:webHidden/>
              </w:rPr>
              <w:t>3</w:t>
            </w:r>
            <w:r>
              <w:rPr>
                <w:noProof/>
                <w:webHidden/>
              </w:rPr>
              <w:fldChar w:fldCharType="end"/>
            </w:r>
          </w:hyperlink>
        </w:p>
        <w:p w:rsidR="009E5F29" w:rsidRDefault="0031701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499117" w:history="1">
            <w:r>
              <w:rPr>
                <w:rStyle w:val="Hyperlink"/>
                <w:noProof/>
              </w:rPr>
              <w:t>2.1.</w:t>
            </w:r>
            <w:r>
              <w:rPr>
                <w:rFonts w:asciiTheme="minorHAnsi" w:eastAsiaTheme="minorEastAsia" w:hAnsiTheme="minorHAnsi" w:cstheme="minorBidi"/>
                <w:b w:val="0"/>
                <w:bCs w:val="0"/>
                <w:caps w:val="0"/>
                <w:noProof/>
                <w:sz w:val="22"/>
                <w:szCs w:val="22"/>
                <w:lang w:val="en-US" w:eastAsia="en-US"/>
              </w:rPr>
              <w:tab/>
            </w:r>
            <w:r>
              <w:rPr>
                <w:rStyle w:val="Hyperlink"/>
                <w:noProof/>
              </w:rPr>
              <w:t>Програма за конкурентоспособност на предприятията и малките и средните предприятия (COSME)</w:t>
            </w:r>
            <w:r>
              <w:rPr>
                <w:noProof/>
                <w:webHidden/>
              </w:rPr>
              <w:tab/>
            </w:r>
            <w:r>
              <w:rPr>
                <w:noProof/>
                <w:webHidden/>
              </w:rPr>
              <w:fldChar w:fldCharType="begin"/>
            </w:r>
            <w:r>
              <w:rPr>
                <w:noProof/>
                <w:webHidden/>
              </w:rPr>
              <w:instrText xml:space="preserve"> PAGEREF _Toc53499117 \h </w:instrText>
            </w:r>
            <w:r>
              <w:rPr>
                <w:noProof/>
                <w:webHidden/>
              </w:rPr>
            </w:r>
            <w:r>
              <w:rPr>
                <w:noProof/>
                <w:webHidden/>
              </w:rPr>
              <w:fldChar w:fldCharType="separate"/>
            </w:r>
            <w:r>
              <w:rPr>
                <w:noProof/>
                <w:webHidden/>
              </w:rPr>
              <w:t>4</w:t>
            </w:r>
            <w:r>
              <w:rPr>
                <w:noProof/>
                <w:webHidden/>
              </w:rPr>
              <w:fldChar w:fldCharType="end"/>
            </w:r>
          </w:hyperlink>
        </w:p>
        <w:p w:rsidR="009E5F29" w:rsidRDefault="0031701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499118" w:history="1">
            <w:r>
              <w:rPr>
                <w:rStyle w:val="Hyperlink"/>
                <w:noProof/>
              </w:rPr>
              <w:t>2.2.</w:t>
            </w:r>
            <w:r>
              <w:rPr>
                <w:rFonts w:asciiTheme="minorHAnsi" w:eastAsiaTheme="minorEastAsia" w:hAnsiTheme="minorHAnsi" w:cstheme="minorBidi"/>
                <w:b w:val="0"/>
                <w:bCs w:val="0"/>
                <w:caps w:val="0"/>
                <w:noProof/>
                <w:sz w:val="22"/>
                <w:szCs w:val="22"/>
                <w:lang w:val="en-US" w:eastAsia="en-US"/>
              </w:rPr>
              <w:tab/>
            </w:r>
            <w:r>
              <w:rPr>
                <w:rStyle w:val="Hyperlink"/>
                <w:noProof/>
              </w:rPr>
              <w:t>Механизъм за свързване на Европа (МСЕ) — вноска от КФ</w:t>
            </w:r>
            <w:r>
              <w:rPr>
                <w:noProof/>
                <w:webHidden/>
              </w:rPr>
              <w:tab/>
            </w:r>
            <w:r>
              <w:rPr>
                <w:noProof/>
                <w:webHidden/>
              </w:rPr>
              <w:fldChar w:fldCharType="begin"/>
            </w:r>
            <w:r>
              <w:rPr>
                <w:noProof/>
                <w:webHidden/>
              </w:rPr>
              <w:instrText xml:space="preserve"> PAGEREF _Toc53499118 \h </w:instrText>
            </w:r>
            <w:r>
              <w:rPr>
                <w:noProof/>
                <w:webHidden/>
              </w:rPr>
            </w:r>
            <w:r>
              <w:rPr>
                <w:noProof/>
                <w:webHidden/>
              </w:rPr>
              <w:fldChar w:fldCharType="separate"/>
            </w:r>
            <w:r>
              <w:rPr>
                <w:noProof/>
                <w:webHidden/>
              </w:rPr>
              <w:t>5</w:t>
            </w:r>
            <w:r>
              <w:rPr>
                <w:noProof/>
                <w:webHidden/>
              </w:rPr>
              <w:fldChar w:fldCharType="end"/>
            </w:r>
          </w:hyperlink>
        </w:p>
        <w:p w:rsidR="009E5F29" w:rsidRDefault="0031701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499119" w:history="1">
            <w:r>
              <w:rPr>
                <w:rStyle w:val="Hyperlink"/>
                <w:noProof/>
              </w:rPr>
              <w:t>2.3.</w:t>
            </w:r>
            <w:r>
              <w:rPr>
                <w:rFonts w:asciiTheme="minorHAnsi" w:eastAsiaTheme="minorEastAsia" w:hAnsiTheme="minorHAnsi" w:cstheme="minorBidi"/>
                <w:b w:val="0"/>
                <w:bCs w:val="0"/>
                <w:caps w:val="0"/>
                <w:noProof/>
                <w:sz w:val="22"/>
                <w:szCs w:val="22"/>
                <w:lang w:val="en-US" w:eastAsia="en-US"/>
              </w:rPr>
              <w:tab/>
            </w:r>
            <w:r>
              <w:rPr>
                <w:rStyle w:val="Hyperlink"/>
                <w:noProof/>
              </w:rPr>
              <w:t>Европейски земеделски фонд за развитие на селските райони (ЕЗФРСР)</w:t>
            </w:r>
            <w:r>
              <w:rPr>
                <w:noProof/>
                <w:webHidden/>
              </w:rPr>
              <w:tab/>
            </w:r>
            <w:r>
              <w:rPr>
                <w:noProof/>
                <w:webHidden/>
              </w:rPr>
              <w:fldChar w:fldCharType="begin"/>
            </w:r>
            <w:r>
              <w:rPr>
                <w:noProof/>
                <w:webHidden/>
              </w:rPr>
              <w:instrText xml:space="preserve"> PAGEREF _Toc53499119 \h </w:instrText>
            </w:r>
            <w:r>
              <w:rPr>
                <w:noProof/>
                <w:webHidden/>
              </w:rPr>
            </w:r>
            <w:r>
              <w:rPr>
                <w:noProof/>
                <w:webHidden/>
              </w:rPr>
              <w:fldChar w:fldCharType="separate"/>
            </w:r>
            <w:r>
              <w:rPr>
                <w:noProof/>
                <w:webHidden/>
              </w:rPr>
              <w:t>5</w:t>
            </w:r>
            <w:r>
              <w:rPr>
                <w:noProof/>
                <w:webHidden/>
              </w:rPr>
              <w:fldChar w:fldCharType="end"/>
            </w:r>
          </w:hyperlink>
        </w:p>
        <w:p w:rsidR="009E5F29" w:rsidRDefault="0031701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499120" w:history="1">
            <w:r>
              <w:rPr>
                <w:rStyle w:val="Hyperlink"/>
                <w:noProof/>
              </w:rPr>
              <w:t>2.4.</w:t>
            </w:r>
            <w:r>
              <w:rPr>
                <w:rFonts w:asciiTheme="minorHAnsi" w:eastAsiaTheme="minorEastAsia" w:hAnsiTheme="minorHAnsi" w:cstheme="minorBidi"/>
                <w:b w:val="0"/>
                <w:bCs w:val="0"/>
                <w:caps w:val="0"/>
                <w:noProof/>
                <w:sz w:val="22"/>
                <w:szCs w:val="22"/>
                <w:lang w:val="en-US" w:eastAsia="en-US"/>
              </w:rPr>
              <w:tab/>
            </w:r>
            <w:r>
              <w:rPr>
                <w:rStyle w:val="Hyperlink"/>
                <w:noProof/>
              </w:rPr>
              <w:t>Действия на ЕС за глобално реагиране на COVID-19.</w:t>
            </w:r>
            <w:r>
              <w:rPr>
                <w:noProof/>
                <w:webHidden/>
              </w:rPr>
              <w:tab/>
            </w:r>
            <w:r>
              <w:rPr>
                <w:noProof/>
                <w:webHidden/>
              </w:rPr>
              <w:fldChar w:fldCharType="begin"/>
            </w:r>
            <w:r>
              <w:rPr>
                <w:noProof/>
                <w:webHidden/>
              </w:rPr>
              <w:instrText xml:space="preserve"> PAGEREF _Toc53499120 \h </w:instrText>
            </w:r>
            <w:r>
              <w:rPr>
                <w:noProof/>
                <w:webHidden/>
              </w:rPr>
            </w:r>
            <w:r>
              <w:rPr>
                <w:noProof/>
                <w:webHidden/>
              </w:rPr>
              <w:fldChar w:fldCharType="separate"/>
            </w:r>
            <w:r>
              <w:rPr>
                <w:noProof/>
                <w:webHidden/>
              </w:rPr>
              <w:t>6</w:t>
            </w:r>
            <w:r>
              <w:rPr>
                <w:noProof/>
                <w:webHidden/>
              </w:rPr>
              <w:fldChar w:fldCharType="end"/>
            </w:r>
          </w:hyperlink>
        </w:p>
        <w:p w:rsidR="009E5F29" w:rsidRDefault="00317017">
          <w:pPr>
            <w:pStyle w:val="TOC2"/>
            <w:rPr>
              <w:rFonts w:eastAsiaTheme="minorEastAsia"/>
              <w:noProof/>
              <w:lang w:val="en-US"/>
            </w:rPr>
          </w:pPr>
          <w:hyperlink w:anchor="_Toc53499121" w:history="1">
            <w:r>
              <w:rPr>
                <w:rStyle w:val="Hyperlink"/>
                <w:rFonts w:ascii="Times New Roman" w:hAnsi="Times New Roman"/>
                <w:i/>
                <w:noProof/>
              </w:rPr>
              <w:t>2.4.1</w:t>
            </w:r>
            <w:r>
              <w:rPr>
                <w:rFonts w:eastAsiaTheme="minorEastAsia"/>
                <w:noProof/>
                <w:lang w:val="en-US"/>
              </w:rPr>
              <w:tab/>
            </w:r>
            <w:r>
              <w:rPr>
                <w:rStyle w:val="Hyperlink"/>
                <w:rFonts w:ascii="Times New Roman" w:hAnsi="Times New Roman"/>
                <w:i/>
                <w:noProof/>
              </w:rPr>
              <w:t>Инструмент за предприсъединителна помощ (ИПП II)</w:t>
            </w:r>
            <w:r>
              <w:rPr>
                <w:noProof/>
                <w:webHidden/>
              </w:rPr>
              <w:tab/>
            </w:r>
            <w:r>
              <w:rPr>
                <w:noProof/>
                <w:webHidden/>
              </w:rPr>
              <w:fldChar w:fldCharType="begin"/>
            </w:r>
            <w:r>
              <w:rPr>
                <w:noProof/>
                <w:webHidden/>
              </w:rPr>
              <w:instrText xml:space="preserve"> PAGEREF _Toc53499121 \h </w:instrText>
            </w:r>
            <w:r>
              <w:rPr>
                <w:noProof/>
                <w:webHidden/>
              </w:rPr>
            </w:r>
            <w:r>
              <w:rPr>
                <w:noProof/>
                <w:webHidden/>
              </w:rPr>
              <w:fldChar w:fldCharType="separate"/>
            </w:r>
            <w:r>
              <w:rPr>
                <w:noProof/>
                <w:webHidden/>
              </w:rPr>
              <w:t>6</w:t>
            </w:r>
            <w:r>
              <w:rPr>
                <w:noProof/>
                <w:webHidden/>
              </w:rPr>
              <w:fldChar w:fldCharType="end"/>
            </w:r>
          </w:hyperlink>
        </w:p>
        <w:p w:rsidR="009E5F29" w:rsidRDefault="00317017">
          <w:pPr>
            <w:pStyle w:val="TOC2"/>
            <w:rPr>
              <w:rFonts w:eastAsiaTheme="minorEastAsia"/>
              <w:noProof/>
              <w:lang w:val="en-US"/>
            </w:rPr>
          </w:pPr>
          <w:hyperlink w:anchor="_Toc53499122" w:history="1">
            <w:r>
              <w:rPr>
                <w:rStyle w:val="Hyperlink"/>
                <w:rFonts w:ascii="Times New Roman" w:hAnsi="Times New Roman"/>
                <w:i/>
                <w:noProof/>
              </w:rPr>
              <w:t>2.4.2</w:t>
            </w:r>
            <w:r>
              <w:rPr>
                <w:rFonts w:eastAsiaTheme="minorEastAsia"/>
                <w:noProof/>
                <w:lang w:val="en-US"/>
              </w:rPr>
              <w:tab/>
            </w:r>
            <w:r>
              <w:rPr>
                <w:rStyle w:val="Hyperlink"/>
                <w:rFonts w:ascii="Times New Roman" w:hAnsi="Times New Roman"/>
                <w:i/>
                <w:noProof/>
              </w:rPr>
              <w:t>Европейски инструмент за съседство (ЕИС)</w:t>
            </w:r>
            <w:r>
              <w:rPr>
                <w:noProof/>
                <w:webHidden/>
              </w:rPr>
              <w:tab/>
            </w:r>
            <w:r>
              <w:rPr>
                <w:noProof/>
                <w:webHidden/>
              </w:rPr>
              <w:fldChar w:fldCharType="begin"/>
            </w:r>
            <w:r>
              <w:rPr>
                <w:noProof/>
                <w:webHidden/>
              </w:rPr>
              <w:instrText xml:space="preserve"> PAGEREF _Toc53499122 \h </w:instrText>
            </w:r>
            <w:r>
              <w:rPr>
                <w:noProof/>
                <w:webHidden/>
              </w:rPr>
            </w:r>
            <w:r>
              <w:rPr>
                <w:noProof/>
                <w:webHidden/>
              </w:rPr>
              <w:fldChar w:fldCharType="separate"/>
            </w:r>
            <w:r>
              <w:rPr>
                <w:noProof/>
                <w:webHidden/>
              </w:rPr>
              <w:t>7</w:t>
            </w:r>
            <w:r>
              <w:rPr>
                <w:noProof/>
                <w:webHidden/>
              </w:rPr>
              <w:fldChar w:fldCharType="end"/>
            </w:r>
          </w:hyperlink>
        </w:p>
        <w:p w:rsidR="009E5F29" w:rsidRDefault="00317017">
          <w:pPr>
            <w:pStyle w:val="TOC2"/>
            <w:rPr>
              <w:rFonts w:eastAsiaTheme="minorEastAsia"/>
              <w:noProof/>
              <w:lang w:val="en-US"/>
            </w:rPr>
          </w:pPr>
          <w:hyperlink w:anchor="_Toc53499123" w:history="1">
            <w:r>
              <w:rPr>
                <w:rStyle w:val="Hyperlink"/>
                <w:rFonts w:ascii="Times New Roman" w:hAnsi="Times New Roman"/>
                <w:i/>
                <w:noProof/>
              </w:rPr>
              <w:t>2.4.3</w:t>
            </w:r>
            <w:r>
              <w:rPr>
                <w:rFonts w:eastAsiaTheme="minorEastAsia"/>
                <w:noProof/>
                <w:lang w:val="en-US"/>
              </w:rPr>
              <w:tab/>
            </w:r>
            <w:r>
              <w:rPr>
                <w:rStyle w:val="Hyperlink"/>
                <w:rFonts w:ascii="Times New Roman" w:hAnsi="Times New Roman"/>
                <w:i/>
                <w:noProof/>
              </w:rPr>
              <w:t>Инструмент за сътрудничество за развитие (ИСР)</w:t>
            </w:r>
            <w:r>
              <w:rPr>
                <w:noProof/>
                <w:webHidden/>
              </w:rPr>
              <w:tab/>
            </w:r>
            <w:r>
              <w:rPr>
                <w:noProof/>
                <w:webHidden/>
              </w:rPr>
              <w:fldChar w:fldCharType="begin"/>
            </w:r>
            <w:r>
              <w:rPr>
                <w:noProof/>
                <w:webHidden/>
              </w:rPr>
              <w:instrText xml:space="preserve"> PAGEREF _Toc53499123 \h </w:instrText>
            </w:r>
            <w:r>
              <w:rPr>
                <w:noProof/>
                <w:webHidden/>
              </w:rPr>
            </w:r>
            <w:r>
              <w:rPr>
                <w:noProof/>
                <w:webHidden/>
              </w:rPr>
              <w:fldChar w:fldCharType="separate"/>
            </w:r>
            <w:r>
              <w:rPr>
                <w:noProof/>
                <w:webHidden/>
              </w:rPr>
              <w:t>7</w:t>
            </w:r>
            <w:r>
              <w:rPr>
                <w:noProof/>
                <w:webHidden/>
              </w:rPr>
              <w:fldChar w:fldCharType="end"/>
            </w:r>
          </w:hyperlink>
        </w:p>
        <w:p w:rsidR="009E5F29" w:rsidRDefault="0031701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499124"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Други корекции на разходите</w:t>
            </w:r>
            <w:r>
              <w:rPr>
                <w:noProof/>
                <w:webHidden/>
              </w:rPr>
              <w:tab/>
            </w:r>
            <w:r>
              <w:rPr>
                <w:noProof/>
                <w:webHidden/>
              </w:rPr>
              <w:fldChar w:fldCharType="begin"/>
            </w:r>
            <w:r>
              <w:rPr>
                <w:noProof/>
                <w:webHidden/>
              </w:rPr>
              <w:instrText xml:space="preserve"> PAGEREF _Toc53499124 \h </w:instrText>
            </w:r>
            <w:r>
              <w:rPr>
                <w:noProof/>
                <w:webHidden/>
              </w:rPr>
            </w:r>
            <w:r>
              <w:rPr>
                <w:noProof/>
                <w:webHidden/>
              </w:rPr>
              <w:fldChar w:fldCharType="separate"/>
            </w:r>
            <w:r>
              <w:rPr>
                <w:noProof/>
                <w:webHidden/>
              </w:rPr>
              <w:t>8</w:t>
            </w:r>
            <w:r>
              <w:rPr>
                <w:noProof/>
                <w:webHidden/>
              </w:rPr>
              <w:fldChar w:fldCharType="end"/>
            </w:r>
          </w:hyperlink>
        </w:p>
        <w:p w:rsidR="009E5F29" w:rsidRDefault="0031701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3499125" w:history="1">
            <w:r>
              <w:rPr>
                <w:rStyle w:val="Hyperlink"/>
                <w:noProof/>
              </w:rPr>
              <w:t>3.1.</w:t>
            </w:r>
            <w:r>
              <w:rPr>
                <w:rFonts w:asciiTheme="minorHAnsi" w:eastAsiaTheme="minorEastAsia" w:hAnsiTheme="minorHAnsi" w:cstheme="minorBidi"/>
                <w:b w:val="0"/>
                <w:bCs w:val="0"/>
                <w:caps w:val="0"/>
                <w:noProof/>
                <w:sz w:val="22"/>
                <w:szCs w:val="22"/>
                <w:lang w:val="en-US" w:eastAsia="en-US"/>
              </w:rPr>
              <w:tab/>
            </w:r>
            <w:r>
              <w:rPr>
                <w:rStyle w:val="Hyperlink"/>
                <w:noProof/>
              </w:rPr>
              <w:t>Европейски фонд за гарантиране на земеделието (ЕФГЗ)</w:t>
            </w:r>
            <w:r>
              <w:rPr>
                <w:noProof/>
                <w:webHidden/>
              </w:rPr>
              <w:tab/>
            </w:r>
            <w:r>
              <w:rPr>
                <w:noProof/>
                <w:webHidden/>
              </w:rPr>
              <w:fldChar w:fldCharType="begin"/>
            </w:r>
            <w:r>
              <w:rPr>
                <w:noProof/>
                <w:webHidden/>
              </w:rPr>
              <w:instrText xml:space="preserve"> PAGEREF _Toc53499125 \h </w:instrText>
            </w:r>
            <w:r>
              <w:rPr>
                <w:noProof/>
                <w:webHidden/>
              </w:rPr>
            </w:r>
            <w:r>
              <w:rPr>
                <w:noProof/>
                <w:webHidden/>
              </w:rPr>
              <w:fldChar w:fldCharType="separate"/>
            </w:r>
            <w:r>
              <w:rPr>
                <w:noProof/>
                <w:webHidden/>
              </w:rPr>
              <w:t>8</w:t>
            </w:r>
            <w:r>
              <w:rPr>
                <w:noProof/>
                <w:webHidden/>
              </w:rPr>
              <w:fldChar w:fldCharType="end"/>
            </w:r>
          </w:hyperlink>
        </w:p>
        <w:p w:rsidR="009E5F29" w:rsidRDefault="00317017">
          <w:pPr>
            <w:pStyle w:val="TOC2"/>
            <w:rPr>
              <w:rFonts w:eastAsiaTheme="minorEastAsia"/>
              <w:noProof/>
              <w:lang w:val="en-US"/>
            </w:rPr>
          </w:pPr>
          <w:hyperlink w:anchor="_Toc53499126" w:history="1">
            <w:r>
              <w:rPr>
                <w:rStyle w:val="Hyperlink"/>
                <w:rFonts w:ascii="Times New Roman" w:eastAsia="Calibri" w:hAnsi="Times New Roman" w:cs="Times New Roman"/>
                <w:b/>
                <w:noProof/>
              </w:rPr>
              <w:t>3.2.</w:t>
            </w:r>
            <w:r>
              <w:rPr>
                <w:rFonts w:eastAsiaTheme="minorEastAsia"/>
                <w:noProof/>
                <w:lang w:val="en-US"/>
              </w:rPr>
              <w:tab/>
            </w:r>
            <w:r>
              <w:rPr>
                <w:rStyle w:val="Hyperlink"/>
                <w:rFonts w:ascii="Times New Roman" w:hAnsi="Times New Roman"/>
                <w:b/>
                <w:noProof/>
              </w:rPr>
              <w:t>Децентрализирани агенции</w:t>
            </w:r>
            <w:r>
              <w:rPr>
                <w:noProof/>
                <w:webHidden/>
              </w:rPr>
              <w:tab/>
            </w:r>
            <w:r>
              <w:rPr>
                <w:noProof/>
                <w:webHidden/>
              </w:rPr>
              <w:fldChar w:fldCharType="begin"/>
            </w:r>
            <w:r>
              <w:rPr>
                <w:noProof/>
                <w:webHidden/>
              </w:rPr>
              <w:instrText xml:space="preserve"> PAGEREF _Toc53499126 \h </w:instrText>
            </w:r>
            <w:r>
              <w:rPr>
                <w:noProof/>
                <w:webHidden/>
              </w:rPr>
            </w:r>
            <w:r>
              <w:rPr>
                <w:noProof/>
                <w:webHidden/>
              </w:rPr>
              <w:fldChar w:fldCharType="separate"/>
            </w:r>
            <w:r>
              <w:rPr>
                <w:noProof/>
                <w:webHidden/>
              </w:rPr>
              <w:t>9</w:t>
            </w:r>
            <w:r>
              <w:rPr>
                <w:noProof/>
                <w:webHidden/>
              </w:rPr>
              <w:fldChar w:fldCharType="end"/>
            </w:r>
          </w:hyperlink>
        </w:p>
        <w:p w:rsidR="009E5F29" w:rsidRDefault="00317017">
          <w:pPr>
            <w:pStyle w:val="TOC2"/>
            <w:rPr>
              <w:rFonts w:eastAsiaTheme="minorEastAsia"/>
              <w:noProof/>
              <w:lang w:val="en-US"/>
            </w:rPr>
          </w:pPr>
          <w:hyperlink w:anchor="_Toc53499127" w:history="1">
            <w:r>
              <w:rPr>
                <w:rStyle w:val="Hyperlink"/>
                <w:rFonts w:ascii="Times New Roman" w:hAnsi="Times New Roman"/>
                <w:i/>
                <w:noProof/>
              </w:rPr>
              <w:t xml:space="preserve">3.2.1 </w:t>
            </w:r>
            <w:r>
              <w:rPr>
                <w:rFonts w:eastAsiaTheme="minorEastAsia"/>
                <w:noProof/>
                <w:lang w:val="en-US"/>
              </w:rPr>
              <w:tab/>
            </w:r>
            <w:r>
              <w:rPr>
                <w:rStyle w:val="Hyperlink"/>
                <w:rFonts w:ascii="Times New Roman" w:hAnsi="Times New Roman"/>
                <w:i/>
                <w:noProof/>
              </w:rPr>
              <w:t>Европейски надзорни органи (ЕНО)</w:t>
            </w:r>
            <w:r>
              <w:rPr>
                <w:noProof/>
                <w:webHidden/>
              </w:rPr>
              <w:tab/>
            </w:r>
            <w:r>
              <w:rPr>
                <w:noProof/>
                <w:webHidden/>
              </w:rPr>
              <w:fldChar w:fldCharType="begin"/>
            </w:r>
            <w:r>
              <w:rPr>
                <w:noProof/>
                <w:webHidden/>
              </w:rPr>
              <w:instrText xml:space="preserve"> PAGEREF _Toc53499127 \h </w:instrText>
            </w:r>
            <w:r>
              <w:rPr>
                <w:noProof/>
                <w:webHidden/>
              </w:rPr>
            </w:r>
            <w:r>
              <w:rPr>
                <w:noProof/>
                <w:webHidden/>
              </w:rPr>
              <w:fldChar w:fldCharType="separate"/>
            </w:r>
            <w:r>
              <w:rPr>
                <w:noProof/>
                <w:webHidden/>
              </w:rPr>
              <w:t>9</w:t>
            </w:r>
            <w:r>
              <w:rPr>
                <w:noProof/>
                <w:webHidden/>
              </w:rPr>
              <w:fldChar w:fldCharType="end"/>
            </w:r>
          </w:hyperlink>
        </w:p>
        <w:p w:rsidR="009E5F29" w:rsidRDefault="00317017">
          <w:pPr>
            <w:pStyle w:val="TOC2"/>
            <w:rPr>
              <w:rFonts w:eastAsiaTheme="minorEastAsia"/>
              <w:noProof/>
              <w:lang w:val="en-US"/>
            </w:rPr>
          </w:pPr>
          <w:hyperlink w:anchor="_Toc53499128" w:history="1">
            <w:r>
              <w:rPr>
                <w:rStyle w:val="Hyperlink"/>
                <w:rFonts w:ascii="Times New Roman" w:hAnsi="Times New Roman"/>
                <w:i/>
                <w:noProof/>
              </w:rPr>
              <w:t>3.2.2</w:t>
            </w:r>
            <w:r>
              <w:rPr>
                <w:rFonts w:eastAsiaTheme="minorEastAsia"/>
                <w:noProof/>
                <w:lang w:val="en-US"/>
              </w:rPr>
              <w:tab/>
            </w:r>
            <w:r>
              <w:rPr>
                <w:rStyle w:val="Hyperlink"/>
                <w:rFonts w:ascii="Times New Roman" w:hAnsi="Times New Roman"/>
                <w:i/>
                <w:noProof/>
              </w:rPr>
              <w:t>Европейски орган по труда (ЕОТ)</w:t>
            </w:r>
            <w:r>
              <w:rPr>
                <w:noProof/>
                <w:webHidden/>
              </w:rPr>
              <w:tab/>
            </w:r>
            <w:r>
              <w:rPr>
                <w:noProof/>
                <w:webHidden/>
              </w:rPr>
              <w:fldChar w:fldCharType="begin"/>
            </w:r>
            <w:r>
              <w:rPr>
                <w:noProof/>
                <w:webHidden/>
              </w:rPr>
              <w:instrText xml:space="preserve"> PAGEREF _Toc53499128 \h </w:instrText>
            </w:r>
            <w:r>
              <w:rPr>
                <w:noProof/>
                <w:webHidden/>
              </w:rPr>
            </w:r>
            <w:r>
              <w:rPr>
                <w:noProof/>
                <w:webHidden/>
              </w:rPr>
              <w:fldChar w:fldCharType="separate"/>
            </w:r>
            <w:r>
              <w:rPr>
                <w:noProof/>
                <w:webHidden/>
              </w:rPr>
              <w:t>9</w:t>
            </w:r>
            <w:r>
              <w:rPr>
                <w:noProof/>
                <w:webHidden/>
              </w:rPr>
              <w:fldChar w:fldCharType="end"/>
            </w:r>
          </w:hyperlink>
        </w:p>
        <w:p w:rsidR="009E5F29" w:rsidRDefault="0031701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499129"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Корекции на приходите</w:t>
            </w:r>
            <w:r>
              <w:rPr>
                <w:noProof/>
                <w:webHidden/>
              </w:rPr>
              <w:tab/>
            </w:r>
            <w:r>
              <w:rPr>
                <w:noProof/>
                <w:webHidden/>
              </w:rPr>
              <w:fldChar w:fldCharType="begin"/>
            </w:r>
            <w:r>
              <w:rPr>
                <w:noProof/>
                <w:webHidden/>
              </w:rPr>
              <w:instrText xml:space="preserve"> PAGEREF _Toc53499129 \h </w:instrText>
            </w:r>
            <w:r>
              <w:rPr>
                <w:noProof/>
                <w:webHidden/>
              </w:rPr>
            </w:r>
            <w:r>
              <w:rPr>
                <w:noProof/>
                <w:webHidden/>
              </w:rPr>
              <w:fldChar w:fldCharType="separate"/>
            </w:r>
            <w:r>
              <w:rPr>
                <w:noProof/>
                <w:webHidden/>
              </w:rPr>
              <w:t>10</w:t>
            </w:r>
            <w:r>
              <w:rPr>
                <w:noProof/>
                <w:webHidden/>
              </w:rPr>
              <w:fldChar w:fldCharType="end"/>
            </w:r>
          </w:hyperlink>
        </w:p>
        <w:p w:rsidR="009E5F29" w:rsidRDefault="00317017">
          <w:pPr>
            <w:pStyle w:val="TOC2"/>
            <w:rPr>
              <w:rFonts w:eastAsiaTheme="minorEastAsia"/>
              <w:noProof/>
              <w:lang w:val="en-US"/>
            </w:rPr>
          </w:pPr>
          <w:hyperlink w:anchor="_Toc53499130" w:history="1">
            <w:r>
              <w:rPr>
                <w:rStyle w:val="Hyperlink"/>
                <w:rFonts w:ascii="Times New Roman" w:hAnsi="Times New Roman"/>
                <w:b/>
                <w:noProof/>
              </w:rPr>
              <w:t>4.1</w:t>
            </w:r>
            <w:r>
              <w:rPr>
                <w:rFonts w:eastAsiaTheme="minorEastAsia"/>
                <w:noProof/>
                <w:lang w:val="en-US"/>
              </w:rPr>
              <w:tab/>
            </w:r>
            <w:r>
              <w:rPr>
                <w:rStyle w:val="Hyperlink"/>
                <w:rFonts w:ascii="Times New Roman" w:hAnsi="Times New Roman"/>
                <w:b/>
                <w:noProof/>
              </w:rPr>
              <w:t>Разлики в обменния курс на собствените ресурси</w:t>
            </w:r>
            <w:r>
              <w:rPr>
                <w:noProof/>
                <w:webHidden/>
              </w:rPr>
              <w:tab/>
            </w:r>
            <w:r>
              <w:rPr>
                <w:noProof/>
                <w:webHidden/>
              </w:rPr>
              <w:fldChar w:fldCharType="begin"/>
            </w:r>
            <w:r>
              <w:rPr>
                <w:noProof/>
                <w:webHidden/>
              </w:rPr>
              <w:instrText xml:space="preserve"> PAGEREF _Toc53499130 \h </w:instrText>
            </w:r>
            <w:r>
              <w:rPr>
                <w:noProof/>
                <w:webHidden/>
              </w:rPr>
            </w:r>
            <w:r>
              <w:rPr>
                <w:noProof/>
                <w:webHidden/>
              </w:rPr>
              <w:fldChar w:fldCharType="separate"/>
            </w:r>
            <w:r>
              <w:rPr>
                <w:noProof/>
                <w:webHidden/>
              </w:rPr>
              <w:t>10</w:t>
            </w:r>
            <w:r>
              <w:rPr>
                <w:noProof/>
                <w:webHidden/>
              </w:rPr>
              <w:fldChar w:fldCharType="end"/>
            </w:r>
          </w:hyperlink>
        </w:p>
        <w:p w:rsidR="009E5F29" w:rsidRDefault="00317017">
          <w:pPr>
            <w:pStyle w:val="TOC2"/>
            <w:rPr>
              <w:rFonts w:eastAsiaTheme="minorEastAsia"/>
              <w:noProof/>
              <w:lang w:val="en-US"/>
            </w:rPr>
          </w:pPr>
          <w:hyperlink w:anchor="_Toc53499131" w:history="1">
            <w:r>
              <w:rPr>
                <w:rStyle w:val="Hyperlink"/>
                <w:rFonts w:ascii="Times New Roman" w:hAnsi="Times New Roman"/>
                <w:b/>
                <w:noProof/>
              </w:rPr>
              <w:t>4.2</w:t>
            </w:r>
            <w:r>
              <w:rPr>
                <w:rFonts w:eastAsiaTheme="minorEastAsia"/>
                <w:noProof/>
                <w:lang w:val="en-US"/>
              </w:rPr>
              <w:tab/>
            </w:r>
            <w:r>
              <w:rPr>
                <w:rStyle w:val="Hyperlink"/>
                <w:rFonts w:ascii="Times New Roman" w:hAnsi="Times New Roman"/>
                <w:b/>
                <w:noProof/>
              </w:rPr>
              <w:t>Глоби и наказателни плащания</w:t>
            </w:r>
            <w:r>
              <w:rPr>
                <w:noProof/>
                <w:webHidden/>
              </w:rPr>
              <w:tab/>
            </w:r>
            <w:r>
              <w:rPr>
                <w:noProof/>
                <w:webHidden/>
              </w:rPr>
              <w:fldChar w:fldCharType="begin"/>
            </w:r>
            <w:r>
              <w:rPr>
                <w:noProof/>
                <w:webHidden/>
              </w:rPr>
              <w:instrText xml:space="preserve"> PAGEREF _Toc53499131 \h </w:instrText>
            </w:r>
            <w:r>
              <w:rPr>
                <w:noProof/>
                <w:webHidden/>
              </w:rPr>
            </w:r>
            <w:r>
              <w:rPr>
                <w:noProof/>
                <w:webHidden/>
              </w:rPr>
              <w:fldChar w:fldCharType="separate"/>
            </w:r>
            <w:r>
              <w:rPr>
                <w:noProof/>
                <w:webHidden/>
              </w:rPr>
              <w:t>11</w:t>
            </w:r>
            <w:r>
              <w:rPr>
                <w:noProof/>
                <w:webHidden/>
              </w:rPr>
              <w:fldChar w:fldCharType="end"/>
            </w:r>
          </w:hyperlink>
        </w:p>
        <w:p w:rsidR="009E5F29" w:rsidRDefault="0031701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3499132"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_Toc53499132 \h </w:instrText>
            </w:r>
            <w:r>
              <w:rPr>
                <w:noProof/>
                <w:webHidden/>
              </w:rPr>
            </w:r>
            <w:r>
              <w:rPr>
                <w:noProof/>
                <w:webHidden/>
              </w:rPr>
              <w:fldChar w:fldCharType="separate"/>
            </w:r>
            <w:r>
              <w:rPr>
                <w:noProof/>
                <w:webHidden/>
              </w:rPr>
              <w:t>12</w:t>
            </w:r>
            <w:r>
              <w:rPr>
                <w:noProof/>
                <w:webHidden/>
              </w:rPr>
              <w:fldChar w:fldCharType="end"/>
            </w:r>
          </w:hyperlink>
        </w:p>
        <w:p w:rsidR="009E5F29" w:rsidRDefault="00317017">
          <w:pPr>
            <w:pStyle w:val="ManualHeading1"/>
            <w:ind w:left="0" w:firstLine="0"/>
            <w:rPr>
              <w:bCs/>
              <w:noProof/>
            </w:rPr>
          </w:pPr>
          <w:r>
            <w:rPr>
              <w:b w:val="0"/>
              <w:bCs/>
              <w:noProof/>
            </w:rPr>
            <w:fldChar w:fldCharType="end"/>
          </w:r>
        </w:p>
      </w:sdtContent>
    </w:sdt>
    <w:p w:rsidR="009E5F29" w:rsidRDefault="009E5F29">
      <w:pPr>
        <w:rPr>
          <w:b/>
          <w:noProof/>
          <w:u w:val="single"/>
          <w:lang w:eastAsia="de-DE"/>
        </w:rPr>
        <w:sectPr w:rsidR="009E5F29">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9E5F29" w:rsidRDefault="00317017">
      <w:pPr>
        <w:pStyle w:val="Exposdesmotifstitre"/>
        <w:rPr>
          <w:noProof/>
        </w:rPr>
      </w:pPr>
      <w:r>
        <w:rPr>
          <w:noProof/>
        </w:rPr>
        <w:t>ОБЯСНИТЕЛЕН МЕМОРАНДУМ</w:t>
      </w:r>
    </w:p>
    <w:p w:rsidR="009E5F29" w:rsidRDefault="00317017">
      <w:pPr>
        <w:pStyle w:val="ListParagraph"/>
        <w:keepNext/>
        <w:numPr>
          <w:ilvl w:val="0"/>
          <w:numId w:val="2"/>
        </w:numPr>
        <w:tabs>
          <w:tab w:val="left" w:pos="850"/>
        </w:tabs>
        <w:spacing w:before="360" w:after="120" w:line="240" w:lineRule="auto"/>
        <w:jc w:val="both"/>
        <w:outlineLvl w:val="0"/>
        <w:rPr>
          <w:rFonts w:ascii="Times New Roman" w:eastAsia="Times New Roman" w:hAnsi="Times New Roman" w:cs="Times New Roman"/>
          <w:b/>
          <w:smallCaps/>
          <w:noProof/>
          <w:sz w:val="24"/>
          <w:szCs w:val="24"/>
        </w:rPr>
      </w:pPr>
      <w:bookmarkStart w:id="1" w:name="_Toc52346050"/>
      <w:bookmarkStart w:id="2" w:name="_Toc53499115"/>
      <w:bookmarkStart w:id="3" w:name="_Toc351469332"/>
      <w:bookmarkStart w:id="4" w:name="_Toc361649879"/>
      <w:bookmarkStart w:id="5" w:name="_Toc514181802"/>
      <w:bookmarkStart w:id="6" w:name="_Toc430865947"/>
      <w:bookmarkStart w:id="7" w:name="_Toc430867525"/>
      <w:r>
        <w:rPr>
          <w:rFonts w:ascii="Times New Roman" w:hAnsi="Times New Roman"/>
          <w:b/>
          <w:smallCaps/>
          <w:noProof/>
          <w:sz w:val="24"/>
          <w:szCs w:val="24"/>
        </w:rPr>
        <w:t>Въведение</w:t>
      </w:r>
      <w:bookmarkEnd w:id="1"/>
      <w:bookmarkEnd w:id="2"/>
    </w:p>
    <w:p w:rsidR="009E5F29" w:rsidRDefault="00317017">
      <w:pPr>
        <w:pStyle w:val="ListDash"/>
        <w:rPr>
          <w:noProof/>
        </w:rPr>
      </w:pPr>
      <w:bookmarkStart w:id="8" w:name="_Toc34373733"/>
      <w:bookmarkStart w:id="9" w:name="_Toc41571881"/>
      <w:bookmarkStart w:id="10" w:name="_Toc35506109"/>
      <w:bookmarkStart w:id="11" w:name="_Toc12621018"/>
      <w:r>
        <w:rPr>
          <w:noProof/>
        </w:rPr>
        <w:t>Целта на проект на коригиращ бюджет (ПКБ) № 10 за 2020 г. е тройна:</w:t>
      </w:r>
    </w:p>
    <w:p w:rsidR="009E5F29" w:rsidRDefault="00317017">
      <w:pPr>
        <w:pStyle w:val="ListDash"/>
        <w:numPr>
          <w:ilvl w:val="0"/>
          <w:numId w:val="9"/>
        </w:numPr>
        <w:ind w:left="360"/>
        <w:rPr>
          <w:noProof/>
        </w:rPr>
      </w:pPr>
      <w:r>
        <w:rPr>
          <w:noProof/>
        </w:rPr>
        <w:t xml:space="preserve">да се увеличи равнището на бюджетните кредити за плащания в съответствие с актуализираната прогноза и след като се вземат предвид преразпределенията, предложени в глобалния трансфер (DEC 16/2020, представен на Парламента и Съвета в началото на октомври); </w:t>
      </w:r>
    </w:p>
    <w:p w:rsidR="009E5F29" w:rsidRDefault="00317017">
      <w:pPr>
        <w:pStyle w:val="ListDash"/>
        <w:numPr>
          <w:ilvl w:val="0"/>
          <w:numId w:val="9"/>
        </w:numPr>
        <w:ind w:left="360"/>
        <w:rPr>
          <w:noProof/>
        </w:rPr>
      </w:pPr>
      <w:r>
        <w:rPr>
          <w:noProof/>
        </w:rPr>
        <w:t>да се коригира приходната част, за да се включи въздействието от разликите във валутните курсове и събраните допълнителни глоби; и</w:t>
      </w:r>
    </w:p>
    <w:p w:rsidR="009E5F29" w:rsidRDefault="00317017">
      <w:pPr>
        <w:pStyle w:val="ListDash"/>
        <w:numPr>
          <w:ilvl w:val="0"/>
          <w:numId w:val="9"/>
        </w:numPr>
        <w:ind w:left="360"/>
        <w:rPr>
          <w:noProof/>
        </w:rPr>
      </w:pPr>
      <w:r>
        <w:rPr>
          <w:noProof/>
        </w:rPr>
        <w:t>да се включат в бюджета други по-дребни корекции на разходите. Те се отнасят до равнището на бюджетните кредити за Европейския фонд за гарантиране на земеделието (ЕФГЗ) и някои децентрализирани агенции (ESMA, EIOPA, ЕБО и ЕОТ).</w:t>
      </w:r>
    </w:p>
    <w:p w:rsidR="009E5F29" w:rsidRDefault="00317017">
      <w:pPr>
        <w:pStyle w:val="ListDash"/>
        <w:rPr>
          <w:noProof/>
        </w:rPr>
      </w:pPr>
      <w:r>
        <w:rPr>
          <w:noProof/>
        </w:rPr>
        <w:t xml:space="preserve">Общото увеличение на поисканите бюджетни кредити за плащания (1 569,3 млн. евро) се отнася до функции 1а „Конкурентоспособност за растеж и работни места“, 1б „Икономическо, социално и териториално сближаване“ , 2 „Устойчив растеж — природни ресурси“ и 4 „Глобална Европа“. </w:t>
      </w:r>
    </w:p>
    <w:p w:rsidR="009E5F29" w:rsidRDefault="00317017">
      <w:pPr>
        <w:pStyle w:val="ListDash"/>
        <w:rPr>
          <w:noProof/>
        </w:rPr>
      </w:pPr>
      <w:r>
        <w:rPr>
          <w:noProof/>
        </w:rPr>
        <w:t>Увеличението на бюджетните кредити за поети задължения по функция 2 е леко компенсирано от икономиите в агенциите по функция 1а, което води до общо увеличение на поетите задължения в размер на 36,4 млн. евро.</w:t>
      </w:r>
    </w:p>
    <w:p w:rsidR="009E5F29" w:rsidRDefault="00317017">
      <w:pPr>
        <w:pStyle w:val="ListDash"/>
        <w:rPr>
          <w:noProof/>
        </w:rPr>
      </w:pPr>
      <w:r>
        <w:rPr>
          <w:noProof/>
        </w:rPr>
        <w:t>Общото въздействие върху приходната част е намаление на другите приходи с 588 млн. евро, компенсирано от съответно увеличение на вноските на база БНД.</w:t>
      </w:r>
    </w:p>
    <w:p w:rsidR="009E5F29" w:rsidRDefault="00317017">
      <w:pPr>
        <w:pStyle w:val="ManualHeading1"/>
        <w:numPr>
          <w:ilvl w:val="0"/>
          <w:numId w:val="2"/>
        </w:numPr>
        <w:rPr>
          <w:noProof/>
        </w:rPr>
      </w:pPr>
      <w:bookmarkStart w:id="12" w:name="_Toc52346051"/>
      <w:bookmarkStart w:id="13" w:name="_Toc53499116"/>
      <w:r>
        <w:rPr>
          <w:noProof/>
        </w:rPr>
        <w:t>Допълнителни нужди от бюджетни кредити за плащания</w:t>
      </w:r>
      <w:bookmarkEnd w:id="12"/>
      <w:bookmarkEnd w:id="13"/>
    </w:p>
    <w:p w:rsidR="009E5F29" w:rsidRDefault="00317017">
      <w:pPr>
        <w:pStyle w:val="ListDash"/>
        <w:rPr>
          <w:noProof/>
        </w:rPr>
      </w:pPr>
      <w:r>
        <w:rPr>
          <w:noProof/>
        </w:rPr>
        <w:t>Глобалният трансфер е годишно упражнение, организирано на корпоративно равнище в рамките на Комисията, за което от всички генерални дирекции и служби се изисква да направят преглед до началото на септември на своето съответно изпълнение на плащанията по текущия бюджет до края на съответната година. Целта на това упражнение е да се гарантира максимално изпълнение на бюджета под формата на бюджетни кредити за плащания към края на годината, като допълнителните нужди се съпоставят с очакваното непълно усвояване. В резултат на това в началото на октомври на Парламента и на Съвета ежегодно се представя ad hoc искане за трансфер (съгласно член 31 от Финансовия регламент).</w:t>
      </w:r>
    </w:p>
    <w:p w:rsidR="009E5F29" w:rsidRDefault="00317017">
      <w:pPr>
        <w:pStyle w:val="ListDash"/>
        <w:rPr>
          <w:noProof/>
        </w:rPr>
      </w:pPr>
      <w:r>
        <w:rPr>
          <w:noProof/>
        </w:rPr>
        <w:t>ПКБ № 8 за 2020 г., внесен от Комисията в края на август, беше отделен от глобалния трансфер и включваше само искания с цел да се отговори на спешни действия от страна на Съюза. Поради това ПКБ № 8, в който се предлага значително искане за допълнителни бюджетни кредити за плащания (т.е. 6 190 млн. евро), е съсредоточен изключително върху два специфични елемента: осигуряване на допълнителни бюджетни кредити за плащания i) за Инструмента за спешна подкрепа (ИСП) за финансиране на стратегията за ваксините срещу COVID-19 и ii) за сближаване след приемането на Инвестиционната инициатива в отговор на коронавируса — плюс (CRII+)</w:t>
      </w:r>
      <w:r>
        <w:rPr>
          <w:noProof/>
        </w:rPr>
        <w:footnoteReference w:id="12"/>
      </w:r>
      <w:r>
        <w:rPr>
          <w:noProof/>
        </w:rPr>
        <w:t>.</w:t>
      </w:r>
    </w:p>
    <w:p w:rsidR="009E5F29" w:rsidRDefault="00317017">
      <w:pPr>
        <w:pStyle w:val="ListDash"/>
        <w:rPr>
          <w:noProof/>
        </w:rPr>
      </w:pPr>
      <w:r>
        <w:rPr>
          <w:noProof/>
        </w:rPr>
        <w:t>В допълнение към исканията, включени в ПКБ № 8, упражнението по глобалния трансфер за 2020 г. доведе до допълнителни брутни нужди от плащания в размер на 2 125,2 млн. евро, компенсирани само частично от очакваното непълно усвояване на плащанията в размер на 595,4 млн. евро. Допълнителните плащания, поискани в настоящия ПКБ № 10, имат за цел да се премахне разликата от 1 529,8 млн. евро, както е описано подробно в раздели 2.1—2.4.</w:t>
      </w:r>
    </w:p>
    <w:p w:rsidR="009E5F29" w:rsidRDefault="00317017">
      <w:pPr>
        <w:pStyle w:val="ManualHeading1"/>
        <w:numPr>
          <w:ilvl w:val="1"/>
          <w:numId w:val="2"/>
        </w:numPr>
        <w:tabs>
          <w:tab w:val="clear" w:pos="850"/>
          <w:tab w:val="left" w:pos="600"/>
        </w:tabs>
        <w:ind w:left="600" w:hanging="600"/>
        <w:rPr>
          <w:smallCaps w:val="0"/>
          <w:noProof/>
        </w:rPr>
      </w:pPr>
      <w:bookmarkStart w:id="14" w:name="_Toc52346052"/>
      <w:bookmarkStart w:id="15" w:name="_Toc53499117"/>
      <w:r>
        <w:rPr>
          <w:smallCaps w:val="0"/>
          <w:noProof/>
        </w:rPr>
        <w:t>Програма за конкурентоспособност на предприятията и малките и средните предприятия (COSME)</w:t>
      </w:r>
      <w:bookmarkEnd w:id="14"/>
      <w:bookmarkEnd w:id="15"/>
    </w:p>
    <w:p w:rsidR="009E5F29" w:rsidRDefault="00317017">
      <w:pPr>
        <w:pStyle w:val="ListDash"/>
        <w:rPr>
          <w:noProof/>
        </w:rPr>
      </w:pPr>
      <w:r>
        <w:rPr>
          <w:noProof/>
        </w:rPr>
        <w:t>В резултат на кризата, предизвикана от COVID-19, много малки и средни предприятия (МСП) в целия Съюз бяха изправени пред внезапна липса на ликвидност. Както беше обявено в Съобщението от 13 март 2020 г.</w:t>
      </w:r>
      <w:r>
        <w:rPr>
          <w:rStyle w:val="FootnoteReference"/>
          <w:noProof/>
        </w:rPr>
        <w:footnoteReference w:id="13"/>
      </w:r>
      <w:r>
        <w:rPr>
          <w:noProof/>
        </w:rPr>
        <w:t xml:space="preserve"> относно координираните икономически мерки в отговор на кризата, предизвикана от COVID-19, Комисията реши да пренасочи 1 милиарда евро от Европейския фонд за стратегически инвестиции (ЕФСИ) към съществуващите гаранционни механизми. Като част от тази инициатива механизмът за гарантиране на заеми по COSME беше подсилен с 714 млн. евро, за да се стимулират банките да предоставят ликвидно финансиране на дружествата с цел да се помогне на най-малко 100 000 европейски предприятия да получат достъп до финансиране в размер на около 8 милиарда евро.</w:t>
      </w:r>
    </w:p>
    <w:p w:rsidR="009E5F29" w:rsidRDefault="00317017">
      <w:pPr>
        <w:pStyle w:val="ListDash"/>
        <w:rPr>
          <w:noProof/>
        </w:rPr>
      </w:pPr>
      <w:r>
        <w:rPr>
          <w:noProof/>
        </w:rPr>
        <w:t xml:space="preserve">Партньорът по изпълнението, Европейският инвестиционен фонд (ЕИФ), публикува преразгледана покана за заявяване на интерес, чрез която финансовите посредници да кандидатстват за конкретната мярка за COVID. Процедурата приключи успешно в края на май тази година. Това увеличение води до по-голяма нужда от бюджетни кредити за плащания, тъй като всички нужди от парични средства на ЕИФ трябва да бъдат изплатени първо чрез механизма за гарантиране на заеми по COSME (частта за първа загуба), преди да бъдат направени искания за внасяне на парични средства в рамките на ЕФСИ (частта „втора загуба“). </w:t>
      </w:r>
    </w:p>
    <w:p w:rsidR="009E5F29" w:rsidRDefault="00317017">
      <w:pPr>
        <w:pStyle w:val="ListDash"/>
        <w:rPr>
          <w:noProof/>
        </w:rPr>
      </w:pPr>
      <w:r>
        <w:rPr>
          <w:noProof/>
        </w:rPr>
        <w:t>Вътрешните преразпределения частично покриха тези непредвидени нужди, но са необходими допълнителни бюджетни кредити за плащания в размер на 93,8 млн. евро, за да може Европейската комисия да изпълни договорните си задължения по отношение на ЕИФ.</w:t>
      </w:r>
    </w:p>
    <w:p w:rsidR="009E5F29" w:rsidRDefault="00317017">
      <w:pPr>
        <w:pStyle w:val="ListDash"/>
        <w:rPr>
          <w:noProof/>
        </w:rPr>
      </w:pPr>
      <w:r>
        <w:rPr>
          <w:noProof/>
        </w:rPr>
        <w:br w:type="page"/>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keepNext/>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058"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762"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058"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02 02 02</w:t>
            </w:r>
          </w:p>
        </w:tc>
        <w:tc>
          <w:tcPr>
            <w:tcW w:w="4762"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Подобряване на достъпа до финансиране на малките и средните предприятия (МСП) под формата на капиталови и дългови инструменти</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93 800 000</w:t>
            </w:r>
          </w:p>
        </w:tc>
      </w:tr>
      <w:tr w:rsidR="009E5F29">
        <w:trPr>
          <w:jc w:val="center"/>
        </w:trPr>
        <w:tc>
          <w:tcPr>
            <w:tcW w:w="5820"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93 800 000</w:t>
            </w:r>
          </w:p>
        </w:tc>
      </w:tr>
    </w:tbl>
    <w:p w:rsidR="009E5F29" w:rsidRDefault="00317017">
      <w:pPr>
        <w:pStyle w:val="ManualHeading1"/>
        <w:numPr>
          <w:ilvl w:val="1"/>
          <w:numId w:val="2"/>
        </w:numPr>
        <w:tabs>
          <w:tab w:val="clear" w:pos="850"/>
          <w:tab w:val="left" w:pos="600"/>
        </w:tabs>
        <w:ind w:left="600" w:hanging="600"/>
        <w:rPr>
          <w:smallCaps w:val="0"/>
          <w:noProof/>
        </w:rPr>
      </w:pPr>
      <w:bookmarkStart w:id="16" w:name="_Toc52346053"/>
      <w:bookmarkStart w:id="17" w:name="_Toc53499118"/>
      <w:bookmarkEnd w:id="8"/>
      <w:bookmarkEnd w:id="9"/>
      <w:r>
        <w:rPr>
          <w:smallCaps w:val="0"/>
          <w:noProof/>
        </w:rPr>
        <w:t>Механизъм за свързване на Европа (МСЕ) — вноска от КФ</w:t>
      </w:r>
      <w:bookmarkEnd w:id="16"/>
      <w:bookmarkEnd w:id="17"/>
    </w:p>
    <w:p w:rsidR="009E5F29" w:rsidRDefault="00317017">
      <w:pPr>
        <w:pStyle w:val="ListDash"/>
        <w:rPr>
          <w:noProof/>
        </w:rPr>
      </w:pPr>
      <w:bookmarkStart w:id="18" w:name="_Toc494994373"/>
      <w:r>
        <w:rPr>
          <w:noProof/>
        </w:rPr>
        <w:t xml:space="preserve">Изпълнението на направлението „Сближаване“ на Механизма за свързване на Европа в областта на транспорта (МСЕ — КФ) напредва по-бързо от очакваното и нуждите от плащания за останалата част от годината надвишават текущите наличности. </w:t>
      </w:r>
    </w:p>
    <w:p w:rsidR="009E5F29" w:rsidRDefault="00317017">
      <w:pPr>
        <w:pStyle w:val="ListDash"/>
        <w:rPr>
          <w:noProof/>
        </w:rPr>
      </w:pPr>
      <w:r>
        <w:rPr>
          <w:noProof/>
        </w:rPr>
        <w:t>Бенефициерите са задължени да подават искане за междинно плащане на всеки две години и имат възможност да подават „доброволно“ искане за междинно плащане всяка година. През 2020 г. няколко големи бенефициери са използвали тази гъвкавост и са подали повече искания за междинни плащания в сравнение със средната тенденция, наблюдавана през предходните години. Този бърз темп на изпълнение не беше първоначално предвиден в бюджета за 2020 г. и представлява основната причина за увеличените нужди от плащания.</w:t>
      </w:r>
    </w:p>
    <w:p w:rsidR="009E5F29" w:rsidRDefault="00317017">
      <w:pPr>
        <w:pStyle w:val="ListDash"/>
        <w:rPr>
          <w:noProof/>
        </w:rPr>
      </w:pPr>
      <w:r>
        <w:rPr>
          <w:noProof/>
        </w:rPr>
        <w:t>Комисията извърши задълбочен анализ на нуждите от плащания и текущите бюджетни наличности, като взе предвид преразпределението на наличните бюджетни кредити за плащания в рамките на глава „МСЕ — Транспорт“, и счита, че е необходимо увеличение в размер на 100 млн. евро под формата на бюджетни кредити за плащания, за да се спазят сроковете за плащане и да се спазят всички правни задължения.</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232"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588"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232"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06 02 01 04</w:t>
            </w:r>
          </w:p>
        </w:tc>
        <w:tc>
          <w:tcPr>
            <w:tcW w:w="4588"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Механизъм за свързване на Европа (МСЕ): разпределяне на средства от Кохезионния фонд</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100 000 000</w:t>
            </w:r>
          </w:p>
        </w:tc>
      </w:tr>
      <w:tr w:rsidR="009E5F29">
        <w:trPr>
          <w:jc w:val="center"/>
        </w:trPr>
        <w:tc>
          <w:tcPr>
            <w:tcW w:w="5820"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100 000 000</w:t>
            </w:r>
          </w:p>
        </w:tc>
      </w:tr>
    </w:tbl>
    <w:p w:rsidR="009E5F29" w:rsidRDefault="00317017">
      <w:pPr>
        <w:pStyle w:val="ManualHeading1"/>
        <w:numPr>
          <w:ilvl w:val="1"/>
          <w:numId w:val="2"/>
        </w:numPr>
        <w:tabs>
          <w:tab w:val="clear" w:pos="850"/>
          <w:tab w:val="left" w:pos="600"/>
        </w:tabs>
        <w:ind w:left="600" w:hanging="600"/>
        <w:rPr>
          <w:smallCaps w:val="0"/>
          <w:noProof/>
        </w:rPr>
      </w:pPr>
      <w:bookmarkStart w:id="19" w:name="_Toc52346054"/>
      <w:bookmarkStart w:id="20" w:name="_Toc53499119"/>
      <w:bookmarkStart w:id="21" w:name="_Toc41571882"/>
      <w:bookmarkEnd w:id="18"/>
      <w:r>
        <w:rPr>
          <w:smallCaps w:val="0"/>
          <w:noProof/>
        </w:rPr>
        <w:t>Европейски земеделски фонд за развитие на селските райони (ЕЗФРСР)</w:t>
      </w:r>
      <w:bookmarkEnd w:id="19"/>
      <w:bookmarkEnd w:id="20"/>
    </w:p>
    <w:p w:rsidR="009E5F29" w:rsidRDefault="00317017">
      <w:pPr>
        <w:pStyle w:val="ListDash"/>
        <w:rPr>
          <w:noProof/>
        </w:rPr>
      </w:pPr>
      <w:r>
        <w:rPr>
          <w:noProof/>
        </w:rPr>
        <w:t xml:space="preserve">Кризата с COVID-19 не забави финансовото изпълнение на програмите, финансирани от ЕЗФРСР. </w:t>
      </w:r>
    </w:p>
    <w:p w:rsidR="009E5F29" w:rsidRDefault="00317017">
      <w:pPr>
        <w:pStyle w:val="ListDash"/>
        <w:rPr>
          <w:noProof/>
        </w:rPr>
      </w:pPr>
      <w:r>
        <w:rPr>
          <w:noProof/>
        </w:rPr>
        <w:t xml:space="preserve">Комисията направи задълбочен анализ на прогнозите, представени от държавите членки до края на август 2020 г., и счита, че са необходими още 750 млн. евро бюджетни кредити за плащания, за да бъдат покрити всички очаквани искания за плащане, които трябва да бъдат платени през 2020 г. Тези прогнози включват и очакваното въздействие на еднократното плащане, предложено от Комисията за подпомагане на земеделските стопани или малките и средните селскостопански предприятия, засегнати от COVID-19 (въз основа на окончателно договорения максимален дял на участието на Съюза в размер на 2 % спрямо първоначално предложения от Комисията 1 %). Някои държави членки вече са започнали да въвеждат тази нова мярка по ЕЗФРСР в своите програми за развитие на селските райони, а други се очаква да ги последват. </w:t>
      </w:r>
    </w:p>
    <w:p w:rsidR="009E5F29" w:rsidRDefault="00317017">
      <w:pPr>
        <w:pStyle w:val="ListDash"/>
        <w:rPr>
          <w:noProof/>
        </w:rPr>
      </w:pPr>
      <w:r>
        <w:rPr>
          <w:noProof/>
        </w:rPr>
        <w:t xml:space="preserve">Това представлява допълнителни искания за възстановяване на разходи още през 2020 г.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keepNext/>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232" w:type="dxa"/>
            <w:tcBorders>
              <w:top w:val="single" w:sz="4" w:space="0" w:color="auto"/>
            </w:tcBorders>
            <w:shd w:val="clear" w:color="auto" w:fill="D9D9D9"/>
            <w:vAlign w:val="center"/>
          </w:tcPr>
          <w:p w:rsidR="009E5F29" w:rsidRDefault="00317017">
            <w:pPr>
              <w:keepNext/>
              <w:keepLines/>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588" w:type="dxa"/>
            <w:tcBorders>
              <w:top w:val="single" w:sz="4" w:space="0" w:color="auto"/>
            </w:tcBorders>
            <w:shd w:val="clear" w:color="auto" w:fill="D9D9D9"/>
            <w:vAlign w:val="center"/>
          </w:tcPr>
          <w:p w:rsidR="009E5F29" w:rsidRDefault="00317017">
            <w:pPr>
              <w:keepNext/>
              <w:keepLines/>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keepNext/>
              <w:keepLines/>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232" w:type="dxa"/>
          </w:tcPr>
          <w:p w:rsidR="009E5F29" w:rsidRDefault="00317017">
            <w:pPr>
              <w:keepNext/>
              <w:keepLines/>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05 04 60 01</w:t>
            </w:r>
          </w:p>
        </w:tc>
        <w:tc>
          <w:tcPr>
            <w:tcW w:w="4588" w:type="dxa"/>
          </w:tcPr>
          <w:p w:rsidR="009E5F29" w:rsidRDefault="00317017">
            <w:pPr>
              <w:keepNext/>
              <w:keepLines/>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Насърчаване на устойчивото развитие на селските райони и на по-доброто балансиране на селскостопанския сектор на Съюза в териториално и екологично отношение, както и по отношение на иновациите и измененията на климата</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750 000 000</w:t>
            </w:r>
          </w:p>
        </w:tc>
      </w:tr>
      <w:tr w:rsidR="009E5F29">
        <w:trPr>
          <w:jc w:val="center"/>
        </w:trPr>
        <w:tc>
          <w:tcPr>
            <w:tcW w:w="5820" w:type="dxa"/>
            <w:gridSpan w:val="2"/>
            <w:shd w:val="clear" w:color="auto" w:fill="D9D9D9"/>
          </w:tcPr>
          <w:p w:rsidR="009E5F29" w:rsidRDefault="00317017">
            <w:pPr>
              <w:keepNext/>
              <w:keepLines/>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750 000 000</w:t>
            </w:r>
          </w:p>
        </w:tc>
      </w:tr>
    </w:tbl>
    <w:p w:rsidR="009E5F29" w:rsidRDefault="00317017">
      <w:pPr>
        <w:pStyle w:val="ManualHeading1"/>
        <w:numPr>
          <w:ilvl w:val="1"/>
          <w:numId w:val="2"/>
        </w:numPr>
        <w:tabs>
          <w:tab w:val="clear" w:pos="850"/>
          <w:tab w:val="left" w:pos="600"/>
        </w:tabs>
        <w:ind w:left="600" w:hanging="600"/>
        <w:rPr>
          <w:smallCaps w:val="0"/>
          <w:noProof/>
        </w:rPr>
      </w:pPr>
      <w:bookmarkStart w:id="22" w:name="_Toc52346055"/>
      <w:bookmarkStart w:id="23" w:name="_Toc53499120"/>
      <w:bookmarkEnd w:id="10"/>
      <w:bookmarkEnd w:id="21"/>
      <w:r>
        <w:rPr>
          <w:smallCaps w:val="0"/>
          <w:noProof/>
        </w:rPr>
        <w:t>Действия на ЕС за глобално реагиране на COVID-19.</w:t>
      </w:r>
      <w:bookmarkEnd w:id="22"/>
      <w:bookmarkEnd w:id="23"/>
    </w:p>
    <w:p w:rsidR="009E5F29" w:rsidRDefault="00317017">
      <w:pPr>
        <w:pStyle w:val="ListDash"/>
        <w:rPr>
          <w:b/>
          <w:smallCaps/>
          <w:noProof/>
        </w:rPr>
      </w:pPr>
      <w:bookmarkStart w:id="24" w:name="_Toc35506112"/>
      <w:r>
        <w:rPr>
          <w:noProof/>
        </w:rPr>
        <w:t>След публикуването на Съвместното съобщение действията на ЕС за глобално реагиране на COVID-19</w:t>
      </w:r>
      <w:r>
        <w:rPr>
          <w:rStyle w:val="FootnoteReference"/>
          <w:noProof/>
          <w:lang w:eastAsia="en-GB"/>
        </w:rPr>
        <w:footnoteReference w:id="14"/>
      </w:r>
      <w:r>
        <w:rPr>
          <w:noProof/>
        </w:rPr>
        <w:t>, в което Съюзът изрази солидарност и ангажимент да помогне на държавите партньори да се справят със здравните, икономическите и социалните последици от кризата като част от усилията на „Екип Европа“, Комисията препрограмира своите операции в рамките на Инструмента за предприсъединителна помощ (ИПП II), Европейския инструмент за съседство (ЕИС) и Инструмента за сътрудничество за развитие (ИСР). В резултат на това е необходимо увеличение на бюджетните кредити за плащания за тези три инструмента с общо 586 млн. евро, както следва:</w:t>
      </w:r>
    </w:p>
    <w:p w:rsidR="009E5F29" w:rsidRDefault="00317017">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25" w:name="_Toc52346056"/>
      <w:bookmarkStart w:id="26" w:name="_Toc53499121"/>
      <w:r>
        <w:rPr>
          <w:rFonts w:ascii="Times New Roman" w:hAnsi="Times New Roman"/>
          <w:i/>
          <w:noProof/>
          <w:sz w:val="24"/>
          <w:szCs w:val="24"/>
        </w:rPr>
        <w:t>2.4.1</w:t>
      </w:r>
      <w:r>
        <w:rPr>
          <w:noProof/>
        </w:rPr>
        <w:tab/>
      </w:r>
      <w:r>
        <w:rPr>
          <w:rFonts w:ascii="Times New Roman" w:hAnsi="Times New Roman"/>
          <w:i/>
          <w:noProof/>
          <w:sz w:val="24"/>
          <w:szCs w:val="24"/>
        </w:rPr>
        <w:t>Инструмент за предприсъединителна помощ (ИПП II)</w:t>
      </w:r>
      <w:bookmarkEnd w:id="25"/>
      <w:bookmarkEnd w:id="26"/>
    </w:p>
    <w:p w:rsidR="009E5F29" w:rsidRDefault="00317017">
      <w:pPr>
        <w:pStyle w:val="ListDash"/>
        <w:rPr>
          <w:noProof/>
        </w:rPr>
      </w:pPr>
      <w:r>
        <w:rPr>
          <w:noProof/>
        </w:rPr>
        <w:t>За ИПП II плащанията за бюджетна подкрепа бяха коригирани и изместени напред, предварителното финансиране и подкрепата при непряко управление бяха увеличени, за да се ускори изпълнението.</w:t>
      </w:r>
    </w:p>
    <w:p w:rsidR="009E5F29" w:rsidRDefault="00317017">
      <w:pPr>
        <w:pStyle w:val="ListDash"/>
        <w:rPr>
          <w:noProof/>
        </w:rPr>
      </w:pPr>
      <w:r>
        <w:rPr>
          <w:noProof/>
        </w:rPr>
        <w:t>Въз основа на преразгледаните прогнози за плащанията, дължими до края на 2020 г., и в допълнение към установените преразпределения, са необходими допълнителни бюджетни кредити на обща стойност 210 млн. евро за покриване на плащанията по договори за Черна гора, Албания, Косово</w:t>
      </w:r>
      <w:r>
        <w:rPr>
          <w:rStyle w:val="FootnoteReference"/>
          <w:noProof/>
          <w:lang w:eastAsia="en-GB"/>
        </w:rPr>
        <w:footnoteReference w:id="15"/>
      </w:r>
      <w:r>
        <w:rPr>
          <w:noProof/>
        </w:rPr>
        <w:t>, Сърбия, Северна Македония и Турция, както и плащанията за бюджетна подкрепа за Сърбия, Албания и Северна Македония.</w:t>
      </w:r>
    </w:p>
    <w:p w:rsidR="009E5F29" w:rsidRDefault="00317017">
      <w:pPr>
        <w:pStyle w:val="ListDash"/>
        <w:rPr>
          <w:noProof/>
        </w:rPr>
      </w:pPr>
      <w:r>
        <w:rPr>
          <w:noProof/>
        </w:rPr>
        <w:br w:type="page"/>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058"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762"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trHeight w:val="489"/>
          <w:jc w:val="center"/>
        </w:trPr>
        <w:tc>
          <w:tcPr>
            <w:tcW w:w="1058" w:type="dxa"/>
          </w:tcPr>
          <w:p w:rsidR="009E5F29" w:rsidRDefault="00317017">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22 02 01 01</w:t>
            </w:r>
          </w:p>
        </w:tc>
        <w:tc>
          <w:tcPr>
            <w:tcW w:w="4762"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Западни Балкани — Подкрепа за политическите реформи, както и за постепенното привеждане в съответствие с достиженията на правото на ЕС</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40 000 000</w:t>
            </w:r>
          </w:p>
        </w:tc>
      </w:tr>
      <w:tr w:rsidR="009E5F29">
        <w:trPr>
          <w:jc w:val="center"/>
        </w:trPr>
        <w:tc>
          <w:tcPr>
            <w:tcW w:w="1058" w:type="dxa"/>
          </w:tcPr>
          <w:p w:rsidR="009E5F29" w:rsidRDefault="00317017">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22 02 01 02</w:t>
            </w:r>
          </w:p>
        </w:tc>
        <w:tc>
          <w:tcPr>
            <w:tcW w:w="4762"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Западни Балкани — 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70 000 000</w:t>
            </w:r>
          </w:p>
        </w:tc>
      </w:tr>
      <w:tr w:rsidR="009E5F29">
        <w:trPr>
          <w:jc w:val="center"/>
        </w:trPr>
        <w:tc>
          <w:tcPr>
            <w:tcW w:w="1058" w:type="dxa"/>
          </w:tcPr>
          <w:p w:rsidR="009E5F29" w:rsidRDefault="00317017">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22 02 03 01</w:t>
            </w:r>
          </w:p>
        </w:tc>
        <w:tc>
          <w:tcPr>
            <w:tcW w:w="4762"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Турция — Подкрепа за политическите реформи, както и за постепенното привеждане в съответствие с достиженията на правото на ЕС</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10 000 000</w:t>
            </w:r>
          </w:p>
        </w:tc>
      </w:tr>
      <w:tr w:rsidR="009E5F29">
        <w:trPr>
          <w:jc w:val="center"/>
        </w:trPr>
        <w:tc>
          <w:tcPr>
            <w:tcW w:w="1058" w:type="dxa"/>
          </w:tcPr>
          <w:p w:rsidR="009E5F29" w:rsidRDefault="00317017">
            <w:pPr>
              <w:widowControl w:val="0"/>
              <w:spacing w:before="15" w:after="15" w:line="240" w:lineRule="auto"/>
              <w:ind w:left="-138" w:right="-113"/>
              <w:jc w:val="center"/>
              <w:rPr>
                <w:rFonts w:ascii="Times New Roman" w:eastAsia="Times New Roman" w:hAnsi="Times New Roman" w:cs="Times New Roman"/>
                <w:noProof/>
                <w:sz w:val="20"/>
                <w:szCs w:val="20"/>
              </w:rPr>
            </w:pPr>
            <w:r>
              <w:rPr>
                <w:rFonts w:ascii="Times New Roman" w:hAnsi="Times New Roman"/>
                <w:noProof/>
                <w:sz w:val="20"/>
                <w:szCs w:val="20"/>
              </w:rPr>
              <w:t>22 02 03 02</w:t>
            </w:r>
          </w:p>
        </w:tc>
        <w:tc>
          <w:tcPr>
            <w:tcW w:w="4762"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20"/>
                <w:szCs w:val="20"/>
              </w:rPr>
            </w:pPr>
            <w:r>
              <w:rPr>
                <w:rFonts w:ascii="Times New Roman" w:hAnsi="Times New Roman"/>
                <w:noProof/>
                <w:sz w:val="20"/>
                <w:szCs w:val="20"/>
              </w:rPr>
              <w:t>Турция — 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90 000 000</w:t>
            </w:r>
          </w:p>
        </w:tc>
      </w:tr>
      <w:tr w:rsidR="009E5F29">
        <w:trPr>
          <w:jc w:val="center"/>
        </w:trPr>
        <w:tc>
          <w:tcPr>
            <w:tcW w:w="5820"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210 000 000</w:t>
            </w:r>
          </w:p>
        </w:tc>
      </w:tr>
    </w:tbl>
    <w:p w:rsidR="009E5F29" w:rsidRDefault="00317017">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27" w:name="_Toc52346057"/>
      <w:bookmarkStart w:id="28" w:name="_Toc53499122"/>
      <w:r>
        <w:rPr>
          <w:rFonts w:ascii="Times New Roman" w:hAnsi="Times New Roman"/>
          <w:i/>
          <w:noProof/>
        </w:rPr>
        <w:t>2</w:t>
      </w:r>
      <w:r>
        <w:rPr>
          <w:rFonts w:ascii="Times New Roman" w:hAnsi="Times New Roman"/>
          <w:i/>
          <w:noProof/>
          <w:sz w:val="24"/>
          <w:szCs w:val="24"/>
        </w:rPr>
        <w:t>.4.2</w:t>
      </w:r>
      <w:r>
        <w:rPr>
          <w:noProof/>
        </w:rPr>
        <w:tab/>
      </w:r>
      <w:r>
        <w:rPr>
          <w:rFonts w:ascii="Times New Roman" w:hAnsi="Times New Roman"/>
          <w:i/>
          <w:noProof/>
          <w:sz w:val="24"/>
          <w:szCs w:val="24"/>
        </w:rPr>
        <w:t>Европейски инструмент за съседство (ЕИС)</w:t>
      </w:r>
      <w:bookmarkEnd w:id="27"/>
      <w:bookmarkEnd w:id="28"/>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 ЕИС Комисията измени и увеличи бюджета на текущите програми, за да ускори тяхното изпълнение и свързаните с тях плащания.</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Освен преразпределенията, които вече бяха установени в резултат на преразгледаните прогнози, са необходими допълнителни бюджетни кредити за плащания на обща стойност 286 млн. евро за покриване на ускорените плащания по няколко програми за бюджетна подкрепа за Мароко, Тунис, Йордания, Алжир, Грузия и Армения, както и за допълване на пакетите на няколко други национални и регионални програми в полза на малките и средните предприятия (например за устойчивост и стабилност в Източна Украйна и Армения).</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9E5F29">
        <w:trPr>
          <w:jc w:val="center"/>
        </w:trPr>
        <w:tc>
          <w:tcPr>
            <w:tcW w:w="9222" w:type="dxa"/>
            <w:gridSpan w:val="4"/>
            <w:tcBorders>
              <w:top w:val="nil"/>
              <w:left w:val="nil"/>
              <w:bottom w:val="single" w:sz="4" w:space="0" w:color="auto"/>
              <w:right w:val="nil"/>
            </w:tcBorders>
            <w:vAlign w:val="center"/>
            <w:hideMark/>
          </w:tcPr>
          <w:p w:rsidR="009E5F29" w:rsidRDefault="0031701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ind w:left="-18" w:right="-113"/>
              <w:jc w:val="both"/>
              <w:rPr>
                <w:rFonts w:ascii="Times New Roman" w:eastAsia="Times New Roman" w:hAnsi="Times New Roman" w:cs="Times New Roman"/>
                <w:noProof/>
                <w:sz w:val="20"/>
                <w:szCs w:val="20"/>
              </w:rPr>
            </w:pPr>
            <w:r>
              <w:rPr>
                <w:rFonts w:ascii="Times New Roman" w:hAnsi="Times New Roman"/>
                <w:noProof/>
                <w:sz w:val="20"/>
                <w:szCs w:val="20"/>
              </w:rPr>
              <w:t xml:space="preserve">22 04 01 02 </w:t>
            </w:r>
          </w:p>
        </w:tc>
        <w:tc>
          <w:tcPr>
            <w:tcW w:w="4762"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Средиземноморски страни — Намаляване на бедността и устойчиво развитие</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221 000 000</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ind w:left="-18" w:right="-113"/>
              <w:jc w:val="both"/>
              <w:rPr>
                <w:rFonts w:ascii="Times New Roman" w:eastAsia="Times New Roman" w:hAnsi="Times New Roman" w:cs="Times New Roman"/>
                <w:noProof/>
                <w:sz w:val="20"/>
                <w:szCs w:val="20"/>
              </w:rPr>
            </w:pPr>
            <w:r>
              <w:rPr>
                <w:rFonts w:ascii="Times New Roman" w:hAnsi="Times New Roman"/>
                <w:noProof/>
                <w:sz w:val="20"/>
                <w:szCs w:val="20"/>
              </w:rPr>
              <w:t>22 04 02 02</w:t>
            </w:r>
          </w:p>
        </w:tc>
        <w:tc>
          <w:tcPr>
            <w:tcW w:w="4762"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Източно партньорство — Намаляване на бедността и устойчиво развитие</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65 000 000</w:t>
            </w:r>
          </w:p>
        </w:tc>
      </w:tr>
      <w:tr w:rsidR="009E5F29">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286 000 000</w:t>
            </w:r>
          </w:p>
        </w:tc>
      </w:tr>
    </w:tbl>
    <w:p w:rsidR="009E5F29" w:rsidRDefault="00317017">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29" w:name="_Toc52346058"/>
      <w:bookmarkStart w:id="30" w:name="_Toc53499123"/>
      <w:r>
        <w:rPr>
          <w:rFonts w:ascii="Times New Roman" w:hAnsi="Times New Roman"/>
          <w:i/>
          <w:noProof/>
          <w:sz w:val="24"/>
          <w:szCs w:val="24"/>
        </w:rPr>
        <w:t>2.4.3</w:t>
      </w:r>
      <w:r>
        <w:rPr>
          <w:noProof/>
        </w:rPr>
        <w:tab/>
      </w:r>
      <w:r>
        <w:rPr>
          <w:rFonts w:ascii="Times New Roman" w:hAnsi="Times New Roman"/>
          <w:i/>
          <w:noProof/>
          <w:sz w:val="24"/>
          <w:szCs w:val="24"/>
        </w:rPr>
        <w:t>Инструмент за сътрудничество за развитие (ИСР)</w:t>
      </w:r>
      <w:bookmarkEnd w:id="29"/>
      <w:bookmarkEnd w:id="30"/>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 отношение на ИСР Комисията ускори плащанията, свързани с операции за бюджетна подкрепа в няколко държави, а някои средства бяха преразпределени за нови проекти специално в отговор на кризата с COVID-19, например в Афганистан. Свързаните с това договори са в процес на подписване и ще доведат до плащания по предварително финансиране още през 2020 г.</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Най-неотложните нужди вече са покрити чрез преразпределения, но само частично. Следователно са необходими допълнителни бюджетни кредити за плащания на обща стойност 90 млн. евро за покриване на ускорените плащания за Непал, Мианмар, Камбоджа, Таджикистан, Узбекистан и Афганистан.</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9E5F29">
        <w:trPr>
          <w:jc w:val="center"/>
        </w:trPr>
        <w:tc>
          <w:tcPr>
            <w:tcW w:w="9222" w:type="dxa"/>
            <w:gridSpan w:val="4"/>
            <w:tcBorders>
              <w:top w:val="nil"/>
              <w:left w:val="nil"/>
              <w:bottom w:val="single" w:sz="4" w:space="0" w:color="auto"/>
              <w:right w:val="nil"/>
            </w:tcBorders>
            <w:vAlign w:val="center"/>
            <w:hideMark/>
          </w:tcPr>
          <w:p w:rsidR="009E5F29" w:rsidRDefault="0031701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21 02 02</w:t>
            </w:r>
          </w:p>
        </w:tc>
        <w:tc>
          <w:tcPr>
            <w:tcW w:w="4762"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Сътрудничество с Азия</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50 000 000</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21 02 03</w:t>
            </w:r>
          </w:p>
        </w:tc>
        <w:tc>
          <w:tcPr>
            <w:tcW w:w="4762"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Сътрудничество с Централна Азия</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15 000 000</w:t>
            </w:r>
          </w:p>
        </w:tc>
      </w:tr>
      <w:tr w:rsidR="009E5F29">
        <w:trPr>
          <w:jc w:val="center"/>
        </w:trPr>
        <w:tc>
          <w:tcPr>
            <w:tcW w:w="1058"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21 02 05</w:t>
            </w:r>
          </w:p>
        </w:tc>
        <w:tc>
          <w:tcPr>
            <w:tcW w:w="4762"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Сътрудничество с Афганистан</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25 000 000</w:t>
            </w:r>
          </w:p>
        </w:tc>
      </w:tr>
      <w:tr w:rsidR="009E5F29">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90 000 000</w:t>
            </w:r>
          </w:p>
        </w:tc>
      </w:tr>
    </w:tbl>
    <w:p w:rsidR="009E5F29" w:rsidRDefault="00317017">
      <w:pPr>
        <w:pStyle w:val="ManualHeading1"/>
        <w:numPr>
          <w:ilvl w:val="0"/>
          <w:numId w:val="2"/>
        </w:numPr>
        <w:rPr>
          <w:noProof/>
        </w:rPr>
      </w:pPr>
      <w:bookmarkStart w:id="31" w:name="_Toc52346059"/>
      <w:bookmarkStart w:id="32" w:name="_Toc53499124"/>
      <w:r>
        <w:rPr>
          <w:noProof/>
        </w:rPr>
        <w:t>Други корекции на разходите</w:t>
      </w:r>
      <w:bookmarkEnd w:id="31"/>
      <w:bookmarkEnd w:id="32"/>
    </w:p>
    <w:p w:rsidR="009E5F29" w:rsidRDefault="00317017">
      <w:pPr>
        <w:pStyle w:val="ManualHeading1"/>
        <w:numPr>
          <w:ilvl w:val="1"/>
          <w:numId w:val="2"/>
        </w:numPr>
        <w:tabs>
          <w:tab w:val="clear" w:pos="850"/>
          <w:tab w:val="left" w:pos="600"/>
        </w:tabs>
        <w:ind w:left="600" w:hanging="600"/>
        <w:rPr>
          <w:smallCaps w:val="0"/>
          <w:noProof/>
        </w:rPr>
      </w:pPr>
      <w:bookmarkStart w:id="33" w:name="_Toc52346060"/>
      <w:bookmarkStart w:id="34" w:name="_Toc53499125"/>
      <w:bookmarkStart w:id="35" w:name="_Toc462410058"/>
      <w:bookmarkStart w:id="36" w:name="_Toc494994378"/>
      <w:bookmarkStart w:id="37" w:name="_Toc525202232"/>
      <w:bookmarkStart w:id="38" w:name="_Toc43387607"/>
      <w:r>
        <w:rPr>
          <w:smallCaps w:val="0"/>
          <w:noProof/>
        </w:rPr>
        <w:t>Европейски фонд за гарантиране на земеделието (ЕФГЗ)</w:t>
      </w:r>
      <w:bookmarkEnd w:id="33"/>
      <w:bookmarkEnd w:id="34"/>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контекста на извънредните мерки за справяне с кризата с COVID-19 Комисията прие преди лятото два пакета от мерки, свързани със селскостопанските пазари. Първият пакет беше предназначен за осигуряване на аванси и гарантиране на гладкото функциониране на различните схеми за преки плащания, както и за повишаване на гъвкавостта на контрола. Вторият пакет беше съсредоточен върху набор от разпоредби, свързани с мерките за подпомагане на пазара, по-специално в сектора на плодовете и зеленчуците и винарския сектор. </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тези мерки Комисията създаде условия за пълноценното използване на бюджетните кредити на ЕФГЗ в рамките на бюджета за 2020 г. Както настоящото равнище на изпълнение, така и последните прогнози на държавите членки подкрепят това предположение. </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Изпълнението на бюджета на ЕФГЗ за 2020 г. вече е много напреднало, по-специално за преките плащания, при които изпълнението е още по-добро в сравнение с предходните години. Разходите, свързани с пазара, ще бъдат концентрирани до голяма степен в края на финансовата година, като все още съществува значителна несигурност относно действителното равнище на разходите, особено за програмите във винарския сектор, подкрепата за организациите на производители в сектора на плодовете и зеленчуците и схемите за училищата.</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Въз основа на наличната понастоящем информация целевите приходи по линия на ЕФГЗ се очаква да бъдат със 176 млн. евро по-ниски от заложената в бюджета сума. Тази разлика се обяснява с а) уреждането на финансовите последици от дело C-252/18P на Съда в полза на Гърция, б) по-ниските целеви приходи от решенията за съответствие и уравняване на сметките, взети от Комисията, и в) забавянето на някои вземания до 2021 г.</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резултат на това съществува риск от известен дефицит в сравнение с бюджетните кредити, налични понастоящем в бюджета на ЕФГЗ за 2020 г., който би могъл да бъде покрит чрез мобилизиране на оставащия наличен марж по функция 2.</w:t>
      </w:r>
    </w:p>
    <w:p w:rsidR="009E5F29" w:rsidRDefault="00317017">
      <w:pPr>
        <w:spacing w:before="240"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Въз основа на наличната понастоящем информация и като се вземат предвид прогнозите на държавите членки, Комисията предлага да се увеличат средствата по бюджетния ред за оперативни средства за организации на производители по линия на ЕФГЗ, както е посочено по-долу:</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232"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588"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232"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05 02 08 03</w:t>
            </w:r>
          </w:p>
        </w:tc>
        <w:tc>
          <w:tcPr>
            <w:tcW w:w="4588"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Оперативни средства за организации на производители</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48 655 078</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48 655 078</w:t>
            </w:r>
          </w:p>
        </w:tc>
      </w:tr>
      <w:tr w:rsidR="009E5F29">
        <w:trPr>
          <w:jc w:val="center"/>
        </w:trPr>
        <w:tc>
          <w:tcPr>
            <w:tcW w:w="5820"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48 655 078</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48 655 078</w:t>
            </w:r>
          </w:p>
        </w:tc>
      </w:tr>
    </w:tbl>
    <w:p w:rsidR="009E5F29" w:rsidRDefault="00317017">
      <w:pPr>
        <w:pStyle w:val="ListParagraph"/>
        <w:keepNext/>
        <w:numPr>
          <w:ilvl w:val="1"/>
          <w:numId w:val="2"/>
        </w:numPr>
        <w:tabs>
          <w:tab w:val="left" w:pos="600"/>
        </w:tabs>
        <w:spacing w:before="360" w:after="120"/>
        <w:ind w:left="600" w:hanging="600"/>
        <w:jc w:val="both"/>
        <w:outlineLvl w:val="1"/>
        <w:rPr>
          <w:rFonts w:ascii="Times New Roman" w:eastAsia="Calibri" w:hAnsi="Times New Roman" w:cs="Times New Roman"/>
          <w:b/>
          <w:noProof/>
          <w:sz w:val="24"/>
          <w:szCs w:val="24"/>
        </w:rPr>
      </w:pPr>
      <w:bookmarkStart w:id="39" w:name="_Toc52346061"/>
      <w:bookmarkStart w:id="40" w:name="_Toc53499126"/>
      <w:bookmarkEnd w:id="35"/>
      <w:bookmarkEnd w:id="36"/>
      <w:bookmarkEnd w:id="37"/>
      <w:bookmarkEnd w:id="38"/>
      <w:r>
        <w:rPr>
          <w:rFonts w:ascii="Times New Roman" w:hAnsi="Times New Roman"/>
          <w:b/>
          <w:noProof/>
          <w:sz w:val="24"/>
          <w:szCs w:val="24"/>
        </w:rPr>
        <w:t>Децентрализирани агенции</w:t>
      </w:r>
      <w:bookmarkEnd w:id="39"/>
      <w:bookmarkEnd w:id="40"/>
    </w:p>
    <w:p w:rsidR="009E5F29" w:rsidRDefault="00317017">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41" w:name="_Toc35506106"/>
      <w:bookmarkStart w:id="42" w:name="_Toc52346062"/>
      <w:bookmarkStart w:id="43" w:name="_Toc53499127"/>
      <w:r>
        <w:rPr>
          <w:rFonts w:ascii="Times New Roman" w:hAnsi="Times New Roman"/>
          <w:i/>
          <w:noProof/>
          <w:sz w:val="24"/>
          <w:szCs w:val="24"/>
        </w:rPr>
        <w:t xml:space="preserve">3.2.1 </w:t>
      </w:r>
      <w:r>
        <w:rPr>
          <w:noProof/>
        </w:rPr>
        <w:tab/>
      </w:r>
      <w:bookmarkEnd w:id="41"/>
      <w:r>
        <w:rPr>
          <w:rFonts w:ascii="Times New Roman" w:hAnsi="Times New Roman"/>
          <w:i/>
          <w:noProof/>
          <w:sz w:val="24"/>
          <w:szCs w:val="24"/>
        </w:rPr>
        <w:t>Европейски надзорни органи (ЕНО)</w:t>
      </w:r>
      <w:bookmarkEnd w:id="42"/>
      <w:bookmarkEnd w:id="43"/>
    </w:p>
    <w:p w:rsidR="009E5F29" w:rsidRDefault="00317017">
      <w:pPr>
        <w:spacing w:before="120" w:after="120"/>
        <w:jc w:val="both"/>
        <w:rPr>
          <w:rFonts w:ascii="Times New Roman" w:hAnsi="Times New Roman" w:cs="Times New Roman"/>
          <w:noProof/>
          <w:sz w:val="24"/>
          <w:szCs w:val="24"/>
        </w:rPr>
      </w:pPr>
      <w:r>
        <w:rPr>
          <w:rFonts w:ascii="Times New Roman" w:hAnsi="Times New Roman"/>
          <w:noProof/>
          <w:sz w:val="24"/>
          <w:szCs w:val="24"/>
        </w:rPr>
        <w:t>И трите европейски надзорни органа (ЕНО) установиха икономии в резултат на продължаващото въздействие на COVID-19 върху тяхната работа, както и поради намалената нужда от вноски от ЕС, свързани с изпълнението на:</w:t>
      </w:r>
    </w:p>
    <w:p w:rsidR="009E5F29" w:rsidRDefault="00317017">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szCs w:val="24"/>
        </w:rPr>
        <w:t>рамката за улесняване на устойчивите инвестиции за всеки от трите ЕНО;</w:t>
      </w:r>
    </w:p>
    <w:p w:rsidR="009E5F29" w:rsidRDefault="00317017">
      <w:pPr>
        <w:pStyle w:val="ListParagraph"/>
        <w:numPr>
          <w:ilvl w:val="0"/>
          <w:numId w:val="10"/>
        </w:numPr>
        <w:spacing w:before="120" w:after="120"/>
        <w:jc w:val="both"/>
        <w:rPr>
          <w:rFonts w:ascii="Times New Roman" w:hAnsi="Times New Roman" w:cs="Times New Roman"/>
          <w:noProof/>
          <w:sz w:val="24"/>
          <w:szCs w:val="24"/>
        </w:rPr>
      </w:pPr>
      <w:r>
        <w:rPr>
          <w:rFonts w:ascii="Times New Roman" w:hAnsi="Times New Roman"/>
          <w:noProof/>
          <w:sz w:val="24"/>
          <w:szCs w:val="24"/>
        </w:rPr>
        <w:t>законодателството относно европейските доставчици на услуги за колективно финансиране и относно ценните книжа, обезпечени с държавни облигации (ЦКОДО), за Европейския орган за ценни книжа и пазари (ЕОЦКП); и</w:t>
      </w:r>
    </w:p>
    <w:p w:rsidR="009E5F29" w:rsidRDefault="00317017">
      <w:pPr>
        <w:spacing w:before="120" w:after="120"/>
        <w:jc w:val="both"/>
        <w:rPr>
          <w:rFonts w:ascii="Times New Roman" w:hAnsi="Times New Roman" w:cs="Times New Roman"/>
          <w:noProof/>
          <w:sz w:val="24"/>
          <w:szCs w:val="24"/>
        </w:rPr>
      </w:pPr>
      <w:r>
        <w:rPr>
          <w:rFonts w:ascii="Times New Roman" w:hAnsi="Times New Roman"/>
          <w:noProof/>
          <w:sz w:val="24"/>
          <w:szCs w:val="24"/>
        </w:rPr>
        <w:t>Освен това беше установена по-малка нужда от аванс за събирането на такси от ESMA, произтичащи от делегирания акт за надзора на централни контрагенти на трети държави</w:t>
      </w:r>
      <w:r>
        <w:rPr>
          <w:rStyle w:val="FootnoteReference"/>
          <w:rFonts w:ascii="Times New Roman" w:hAnsi="Times New Roman" w:cs="Times New Roman"/>
          <w:noProof/>
          <w:sz w:val="24"/>
          <w:szCs w:val="24"/>
          <w:lang w:eastAsia="de-DE"/>
        </w:rPr>
        <w:footnoteReference w:id="16"/>
      </w:r>
      <w:r>
        <w:rPr>
          <w:rFonts w:ascii="Times New Roman" w:hAnsi="Times New Roman"/>
          <w:noProof/>
          <w:sz w:val="24"/>
          <w:szCs w:val="24"/>
        </w:rPr>
        <w:t>.</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keepNext/>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232"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588"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232"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12 02 04</w:t>
            </w:r>
          </w:p>
        </w:tc>
        <w:tc>
          <w:tcPr>
            <w:tcW w:w="4588"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банков орган (ЕБО)</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-1 416 000</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-1 416 000</w:t>
            </w:r>
          </w:p>
        </w:tc>
      </w:tr>
      <w:tr w:rsidR="009E5F29">
        <w:trPr>
          <w:jc w:val="center"/>
        </w:trPr>
        <w:tc>
          <w:tcPr>
            <w:tcW w:w="1232"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12 02 05</w:t>
            </w:r>
          </w:p>
        </w:tc>
        <w:tc>
          <w:tcPr>
            <w:tcW w:w="4588"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орган за застраховане и професионално пенсионно осигуряване (ЕIОPA)</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-314 636</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-314 636</w:t>
            </w:r>
          </w:p>
        </w:tc>
      </w:tr>
      <w:tr w:rsidR="009E5F29">
        <w:trPr>
          <w:jc w:val="center"/>
        </w:trPr>
        <w:tc>
          <w:tcPr>
            <w:tcW w:w="1232"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12 02 06</w:t>
            </w:r>
          </w:p>
        </w:tc>
        <w:tc>
          <w:tcPr>
            <w:tcW w:w="4588"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орган за ценни книжа и пазари (ESMA)</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-7 383 576</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-7 383 576</w:t>
            </w:r>
          </w:p>
        </w:tc>
      </w:tr>
      <w:tr w:rsidR="009E5F29">
        <w:trPr>
          <w:jc w:val="center"/>
        </w:trPr>
        <w:tc>
          <w:tcPr>
            <w:tcW w:w="5820"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-9 114 212</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-9 114 212</w:t>
            </w:r>
          </w:p>
        </w:tc>
      </w:tr>
    </w:tbl>
    <w:p w:rsidR="009E5F29" w:rsidRDefault="00317017">
      <w:pPr>
        <w:keepNext/>
        <w:tabs>
          <w:tab w:val="left" w:pos="850"/>
        </w:tabs>
        <w:spacing w:before="240" w:after="120"/>
        <w:ind w:left="850" w:hanging="850"/>
        <w:jc w:val="both"/>
        <w:outlineLvl w:val="1"/>
        <w:rPr>
          <w:rFonts w:ascii="Times New Roman" w:eastAsia="Calibri" w:hAnsi="Times New Roman" w:cs="Times New Roman"/>
          <w:i/>
          <w:noProof/>
          <w:sz w:val="24"/>
          <w:szCs w:val="24"/>
        </w:rPr>
      </w:pPr>
      <w:bookmarkStart w:id="44" w:name="_Toc52346063"/>
      <w:bookmarkStart w:id="45" w:name="_Toc53499128"/>
      <w:bookmarkStart w:id="46" w:name="_Toc43387613"/>
      <w:r>
        <w:rPr>
          <w:rFonts w:ascii="Times New Roman" w:hAnsi="Times New Roman"/>
          <w:i/>
          <w:noProof/>
          <w:sz w:val="24"/>
          <w:szCs w:val="24"/>
        </w:rPr>
        <w:t>3.2.2</w:t>
      </w:r>
      <w:r>
        <w:rPr>
          <w:noProof/>
        </w:rPr>
        <w:tab/>
      </w:r>
      <w:r>
        <w:rPr>
          <w:rFonts w:ascii="Times New Roman" w:hAnsi="Times New Roman"/>
          <w:i/>
          <w:noProof/>
          <w:sz w:val="24"/>
          <w:szCs w:val="24"/>
        </w:rPr>
        <w:t>Европейски орган по труда (ЕОТ)</w:t>
      </w:r>
      <w:bookmarkEnd w:id="44"/>
      <w:bookmarkEnd w:id="45"/>
    </w:p>
    <w:p w:rsidR="009E5F29" w:rsidRDefault="00317017">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Кризата с COVID-19 оказа въздействие върху работата на Европейския орган по труда, като намали броя на заседанията на място и съвместните инспекции и забави темпа на набиране на персонал.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9E5F29">
        <w:trPr>
          <w:jc w:val="center"/>
        </w:trPr>
        <w:tc>
          <w:tcPr>
            <w:tcW w:w="9222" w:type="dxa"/>
            <w:gridSpan w:val="4"/>
            <w:tcBorders>
              <w:top w:val="nil"/>
              <w:left w:val="nil"/>
              <w:bottom w:val="single" w:sz="4" w:space="0" w:color="auto"/>
              <w:right w:val="nil"/>
            </w:tcBorders>
            <w:shd w:val="clear" w:color="auto" w:fill="auto"/>
            <w:vAlign w:val="center"/>
          </w:tcPr>
          <w:p w:rsidR="009E5F29" w:rsidRDefault="0031701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9E5F29">
        <w:trPr>
          <w:jc w:val="center"/>
        </w:trPr>
        <w:tc>
          <w:tcPr>
            <w:tcW w:w="1232"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4588"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rsidR="009E5F29">
        <w:trPr>
          <w:jc w:val="center"/>
        </w:trPr>
        <w:tc>
          <w:tcPr>
            <w:tcW w:w="9222" w:type="dxa"/>
            <w:gridSpan w:val="4"/>
            <w:shd w:val="clear" w:color="auto" w:fill="F2F2F2"/>
            <w:vAlign w:val="center"/>
          </w:tcPr>
          <w:p w:rsidR="009E5F29" w:rsidRDefault="00317017">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rsidR="009E5F29">
        <w:trPr>
          <w:jc w:val="center"/>
        </w:trPr>
        <w:tc>
          <w:tcPr>
            <w:tcW w:w="1232" w:type="dxa"/>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04 03 15</w:t>
            </w:r>
          </w:p>
        </w:tc>
        <w:tc>
          <w:tcPr>
            <w:tcW w:w="4588"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орган по труда (ЕОТ)</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-3 105 725</w:t>
            </w:r>
          </w:p>
        </w:tc>
        <w:tc>
          <w:tcPr>
            <w:tcW w:w="1701" w:type="dxa"/>
          </w:tcPr>
          <w:p w:rsidR="009E5F29" w:rsidRDefault="00317017">
            <w:pPr>
              <w:widowControl w:val="0"/>
              <w:spacing w:before="15" w:after="15" w:line="240" w:lineRule="auto"/>
              <w:jc w:val="right"/>
              <w:rPr>
                <w:rFonts w:ascii="Times New Roman" w:eastAsia="Times New Roman" w:hAnsi="Times New Roman" w:cs="Times New Roman"/>
                <w:noProof/>
                <w:sz w:val="20"/>
                <w:szCs w:val="20"/>
              </w:rPr>
            </w:pPr>
            <w:r>
              <w:rPr>
                <w:rFonts w:ascii="Times New Roman" w:hAnsi="Times New Roman"/>
                <w:noProof/>
                <w:sz w:val="20"/>
                <w:szCs w:val="20"/>
              </w:rPr>
              <w:t>-</w:t>
            </w:r>
          </w:p>
        </w:tc>
      </w:tr>
      <w:tr w:rsidR="009E5F29">
        <w:trPr>
          <w:jc w:val="center"/>
        </w:trPr>
        <w:tc>
          <w:tcPr>
            <w:tcW w:w="5820"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-3 105 725</w:t>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0</w:t>
            </w:r>
          </w:p>
        </w:tc>
      </w:tr>
    </w:tbl>
    <w:p w:rsidR="009E5F29" w:rsidRDefault="00317017">
      <w:pPr>
        <w:pStyle w:val="ManualHeading1"/>
        <w:numPr>
          <w:ilvl w:val="0"/>
          <w:numId w:val="2"/>
        </w:numPr>
        <w:rPr>
          <w:noProof/>
        </w:rPr>
      </w:pPr>
      <w:bookmarkStart w:id="47" w:name="_Toc52283348"/>
      <w:bookmarkStart w:id="48" w:name="_Toc52283380"/>
      <w:bookmarkStart w:id="49" w:name="_Toc52284698"/>
      <w:bookmarkStart w:id="50" w:name="_Toc52346064"/>
      <w:bookmarkStart w:id="51" w:name="_Toc53499129"/>
      <w:bookmarkEnd w:id="47"/>
      <w:bookmarkEnd w:id="48"/>
      <w:bookmarkEnd w:id="49"/>
      <w:r>
        <w:rPr>
          <w:noProof/>
        </w:rPr>
        <w:t>Корекции на приходите</w:t>
      </w:r>
      <w:bookmarkEnd w:id="50"/>
      <w:bookmarkEnd w:id="51"/>
    </w:p>
    <w:p w:rsidR="009E5F29" w:rsidRDefault="00317017">
      <w:pPr>
        <w:keepNext/>
        <w:tabs>
          <w:tab w:val="left" w:pos="600"/>
        </w:tabs>
        <w:spacing w:before="240" w:after="120"/>
        <w:jc w:val="both"/>
        <w:outlineLvl w:val="1"/>
        <w:rPr>
          <w:rFonts w:ascii="Times New Roman" w:eastAsia="Calibri" w:hAnsi="Times New Roman" w:cs="Times New Roman"/>
          <w:b/>
          <w:noProof/>
          <w:sz w:val="24"/>
          <w:szCs w:val="24"/>
        </w:rPr>
      </w:pPr>
      <w:bookmarkStart w:id="52" w:name="_Toc53499130"/>
      <w:r>
        <w:rPr>
          <w:rFonts w:ascii="Times New Roman" w:hAnsi="Times New Roman"/>
          <w:b/>
          <w:noProof/>
          <w:sz w:val="24"/>
          <w:szCs w:val="24"/>
        </w:rPr>
        <w:t>4.1</w:t>
      </w:r>
      <w:r>
        <w:rPr>
          <w:noProof/>
        </w:rPr>
        <w:tab/>
      </w:r>
      <w:bookmarkStart w:id="53" w:name="_Toc52346065"/>
      <w:r>
        <w:rPr>
          <w:rFonts w:ascii="Times New Roman" w:hAnsi="Times New Roman"/>
          <w:b/>
          <w:noProof/>
          <w:sz w:val="24"/>
          <w:szCs w:val="24"/>
        </w:rPr>
        <w:t>Разлики в обменния курс на собствените ресурси</w:t>
      </w:r>
      <w:bookmarkEnd w:id="46"/>
      <w:bookmarkEnd w:id="53"/>
      <w:bookmarkEnd w:id="52"/>
    </w:p>
    <w:p w:rsidR="009E5F29" w:rsidRDefault="00317017">
      <w:pPr>
        <w:jc w:val="both"/>
        <w:rPr>
          <w:rFonts w:ascii="Times New Roman" w:eastAsia="Calibri" w:hAnsi="Times New Roman" w:cs="Times New Roman"/>
          <w:b/>
          <w:noProof/>
          <w:sz w:val="24"/>
          <w:szCs w:val="24"/>
        </w:rPr>
      </w:pPr>
      <w:r>
        <w:rPr>
          <w:rFonts w:ascii="Times New Roman" w:hAnsi="Times New Roman"/>
          <w:noProof/>
          <w:sz w:val="24"/>
          <w:szCs w:val="24"/>
        </w:rPr>
        <w:t>Бюджетът се определя в евро, а вноските на държавите членки се определят в национална валута. Годишните вноски на държавите членки се плащат на 12 месечни вноски („дванадесети части“). Всяка вноска, платена в парична единица, различна от еврото, се записва в сметките, като се използват месечните обменни курсове за месеца, през който се извършва плащането.</w:t>
      </w:r>
    </w:p>
    <w:p w:rsidR="009E5F29" w:rsidRDefault="00317017">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За държавите членки извън еврозоната бюджетът се конвертира в национална валута, като се използва обменният курс от последния ден на котировката на календарната година, която предхожда бюджетната година</w:t>
      </w:r>
      <w:r>
        <w:rPr>
          <w:rStyle w:val="FootnoteReference"/>
          <w:rFonts w:ascii="Times New Roman" w:eastAsia="Calibri" w:hAnsi="Times New Roman" w:cs="Times New Roman"/>
          <w:noProof/>
          <w:sz w:val="24"/>
          <w:szCs w:val="24"/>
          <w:lang w:eastAsia="de-DE"/>
        </w:rPr>
        <w:footnoteReference w:id="17"/>
      </w:r>
      <w:r>
        <w:rPr>
          <w:rFonts w:ascii="Times New Roman" w:hAnsi="Times New Roman"/>
          <w:noProof/>
          <w:sz w:val="24"/>
          <w:szCs w:val="24"/>
        </w:rPr>
        <w:t>. По този начин за конвертиране на бюджета от евро във валути, различни от еврото, за 2020 г. се използва обменният курс от 31 декември 2019 г.</w:t>
      </w:r>
    </w:p>
    <w:p w:rsidR="009E5F29" w:rsidRDefault="00317017">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Следователно всички разлики в обменните курсове, използвани за изчисляване на месечната „дванадесета част“ в национална валута, и счетоводните курсове, приложими през месеца на плащане на „дванадесетата част“, водят неизбежно до разлики между сумите на собствените ресурси в евро, предвидени в бюджета, и действително платените суми.</w:t>
      </w:r>
    </w:p>
    <w:p w:rsidR="009E5F29" w:rsidRDefault="00317017">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Месечните колебания на обменните курсове могат да се компенсират взаимно през дадена бюджетна година. През 2020 г. обаче развитието на обменните курсове като цяло е отрицателно. От януари до юни бяха регистрирани разлики в обменните курсове за собствените ресурси на общо стойност от минус 400,6 млн. евро, като тази сума беше включена в коригиращ бюджет № 7.</w:t>
      </w:r>
    </w:p>
    <w:p w:rsidR="009E5F29" w:rsidRDefault="00317017">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В обяснителния меморандум на коригиращ бюджет № 7 се подчертава възможността за по-нататъшно отрицателно развитие на обменните курсове и произтичащите от това допълнителни изменения на бюджета, предложени на бюджетния орган в проекта на коригиращ бюджет от есента.</w:t>
      </w:r>
    </w:p>
    <w:p w:rsidR="009E5F29" w:rsidRDefault="00317017">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Оттогава (юли — септември) развитието на обменния курс, предизвикано по-специално от обезценяването на британската лира, доведе до допълнителен дефицит от 180 млн. евро. През септември британската лира отново рязко се обезцени. Ако остане като цяло на същото равнище като към 1 октомври, през последните три месеца на годината ще има допълнителен дефицит на собствените ресурси в размер на 536 млн. евро.</w:t>
      </w:r>
    </w:p>
    <w:p w:rsidR="009E5F29" w:rsidRDefault="00317017">
      <w:pPr>
        <w:spacing w:before="120" w:after="120"/>
        <w:jc w:val="both"/>
        <w:rPr>
          <w:rFonts w:ascii="Times New Roman" w:eastAsia="Calibri" w:hAnsi="Times New Roman" w:cs="Times New Roman"/>
          <w:noProof/>
          <w:sz w:val="24"/>
          <w:szCs w:val="24"/>
        </w:rPr>
      </w:pPr>
      <w:r>
        <w:rPr>
          <w:rFonts w:ascii="Times New Roman" w:hAnsi="Times New Roman"/>
          <w:noProof/>
          <w:sz w:val="24"/>
          <w:szCs w:val="24"/>
        </w:rPr>
        <w:t xml:space="preserve">С цел да се намали рискът от бюджетен дефицит до края на 2020 г. се предлага в бюджета да бъде вписана сума от минус 716 млн. евро (в допълнение към сумата от минус 400,6 млн. евро, вече заложена в коригиращ бюджет № 7), за да се компенсират разликите в обменните курсове до края на годината.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4"/>
        <w:gridCol w:w="51"/>
      </w:tblGrid>
      <w:tr w:rsidR="009E5F29">
        <w:tc>
          <w:tcPr>
            <w:tcW w:w="9303" w:type="dxa"/>
            <w:gridSpan w:val="4"/>
            <w:tcBorders>
              <w:top w:val="nil"/>
              <w:left w:val="nil"/>
              <w:bottom w:val="single" w:sz="4" w:space="0" w:color="auto"/>
              <w:right w:val="nil"/>
            </w:tcBorders>
            <w:shd w:val="clear" w:color="auto" w:fill="auto"/>
            <w:vAlign w:val="center"/>
          </w:tcPr>
          <w:p w:rsidR="009E5F29" w:rsidRDefault="00317017">
            <w:pPr>
              <w:widowControl w:val="0"/>
              <w:spacing w:before="15" w:after="15" w:line="240" w:lineRule="auto"/>
              <w:jc w:val="right"/>
              <w:rPr>
                <w:rFonts w:ascii="Times New Roman" w:eastAsia="Times New Roman" w:hAnsi="Times New Roman" w:cs="Times New Roman"/>
                <w:i/>
                <w:noProof/>
                <w:sz w:val="24"/>
                <w:szCs w:val="24"/>
              </w:rPr>
            </w:pPr>
            <w:r>
              <w:rPr>
                <w:rFonts w:ascii="Times New Roman" w:hAnsi="Times New Roman"/>
                <w:i/>
                <w:noProof/>
                <w:sz w:val="24"/>
                <w:szCs w:val="24"/>
              </w:rPr>
              <w:t>EUR</w:t>
            </w:r>
          </w:p>
        </w:tc>
      </w:tr>
      <w:tr w:rsidR="009E5F29">
        <w:trPr>
          <w:gridAfter w:val="1"/>
          <w:wAfter w:w="51" w:type="dxa"/>
        </w:trPr>
        <w:tc>
          <w:tcPr>
            <w:tcW w:w="1068"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Приходен ред</w:t>
            </w:r>
          </w:p>
        </w:tc>
        <w:tc>
          <w:tcPr>
            <w:tcW w:w="6480"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4"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Сума</w:t>
            </w:r>
          </w:p>
        </w:tc>
      </w:tr>
      <w:tr w:rsidR="009E5F29">
        <w:trPr>
          <w:gridAfter w:val="1"/>
          <w:wAfter w:w="51" w:type="dxa"/>
        </w:trPr>
        <w:tc>
          <w:tcPr>
            <w:tcW w:w="1068" w:type="dxa"/>
          </w:tcPr>
          <w:p w:rsidR="009E5F29" w:rsidRDefault="00317017">
            <w:pPr>
              <w:widowControl w:val="0"/>
              <w:spacing w:before="15" w:after="15" w:line="240" w:lineRule="auto"/>
              <w:ind w:right="-113"/>
              <w:jc w:val="center"/>
              <w:rPr>
                <w:rFonts w:ascii="Times New Roman" w:eastAsia="Times New Roman" w:hAnsi="Times New Roman" w:cs="Times New Roman"/>
                <w:noProof/>
                <w:sz w:val="20"/>
                <w:szCs w:val="20"/>
              </w:rPr>
            </w:pPr>
            <w:r>
              <w:rPr>
                <w:rFonts w:ascii="Times New Roman" w:hAnsi="Times New Roman"/>
                <w:noProof/>
                <w:sz w:val="20"/>
                <w:szCs w:val="20"/>
              </w:rPr>
              <w:t>3 9 0</w:t>
            </w:r>
          </w:p>
        </w:tc>
        <w:tc>
          <w:tcPr>
            <w:tcW w:w="6480"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Корекция във връзка с разликите от обменни курсове за собствените ресурси</w:t>
            </w:r>
          </w:p>
        </w:tc>
        <w:tc>
          <w:tcPr>
            <w:tcW w:w="1704" w:type="dxa"/>
          </w:tcPr>
          <w:p w:rsidR="009E5F29" w:rsidRDefault="00317017">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-716 000 000</w:t>
            </w:r>
          </w:p>
        </w:tc>
      </w:tr>
      <w:tr w:rsidR="009E5F29">
        <w:trPr>
          <w:gridAfter w:val="1"/>
          <w:wAfter w:w="51" w:type="dxa"/>
        </w:trPr>
        <w:tc>
          <w:tcPr>
            <w:tcW w:w="7548"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4"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-716 000 000</w:t>
            </w:r>
          </w:p>
        </w:tc>
      </w:tr>
    </w:tbl>
    <w:p w:rsidR="009E5F29" w:rsidRDefault="00317017">
      <w:pPr>
        <w:keepNext/>
        <w:tabs>
          <w:tab w:val="left" w:pos="600"/>
        </w:tabs>
        <w:spacing w:before="240" w:after="120"/>
        <w:jc w:val="both"/>
        <w:outlineLvl w:val="1"/>
        <w:rPr>
          <w:rFonts w:ascii="Times New Roman" w:eastAsia="Calibri" w:hAnsi="Times New Roman" w:cs="Times New Roman"/>
          <w:b/>
          <w:noProof/>
          <w:sz w:val="24"/>
          <w:szCs w:val="24"/>
        </w:rPr>
      </w:pPr>
      <w:bookmarkStart w:id="54" w:name="_Toc43387614"/>
      <w:bookmarkStart w:id="55" w:name="_Toc53499131"/>
      <w:r>
        <w:rPr>
          <w:rFonts w:ascii="Times New Roman" w:hAnsi="Times New Roman"/>
          <w:b/>
          <w:noProof/>
          <w:sz w:val="24"/>
          <w:szCs w:val="24"/>
        </w:rPr>
        <w:t>4.2</w:t>
      </w:r>
      <w:r>
        <w:rPr>
          <w:noProof/>
        </w:rPr>
        <w:tab/>
      </w:r>
      <w:bookmarkStart w:id="56" w:name="_Toc52346066"/>
      <w:r>
        <w:rPr>
          <w:rFonts w:ascii="Times New Roman" w:hAnsi="Times New Roman"/>
          <w:b/>
          <w:noProof/>
          <w:sz w:val="24"/>
          <w:szCs w:val="24"/>
        </w:rPr>
        <w:t>Глоби и наказателни плащания</w:t>
      </w:r>
      <w:bookmarkEnd w:id="54"/>
      <w:bookmarkEnd w:id="56"/>
      <w:bookmarkEnd w:id="55"/>
    </w:p>
    <w:p w:rsidR="009E5F29" w:rsidRDefault="00317017">
      <w:pPr>
        <w:spacing w:before="120" w:after="120"/>
        <w:jc w:val="both"/>
        <w:rPr>
          <w:rFonts w:ascii="Times New Roman" w:hAnsi="Times New Roman" w:cs="Times New Roman"/>
          <w:noProof/>
          <w:sz w:val="24"/>
          <w:szCs w:val="24"/>
        </w:rPr>
      </w:pPr>
      <w:r>
        <w:rPr>
          <w:rFonts w:ascii="Times New Roman" w:hAnsi="Times New Roman"/>
          <w:noProof/>
          <w:sz w:val="24"/>
          <w:szCs w:val="24"/>
        </w:rPr>
        <w:t>Като се вземат предвид сумите, които са платени до края на септември, се предлага да се увеличат прогнозите, въведени в бюджета за 2020 г. (218 млн. евро</w:t>
      </w:r>
      <w:r>
        <w:rPr>
          <w:rStyle w:val="FootnoteReference"/>
          <w:rFonts w:ascii="Times New Roman" w:eastAsia="Calibri" w:hAnsi="Times New Roman" w:cs="Times New Roman"/>
          <w:noProof/>
          <w:sz w:val="24"/>
          <w:szCs w:val="24"/>
        </w:rPr>
        <w:footnoteReference w:id="18"/>
      </w:r>
      <w:r>
        <w:rPr>
          <w:rFonts w:ascii="Times New Roman" w:hAnsi="Times New Roman"/>
          <w:noProof/>
          <w:sz w:val="24"/>
          <w:szCs w:val="24"/>
        </w:rPr>
        <w:t>), със 128 млн. евро. Това ще доведе до съответно намаляване на вноските собствени ресурси от държавите членки в бюджета на ЕС.</w:t>
      </w:r>
    </w:p>
    <w:p w:rsidR="009E5F29" w:rsidRDefault="00317017">
      <w:pPr>
        <w:spacing w:before="120" w:after="120"/>
        <w:jc w:val="both"/>
        <w:rPr>
          <w:rFonts w:ascii="Times New Roman" w:hAnsi="Times New Roman" w:cs="Times New Roman"/>
          <w:noProof/>
          <w:sz w:val="24"/>
          <w:szCs w:val="24"/>
        </w:rPr>
      </w:pPr>
      <w:r>
        <w:rPr>
          <w:rFonts w:ascii="Times New Roman" w:hAnsi="Times New Roman"/>
          <w:noProof/>
          <w:sz w:val="24"/>
          <w:szCs w:val="24"/>
        </w:rPr>
        <w:t>Подробностите за всеки бюджетен ред са представени в таблицата по-долу.</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1"/>
        <w:gridCol w:w="27"/>
      </w:tblGrid>
      <w:tr w:rsidR="009E5F29">
        <w:tc>
          <w:tcPr>
            <w:tcW w:w="9276" w:type="dxa"/>
            <w:gridSpan w:val="4"/>
            <w:tcBorders>
              <w:top w:val="nil"/>
              <w:left w:val="nil"/>
              <w:bottom w:val="single" w:sz="4" w:space="0" w:color="auto"/>
              <w:right w:val="nil"/>
            </w:tcBorders>
            <w:shd w:val="clear" w:color="auto" w:fill="auto"/>
            <w:vAlign w:val="center"/>
          </w:tcPr>
          <w:p w:rsidR="009E5F29" w:rsidRDefault="00317017">
            <w:pPr>
              <w:widowControl w:val="0"/>
              <w:spacing w:before="15" w:after="15" w:line="240" w:lineRule="auto"/>
              <w:jc w:val="right"/>
              <w:rPr>
                <w:rFonts w:ascii="Times New Roman" w:eastAsia="Times New Roman" w:hAnsi="Times New Roman" w:cs="Times New Roman"/>
                <w:i/>
                <w:noProof/>
                <w:sz w:val="24"/>
                <w:szCs w:val="24"/>
              </w:rPr>
            </w:pPr>
            <w:r>
              <w:rPr>
                <w:rFonts w:ascii="Times New Roman" w:hAnsi="Times New Roman"/>
                <w:i/>
                <w:noProof/>
                <w:sz w:val="24"/>
                <w:szCs w:val="24"/>
              </w:rPr>
              <w:t>EUR</w:t>
            </w:r>
          </w:p>
        </w:tc>
      </w:tr>
      <w:tr w:rsidR="009E5F29">
        <w:trPr>
          <w:gridAfter w:val="1"/>
          <w:wAfter w:w="27" w:type="dxa"/>
        </w:trPr>
        <w:tc>
          <w:tcPr>
            <w:tcW w:w="1068" w:type="dxa"/>
            <w:tcBorders>
              <w:top w:val="single" w:sz="4" w:space="0" w:color="auto"/>
            </w:tcBorders>
            <w:shd w:val="clear" w:color="auto" w:fill="D9D9D9"/>
            <w:vAlign w:val="center"/>
          </w:tcPr>
          <w:p w:rsidR="009E5F29" w:rsidRDefault="00317017">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Приходен ред</w:t>
            </w:r>
          </w:p>
        </w:tc>
        <w:tc>
          <w:tcPr>
            <w:tcW w:w="6480"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rsidR="009E5F29" w:rsidRDefault="00317017">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Сума</w:t>
            </w:r>
          </w:p>
        </w:tc>
      </w:tr>
      <w:tr w:rsidR="009E5F29">
        <w:trPr>
          <w:gridAfter w:val="1"/>
          <w:wAfter w:w="27" w:type="dxa"/>
        </w:trPr>
        <w:tc>
          <w:tcPr>
            <w:tcW w:w="1068" w:type="dxa"/>
          </w:tcPr>
          <w:p w:rsidR="009E5F29" w:rsidRDefault="00317017">
            <w:pPr>
              <w:widowControl w:val="0"/>
              <w:spacing w:before="15" w:after="15" w:line="240" w:lineRule="auto"/>
              <w:ind w:right="-113"/>
              <w:jc w:val="center"/>
              <w:rPr>
                <w:rFonts w:ascii="Times New Roman" w:eastAsia="Times New Roman" w:hAnsi="Times New Roman" w:cs="Times New Roman"/>
                <w:noProof/>
                <w:sz w:val="20"/>
                <w:szCs w:val="20"/>
              </w:rPr>
            </w:pPr>
            <w:r>
              <w:rPr>
                <w:rFonts w:ascii="Times New Roman" w:hAnsi="Times New Roman"/>
                <w:noProof/>
                <w:sz w:val="20"/>
                <w:szCs w:val="20"/>
              </w:rPr>
              <w:t>7 1 0</w:t>
            </w:r>
          </w:p>
        </w:tc>
        <w:tc>
          <w:tcPr>
            <w:tcW w:w="6480"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Глоби, периодични наказателни плащания и други санкции във връзка с прилагането на правилата за конкуренцията</w:t>
            </w:r>
          </w:p>
        </w:tc>
        <w:tc>
          <w:tcPr>
            <w:tcW w:w="1701" w:type="dxa"/>
          </w:tcPr>
          <w:p w:rsidR="009E5F29" w:rsidRDefault="00317017">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71 000 000</w:t>
            </w:r>
          </w:p>
        </w:tc>
      </w:tr>
      <w:tr w:rsidR="009E5F29">
        <w:trPr>
          <w:gridAfter w:val="1"/>
          <w:wAfter w:w="27" w:type="dxa"/>
        </w:trPr>
        <w:tc>
          <w:tcPr>
            <w:tcW w:w="1068" w:type="dxa"/>
          </w:tcPr>
          <w:p w:rsidR="009E5F29" w:rsidRDefault="00317017">
            <w:pPr>
              <w:widowControl w:val="0"/>
              <w:spacing w:before="15" w:after="15" w:line="240" w:lineRule="auto"/>
              <w:ind w:right="-113"/>
              <w:jc w:val="center"/>
              <w:rPr>
                <w:rFonts w:ascii="Times New Roman" w:eastAsia="Times New Roman" w:hAnsi="Times New Roman" w:cs="Times New Roman"/>
                <w:noProof/>
                <w:sz w:val="20"/>
                <w:szCs w:val="20"/>
              </w:rPr>
            </w:pPr>
            <w:r>
              <w:rPr>
                <w:rFonts w:ascii="Times New Roman" w:hAnsi="Times New Roman"/>
                <w:noProof/>
                <w:sz w:val="20"/>
                <w:szCs w:val="20"/>
              </w:rPr>
              <w:t>7 1 1</w:t>
            </w:r>
          </w:p>
        </w:tc>
        <w:tc>
          <w:tcPr>
            <w:tcW w:w="6480" w:type="dxa"/>
          </w:tcPr>
          <w:p w:rsidR="009E5F29" w:rsidRDefault="00317017">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Наказателни плащания и еднократно платими суми, наложени на държава членка поради неспазване на решение на Съда на Европейския съюз относно неизпълнение на задължение по Договора</w:t>
            </w:r>
          </w:p>
        </w:tc>
        <w:tc>
          <w:tcPr>
            <w:tcW w:w="1701" w:type="dxa"/>
          </w:tcPr>
          <w:p w:rsidR="009E5F29" w:rsidRDefault="00317017">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57 000 000</w:t>
            </w:r>
          </w:p>
        </w:tc>
      </w:tr>
      <w:tr w:rsidR="009E5F29">
        <w:trPr>
          <w:gridAfter w:val="1"/>
          <w:wAfter w:w="27" w:type="dxa"/>
        </w:trPr>
        <w:tc>
          <w:tcPr>
            <w:tcW w:w="7548" w:type="dxa"/>
            <w:gridSpan w:val="2"/>
            <w:shd w:val="clear" w:color="auto" w:fill="D9D9D9"/>
          </w:tcPr>
          <w:p w:rsidR="009E5F29" w:rsidRDefault="00317017">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rsidR="009E5F29" w:rsidRDefault="00317017">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128 000 000</w:t>
            </w:r>
          </w:p>
        </w:tc>
      </w:tr>
    </w:tbl>
    <w:p w:rsidR="009E5F29" w:rsidRDefault="00317017">
      <w:pPr>
        <w:pStyle w:val="Text1"/>
        <w:ind w:left="0"/>
        <w:rPr>
          <w:b/>
          <w:smallCaps/>
          <w:noProof/>
        </w:rPr>
      </w:pPr>
      <w:r>
        <w:rPr>
          <w:noProof/>
        </w:rPr>
        <w:br w:type="page"/>
      </w:r>
      <w:bookmarkStart w:id="57" w:name="_GoBack"/>
      <w:bookmarkEnd w:id="57"/>
    </w:p>
    <w:p w:rsidR="009E5F29" w:rsidRDefault="00317017">
      <w:pPr>
        <w:pStyle w:val="ManualHeading1"/>
        <w:numPr>
          <w:ilvl w:val="0"/>
          <w:numId w:val="2"/>
        </w:numPr>
        <w:rPr>
          <w:noProof/>
        </w:rPr>
      </w:pPr>
      <w:bookmarkStart w:id="58" w:name="_Toc41571886"/>
      <w:bookmarkStart w:id="59" w:name="_Toc52346067"/>
      <w:bookmarkStart w:id="60" w:name="_Toc53499132"/>
      <w:r>
        <w:rPr>
          <w:noProof/>
        </w:rPr>
        <w:t>Обобщаваща таблица по функции от МФР</w:t>
      </w:r>
      <w:bookmarkEnd w:id="11"/>
      <w:bookmarkEnd w:id="24"/>
      <w:bookmarkEnd w:id="58"/>
      <w:bookmarkEnd w:id="59"/>
      <w:bookmarkEnd w:id="60"/>
    </w:p>
    <w:tbl>
      <w:tblPr>
        <w:tblW w:w="10425" w:type="dxa"/>
        <w:jc w:val="center"/>
        <w:tblLook w:val="04A0" w:firstRow="1" w:lastRow="0" w:firstColumn="1" w:lastColumn="0" w:noHBand="0" w:noVBand="1"/>
      </w:tblPr>
      <w:tblGrid>
        <w:gridCol w:w="358"/>
        <w:gridCol w:w="2560"/>
        <w:gridCol w:w="1251"/>
        <w:gridCol w:w="1330"/>
        <w:gridCol w:w="1131"/>
        <w:gridCol w:w="1288"/>
        <w:gridCol w:w="1247"/>
        <w:gridCol w:w="1214"/>
        <w:gridCol w:w="46"/>
      </w:tblGrid>
      <w:tr w:rsidR="009E5F29">
        <w:trPr>
          <w:trHeight w:val="188"/>
          <w:jc w:val="center"/>
        </w:trPr>
        <w:tc>
          <w:tcPr>
            <w:tcW w:w="10425" w:type="dxa"/>
            <w:gridSpan w:val="9"/>
            <w:tcBorders>
              <w:top w:val="nil"/>
              <w:left w:val="nil"/>
              <w:bottom w:val="single" w:sz="4" w:space="0" w:color="auto"/>
              <w:right w:val="nil"/>
            </w:tcBorders>
            <w:shd w:val="clear" w:color="auto" w:fill="auto"/>
            <w:noWrap/>
            <w:vAlign w:val="bottom"/>
            <w:hideMark/>
          </w:tcPr>
          <w:bookmarkEnd w:id="3"/>
          <w:bookmarkEnd w:id="4"/>
          <w:bookmarkEnd w:id="5"/>
          <w:bookmarkEnd w:id="6"/>
          <w:bookmarkEnd w:id="7"/>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EUR</w:t>
            </w:r>
          </w:p>
        </w:tc>
      </w:tr>
      <w:tr w:rsidR="009E5F29">
        <w:trPr>
          <w:gridAfter w:val="1"/>
          <w:wAfter w:w="46" w:type="dxa"/>
          <w:trHeight w:val="209"/>
          <w:jc w:val="center"/>
        </w:trPr>
        <w:tc>
          <w:tcPr>
            <w:tcW w:w="2916"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Бюджетен ред</w:t>
            </w:r>
          </w:p>
        </w:tc>
        <w:tc>
          <w:tcPr>
            <w:tcW w:w="2581" w:type="dxa"/>
            <w:gridSpan w:val="2"/>
            <w:tcBorders>
              <w:top w:val="single" w:sz="4" w:space="0" w:color="auto"/>
              <w:left w:val="nil"/>
              <w:bottom w:val="nil"/>
              <w:right w:val="single" w:sz="4" w:space="0" w:color="000000"/>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 2020 г.</w:t>
            </w:r>
          </w:p>
        </w:tc>
        <w:tc>
          <w:tcPr>
            <w:tcW w:w="241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Проект на коригиращ бюджет 10/2020</w:t>
            </w:r>
          </w:p>
        </w:tc>
        <w:tc>
          <w:tcPr>
            <w:tcW w:w="2463" w:type="dxa"/>
            <w:gridSpan w:val="2"/>
            <w:tcBorders>
              <w:top w:val="single" w:sz="4" w:space="0" w:color="auto"/>
              <w:left w:val="nil"/>
              <w:bottom w:val="nil"/>
              <w:right w:val="single" w:sz="4" w:space="0" w:color="000000"/>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 2020 г.</w:t>
            </w:r>
          </w:p>
        </w:tc>
      </w:tr>
      <w:tr w:rsidR="009E5F29">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rsidR="009E5F29" w:rsidRDefault="009E5F29">
            <w:pPr>
              <w:spacing w:after="0" w:line="240" w:lineRule="auto"/>
              <w:rPr>
                <w:rFonts w:ascii="Times New Roman" w:eastAsia="Times New Roman" w:hAnsi="Times New Roman" w:cs="Times New Roman"/>
                <w:b/>
                <w:bCs/>
                <w:noProof/>
                <w:color w:val="000000"/>
                <w:sz w:val="14"/>
                <w:szCs w:val="14"/>
                <w:lang w:val="en-US"/>
              </w:rPr>
            </w:pPr>
          </w:p>
        </w:tc>
        <w:tc>
          <w:tcPr>
            <w:tcW w:w="2581" w:type="dxa"/>
            <w:gridSpan w:val="2"/>
            <w:tcBorders>
              <w:top w:val="nil"/>
              <w:left w:val="nil"/>
              <w:bottom w:val="single" w:sz="4" w:space="0" w:color="auto"/>
              <w:right w:val="single" w:sz="4" w:space="0" w:color="000000"/>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(вкл. КБ № 1—7 и ПКБ № 9/2020)</w:t>
            </w:r>
          </w:p>
        </w:tc>
        <w:tc>
          <w:tcPr>
            <w:tcW w:w="2419" w:type="dxa"/>
            <w:gridSpan w:val="2"/>
            <w:vMerge/>
            <w:tcBorders>
              <w:top w:val="single" w:sz="4" w:space="0" w:color="auto"/>
              <w:left w:val="single" w:sz="4" w:space="0" w:color="auto"/>
              <w:bottom w:val="single" w:sz="4" w:space="0" w:color="000000"/>
              <w:right w:val="single" w:sz="4" w:space="0" w:color="000000"/>
            </w:tcBorders>
            <w:vAlign w:val="center"/>
            <w:hideMark/>
          </w:tcPr>
          <w:p w:rsidR="009E5F29" w:rsidRDefault="009E5F29">
            <w:pPr>
              <w:spacing w:after="0" w:line="240" w:lineRule="auto"/>
              <w:rPr>
                <w:rFonts w:ascii="Times New Roman" w:eastAsia="Times New Roman" w:hAnsi="Times New Roman" w:cs="Times New Roman"/>
                <w:b/>
                <w:bCs/>
                <w:noProof/>
                <w:color w:val="000000"/>
                <w:sz w:val="14"/>
                <w:szCs w:val="14"/>
                <w:lang w:val="en-US"/>
              </w:rPr>
            </w:pPr>
          </w:p>
        </w:tc>
        <w:tc>
          <w:tcPr>
            <w:tcW w:w="2463" w:type="dxa"/>
            <w:gridSpan w:val="2"/>
            <w:tcBorders>
              <w:top w:val="nil"/>
              <w:left w:val="nil"/>
              <w:bottom w:val="single" w:sz="4" w:space="0" w:color="auto"/>
              <w:right w:val="single" w:sz="4" w:space="0" w:color="000000"/>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(вкл. КБ 1—7 и ПКБ 9—10/2020)</w:t>
            </w:r>
          </w:p>
        </w:tc>
      </w:tr>
      <w:tr w:rsidR="009E5F29">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rsidR="009E5F29" w:rsidRDefault="009E5F29">
            <w:pPr>
              <w:spacing w:after="0" w:line="240" w:lineRule="auto"/>
              <w:rPr>
                <w:rFonts w:ascii="Times New Roman" w:eastAsia="Times New Roman" w:hAnsi="Times New Roman" w:cs="Times New Roman"/>
                <w:b/>
                <w:bCs/>
                <w:noProof/>
                <w:color w:val="000000"/>
                <w:sz w:val="14"/>
                <w:szCs w:val="14"/>
                <w:lang w:val="en-US"/>
              </w:rPr>
            </w:pPr>
          </w:p>
        </w:tc>
        <w:tc>
          <w:tcPr>
            <w:tcW w:w="1251" w:type="dxa"/>
            <w:tcBorders>
              <w:top w:val="nil"/>
              <w:left w:val="nil"/>
              <w:bottom w:val="nil"/>
              <w:right w:val="single" w:sz="4" w:space="0" w:color="auto"/>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330"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c>
          <w:tcPr>
            <w:tcW w:w="1131"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288"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c>
          <w:tcPr>
            <w:tcW w:w="1247"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216"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r>
      <w:tr w:rsidR="009E5F29">
        <w:trPr>
          <w:gridAfter w:val="1"/>
          <w:wAfter w:w="46" w:type="dxa"/>
          <w:trHeight w:val="227"/>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Интелигентен и приобщаващ растеж</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77 453 828 442</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- 12 219 937</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184 685 788</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83 918 377 900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77 638 514 230</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Таван </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1a</w:t>
            </w:r>
          </w:p>
        </w:tc>
        <w:tc>
          <w:tcPr>
            <w:tcW w:w="256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Конкурентоспособност за растеж и работни места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- 12 219 937</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84 685 788</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25 272 554 045</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22 392 757 380</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в общия марж за поетите задължения</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- 12 219 937</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81 554 045</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1б </w:t>
            </w:r>
          </w:p>
        </w:tc>
        <w:tc>
          <w:tcPr>
            <w:tcW w:w="256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Икономическо, социално и териториално сближаване</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55 145 756 850</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100 000 000</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55 245 756 850</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в общия марж за поетите задължения</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375"/>
          <w:jc w:val="center"/>
        </w:trPr>
        <w:tc>
          <w:tcPr>
            <w:tcW w:w="356" w:type="dxa"/>
            <w:tcBorders>
              <w:top w:val="nil"/>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2.</w:t>
            </w:r>
          </w:p>
        </w:tc>
        <w:tc>
          <w:tcPr>
            <w:tcW w:w="256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Устойчив растеж: природни ресурси</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798 655 078</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59 955 676 129</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58 703 147 517</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346"/>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от които: Европейски фонд за гарантиране на земеделието (ЕФГЗ) — Разходи, свързани с пазара, и преки плащания</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48 655 078</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43 458 760 765</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43 428 686 876</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Подтаван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Разлика от закръгляне, изключена от изчислението на маржа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 за ЕФГЗ</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w:t>
            </w:r>
          </w:p>
        </w:tc>
        <w:tc>
          <w:tcPr>
            <w:tcW w:w="256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Сигурност и гражданство</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6 368 527 141</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6 368 527 141</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Инструмента за гъвкавост</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в общия марж за поетите задължения</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маржа за непредвидени обстоятелства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w:t>
            </w:r>
          </w:p>
        </w:tc>
        <w:tc>
          <w:tcPr>
            <w:tcW w:w="256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Глобална Европа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9 112 061 191</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586 000 000</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9 698 061 191</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маржа за непредвидени обстоятелства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000000" w:fill="FFFFFF"/>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single" w:sz="4" w:space="0" w:color="auto"/>
              <w:right w:val="single" w:sz="4" w:space="0" w:color="auto"/>
            </w:tcBorders>
            <w:shd w:val="clear" w:color="000000" w:fill="FFFFFF"/>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000000" w:fill="FFFFFF"/>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w:t>
            </w:r>
          </w:p>
        </w:tc>
        <w:tc>
          <w:tcPr>
            <w:tcW w:w="256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Администрация</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360"/>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от които: административни разходи на институциите</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330"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c>
          <w:tcPr>
            <w:tcW w:w="1131"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88"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47"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216" w:type="dxa"/>
            <w:tcBorders>
              <w:top w:val="single" w:sz="4" w:space="0" w:color="auto"/>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Подтаван</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5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0"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16" w:type="dxa"/>
            <w:tcBorders>
              <w:top w:val="nil"/>
              <w:left w:val="nil"/>
              <w:bottom w:val="dotted"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rsidR="009E5F29">
        <w:trPr>
          <w:gridAfter w:val="1"/>
          <w:wAfter w:w="46" w:type="dxa"/>
          <w:trHeight w:val="227"/>
          <w:jc w:val="center"/>
        </w:trPr>
        <w:tc>
          <w:tcPr>
            <w:tcW w:w="2916"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Общо</w:t>
            </w:r>
          </w:p>
        </w:tc>
        <w:tc>
          <w:tcPr>
            <w:tcW w:w="1251" w:type="dxa"/>
            <w:tcBorders>
              <w:top w:val="single" w:sz="4" w:space="0" w:color="auto"/>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172 252 759 110</w:t>
            </w:r>
          </w:p>
        </w:tc>
        <w:tc>
          <w:tcPr>
            <w:tcW w:w="1330" w:type="dxa"/>
            <w:tcBorders>
              <w:top w:val="single" w:sz="4" w:space="0" w:color="auto"/>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161 113 105 917</w:t>
            </w:r>
          </w:p>
        </w:tc>
        <w:tc>
          <w:tcPr>
            <w:tcW w:w="1131" w:type="dxa"/>
            <w:tcBorders>
              <w:top w:val="single" w:sz="4" w:space="0" w:color="auto"/>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36 435 141</w:t>
            </w:r>
          </w:p>
        </w:tc>
        <w:tc>
          <w:tcPr>
            <w:tcW w:w="1288" w:type="dxa"/>
            <w:tcBorders>
              <w:top w:val="single" w:sz="4" w:space="0" w:color="auto"/>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1 569 340 866</w:t>
            </w:r>
          </w:p>
        </w:tc>
        <w:tc>
          <w:tcPr>
            <w:tcW w:w="1247" w:type="dxa"/>
            <w:tcBorders>
              <w:top w:val="single" w:sz="4" w:space="0" w:color="auto"/>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172 289 194 251</w:t>
            </w:r>
          </w:p>
        </w:tc>
        <w:tc>
          <w:tcPr>
            <w:tcW w:w="1216" w:type="dxa"/>
            <w:tcBorders>
              <w:top w:val="single" w:sz="4" w:space="0" w:color="auto"/>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162 682 446 783</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Инструмента за гъвкавост</w:t>
            </w:r>
          </w:p>
        </w:tc>
        <w:tc>
          <w:tcPr>
            <w:tcW w:w="125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330"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c>
          <w:tcPr>
            <w:tcW w:w="113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216"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в общия марж за поетите задължения</w:t>
            </w:r>
          </w:p>
        </w:tc>
        <w:tc>
          <w:tcPr>
            <w:tcW w:w="125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330"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- 12 219 937</w:t>
            </w:r>
          </w:p>
        </w:tc>
        <w:tc>
          <w:tcPr>
            <w:tcW w:w="1288"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2 649 780 063</w:t>
            </w:r>
          </w:p>
        </w:tc>
        <w:tc>
          <w:tcPr>
            <w:tcW w:w="1216"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маржа за непредвидени обстоятелства</w:t>
            </w:r>
          </w:p>
        </w:tc>
        <w:tc>
          <w:tcPr>
            <w:tcW w:w="125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330"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216"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Таван</w:t>
            </w:r>
          </w:p>
        </w:tc>
        <w:tc>
          <w:tcPr>
            <w:tcW w:w="125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330"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c>
          <w:tcPr>
            <w:tcW w:w="113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216"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r>
      <w:tr w:rsidR="009E5F29">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приспадане от маржа за непредвидени обстоятелства</w:t>
            </w:r>
          </w:p>
        </w:tc>
        <w:tc>
          <w:tcPr>
            <w:tcW w:w="125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330"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31"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216" w:type="dxa"/>
            <w:tcBorders>
              <w:top w:val="nil"/>
              <w:left w:val="nil"/>
              <w:bottom w:val="dotted"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rsidR="009E5F29">
        <w:trPr>
          <w:gridAfter w:val="1"/>
          <w:wAfter w:w="46" w:type="dxa"/>
          <w:trHeight w:val="227"/>
          <w:jc w:val="center"/>
        </w:trPr>
        <w:tc>
          <w:tcPr>
            <w:tcW w:w="2916" w:type="dxa"/>
            <w:gridSpan w:val="2"/>
            <w:tcBorders>
              <w:top w:val="dotted" w:sz="4" w:space="0" w:color="auto"/>
              <w:left w:val="single" w:sz="4" w:space="0" w:color="auto"/>
              <w:bottom w:val="nil"/>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Марж</w:t>
            </w:r>
          </w:p>
        </w:tc>
        <w:tc>
          <w:tcPr>
            <w:tcW w:w="1251"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330"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12 323 923 527</w:t>
            </w:r>
          </w:p>
        </w:tc>
        <w:tc>
          <w:tcPr>
            <w:tcW w:w="1131"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88"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7"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16"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10 754 582 661</w:t>
            </w:r>
          </w:p>
        </w:tc>
      </w:tr>
      <w:tr w:rsidR="009E5F29">
        <w:trPr>
          <w:gridAfter w:val="1"/>
          <w:wAfter w:w="46" w:type="dxa"/>
          <w:trHeight w:val="227"/>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9E5F29" w:rsidRDefault="00317017">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Други специални инструменти</w:t>
            </w:r>
          </w:p>
        </w:tc>
        <w:tc>
          <w:tcPr>
            <w:tcW w:w="125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1 594 857 964</w:t>
            </w:r>
          </w:p>
        </w:tc>
        <w:tc>
          <w:tcPr>
            <w:tcW w:w="1330"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1 425 594 964</w:t>
            </w:r>
          </w:p>
        </w:tc>
        <w:tc>
          <w:tcPr>
            <w:tcW w:w="1131"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88"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7"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1 594 857 964</w:t>
            </w:r>
          </w:p>
        </w:tc>
        <w:tc>
          <w:tcPr>
            <w:tcW w:w="1216" w:type="dxa"/>
            <w:tcBorders>
              <w:top w:val="nil"/>
              <w:left w:val="nil"/>
              <w:bottom w:val="single" w:sz="4" w:space="0" w:color="auto"/>
              <w:right w:val="single" w:sz="4" w:space="0" w:color="auto"/>
            </w:tcBorders>
            <w:shd w:val="clear" w:color="auto" w:fill="auto"/>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1 425 594 964</w:t>
            </w:r>
          </w:p>
        </w:tc>
      </w:tr>
      <w:tr w:rsidR="009E5F29">
        <w:trPr>
          <w:gridAfter w:val="1"/>
          <w:wAfter w:w="46" w:type="dxa"/>
          <w:trHeight w:val="227"/>
          <w:jc w:val="center"/>
        </w:trPr>
        <w:tc>
          <w:tcPr>
            <w:tcW w:w="2916" w:type="dxa"/>
            <w:gridSpan w:val="2"/>
            <w:tcBorders>
              <w:top w:val="nil"/>
              <w:left w:val="single" w:sz="4" w:space="0" w:color="auto"/>
              <w:bottom w:val="single" w:sz="4" w:space="0" w:color="auto"/>
              <w:right w:val="single" w:sz="4" w:space="0" w:color="000000"/>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Общо всичко</w:t>
            </w:r>
          </w:p>
        </w:tc>
        <w:tc>
          <w:tcPr>
            <w:tcW w:w="1251"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173 847 617 074</w:t>
            </w:r>
          </w:p>
        </w:tc>
        <w:tc>
          <w:tcPr>
            <w:tcW w:w="1330"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162 538 700 881</w:t>
            </w:r>
          </w:p>
        </w:tc>
        <w:tc>
          <w:tcPr>
            <w:tcW w:w="1131"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36 435 141</w:t>
            </w:r>
          </w:p>
        </w:tc>
        <w:tc>
          <w:tcPr>
            <w:tcW w:w="1288"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1 569 340 866</w:t>
            </w:r>
          </w:p>
        </w:tc>
        <w:tc>
          <w:tcPr>
            <w:tcW w:w="1247"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173 884 052 215</w:t>
            </w:r>
          </w:p>
        </w:tc>
        <w:tc>
          <w:tcPr>
            <w:tcW w:w="1216" w:type="dxa"/>
            <w:tcBorders>
              <w:top w:val="nil"/>
              <w:left w:val="nil"/>
              <w:bottom w:val="single" w:sz="4" w:space="0" w:color="auto"/>
              <w:right w:val="single" w:sz="4" w:space="0" w:color="auto"/>
            </w:tcBorders>
            <w:shd w:val="clear" w:color="000000" w:fill="D9D9D9"/>
            <w:vAlign w:val="center"/>
            <w:hideMark/>
          </w:tcPr>
          <w:p w:rsidR="009E5F29" w:rsidRDefault="00317017">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164 108 041 747</w:t>
            </w:r>
          </w:p>
        </w:tc>
      </w:tr>
    </w:tbl>
    <w:p w:rsidR="009E5F29" w:rsidRPr="00317017" w:rsidRDefault="009E5F29">
      <w:pPr>
        <w:spacing w:after="200" w:line="240" w:lineRule="auto"/>
        <w:jc w:val="both"/>
        <w:rPr>
          <w:rFonts w:ascii="Times New Roman" w:eastAsia="Times New Roman" w:hAnsi="Times New Roman" w:cs="Times New Roman"/>
          <w:noProof/>
          <w:sz w:val="24"/>
          <w:szCs w:val="24"/>
          <w:lang w:eastAsia="en-GB"/>
        </w:rPr>
      </w:pPr>
    </w:p>
    <w:sectPr w:rsidR="009E5F29" w:rsidRPr="00317017">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17" w:rsidRDefault="00317017">
      <w:pPr>
        <w:spacing w:after="0" w:line="240" w:lineRule="auto"/>
      </w:pPr>
      <w:r>
        <w:separator/>
      </w:r>
    </w:p>
  </w:endnote>
  <w:endnote w:type="continuationSeparator" w:id="0">
    <w:p w:rsidR="00317017" w:rsidRDefault="00317017">
      <w:pPr>
        <w:spacing w:after="0" w:line="240" w:lineRule="auto"/>
      </w:pPr>
      <w:r>
        <w:continuationSeparator/>
      </w:r>
    </w:p>
  </w:endnote>
  <w:endnote w:type="continuationNotice" w:id="1">
    <w:p w:rsidR="00317017" w:rsidRDefault="00317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Pr="00317017" w:rsidRDefault="00317017" w:rsidP="003170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2425967"/>
      <w:docPartObj>
        <w:docPartGallery w:val="Page Numbers (Bottom of Page)"/>
        <w:docPartUnique/>
      </w:docPartObj>
    </w:sdtPr>
    <w:sdtEndPr>
      <w:rPr>
        <w:noProof/>
      </w:rPr>
    </w:sdtEndPr>
    <w:sdtContent>
      <w:p w:rsidR="00317017" w:rsidRDefault="0031701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976F73">
          <w:rPr>
            <w:rFonts w:ascii="Times New Roman" w:hAnsi="Times New Roman" w:cs="Times New Roman"/>
            <w:noProof/>
          </w:rPr>
          <w:t>12</w:t>
        </w:r>
        <w:r>
          <w:rPr>
            <w:rFonts w:ascii="Times New Roman" w:hAnsi="Times New Roman" w:cs="Times New Roman"/>
          </w:rPr>
          <w:fldChar w:fldCharType="end"/>
        </w:r>
      </w:p>
    </w:sdtContent>
  </w:sdt>
  <w:p w:rsidR="00317017" w:rsidRDefault="0031701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Pr="00317017" w:rsidRDefault="00317017" w:rsidP="00317017">
    <w:pPr>
      <w:pStyle w:val="FooterCoverPage"/>
      <w:rPr>
        <w:rFonts w:ascii="Arial" w:hAnsi="Arial" w:cs="Arial"/>
        <w:b/>
        <w:sz w:val="48"/>
      </w:rPr>
    </w:pPr>
    <w:r w:rsidRPr="00317017">
      <w:rPr>
        <w:rFonts w:ascii="Arial" w:hAnsi="Arial" w:cs="Arial"/>
        <w:b/>
        <w:sz w:val="48"/>
      </w:rPr>
      <w:t>BG</w:t>
    </w:r>
    <w:r w:rsidRPr="00317017">
      <w:rPr>
        <w:rFonts w:ascii="Arial" w:hAnsi="Arial" w:cs="Arial"/>
        <w:b/>
        <w:sz w:val="48"/>
      </w:rPr>
      <w:tab/>
    </w:r>
    <w:r w:rsidRPr="00317017">
      <w:rPr>
        <w:rFonts w:ascii="Arial" w:hAnsi="Arial" w:cs="Arial"/>
        <w:b/>
        <w:sz w:val="48"/>
      </w:rPr>
      <w:tab/>
    </w:r>
    <w:r w:rsidRPr="00317017">
      <w:tab/>
    </w:r>
    <w:r w:rsidRPr="00317017">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Pr="00317017" w:rsidRDefault="00317017" w:rsidP="003170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ind w:left="-851" w:right="-851"/>
      <w:rPr>
        <w:rFonts w:ascii="Arial" w:hAnsi="Arial" w:cs="Arial"/>
        <w:b/>
        <w:sz w:val="48"/>
      </w:rPr>
    </w:pPr>
    <w:r>
      <w:tab/>
    </w:r>
    <w:r>
      <w:fldChar w:fldCharType="begin"/>
    </w:r>
    <w:r>
      <w:instrText xml:space="preserve"> PAGE  \* MERGEFORMAT </w:instrText>
    </w:r>
    <w:r>
      <w:fldChar w:fldCharType="separate"/>
    </w:r>
    <w:r w:rsidR="00976F73">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ind w:left="-851" w:right="-851"/>
      <w:rPr>
        <w:rFonts w:ascii="Arial" w:hAnsi="Arial" w:cs="Arial"/>
        <w:b/>
        <w:sz w:val="48"/>
      </w:rPr>
    </w:pPr>
    <w:r>
      <w:tab/>
    </w:r>
    <w:r>
      <w:fldChar w:fldCharType="begin"/>
    </w:r>
    <w:r>
      <w:instrText xml:space="preserve"> PAGE  \* MERGEFORMAT </w:instrText>
    </w:r>
    <w:r>
      <w:fldChar w:fldCharType="separate"/>
    </w:r>
    <w:r w:rsidR="00976F73">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17" w:rsidRDefault="00317017">
      <w:pPr>
        <w:spacing w:after="0" w:line="240" w:lineRule="auto"/>
      </w:pPr>
      <w:r>
        <w:separator/>
      </w:r>
    </w:p>
  </w:footnote>
  <w:footnote w:type="continuationSeparator" w:id="0">
    <w:p w:rsidR="00317017" w:rsidRDefault="00317017">
      <w:pPr>
        <w:spacing w:after="0" w:line="240" w:lineRule="auto"/>
      </w:pPr>
      <w:r>
        <w:continuationSeparator/>
      </w:r>
    </w:p>
  </w:footnote>
  <w:footnote w:type="continuationNotice" w:id="1">
    <w:p w:rsidR="00317017" w:rsidRDefault="00317017">
      <w:pPr>
        <w:spacing w:after="0" w:line="240" w:lineRule="auto"/>
      </w:pPr>
    </w:p>
  </w:footnote>
  <w:footnote w:id="2">
    <w:p w:rsidR="00317017" w:rsidRDefault="00317017">
      <w:pPr>
        <w:pStyle w:val="FootnoteText"/>
      </w:pPr>
      <w:r>
        <w:rPr>
          <w:rStyle w:val="FootnoteReference"/>
        </w:rPr>
        <w:footnoteRef/>
      </w:r>
      <w:r>
        <w:t xml:space="preserve"> </w:t>
      </w:r>
      <w:r>
        <w:tab/>
      </w:r>
      <w:r>
        <w:rPr>
          <w:sz w:val="18"/>
          <w:szCs w:val="18"/>
        </w:rPr>
        <w:t>ОВ L 193, 30.7.2018 г.</w:t>
      </w:r>
    </w:p>
  </w:footnote>
  <w:footnote w:id="3">
    <w:p w:rsidR="00317017" w:rsidRDefault="00317017">
      <w:pPr>
        <w:pStyle w:val="FootnoteText"/>
      </w:pPr>
      <w:r>
        <w:rPr>
          <w:rStyle w:val="FootnoteReference"/>
        </w:rPr>
        <w:footnoteRef/>
      </w:r>
      <w:r>
        <w:t xml:space="preserve"> </w:t>
      </w:r>
      <w:r>
        <w:tab/>
      </w:r>
      <w:r>
        <w:rPr>
          <w:sz w:val="18"/>
          <w:szCs w:val="18"/>
        </w:rPr>
        <w:t>ОВ L 57, 27.2.2020 г.</w:t>
      </w:r>
    </w:p>
  </w:footnote>
  <w:footnote w:id="4">
    <w:p w:rsidR="00317017" w:rsidRDefault="00317017">
      <w:pPr>
        <w:pStyle w:val="FootnoteText"/>
      </w:pPr>
      <w:r>
        <w:rPr>
          <w:rStyle w:val="FootnoteReference"/>
        </w:rPr>
        <w:footnoteRef/>
      </w:r>
      <w:r>
        <w:t xml:space="preserve"> </w:t>
      </w:r>
      <w:r>
        <w:tab/>
        <w:t>ОВ L 126, 21.4.2020 г.</w:t>
      </w:r>
    </w:p>
  </w:footnote>
  <w:footnote w:id="5">
    <w:p w:rsidR="00317017" w:rsidRDefault="00317017">
      <w:pPr>
        <w:pStyle w:val="FootnoteText"/>
      </w:pPr>
      <w:r>
        <w:rPr>
          <w:rStyle w:val="FootnoteReference"/>
        </w:rPr>
        <w:footnoteRef/>
      </w:r>
      <w:r>
        <w:t xml:space="preserve"> </w:t>
      </w:r>
      <w:r>
        <w:tab/>
        <w:t>ОВ L 126, 21.4.2020 г.</w:t>
      </w:r>
    </w:p>
  </w:footnote>
  <w:footnote w:id="6">
    <w:p w:rsidR="00317017" w:rsidRDefault="00317017">
      <w:pPr>
        <w:pStyle w:val="FootnoteText"/>
      </w:pPr>
      <w:r>
        <w:rPr>
          <w:rStyle w:val="FootnoteReference"/>
        </w:rPr>
        <w:footnoteRef/>
      </w:r>
      <w:r>
        <w:t xml:space="preserve"> </w:t>
      </w:r>
      <w:r>
        <w:tab/>
        <w:t>ОВ L 254, 4.8.2020 г.</w:t>
      </w:r>
    </w:p>
  </w:footnote>
  <w:footnote w:id="7">
    <w:p w:rsidR="00317017" w:rsidRDefault="00317017">
      <w:pPr>
        <w:pStyle w:val="FootnoteText"/>
      </w:pPr>
      <w:r>
        <w:rPr>
          <w:rStyle w:val="FootnoteReference"/>
        </w:rPr>
        <w:footnoteRef/>
      </w:r>
      <w:r>
        <w:t xml:space="preserve"> </w:t>
      </w:r>
      <w:r>
        <w:tab/>
        <w:t>ОВ L 254, 4.8.2020 г.</w:t>
      </w:r>
    </w:p>
  </w:footnote>
  <w:footnote w:id="8">
    <w:p w:rsidR="00317017" w:rsidRDefault="00317017">
      <w:pPr>
        <w:pStyle w:val="FootnoteText"/>
        <w:rPr>
          <w:sz w:val="18"/>
          <w:szCs w:val="18"/>
        </w:rPr>
      </w:pPr>
      <w:r>
        <w:rPr>
          <w:rStyle w:val="FootnoteReference"/>
        </w:rPr>
        <w:footnoteRef/>
      </w:r>
      <w:r>
        <w:t xml:space="preserve"> </w:t>
      </w:r>
      <w:r>
        <w:tab/>
        <w:t>ОВ L 299, 11.9.2020 г.</w:t>
      </w:r>
    </w:p>
  </w:footnote>
  <w:footnote w:id="9">
    <w:p w:rsidR="00317017" w:rsidRDefault="00317017">
      <w:pPr>
        <w:pStyle w:val="FootnoteText"/>
        <w:rPr>
          <w:sz w:val="18"/>
          <w:szCs w:val="18"/>
        </w:rPr>
      </w:pPr>
      <w:r>
        <w:rPr>
          <w:rStyle w:val="FootnoteReference"/>
        </w:rPr>
        <w:footnoteRef/>
      </w:r>
      <w:r>
        <w:t xml:space="preserve"> </w:t>
      </w:r>
      <w:r>
        <w:tab/>
        <w:t>ОВ L XXX, XX.X.2020 г. (предложен като проект на коригиращ бюджет № 8/2020 на 28.8.2020 г.).</w:t>
      </w:r>
    </w:p>
  </w:footnote>
  <w:footnote w:id="10">
    <w:p w:rsidR="00317017" w:rsidRDefault="00317017">
      <w:pPr>
        <w:pStyle w:val="FootnoteText"/>
      </w:pPr>
      <w:r>
        <w:rPr>
          <w:rStyle w:val="FootnoteReference"/>
        </w:rPr>
        <w:footnoteRef/>
      </w:r>
      <w:r>
        <w:t xml:space="preserve"> </w:t>
      </w:r>
      <w:r>
        <w:tab/>
        <w:t>ОВ L XXX, XX.X.2020 г.</w:t>
      </w:r>
      <w:r>
        <w:rPr>
          <w:sz w:val="18"/>
          <w:szCs w:val="18"/>
        </w:rPr>
        <w:t xml:space="preserve"> </w:t>
      </w:r>
    </w:p>
  </w:footnote>
  <w:footnote w:id="11">
    <w:p w:rsidR="00317017" w:rsidRDefault="00317017">
      <w:pPr>
        <w:pStyle w:val="FootnoteText"/>
      </w:pPr>
      <w:r>
        <w:rPr>
          <w:rStyle w:val="FootnoteReference"/>
        </w:rPr>
        <w:footnoteRef/>
      </w:r>
      <w:r>
        <w:t xml:space="preserve"> </w:t>
      </w:r>
      <w:r>
        <w:tab/>
      </w:r>
      <w:r>
        <w:rPr>
          <w:sz w:val="18"/>
          <w:szCs w:val="18"/>
        </w:rPr>
        <w:t>COM(2020) 961, 9.10.2020 г.</w:t>
      </w:r>
    </w:p>
  </w:footnote>
  <w:footnote w:id="12">
    <w:p w:rsidR="00317017" w:rsidRDefault="00317017">
      <w:pPr>
        <w:pStyle w:val="FootnoteText"/>
      </w:pPr>
      <w:r>
        <w:rPr>
          <w:rStyle w:val="FootnoteReference"/>
        </w:rPr>
        <w:footnoteRef/>
      </w:r>
      <w:r>
        <w:t xml:space="preserve"> </w:t>
      </w:r>
      <w:r>
        <w:tab/>
        <w:t>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13">
    <w:p w:rsidR="00317017" w:rsidRDefault="00317017">
      <w:pPr>
        <w:pStyle w:val="Default"/>
        <w:ind w:left="360" w:hanging="360"/>
        <w:rPr>
          <w:rFonts w:eastAsia="Times New Roman"/>
          <w:color w:val="auto"/>
          <w:sz w:val="18"/>
          <w:szCs w:val="18"/>
        </w:rPr>
      </w:pPr>
      <w:r>
        <w:rPr>
          <w:rStyle w:val="FootnoteReference"/>
        </w:rPr>
        <w:footnoteRef/>
      </w:r>
      <w:r>
        <w:t xml:space="preserve"> </w:t>
      </w:r>
      <w:r>
        <w:tab/>
        <w:t>Съобщение на Комисията до Европейския парламент, Европейския съвет, Съвета, Европейската централна банка, Европейската инвестиционна банка и Еврогрупата „Координирани икономически мерки в отговор на пандемията от COVID-19“ (COM(2020) 112 final, 13.3.2020 г.).</w:t>
      </w:r>
    </w:p>
  </w:footnote>
  <w:footnote w:id="14">
    <w:p w:rsidR="00317017" w:rsidRDefault="00317017">
      <w:pPr>
        <w:pStyle w:val="Default"/>
        <w:ind w:left="360" w:hanging="360"/>
        <w:jc w:val="both"/>
      </w:pPr>
      <w:r>
        <w:rPr>
          <w:rStyle w:val="FootnoteReference"/>
        </w:rPr>
        <w:footnoteRef/>
      </w:r>
      <w:r>
        <w:t xml:space="preserve"> </w:t>
      </w:r>
      <w:r>
        <w:tab/>
        <w:t>Съвместно съобщение до Европейския парламент, Съвета, Европейския икономическия и социален комитет и Комитета на регионите „Съобщение относно действията на ЕС за глобално реагиране на COVID-19“ (JOIN(2020)11, 8.4.2020 г.).</w:t>
      </w:r>
    </w:p>
  </w:footnote>
  <w:footnote w:id="15">
    <w:p w:rsidR="00317017" w:rsidRDefault="00317017">
      <w:pPr>
        <w:pStyle w:val="FootnoteText"/>
        <w:ind w:left="360" w:hanging="360"/>
        <w:rPr>
          <w:sz w:val="18"/>
          <w:szCs w:val="18"/>
        </w:rPr>
      </w:pPr>
      <w:r>
        <w:rPr>
          <w:rStyle w:val="FootnoteReference"/>
        </w:rPr>
        <w:footnoteRef/>
      </w:r>
      <w:r>
        <w:t xml:space="preserve"> </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16">
    <w:p w:rsidR="00317017" w:rsidRDefault="00317017">
      <w:pPr>
        <w:pStyle w:val="FootnoteText"/>
        <w:ind w:left="360" w:hanging="360"/>
        <w:rPr>
          <w:rFonts w:eastAsia="Calibri"/>
          <w:noProof/>
        </w:rPr>
      </w:pPr>
      <w:r>
        <w:rPr>
          <w:rStyle w:val="FootnoteReference"/>
        </w:rPr>
        <w:footnoteRef/>
      </w:r>
      <w:r>
        <w:t xml:space="preserve"> </w:t>
      </w:r>
      <w:r>
        <w:tab/>
        <w:t>Делегиран регламент (ЕС) 2020/1302 на Комисията от 14 юли 2020 г. за допълнение на Регламент (ЕС) № 648/2012 на Европейския парламент и на Съвета по отношение на таксите, начислявани от Европейския орган за ценни книжа и пазари на централни контрагенти, установени в трети държави (ОВ L 305, 21.9.2020 г.).</w:t>
      </w:r>
    </w:p>
  </w:footnote>
  <w:footnote w:id="17">
    <w:p w:rsidR="00317017" w:rsidRDefault="00317017">
      <w:pPr>
        <w:pStyle w:val="FootnoteText"/>
        <w:ind w:left="360" w:hanging="360"/>
      </w:pPr>
      <w:r>
        <w:rPr>
          <w:rStyle w:val="FootnoteReference"/>
        </w:rPr>
        <w:footnoteRef/>
      </w:r>
      <w:r>
        <w:t xml:space="preserve"> </w:t>
      </w:r>
      <w:r>
        <w:tab/>
        <w:t>Вж. член 10а, параграф 1 от Регламент (ЕО) № 609/2014 за предоставяне на традиционните собствени ресурси.</w:t>
      </w:r>
    </w:p>
  </w:footnote>
  <w:footnote w:id="18">
    <w:p w:rsidR="00317017" w:rsidRDefault="00317017">
      <w:pPr>
        <w:pStyle w:val="FootnoteText"/>
        <w:ind w:left="360" w:hanging="360"/>
      </w:pPr>
      <w:r>
        <w:rPr>
          <w:rStyle w:val="FootnoteReference"/>
        </w:rPr>
        <w:footnoteRef/>
      </w:r>
      <w:r>
        <w:t xml:space="preserve"> </w:t>
      </w:r>
      <w:r>
        <w:tab/>
        <w:t>100 млн. евро в първоначално гласувания бюджет, към които бяха добавени 118 млн. евро в коригиращ бюджет № 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Pr="00317017" w:rsidRDefault="00317017" w:rsidP="003170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Pr="00317017" w:rsidRDefault="00317017" w:rsidP="003170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Pr="00317017" w:rsidRDefault="00317017" w:rsidP="003170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17" w:rsidRDefault="0031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0D1"/>
    <w:multiLevelType w:val="multilevel"/>
    <w:tmpl w:val="5E2418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550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C62A7"/>
    <w:multiLevelType w:val="multilevel"/>
    <w:tmpl w:val="E8F46B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26641"/>
    <w:multiLevelType w:val="hybridMultilevel"/>
    <w:tmpl w:val="1D780A96"/>
    <w:lvl w:ilvl="0" w:tplc="5EFA317E">
      <w:start w:val="7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B1963"/>
    <w:multiLevelType w:val="hybridMultilevel"/>
    <w:tmpl w:val="ED403B9A"/>
    <w:lvl w:ilvl="0" w:tplc="08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86A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7" w15:restartNumberingAfterBreak="0">
    <w:nsid w:val="3FF600B1"/>
    <w:multiLevelType w:val="hybridMultilevel"/>
    <w:tmpl w:val="1CE862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D78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525B3F"/>
    <w:multiLevelType w:val="hybridMultilevel"/>
    <w:tmpl w:val="3F529152"/>
    <w:lvl w:ilvl="0" w:tplc="C6FA14AA">
      <w:start w:val="7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F4E13"/>
    <w:multiLevelType w:val="hybridMultilevel"/>
    <w:tmpl w:val="0A7A34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60B7D30"/>
    <w:multiLevelType w:val="multilevel"/>
    <w:tmpl w:val="0405001F"/>
    <w:lvl w:ilvl="0">
      <w:start w:val="1"/>
      <w:numFmt w:val="decimal"/>
      <w:lvlText w:val="%1."/>
      <w:lvlJc w:val="left"/>
      <w:pPr>
        <w:ind w:left="360" w:hanging="360"/>
      </w:pPr>
    </w:lvl>
    <w:lvl w:ilvl="1">
      <w:start w:val="1"/>
      <w:numFmt w:val="decimal"/>
      <w:lvlText w:val="%1.%2."/>
      <w:lvlJc w:val="left"/>
      <w:pPr>
        <w:ind w:left="24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5565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8547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13"/>
  </w:num>
  <w:num w:numId="4">
    <w:abstractNumId w:val="12"/>
  </w:num>
  <w:num w:numId="5">
    <w:abstractNumId w:val="1"/>
  </w:num>
  <w:num w:numId="6">
    <w:abstractNumId w:val="8"/>
  </w:num>
  <w:num w:numId="7">
    <w:abstractNumId w:val="5"/>
  </w:num>
  <w:num w:numId="8">
    <w:abstractNumId w:val="10"/>
  </w:num>
  <w:num w:numId="9">
    <w:abstractNumId w:val="7"/>
  </w:num>
  <w:num w:numId="10">
    <w:abstractNumId w:val="4"/>
  </w:num>
  <w:num w:numId="11">
    <w:abstractNumId w:val="9"/>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FB03D0-6FFE-4DC8-8F30-DB68C0405031"/>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Брюксел, "/>
    <w:docVar w:name="LW_EMISSION_SUFFIX" w:val=" г."/>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0298"/>
    <w:docVar w:name="LW_REF.II.NEW.CP_YEAR" w:val="2020"/>
    <w:docVar w:name="LW_REF.INST.NEW" w:val="COM"/>
    <w:docVar w:name="LW_REF.INST.NEW_ADOPTED" w:val="final"/>
    <w:docVar w:name="LW_REF.INST.NEW_TEXT" w:val="(2020) 9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9?\u1074?\u1077?\u1083?\u1080?\u1095?\u1077?\u1085?\u1080?\u1077? \u1085?\u1072? \u1073?\u1102?\u1076?\u1078?\u1077?\u1090?\u1085?\u1080?\u1090?\u1077? \u1082?\u1088?\u1077?\u1076?\u1080?\u1090?\u1080? \u1079?\u1072? \u1087?\u1083?\u1072?\u1097?\u1072?\u1085?\u1080?\u1103? \u1074? \u1089?\u1098?\u1086?\u1090?\u1074?\u1077?\u1090?\u1089?\u1090?\u1074?\u1080?\u1077? \u1089? \u1072?\u1082?\u1090?\u1091?\u1072?\u1083?\u1080?\u1079?\u1080?\u1088?\u1072?\u1085?\u1080?\u1090?\u1077? \u1087?\u1088?\u1086?\u1075?\u1085?\u1086?\u1079?\u1080? \u1079?\u1072? \u1088?\u1072?\u1079?\u1093?\u1086?\u1076?\u1080?\u1090?\u1077? \u1080? \u1076?\u1088?\u1091?\u1075?\u1080? \u1082?\u1086?\u1088?\u1077?\u1082?\u1094?\u1080?\u1080? \u1085?\u1072? \u1088?\u1072?\u1079?\u1093?\u1086?\u1076?\u1080?\u1090?\u1077? \u1080? \u1087?\u1088?\u1080?\u1093?\u1086?\u1076?\u1080?\u1090?\u1077?&lt;/FMT&gt;"/>
    <w:docVar w:name="LW_TYPE.DOC.CP" w:val="\u1055?\u1056?\u1054?\u1045?\u1050?\u1058? \u1053?\u1040? \u1050?\u1054?\u1056?\u1048?\u1043?\u1048?\u1056?\u1040?\u1065? \u1041?\u1070?\u1044?\u1046?\u1045?\u1058? \u8470? 10_x000b_\u1050?\u1066?\u1052? \u1041?\u1070?\u1044?\u1046?\u1045?\u1058?\u1040? \u1047?\u1040? 2020 \u1075?."/>
  </w:docVars>
  <w:rsids>
    <w:rsidRoot w:val="009E5F29"/>
    <w:rsid w:val="00317017"/>
    <w:rsid w:val="00976F73"/>
    <w:rsid w:val="009E5F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33D6A4D-C8CC-4097-BB35-9FB89A5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TOC6">
    <w:name w:val="toc 6"/>
    <w:basedOn w:val="Normal"/>
    <w:next w:val="Normal"/>
    <w:autoRedefine/>
    <w:uiPriority w:val="39"/>
    <w:semiHidden/>
    <w:unhideWhenUsed/>
    <w:pPr>
      <w:spacing w:after="100"/>
      <w:ind w:left="1100"/>
    </w:pPr>
  </w:style>
  <w:style w:type="paragraph" w:customStyle="1" w:styleId="ListDash">
    <w:name w:val="List Dash"/>
    <w:basedOn w:val="Normal"/>
    <w:link w:val="ListDashChar"/>
    <w:p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pPr>
      <w:tabs>
        <w:tab w:val="left" w:pos="720"/>
        <w:tab w:val="right" w:leader="dot" w:pos="9855"/>
      </w:tabs>
      <w:spacing w:after="100"/>
    </w:p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282">
      <w:bodyDiv w:val="1"/>
      <w:marLeft w:val="0"/>
      <w:marRight w:val="0"/>
      <w:marTop w:val="0"/>
      <w:marBottom w:val="0"/>
      <w:divBdr>
        <w:top w:val="none" w:sz="0" w:space="0" w:color="auto"/>
        <w:left w:val="none" w:sz="0" w:space="0" w:color="auto"/>
        <w:bottom w:val="none" w:sz="0" w:space="0" w:color="auto"/>
        <w:right w:val="none" w:sz="0" w:space="0" w:color="auto"/>
      </w:divBdr>
    </w:div>
    <w:div w:id="140386999">
      <w:bodyDiv w:val="1"/>
      <w:marLeft w:val="0"/>
      <w:marRight w:val="0"/>
      <w:marTop w:val="0"/>
      <w:marBottom w:val="0"/>
      <w:divBdr>
        <w:top w:val="none" w:sz="0" w:space="0" w:color="auto"/>
        <w:left w:val="none" w:sz="0" w:space="0" w:color="auto"/>
        <w:bottom w:val="none" w:sz="0" w:space="0" w:color="auto"/>
        <w:right w:val="none" w:sz="0" w:space="0" w:color="auto"/>
      </w:divBdr>
    </w:div>
    <w:div w:id="385882826">
      <w:bodyDiv w:val="1"/>
      <w:marLeft w:val="0"/>
      <w:marRight w:val="0"/>
      <w:marTop w:val="0"/>
      <w:marBottom w:val="0"/>
      <w:divBdr>
        <w:top w:val="none" w:sz="0" w:space="0" w:color="auto"/>
        <w:left w:val="none" w:sz="0" w:space="0" w:color="auto"/>
        <w:bottom w:val="none" w:sz="0" w:space="0" w:color="auto"/>
        <w:right w:val="none" w:sz="0" w:space="0" w:color="auto"/>
      </w:divBdr>
    </w:div>
    <w:div w:id="524903591">
      <w:bodyDiv w:val="1"/>
      <w:marLeft w:val="0"/>
      <w:marRight w:val="0"/>
      <w:marTop w:val="0"/>
      <w:marBottom w:val="0"/>
      <w:divBdr>
        <w:top w:val="none" w:sz="0" w:space="0" w:color="auto"/>
        <w:left w:val="none" w:sz="0" w:space="0" w:color="auto"/>
        <w:bottom w:val="none" w:sz="0" w:space="0" w:color="auto"/>
        <w:right w:val="none" w:sz="0" w:space="0" w:color="auto"/>
      </w:divBdr>
    </w:div>
    <w:div w:id="553351881">
      <w:bodyDiv w:val="1"/>
      <w:marLeft w:val="0"/>
      <w:marRight w:val="0"/>
      <w:marTop w:val="0"/>
      <w:marBottom w:val="0"/>
      <w:divBdr>
        <w:top w:val="none" w:sz="0" w:space="0" w:color="auto"/>
        <w:left w:val="none" w:sz="0" w:space="0" w:color="auto"/>
        <w:bottom w:val="none" w:sz="0" w:space="0" w:color="auto"/>
        <w:right w:val="none" w:sz="0" w:space="0" w:color="auto"/>
      </w:divBdr>
    </w:div>
    <w:div w:id="621232548">
      <w:bodyDiv w:val="1"/>
      <w:marLeft w:val="0"/>
      <w:marRight w:val="0"/>
      <w:marTop w:val="0"/>
      <w:marBottom w:val="0"/>
      <w:divBdr>
        <w:top w:val="none" w:sz="0" w:space="0" w:color="auto"/>
        <w:left w:val="none" w:sz="0" w:space="0" w:color="auto"/>
        <w:bottom w:val="none" w:sz="0" w:space="0" w:color="auto"/>
        <w:right w:val="none" w:sz="0" w:space="0" w:color="auto"/>
      </w:divBdr>
    </w:div>
    <w:div w:id="761876650">
      <w:bodyDiv w:val="1"/>
      <w:marLeft w:val="0"/>
      <w:marRight w:val="0"/>
      <w:marTop w:val="0"/>
      <w:marBottom w:val="0"/>
      <w:divBdr>
        <w:top w:val="none" w:sz="0" w:space="0" w:color="auto"/>
        <w:left w:val="none" w:sz="0" w:space="0" w:color="auto"/>
        <w:bottom w:val="none" w:sz="0" w:space="0" w:color="auto"/>
        <w:right w:val="none" w:sz="0" w:space="0" w:color="auto"/>
      </w:divBdr>
    </w:div>
    <w:div w:id="802161228">
      <w:bodyDiv w:val="1"/>
      <w:marLeft w:val="0"/>
      <w:marRight w:val="0"/>
      <w:marTop w:val="0"/>
      <w:marBottom w:val="0"/>
      <w:divBdr>
        <w:top w:val="none" w:sz="0" w:space="0" w:color="auto"/>
        <w:left w:val="none" w:sz="0" w:space="0" w:color="auto"/>
        <w:bottom w:val="none" w:sz="0" w:space="0" w:color="auto"/>
        <w:right w:val="none" w:sz="0" w:space="0" w:color="auto"/>
      </w:divBdr>
    </w:div>
    <w:div w:id="989401625">
      <w:bodyDiv w:val="1"/>
      <w:marLeft w:val="0"/>
      <w:marRight w:val="0"/>
      <w:marTop w:val="0"/>
      <w:marBottom w:val="0"/>
      <w:divBdr>
        <w:top w:val="none" w:sz="0" w:space="0" w:color="auto"/>
        <w:left w:val="none" w:sz="0" w:space="0" w:color="auto"/>
        <w:bottom w:val="none" w:sz="0" w:space="0" w:color="auto"/>
        <w:right w:val="none" w:sz="0" w:space="0" w:color="auto"/>
      </w:divBdr>
    </w:div>
    <w:div w:id="1123764486">
      <w:bodyDiv w:val="1"/>
      <w:marLeft w:val="0"/>
      <w:marRight w:val="0"/>
      <w:marTop w:val="0"/>
      <w:marBottom w:val="0"/>
      <w:divBdr>
        <w:top w:val="none" w:sz="0" w:space="0" w:color="auto"/>
        <w:left w:val="none" w:sz="0" w:space="0" w:color="auto"/>
        <w:bottom w:val="none" w:sz="0" w:space="0" w:color="auto"/>
        <w:right w:val="none" w:sz="0" w:space="0" w:color="auto"/>
      </w:divBdr>
    </w:div>
    <w:div w:id="1126117478">
      <w:bodyDiv w:val="1"/>
      <w:marLeft w:val="0"/>
      <w:marRight w:val="0"/>
      <w:marTop w:val="0"/>
      <w:marBottom w:val="0"/>
      <w:divBdr>
        <w:top w:val="none" w:sz="0" w:space="0" w:color="auto"/>
        <w:left w:val="none" w:sz="0" w:space="0" w:color="auto"/>
        <w:bottom w:val="none" w:sz="0" w:space="0" w:color="auto"/>
        <w:right w:val="none" w:sz="0" w:space="0" w:color="auto"/>
      </w:divBdr>
    </w:div>
    <w:div w:id="1193154068">
      <w:bodyDiv w:val="1"/>
      <w:marLeft w:val="0"/>
      <w:marRight w:val="0"/>
      <w:marTop w:val="0"/>
      <w:marBottom w:val="0"/>
      <w:divBdr>
        <w:top w:val="none" w:sz="0" w:space="0" w:color="auto"/>
        <w:left w:val="none" w:sz="0" w:space="0" w:color="auto"/>
        <w:bottom w:val="none" w:sz="0" w:space="0" w:color="auto"/>
        <w:right w:val="none" w:sz="0" w:space="0" w:color="auto"/>
      </w:divBdr>
    </w:div>
    <w:div w:id="1213612550">
      <w:bodyDiv w:val="1"/>
      <w:marLeft w:val="0"/>
      <w:marRight w:val="0"/>
      <w:marTop w:val="0"/>
      <w:marBottom w:val="0"/>
      <w:divBdr>
        <w:top w:val="none" w:sz="0" w:space="0" w:color="auto"/>
        <w:left w:val="none" w:sz="0" w:space="0" w:color="auto"/>
        <w:bottom w:val="none" w:sz="0" w:space="0" w:color="auto"/>
        <w:right w:val="none" w:sz="0" w:space="0" w:color="auto"/>
      </w:divBdr>
    </w:div>
    <w:div w:id="1235160125">
      <w:bodyDiv w:val="1"/>
      <w:marLeft w:val="0"/>
      <w:marRight w:val="0"/>
      <w:marTop w:val="0"/>
      <w:marBottom w:val="0"/>
      <w:divBdr>
        <w:top w:val="none" w:sz="0" w:space="0" w:color="auto"/>
        <w:left w:val="none" w:sz="0" w:space="0" w:color="auto"/>
        <w:bottom w:val="none" w:sz="0" w:space="0" w:color="auto"/>
        <w:right w:val="none" w:sz="0" w:space="0" w:color="auto"/>
      </w:divBdr>
    </w:div>
    <w:div w:id="1250231126">
      <w:bodyDiv w:val="1"/>
      <w:marLeft w:val="0"/>
      <w:marRight w:val="0"/>
      <w:marTop w:val="0"/>
      <w:marBottom w:val="0"/>
      <w:divBdr>
        <w:top w:val="none" w:sz="0" w:space="0" w:color="auto"/>
        <w:left w:val="none" w:sz="0" w:space="0" w:color="auto"/>
        <w:bottom w:val="none" w:sz="0" w:space="0" w:color="auto"/>
        <w:right w:val="none" w:sz="0" w:space="0" w:color="auto"/>
      </w:divBdr>
    </w:div>
    <w:div w:id="1319262239">
      <w:bodyDiv w:val="1"/>
      <w:marLeft w:val="0"/>
      <w:marRight w:val="0"/>
      <w:marTop w:val="0"/>
      <w:marBottom w:val="0"/>
      <w:divBdr>
        <w:top w:val="none" w:sz="0" w:space="0" w:color="auto"/>
        <w:left w:val="none" w:sz="0" w:space="0" w:color="auto"/>
        <w:bottom w:val="none" w:sz="0" w:space="0" w:color="auto"/>
        <w:right w:val="none" w:sz="0" w:space="0" w:color="auto"/>
      </w:divBdr>
      <w:divsChild>
        <w:div w:id="1553880648">
          <w:marLeft w:val="0"/>
          <w:marRight w:val="0"/>
          <w:marTop w:val="0"/>
          <w:marBottom w:val="0"/>
          <w:divBdr>
            <w:top w:val="none" w:sz="0" w:space="0" w:color="auto"/>
            <w:left w:val="none" w:sz="0" w:space="0" w:color="auto"/>
            <w:bottom w:val="none" w:sz="0" w:space="0" w:color="auto"/>
            <w:right w:val="none" w:sz="0" w:space="0" w:color="auto"/>
          </w:divBdr>
          <w:divsChild>
            <w:div w:id="1423838048">
              <w:marLeft w:val="0"/>
              <w:marRight w:val="0"/>
              <w:marTop w:val="0"/>
              <w:marBottom w:val="0"/>
              <w:divBdr>
                <w:top w:val="none" w:sz="0" w:space="0" w:color="auto"/>
                <w:left w:val="none" w:sz="0" w:space="0" w:color="auto"/>
                <w:bottom w:val="none" w:sz="0" w:space="0" w:color="auto"/>
                <w:right w:val="none" w:sz="0" w:space="0" w:color="auto"/>
              </w:divBdr>
              <w:divsChild>
                <w:div w:id="827135290">
                  <w:marLeft w:val="0"/>
                  <w:marRight w:val="0"/>
                  <w:marTop w:val="0"/>
                  <w:marBottom w:val="0"/>
                  <w:divBdr>
                    <w:top w:val="none" w:sz="0" w:space="0" w:color="auto"/>
                    <w:left w:val="none" w:sz="0" w:space="0" w:color="auto"/>
                    <w:bottom w:val="none" w:sz="0" w:space="0" w:color="auto"/>
                    <w:right w:val="none" w:sz="0" w:space="0" w:color="auto"/>
                  </w:divBdr>
                  <w:divsChild>
                    <w:div w:id="1374426018">
                      <w:marLeft w:val="0"/>
                      <w:marRight w:val="0"/>
                      <w:marTop w:val="0"/>
                      <w:marBottom w:val="0"/>
                      <w:divBdr>
                        <w:top w:val="none" w:sz="0" w:space="0" w:color="auto"/>
                        <w:left w:val="none" w:sz="0" w:space="0" w:color="auto"/>
                        <w:bottom w:val="none" w:sz="0" w:space="0" w:color="auto"/>
                        <w:right w:val="none" w:sz="0" w:space="0" w:color="auto"/>
                      </w:divBdr>
                      <w:divsChild>
                        <w:div w:id="2003074903">
                          <w:marLeft w:val="0"/>
                          <w:marRight w:val="0"/>
                          <w:marTop w:val="0"/>
                          <w:marBottom w:val="0"/>
                          <w:divBdr>
                            <w:top w:val="none" w:sz="0" w:space="0" w:color="auto"/>
                            <w:left w:val="none" w:sz="0" w:space="0" w:color="auto"/>
                            <w:bottom w:val="none" w:sz="0" w:space="0" w:color="auto"/>
                            <w:right w:val="none" w:sz="0" w:space="0" w:color="auto"/>
                          </w:divBdr>
                          <w:divsChild>
                            <w:div w:id="1019041060">
                              <w:marLeft w:val="0"/>
                              <w:marRight w:val="0"/>
                              <w:marTop w:val="0"/>
                              <w:marBottom w:val="0"/>
                              <w:divBdr>
                                <w:top w:val="none" w:sz="0" w:space="0" w:color="auto"/>
                                <w:left w:val="none" w:sz="0" w:space="0" w:color="auto"/>
                                <w:bottom w:val="none" w:sz="0" w:space="0" w:color="auto"/>
                                <w:right w:val="none" w:sz="0" w:space="0" w:color="auto"/>
                              </w:divBdr>
                              <w:divsChild>
                                <w:div w:id="246614265">
                                  <w:marLeft w:val="0"/>
                                  <w:marRight w:val="0"/>
                                  <w:marTop w:val="0"/>
                                  <w:marBottom w:val="0"/>
                                  <w:divBdr>
                                    <w:top w:val="none" w:sz="0" w:space="0" w:color="auto"/>
                                    <w:left w:val="none" w:sz="0" w:space="0" w:color="auto"/>
                                    <w:bottom w:val="none" w:sz="0" w:space="0" w:color="auto"/>
                                    <w:right w:val="none" w:sz="0" w:space="0" w:color="auto"/>
                                  </w:divBdr>
                                  <w:divsChild>
                                    <w:div w:id="1640068188">
                                      <w:marLeft w:val="0"/>
                                      <w:marRight w:val="0"/>
                                      <w:marTop w:val="0"/>
                                      <w:marBottom w:val="0"/>
                                      <w:divBdr>
                                        <w:top w:val="none" w:sz="0" w:space="0" w:color="auto"/>
                                        <w:left w:val="none" w:sz="0" w:space="0" w:color="auto"/>
                                        <w:bottom w:val="none" w:sz="0" w:space="0" w:color="auto"/>
                                        <w:right w:val="none" w:sz="0" w:space="0" w:color="auto"/>
                                      </w:divBdr>
                                      <w:divsChild>
                                        <w:div w:id="1529297560">
                                          <w:marLeft w:val="0"/>
                                          <w:marRight w:val="0"/>
                                          <w:marTop w:val="0"/>
                                          <w:marBottom w:val="0"/>
                                          <w:divBdr>
                                            <w:top w:val="none" w:sz="0" w:space="0" w:color="auto"/>
                                            <w:left w:val="none" w:sz="0" w:space="0" w:color="auto"/>
                                            <w:bottom w:val="none" w:sz="0" w:space="0" w:color="auto"/>
                                            <w:right w:val="none" w:sz="0" w:space="0" w:color="auto"/>
                                          </w:divBdr>
                                          <w:divsChild>
                                            <w:div w:id="11155919">
                                              <w:marLeft w:val="0"/>
                                              <w:marRight w:val="0"/>
                                              <w:marTop w:val="0"/>
                                              <w:marBottom w:val="0"/>
                                              <w:divBdr>
                                                <w:top w:val="none" w:sz="0" w:space="0" w:color="auto"/>
                                                <w:left w:val="none" w:sz="0" w:space="0" w:color="auto"/>
                                                <w:bottom w:val="none" w:sz="0" w:space="0" w:color="auto"/>
                                                <w:right w:val="none" w:sz="0" w:space="0" w:color="auto"/>
                                              </w:divBdr>
                                              <w:divsChild>
                                                <w:div w:id="1821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1726">
          <w:marLeft w:val="0"/>
          <w:marRight w:val="0"/>
          <w:marTop w:val="0"/>
          <w:marBottom w:val="0"/>
          <w:divBdr>
            <w:top w:val="none" w:sz="0" w:space="0" w:color="auto"/>
            <w:left w:val="none" w:sz="0" w:space="0" w:color="auto"/>
            <w:bottom w:val="none" w:sz="0" w:space="0" w:color="auto"/>
            <w:right w:val="none" w:sz="0" w:space="0" w:color="auto"/>
          </w:divBdr>
          <w:divsChild>
            <w:div w:id="2102749771">
              <w:marLeft w:val="0"/>
              <w:marRight w:val="0"/>
              <w:marTop w:val="0"/>
              <w:marBottom w:val="0"/>
              <w:divBdr>
                <w:top w:val="none" w:sz="0" w:space="0" w:color="auto"/>
                <w:left w:val="none" w:sz="0" w:space="0" w:color="auto"/>
                <w:bottom w:val="none" w:sz="0" w:space="0" w:color="auto"/>
                <w:right w:val="none" w:sz="0" w:space="0" w:color="auto"/>
              </w:divBdr>
              <w:divsChild>
                <w:div w:id="1582907177">
                  <w:marLeft w:val="0"/>
                  <w:marRight w:val="0"/>
                  <w:marTop w:val="0"/>
                  <w:marBottom w:val="0"/>
                  <w:divBdr>
                    <w:top w:val="none" w:sz="0" w:space="0" w:color="auto"/>
                    <w:left w:val="none" w:sz="0" w:space="0" w:color="auto"/>
                    <w:bottom w:val="none" w:sz="0" w:space="0" w:color="auto"/>
                    <w:right w:val="none" w:sz="0" w:space="0" w:color="auto"/>
                  </w:divBdr>
                  <w:divsChild>
                    <w:div w:id="1622151892">
                      <w:marLeft w:val="0"/>
                      <w:marRight w:val="0"/>
                      <w:marTop w:val="0"/>
                      <w:marBottom w:val="0"/>
                      <w:divBdr>
                        <w:top w:val="none" w:sz="0" w:space="0" w:color="auto"/>
                        <w:left w:val="none" w:sz="0" w:space="0" w:color="auto"/>
                        <w:bottom w:val="none" w:sz="0" w:space="0" w:color="auto"/>
                        <w:right w:val="none" w:sz="0" w:space="0" w:color="auto"/>
                      </w:divBdr>
                      <w:divsChild>
                        <w:div w:id="701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657">
                  <w:marLeft w:val="0"/>
                  <w:marRight w:val="0"/>
                  <w:marTop w:val="0"/>
                  <w:marBottom w:val="0"/>
                  <w:divBdr>
                    <w:top w:val="none" w:sz="0" w:space="0" w:color="auto"/>
                    <w:left w:val="none" w:sz="0" w:space="0" w:color="auto"/>
                    <w:bottom w:val="none" w:sz="0" w:space="0" w:color="auto"/>
                    <w:right w:val="none" w:sz="0" w:space="0" w:color="auto"/>
                  </w:divBdr>
                  <w:divsChild>
                    <w:div w:id="11493235">
                      <w:marLeft w:val="0"/>
                      <w:marRight w:val="0"/>
                      <w:marTop w:val="0"/>
                      <w:marBottom w:val="0"/>
                      <w:divBdr>
                        <w:top w:val="none" w:sz="0" w:space="0" w:color="auto"/>
                        <w:left w:val="none" w:sz="0" w:space="0" w:color="auto"/>
                        <w:bottom w:val="none" w:sz="0" w:space="0" w:color="auto"/>
                        <w:right w:val="none" w:sz="0" w:space="0" w:color="auto"/>
                      </w:divBdr>
                      <w:divsChild>
                        <w:div w:id="8656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861">
                  <w:marLeft w:val="0"/>
                  <w:marRight w:val="0"/>
                  <w:marTop w:val="0"/>
                  <w:marBottom w:val="0"/>
                  <w:divBdr>
                    <w:top w:val="none" w:sz="0" w:space="0" w:color="auto"/>
                    <w:left w:val="none" w:sz="0" w:space="0" w:color="auto"/>
                    <w:bottom w:val="none" w:sz="0" w:space="0" w:color="auto"/>
                    <w:right w:val="none" w:sz="0" w:space="0" w:color="auto"/>
                  </w:divBdr>
                  <w:divsChild>
                    <w:div w:id="1984114820">
                      <w:marLeft w:val="0"/>
                      <w:marRight w:val="0"/>
                      <w:marTop w:val="0"/>
                      <w:marBottom w:val="0"/>
                      <w:divBdr>
                        <w:top w:val="none" w:sz="0" w:space="0" w:color="auto"/>
                        <w:left w:val="none" w:sz="0" w:space="0" w:color="auto"/>
                        <w:bottom w:val="none" w:sz="0" w:space="0" w:color="auto"/>
                        <w:right w:val="none" w:sz="0" w:space="0" w:color="auto"/>
                      </w:divBdr>
                      <w:divsChild>
                        <w:div w:id="108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647">
                  <w:marLeft w:val="0"/>
                  <w:marRight w:val="0"/>
                  <w:marTop w:val="0"/>
                  <w:marBottom w:val="0"/>
                  <w:divBdr>
                    <w:top w:val="none" w:sz="0" w:space="0" w:color="auto"/>
                    <w:left w:val="none" w:sz="0" w:space="0" w:color="auto"/>
                    <w:bottom w:val="none" w:sz="0" w:space="0" w:color="auto"/>
                    <w:right w:val="none" w:sz="0" w:space="0" w:color="auto"/>
                  </w:divBdr>
                  <w:divsChild>
                    <w:div w:id="1996033672">
                      <w:marLeft w:val="0"/>
                      <w:marRight w:val="0"/>
                      <w:marTop w:val="0"/>
                      <w:marBottom w:val="0"/>
                      <w:divBdr>
                        <w:top w:val="none" w:sz="0" w:space="0" w:color="auto"/>
                        <w:left w:val="none" w:sz="0" w:space="0" w:color="auto"/>
                        <w:bottom w:val="none" w:sz="0" w:space="0" w:color="auto"/>
                        <w:right w:val="none" w:sz="0" w:space="0" w:color="auto"/>
                      </w:divBdr>
                      <w:divsChild>
                        <w:div w:id="1393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779">
                  <w:marLeft w:val="0"/>
                  <w:marRight w:val="0"/>
                  <w:marTop w:val="0"/>
                  <w:marBottom w:val="0"/>
                  <w:divBdr>
                    <w:top w:val="none" w:sz="0" w:space="0" w:color="auto"/>
                    <w:left w:val="none" w:sz="0" w:space="0" w:color="auto"/>
                    <w:bottom w:val="none" w:sz="0" w:space="0" w:color="auto"/>
                    <w:right w:val="none" w:sz="0" w:space="0" w:color="auto"/>
                  </w:divBdr>
                  <w:divsChild>
                    <w:div w:id="1118833214">
                      <w:marLeft w:val="0"/>
                      <w:marRight w:val="0"/>
                      <w:marTop w:val="0"/>
                      <w:marBottom w:val="0"/>
                      <w:divBdr>
                        <w:top w:val="none" w:sz="0" w:space="0" w:color="auto"/>
                        <w:left w:val="none" w:sz="0" w:space="0" w:color="auto"/>
                        <w:bottom w:val="none" w:sz="0" w:space="0" w:color="auto"/>
                        <w:right w:val="none" w:sz="0" w:space="0" w:color="auto"/>
                      </w:divBdr>
                      <w:divsChild>
                        <w:div w:id="1176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742">
                  <w:marLeft w:val="0"/>
                  <w:marRight w:val="0"/>
                  <w:marTop w:val="0"/>
                  <w:marBottom w:val="0"/>
                  <w:divBdr>
                    <w:top w:val="none" w:sz="0" w:space="0" w:color="auto"/>
                    <w:left w:val="none" w:sz="0" w:space="0" w:color="auto"/>
                    <w:bottom w:val="none" w:sz="0" w:space="0" w:color="auto"/>
                    <w:right w:val="none" w:sz="0" w:space="0" w:color="auto"/>
                  </w:divBdr>
                  <w:divsChild>
                    <w:div w:id="1329795486">
                      <w:marLeft w:val="0"/>
                      <w:marRight w:val="0"/>
                      <w:marTop w:val="0"/>
                      <w:marBottom w:val="0"/>
                      <w:divBdr>
                        <w:top w:val="none" w:sz="0" w:space="0" w:color="auto"/>
                        <w:left w:val="none" w:sz="0" w:space="0" w:color="auto"/>
                        <w:bottom w:val="none" w:sz="0" w:space="0" w:color="auto"/>
                        <w:right w:val="none" w:sz="0" w:space="0" w:color="auto"/>
                      </w:divBdr>
                      <w:divsChild>
                        <w:div w:id="1347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70">
                  <w:marLeft w:val="0"/>
                  <w:marRight w:val="0"/>
                  <w:marTop w:val="0"/>
                  <w:marBottom w:val="0"/>
                  <w:divBdr>
                    <w:top w:val="none" w:sz="0" w:space="0" w:color="auto"/>
                    <w:left w:val="none" w:sz="0" w:space="0" w:color="auto"/>
                    <w:bottom w:val="none" w:sz="0" w:space="0" w:color="auto"/>
                    <w:right w:val="none" w:sz="0" w:space="0" w:color="auto"/>
                  </w:divBdr>
                  <w:divsChild>
                    <w:div w:id="255796029">
                      <w:marLeft w:val="0"/>
                      <w:marRight w:val="0"/>
                      <w:marTop w:val="0"/>
                      <w:marBottom w:val="0"/>
                      <w:divBdr>
                        <w:top w:val="none" w:sz="0" w:space="0" w:color="auto"/>
                        <w:left w:val="none" w:sz="0" w:space="0" w:color="auto"/>
                        <w:bottom w:val="none" w:sz="0" w:space="0" w:color="auto"/>
                        <w:right w:val="none" w:sz="0" w:space="0" w:color="auto"/>
                      </w:divBdr>
                      <w:divsChild>
                        <w:div w:id="165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29">
          <w:marLeft w:val="0"/>
          <w:marRight w:val="0"/>
          <w:marTop w:val="0"/>
          <w:marBottom w:val="0"/>
          <w:divBdr>
            <w:top w:val="none" w:sz="0" w:space="0" w:color="auto"/>
            <w:left w:val="none" w:sz="0" w:space="0" w:color="auto"/>
            <w:bottom w:val="none" w:sz="0" w:space="0" w:color="auto"/>
            <w:right w:val="none" w:sz="0" w:space="0" w:color="auto"/>
          </w:divBdr>
          <w:divsChild>
            <w:div w:id="201720539">
              <w:marLeft w:val="0"/>
              <w:marRight w:val="0"/>
              <w:marTop w:val="0"/>
              <w:marBottom w:val="0"/>
              <w:divBdr>
                <w:top w:val="none" w:sz="0" w:space="0" w:color="auto"/>
                <w:left w:val="none" w:sz="0" w:space="0" w:color="auto"/>
                <w:bottom w:val="none" w:sz="0" w:space="0" w:color="auto"/>
                <w:right w:val="none" w:sz="0" w:space="0" w:color="auto"/>
              </w:divBdr>
              <w:divsChild>
                <w:div w:id="2145465948">
                  <w:marLeft w:val="0"/>
                  <w:marRight w:val="0"/>
                  <w:marTop w:val="0"/>
                  <w:marBottom w:val="0"/>
                  <w:divBdr>
                    <w:top w:val="none" w:sz="0" w:space="0" w:color="auto"/>
                    <w:left w:val="none" w:sz="0" w:space="0" w:color="auto"/>
                    <w:bottom w:val="none" w:sz="0" w:space="0" w:color="auto"/>
                    <w:right w:val="none" w:sz="0" w:space="0" w:color="auto"/>
                  </w:divBdr>
                  <w:divsChild>
                    <w:div w:id="1763798578">
                      <w:marLeft w:val="0"/>
                      <w:marRight w:val="0"/>
                      <w:marTop w:val="0"/>
                      <w:marBottom w:val="0"/>
                      <w:divBdr>
                        <w:top w:val="none" w:sz="0" w:space="0" w:color="auto"/>
                        <w:left w:val="none" w:sz="0" w:space="0" w:color="auto"/>
                        <w:bottom w:val="none" w:sz="0" w:space="0" w:color="auto"/>
                        <w:right w:val="none" w:sz="0" w:space="0" w:color="auto"/>
                      </w:divBdr>
                      <w:divsChild>
                        <w:div w:id="551693435">
                          <w:marLeft w:val="0"/>
                          <w:marRight w:val="0"/>
                          <w:marTop w:val="0"/>
                          <w:marBottom w:val="0"/>
                          <w:divBdr>
                            <w:top w:val="none" w:sz="0" w:space="0" w:color="auto"/>
                            <w:left w:val="none" w:sz="0" w:space="0" w:color="auto"/>
                            <w:bottom w:val="none" w:sz="0" w:space="0" w:color="auto"/>
                            <w:right w:val="none" w:sz="0" w:space="0" w:color="auto"/>
                          </w:divBdr>
                          <w:divsChild>
                            <w:div w:id="686520816">
                              <w:marLeft w:val="0"/>
                              <w:marRight w:val="0"/>
                              <w:marTop w:val="0"/>
                              <w:marBottom w:val="0"/>
                              <w:divBdr>
                                <w:top w:val="none" w:sz="0" w:space="0" w:color="auto"/>
                                <w:left w:val="none" w:sz="0" w:space="0" w:color="auto"/>
                                <w:bottom w:val="none" w:sz="0" w:space="0" w:color="auto"/>
                                <w:right w:val="none" w:sz="0" w:space="0" w:color="auto"/>
                              </w:divBdr>
                            </w:div>
                          </w:divsChild>
                        </w:div>
                        <w:div w:id="150484595">
                          <w:marLeft w:val="0"/>
                          <w:marRight w:val="0"/>
                          <w:marTop w:val="0"/>
                          <w:marBottom w:val="0"/>
                          <w:divBdr>
                            <w:top w:val="none" w:sz="0" w:space="0" w:color="auto"/>
                            <w:left w:val="none" w:sz="0" w:space="0" w:color="auto"/>
                            <w:bottom w:val="none" w:sz="0" w:space="0" w:color="auto"/>
                            <w:right w:val="none" w:sz="0" w:space="0" w:color="auto"/>
                          </w:divBdr>
                        </w:div>
                      </w:divsChild>
                    </w:div>
                    <w:div w:id="925458685">
                      <w:marLeft w:val="0"/>
                      <w:marRight w:val="0"/>
                      <w:marTop w:val="0"/>
                      <w:marBottom w:val="0"/>
                      <w:divBdr>
                        <w:top w:val="none" w:sz="0" w:space="0" w:color="auto"/>
                        <w:left w:val="none" w:sz="0" w:space="0" w:color="auto"/>
                        <w:bottom w:val="none" w:sz="0" w:space="0" w:color="auto"/>
                        <w:right w:val="none" w:sz="0" w:space="0" w:color="auto"/>
                      </w:divBdr>
                      <w:divsChild>
                        <w:div w:id="1665277565">
                          <w:marLeft w:val="0"/>
                          <w:marRight w:val="0"/>
                          <w:marTop w:val="0"/>
                          <w:marBottom w:val="0"/>
                          <w:divBdr>
                            <w:top w:val="none" w:sz="0" w:space="0" w:color="auto"/>
                            <w:left w:val="none" w:sz="0" w:space="0" w:color="auto"/>
                            <w:bottom w:val="none" w:sz="0" w:space="0" w:color="auto"/>
                            <w:right w:val="none" w:sz="0" w:space="0" w:color="auto"/>
                          </w:divBdr>
                          <w:divsChild>
                            <w:div w:id="373119195">
                              <w:marLeft w:val="0"/>
                              <w:marRight w:val="0"/>
                              <w:marTop w:val="0"/>
                              <w:marBottom w:val="0"/>
                              <w:divBdr>
                                <w:top w:val="none" w:sz="0" w:space="0" w:color="auto"/>
                                <w:left w:val="none" w:sz="0" w:space="0" w:color="auto"/>
                                <w:bottom w:val="none" w:sz="0" w:space="0" w:color="auto"/>
                                <w:right w:val="none" w:sz="0" w:space="0" w:color="auto"/>
                              </w:divBdr>
                              <w:divsChild>
                                <w:div w:id="665400250">
                                  <w:marLeft w:val="0"/>
                                  <w:marRight w:val="0"/>
                                  <w:marTop w:val="0"/>
                                  <w:marBottom w:val="0"/>
                                  <w:divBdr>
                                    <w:top w:val="none" w:sz="0" w:space="0" w:color="auto"/>
                                    <w:left w:val="none" w:sz="0" w:space="0" w:color="auto"/>
                                    <w:bottom w:val="none" w:sz="0" w:space="0" w:color="auto"/>
                                    <w:right w:val="none" w:sz="0" w:space="0" w:color="auto"/>
                                  </w:divBdr>
                                </w:div>
                                <w:div w:id="1299992629">
                                  <w:marLeft w:val="0"/>
                                  <w:marRight w:val="0"/>
                                  <w:marTop w:val="0"/>
                                  <w:marBottom w:val="0"/>
                                  <w:divBdr>
                                    <w:top w:val="none" w:sz="0" w:space="0" w:color="auto"/>
                                    <w:left w:val="none" w:sz="0" w:space="0" w:color="auto"/>
                                    <w:bottom w:val="none" w:sz="0" w:space="0" w:color="auto"/>
                                    <w:right w:val="none" w:sz="0" w:space="0" w:color="auto"/>
                                  </w:divBdr>
                                  <w:divsChild>
                                    <w:div w:id="2056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704477">
          <w:marLeft w:val="0"/>
          <w:marRight w:val="0"/>
          <w:marTop w:val="0"/>
          <w:marBottom w:val="0"/>
          <w:divBdr>
            <w:top w:val="none" w:sz="0" w:space="0" w:color="auto"/>
            <w:left w:val="none" w:sz="0" w:space="0" w:color="auto"/>
            <w:bottom w:val="none" w:sz="0" w:space="0" w:color="auto"/>
            <w:right w:val="none" w:sz="0" w:space="0" w:color="auto"/>
          </w:divBdr>
          <w:divsChild>
            <w:div w:id="343747102">
              <w:marLeft w:val="0"/>
              <w:marRight w:val="0"/>
              <w:marTop w:val="0"/>
              <w:marBottom w:val="0"/>
              <w:divBdr>
                <w:top w:val="none" w:sz="0" w:space="0" w:color="auto"/>
                <w:left w:val="none" w:sz="0" w:space="0" w:color="auto"/>
                <w:bottom w:val="none" w:sz="0" w:space="0" w:color="auto"/>
                <w:right w:val="none" w:sz="0" w:space="0" w:color="auto"/>
              </w:divBdr>
              <w:divsChild>
                <w:div w:id="667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002">
      <w:bodyDiv w:val="1"/>
      <w:marLeft w:val="0"/>
      <w:marRight w:val="0"/>
      <w:marTop w:val="0"/>
      <w:marBottom w:val="0"/>
      <w:divBdr>
        <w:top w:val="none" w:sz="0" w:space="0" w:color="auto"/>
        <w:left w:val="none" w:sz="0" w:space="0" w:color="auto"/>
        <w:bottom w:val="none" w:sz="0" w:space="0" w:color="auto"/>
        <w:right w:val="none" w:sz="0" w:space="0" w:color="auto"/>
      </w:divBdr>
    </w:div>
    <w:div w:id="1350526505">
      <w:bodyDiv w:val="1"/>
      <w:marLeft w:val="0"/>
      <w:marRight w:val="0"/>
      <w:marTop w:val="0"/>
      <w:marBottom w:val="0"/>
      <w:divBdr>
        <w:top w:val="none" w:sz="0" w:space="0" w:color="auto"/>
        <w:left w:val="none" w:sz="0" w:space="0" w:color="auto"/>
        <w:bottom w:val="none" w:sz="0" w:space="0" w:color="auto"/>
        <w:right w:val="none" w:sz="0" w:space="0" w:color="auto"/>
      </w:divBdr>
    </w:div>
    <w:div w:id="1396857928">
      <w:bodyDiv w:val="1"/>
      <w:marLeft w:val="0"/>
      <w:marRight w:val="0"/>
      <w:marTop w:val="0"/>
      <w:marBottom w:val="0"/>
      <w:divBdr>
        <w:top w:val="none" w:sz="0" w:space="0" w:color="auto"/>
        <w:left w:val="none" w:sz="0" w:space="0" w:color="auto"/>
        <w:bottom w:val="none" w:sz="0" w:space="0" w:color="auto"/>
        <w:right w:val="none" w:sz="0" w:space="0" w:color="auto"/>
      </w:divBdr>
    </w:div>
    <w:div w:id="1528057294">
      <w:bodyDiv w:val="1"/>
      <w:marLeft w:val="0"/>
      <w:marRight w:val="0"/>
      <w:marTop w:val="0"/>
      <w:marBottom w:val="0"/>
      <w:divBdr>
        <w:top w:val="none" w:sz="0" w:space="0" w:color="auto"/>
        <w:left w:val="none" w:sz="0" w:space="0" w:color="auto"/>
        <w:bottom w:val="none" w:sz="0" w:space="0" w:color="auto"/>
        <w:right w:val="none" w:sz="0" w:space="0" w:color="auto"/>
      </w:divBdr>
    </w:div>
    <w:div w:id="1715033008">
      <w:bodyDiv w:val="1"/>
      <w:marLeft w:val="0"/>
      <w:marRight w:val="0"/>
      <w:marTop w:val="0"/>
      <w:marBottom w:val="0"/>
      <w:divBdr>
        <w:top w:val="none" w:sz="0" w:space="0" w:color="auto"/>
        <w:left w:val="none" w:sz="0" w:space="0" w:color="auto"/>
        <w:bottom w:val="none" w:sz="0" w:space="0" w:color="auto"/>
        <w:right w:val="none" w:sz="0" w:space="0" w:color="auto"/>
      </w:divBdr>
    </w:div>
    <w:div w:id="1786999483">
      <w:bodyDiv w:val="1"/>
      <w:marLeft w:val="0"/>
      <w:marRight w:val="0"/>
      <w:marTop w:val="0"/>
      <w:marBottom w:val="0"/>
      <w:divBdr>
        <w:top w:val="none" w:sz="0" w:space="0" w:color="auto"/>
        <w:left w:val="none" w:sz="0" w:space="0" w:color="auto"/>
        <w:bottom w:val="none" w:sz="0" w:space="0" w:color="auto"/>
        <w:right w:val="none" w:sz="0" w:space="0" w:color="auto"/>
      </w:divBdr>
    </w:div>
    <w:div w:id="1847593432">
      <w:bodyDiv w:val="1"/>
      <w:marLeft w:val="0"/>
      <w:marRight w:val="0"/>
      <w:marTop w:val="0"/>
      <w:marBottom w:val="0"/>
      <w:divBdr>
        <w:top w:val="none" w:sz="0" w:space="0" w:color="auto"/>
        <w:left w:val="none" w:sz="0" w:space="0" w:color="auto"/>
        <w:bottom w:val="none" w:sz="0" w:space="0" w:color="auto"/>
        <w:right w:val="none" w:sz="0" w:space="0" w:color="auto"/>
      </w:divBdr>
    </w:div>
    <w:div w:id="1892956203">
      <w:bodyDiv w:val="1"/>
      <w:marLeft w:val="0"/>
      <w:marRight w:val="0"/>
      <w:marTop w:val="0"/>
      <w:marBottom w:val="0"/>
      <w:divBdr>
        <w:top w:val="none" w:sz="0" w:space="0" w:color="auto"/>
        <w:left w:val="none" w:sz="0" w:space="0" w:color="auto"/>
        <w:bottom w:val="none" w:sz="0" w:space="0" w:color="auto"/>
        <w:right w:val="none" w:sz="0" w:space="0" w:color="auto"/>
      </w:divBdr>
    </w:div>
    <w:div w:id="1894656645">
      <w:bodyDiv w:val="1"/>
      <w:marLeft w:val="0"/>
      <w:marRight w:val="0"/>
      <w:marTop w:val="0"/>
      <w:marBottom w:val="0"/>
      <w:divBdr>
        <w:top w:val="none" w:sz="0" w:space="0" w:color="auto"/>
        <w:left w:val="none" w:sz="0" w:space="0" w:color="auto"/>
        <w:bottom w:val="none" w:sz="0" w:space="0" w:color="auto"/>
        <w:right w:val="none" w:sz="0" w:space="0" w:color="auto"/>
      </w:divBdr>
    </w:div>
    <w:div w:id="1950892650">
      <w:bodyDiv w:val="1"/>
      <w:marLeft w:val="0"/>
      <w:marRight w:val="0"/>
      <w:marTop w:val="0"/>
      <w:marBottom w:val="0"/>
      <w:divBdr>
        <w:top w:val="none" w:sz="0" w:space="0" w:color="auto"/>
        <w:left w:val="none" w:sz="0" w:space="0" w:color="auto"/>
        <w:bottom w:val="none" w:sz="0" w:space="0" w:color="auto"/>
        <w:right w:val="none" w:sz="0" w:space="0" w:color="auto"/>
      </w:divBdr>
    </w:div>
    <w:div w:id="2074307647">
      <w:bodyDiv w:val="1"/>
      <w:marLeft w:val="0"/>
      <w:marRight w:val="0"/>
      <w:marTop w:val="0"/>
      <w:marBottom w:val="0"/>
      <w:divBdr>
        <w:top w:val="none" w:sz="0" w:space="0" w:color="auto"/>
        <w:left w:val="none" w:sz="0" w:space="0" w:color="auto"/>
        <w:bottom w:val="none" w:sz="0" w:space="0" w:color="auto"/>
        <w:right w:val="none" w:sz="0" w:space="0" w:color="auto"/>
      </w:divBdr>
    </w:div>
    <w:div w:id="2095012298">
      <w:bodyDiv w:val="1"/>
      <w:marLeft w:val="0"/>
      <w:marRight w:val="0"/>
      <w:marTop w:val="0"/>
      <w:marBottom w:val="0"/>
      <w:divBdr>
        <w:top w:val="none" w:sz="0" w:space="0" w:color="auto"/>
        <w:left w:val="none" w:sz="0" w:space="0" w:color="auto"/>
        <w:bottom w:val="none" w:sz="0" w:space="0" w:color="auto"/>
        <w:right w:val="none" w:sz="0" w:space="0" w:color="auto"/>
      </w:divBdr>
    </w:div>
    <w:div w:id="21289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bg.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B8B8-4A83-47C8-898D-9C3228E9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4486</Words>
  <Characters>22074</Characters>
  <Application>Microsoft Office Word</Application>
  <DocSecurity>0</DocSecurity>
  <Lines>919</Lines>
  <Paragraphs>565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20</cp:revision>
  <cp:lastPrinted>2020-09-30T12:17:00Z</cp:lastPrinted>
  <dcterms:created xsi:type="dcterms:W3CDTF">2020-10-06T08:20:00Z</dcterms:created>
  <dcterms:modified xsi:type="dcterms:W3CDTF">2020-10-19T12:15:00Z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