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13501C53-9953-43FA-9EF7-C9ACD727CD4A" style="width:451.15pt;height:461.1pt">
            <v:imagedata r:id="rId15" o:title=""/>
          </v:shape>
        </w:pict>
      </w:r>
    </w:p>
    <w:bookmarkEnd w:id="0"/>
    <w:p>
      <w:pPr>
        <w:rPr>
          <w:noProof/>
          <w:lang w:eastAsia="de-DE"/>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spacing w:after="360"/>
        <w:jc w:val="center"/>
        <w:outlineLvl w:val="0"/>
        <w:rPr>
          <w:b/>
          <w:noProof/>
          <w:sz w:val="28"/>
          <w:szCs w:val="28"/>
          <w:u w:val="single"/>
          <w:lang w:eastAsia="de-DE"/>
        </w:rPr>
      </w:pPr>
      <w:bookmarkStart w:id="1" w:name="_GoBack"/>
      <w:bookmarkEnd w:id="1"/>
      <w:r>
        <w:rPr>
          <w:b/>
          <w:bCs/>
          <w:noProof/>
          <w:sz w:val="28"/>
          <w:szCs w:val="28"/>
          <w:u w:val="single"/>
          <w:lang w:eastAsia="de-DE"/>
        </w:rPr>
        <w:lastRenderedPageBreak/>
        <w:t>Annex I: New initiatives</w:t>
      </w:r>
      <w:r>
        <w:rPr>
          <w:rStyle w:val="FootnoteReference"/>
          <w:noProof/>
          <w:sz w:val="20"/>
        </w:rPr>
        <w:footnoteReference w:id="2"/>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4252"/>
        <w:gridCol w:w="10064"/>
      </w:tblGrid>
      <w:tr>
        <w:trPr>
          <w:cantSplit/>
          <w:tblHeader/>
        </w:trPr>
        <w:tc>
          <w:tcPr>
            <w:tcW w:w="511"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rPr>
                <w:b/>
                <w:bCs/>
                <w:noProof/>
                <w:sz w:val="20"/>
              </w:rPr>
            </w:pPr>
            <w:r>
              <w:rPr>
                <w:b/>
                <w:bCs/>
                <w:noProof/>
                <w:sz w:val="20"/>
              </w:rPr>
              <w:t>No.</w:t>
            </w:r>
          </w:p>
        </w:tc>
        <w:tc>
          <w:tcPr>
            <w:tcW w:w="4252" w:type="dxa"/>
            <w:tcBorders>
              <w:top w:val="single" w:sz="4" w:space="0" w:color="auto"/>
              <w:left w:val="single" w:sz="4" w:space="0" w:color="auto"/>
              <w:bottom w:val="single" w:sz="4" w:space="0" w:color="auto"/>
              <w:right w:val="single" w:sz="4" w:space="0" w:color="auto"/>
            </w:tcBorders>
            <w:shd w:val="clear" w:color="auto" w:fill="99CCFF"/>
            <w:vAlign w:val="center"/>
          </w:tcPr>
          <w:p>
            <w:pPr>
              <w:spacing w:before="60" w:after="60"/>
              <w:jc w:val="center"/>
              <w:rPr>
                <w:b/>
                <w:bCs/>
                <w:noProof/>
                <w:sz w:val="20"/>
              </w:rPr>
            </w:pPr>
            <w:r>
              <w:rPr>
                <w:b/>
                <w:bCs/>
                <w:noProof/>
                <w:sz w:val="20"/>
              </w:rPr>
              <w:t>Policy objective</w:t>
            </w:r>
          </w:p>
        </w:tc>
        <w:tc>
          <w:tcPr>
            <w:tcW w:w="10064"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jc w:val="center"/>
              <w:rPr>
                <w:b/>
                <w:bCs/>
                <w:noProof/>
                <w:sz w:val="20"/>
              </w:rPr>
            </w:pPr>
            <w:r>
              <w:rPr>
                <w:b/>
                <w:bCs/>
                <w:noProof/>
                <w:sz w:val="20"/>
              </w:rPr>
              <w:t>Initiatives</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jc w:val="left"/>
              <w:rPr>
                <w:b/>
                <w:bCs/>
                <w:noProof/>
                <w:color w:val="FFFFFF" w:themeColor="background1"/>
                <w:sz w:val="20"/>
              </w:rPr>
            </w:pPr>
            <w:r>
              <w:rPr>
                <w:b/>
                <w:bCs/>
                <w:noProof/>
                <w:color w:val="FFFFFF" w:themeColor="background1"/>
                <w:sz w:val="20"/>
              </w:rPr>
              <w:t>A European Green Deal</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jc w:val="left"/>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color w:val="000000"/>
                <w:sz w:val="20"/>
              </w:rPr>
              <w:t>Fit for 55 package</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5"/>
              </w:numPr>
              <w:spacing w:after="0"/>
              <w:ind w:left="334" w:hanging="283"/>
              <w:jc w:val="left"/>
              <w:rPr>
                <w:b/>
                <w:noProof/>
                <w:sz w:val="20"/>
              </w:rPr>
            </w:pPr>
            <w:r>
              <w:rPr>
                <w:b/>
                <w:noProof/>
                <w:sz w:val="20"/>
              </w:rPr>
              <w:t xml:space="preserve">Revision of the EU Emissions Trading System (ETS), including maritime, aviation and CORSIA as well as a proposal for ETS as own resource </w:t>
            </w:r>
            <w:r>
              <w:rPr>
                <w:noProof/>
                <w:sz w:val="20"/>
              </w:rPr>
              <w:t>(legislative, incl. impact assessment, Q2 2021)</w:t>
            </w:r>
          </w:p>
          <w:p>
            <w:pPr>
              <w:pStyle w:val="ListParagraph"/>
              <w:numPr>
                <w:ilvl w:val="0"/>
                <w:numId w:val="25"/>
              </w:numPr>
              <w:spacing w:after="0"/>
              <w:ind w:left="334" w:hanging="283"/>
              <w:jc w:val="left"/>
              <w:rPr>
                <w:b/>
                <w:noProof/>
                <w:sz w:val="20"/>
              </w:rPr>
            </w:pPr>
            <w:r>
              <w:rPr>
                <w:b/>
                <w:noProof/>
                <w:sz w:val="20"/>
              </w:rPr>
              <w:t xml:space="preserve">Carbon Border Adjustment Mechanism (CBAM) and a proposal for CBAM as own resource </w:t>
            </w:r>
            <w:r>
              <w:rPr>
                <w:noProof/>
                <w:sz w:val="20"/>
              </w:rPr>
              <w:t>(legislative, incl. impact assessment,</w:t>
            </w:r>
            <w:r>
              <w:rPr>
                <w:noProof/>
              </w:rPr>
              <w:t xml:space="preserve"> </w:t>
            </w:r>
            <w:r>
              <w:rPr>
                <w:noProof/>
                <w:sz w:val="20"/>
              </w:rPr>
              <w:t>Q2 2021)</w:t>
            </w:r>
          </w:p>
          <w:p>
            <w:pPr>
              <w:pStyle w:val="ListParagraph"/>
              <w:numPr>
                <w:ilvl w:val="0"/>
                <w:numId w:val="25"/>
              </w:numPr>
              <w:spacing w:after="0"/>
              <w:ind w:left="334" w:hanging="283"/>
              <w:jc w:val="left"/>
              <w:rPr>
                <w:b/>
                <w:noProof/>
                <w:sz w:val="20"/>
              </w:rPr>
            </w:pPr>
            <w:r>
              <w:rPr>
                <w:b/>
                <w:noProof/>
                <w:sz w:val="20"/>
              </w:rPr>
              <w:t xml:space="preserve">Effort Sharing Regulation </w:t>
            </w:r>
            <w:r>
              <w:rPr>
                <w:noProof/>
                <w:sz w:val="20"/>
              </w:rPr>
              <w:t>(legislative, incl. impact assessment, Article 192(1) TFEU, Q2 2021)</w:t>
            </w:r>
          </w:p>
          <w:p>
            <w:pPr>
              <w:pStyle w:val="ListParagraph"/>
              <w:numPr>
                <w:ilvl w:val="0"/>
                <w:numId w:val="25"/>
              </w:numPr>
              <w:spacing w:after="0"/>
              <w:ind w:left="334" w:hanging="283"/>
              <w:jc w:val="left"/>
              <w:rPr>
                <w:b/>
                <w:noProof/>
                <w:sz w:val="20"/>
              </w:rPr>
            </w:pPr>
            <w:r>
              <w:rPr>
                <w:b/>
                <w:noProof/>
                <w:sz w:val="20"/>
              </w:rPr>
              <w:t xml:space="preserve">Amendment to the Renewable Energy Directive to implement the ambition of the new 2030 climate target </w:t>
            </w:r>
            <w:r>
              <w:rPr>
                <w:noProof/>
                <w:sz w:val="20"/>
              </w:rPr>
              <w:t>(legislative, incl. impact assessment, Article 194 TFEU, Q2 2021)</w:t>
            </w:r>
          </w:p>
          <w:p>
            <w:pPr>
              <w:pStyle w:val="ListParagraph"/>
              <w:numPr>
                <w:ilvl w:val="0"/>
                <w:numId w:val="25"/>
              </w:numPr>
              <w:spacing w:after="0"/>
              <w:ind w:left="334" w:hanging="283"/>
              <w:jc w:val="left"/>
              <w:rPr>
                <w:b/>
                <w:noProof/>
                <w:sz w:val="20"/>
              </w:rPr>
            </w:pPr>
            <w:r>
              <w:rPr>
                <w:b/>
                <w:noProof/>
                <w:sz w:val="20"/>
              </w:rPr>
              <w:t xml:space="preserve">Amendment of the Energy Efficiency Directive to implement the ambition of the new 2030 climate target </w:t>
            </w:r>
            <w:r>
              <w:rPr>
                <w:noProof/>
                <w:sz w:val="20"/>
              </w:rPr>
              <w:t>(legislative, incl. impact assessment, Article 194 TFEU, Q2 2021)</w:t>
            </w:r>
          </w:p>
          <w:p>
            <w:pPr>
              <w:pStyle w:val="ListParagraph"/>
              <w:numPr>
                <w:ilvl w:val="0"/>
                <w:numId w:val="25"/>
              </w:numPr>
              <w:spacing w:after="0"/>
              <w:ind w:left="334" w:hanging="283"/>
              <w:jc w:val="left"/>
              <w:rPr>
                <w:b/>
                <w:noProof/>
                <w:sz w:val="20"/>
              </w:rPr>
            </w:pPr>
            <w:r>
              <w:rPr>
                <w:b/>
                <w:noProof/>
                <w:sz w:val="20"/>
              </w:rPr>
              <w:t xml:space="preserve">Revision of the Regulation on the inclusion of greenhouse gas emissions and removals from land use, land use change and forestry </w:t>
            </w:r>
            <w:r>
              <w:rPr>
                <w:noProof/>
                <w:sz w:val="20"/>
              </w:rPr>
              <w:t>(legislative, incl. impact assessment, Article 192(1) TFEU, Q2 2021)</w:t>
            </w:r>
          </w:p>
          <w:p>
            <w:pPr>
              <w:pStyle w:val="ListParagraph"/>
              <w:numPr>
                <w:ilvl w:val="0"/>
                <w:numId w:val="25"/>
              </w:numPr>
              <w:spacing w:after="0"/>
              <w:ind w:left="334" w:hanging="283"/>
              <w:jc w:val="left"/>
              <w:rPr>
                <w:b/>
                <w:noProof/>
                <w:sz w:val="20"/>
              </w:rPr>
            </w:pPr>
            <w:r>
              <w:rPr>
                <w:b/>
                <w:noProof/>
                <w:sz w:val="20"/>
              </w:rPr>
              <w:t xml:space="preserve">Reducing methane emissions in the energy sector </w:t>
            </w:r>
            <w:r>
              <w:rPr>
                <w:noProof/>
                <w:sz w:val="20"/>
              </w:rPr>
              <w:t>(legislative, incl. impact assessment, Articles 192 and 194 TFEU, Q2 2021)</w:t>
            </w:r>
          </w:p>
          <w:p>
            <w:pPr>
              <w:pStyle w:val="ListParagraph"/>
              <w:numPr>
                <w:ilvl w:val="0"/>
                <w:numId w:val="25"/>
              </w:numPr>
              <w:spacing w:after="0"/>
              <w:ind w:left="334" w:hanging="283"/>
              <w:jc w:val="left"/>
              <w:rPr>
                <w:b/>
                <w:noProof/>
                <w:sz w:val="20"/>
              </w:rPr>
            </w:pPr>
            <w:r>
              <w:rPr>
                <w:b/>
                <w:noProof/>
                <w:sz w:val="20"/>
              </w:rPr>
              <w:t xml:space="preserve">Revision of the Energy Tax Directive </w:t>
            </w:r>
            <w:r>
              <w:rPr>
                <w:noProof/>
                <w:sz w:val="20"/>
              </w:rPr>
              <w:t>(legislative, incl. impact assessment, Q2 2021)</w:t>
            </w:r>
          </w:p>
          <w:p>
            <w:pPr>
              <w:pStyle w:val="ListParagraph"/>
              <w:numPr>
                <w:ilvl w:val="0"/>
                <w:numId w:val="25"/>
              </w:numPr>
              <w:spacing w:after="0"/>
              <w:ind w:left="334" w:hanging="283"/>
              <w:jc w:val="left"/>
              <w:rPr>
                <w:b/>
                <w:noProof/>
                <w:sz w:val="20"/>
              </w:rPr>
            </w:pPr>
            <w:r>
              <w:rPr>
                <w:b/>
                <w:noProof/>
                <w:sz w:val="20"/>
              </w:rPr>
              <w:t xml:space="preserve">Revision of the Directive on deployment of alternative fuels infrastructure </w:t>
            </w:r>
            <w:r>
              <w:rPr>
                <w:noProof/>
                <w:sz w:val="20"/>
              </w:rPr>
              <w:t>(legislative, incl. impact assessment, Article 91 TFEU, Q2 2021)</w:t>
            </w:r>
          </w:p>
          <w:p>
            <w:pPr>
              <w:pStyle w:val="ListParagraph"/>
              <w:numPr>
                <w:ilvl w:val="0"/>
                <w:numId w:val="25"/>
              </w:numPr>
              <w:spacing w:after="0"/>
              <w:ind w:left="334" w:hanging="283"/>
              <w:jc w:val="left"/>
              <w:rPr>
                <w:b/>
                <w:noProof/>
                <w:sz w:val="20"/>
              </w:rPr>
            </w:pPr>
            <w:r>
              <w:rPr>
                <w:b/>
                <w:noProof/>
                <w:sz w:val="20"/>
              </w:rPr>
              <w:t xml:space="preserve">Revision of the Regulation setting CO2 emission performance standards for new passenger cars and for new light commercial vehicles </w:t>
            </w:r>
            <w:r>
              <w:rPr>
                <w:noProof/>
                <w:sz w:val="20"/>
              </w:rPr>
              <w:t>(legislative, incl. impact assessment, Article 192(1) TFEU, Q2 2021)</w:t>
            </w:r>
          </w:p>
          <w:p>
            <w:pPr>
              <w:pStyle w:val="ListParagraph"/>
              <w:numPr>
                <w:ilvl w:val="0"/>
                <w:numId w:val="25"/>
              </w:numPr>
              <w:spacing w:after="0"/>
              <w:ind w:left="334" w:hanging="283"/>
              <w:jc w:val="left"/>
              <w:rPr>
                <w:b/>
                <w:noProof/>
                <w:sz w:val="20"/>
              </w:rPr>
            </w:pPr>
            <w:r>
              <w:rPr>
                <w:b/>
                <w:noProof/>
                <w:sz w:val="20"/>
              </w:rPr>
              <w:t xml:space="preserve">Revision of the energy performance of Buildings Directive </w:t>
            </w:r>
            <w:r>
              <w:rPr>
                <w:noProof/>
                <w:sz w:val="20"/>
              </w:rPr>
              <w:t>(legislative, incl. impact assessment, Article 194 TFEU, Q4 2021)</w:t>
            </w:r>
          </w:p>
          <w:p>
            <w:pPr>
              <w:pStyle w:val="ListParagraph"/>
              <w:numPr>
                <w:ilvl w:val="0"/>
                <w:numId w:val="25"/>
              </w:numPr>
              <w:spacing w:after="0"/>
              <w:ind w:left="334" w:hanging="283"/>
              <w:jc w:val="left"/>
              <w:rPr>
                <w:noProof/>
                <w:sz w:val="20"/>
                <w:lang w:val="en-IE"/>
              </w:rPr>
            </w:pPr>
            <w:r>
              <w:rPr>
                <w:b/>
                <w:bCs/>
                <w:noProof/>
                <w:sz w:val="20"/>
                <w:lang w:val="en-IE"/>
              </w:rPr>
              <w:t xml:space="preserve">Revision of the Third Energy Package for gas (Directive 2009/73/EU and Regulation 715/2009/EU) to regulate competitive decarbonised gas markets </w:t>
            </w:r>
            <w:r>
              <w:rPr>
                <w:noProof/>
                <w:sz w:val="20"/>
                <w:lang w:val="en-IE"/>
              </w:rPr>
              <w:t>(legislative, incl. impact assessment, Article 194 TFEU, Q4 2021)</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noProof/>
                <w:sz w:val="20"/>
              </w:rPr>
            </w:pPr>
            <w:r>
              <w:rPr>
                <w:b/>
                <w:noProof/>
                <w:sz w:val="20"/>
              </w:rPr>
              <w:t>Circular economy package</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pStyle w:val="ListParagraph"/>
              <w:numPr>
                <w:ilvl w:val="0"/>
                <w:numId w:val="26"/>
              </w:numPr>
              <w:spacing w:after="0"/>
              <w:ind w:left="334" w:hanging="334"/>
              <w:jc w:val="left"/>
              <w:rPr>
                <w:b/>
                <w:noProof/>
                <w:sz w:val="20"/>
              </w:rPr>
            </w:pPr>
            <w:r>
              <w:rPr>
                <w:b/>
                <w:noProof/>
                <w:sz w:val="20"/>
              </w:rPr>
              <w:t xml:space="preserve">Sustainable products policy initiative, including a revision of the Ecodesign Directive </w:t>
            </w:r>
            <w:r>
              <w:rPr>
                <w:noProof/>
                <w:sz w:val="20"/>
              </w:rPr>
              <w:t>(legislative, incl. impact assessment, Article 114 TFEU, Q4 2021)</w:t>
            </w:r>
          </w:p>
          <w:p>
            <w:pPr>
              <w:pStyle w:val="ListParagraph"/>
              <w:numPr>
                <w:ilvl w:val="0"/>
                <w:numId w:val="26"/>
              </w:numPr>
              <w:spacing w:after="0"/>
              <w:ind w:left="334" w:hanging="334"/>
              <w:jc w:val="left"/>
              <w:rPr>
                <w:noProof/>
                <w:sz w:val="20"/>
              </w:rPr>
            </w:pPr>
            <w:r>
              <w:rPr>
                <w:b/>
                <w:noProof/>
                <w:sz w:val="20"/>
              </w:rPr>
              <w:t xml:space="preserve">Circular electronics </w:t>
            </w:r>
            <w:r>
              <w:rPr>
                <w:noProof/>
                <w:sz w:val="20"/>
              </w:rPr>
              <w:t>(non-legislative,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rPr>
            </w:pPr>
            <w:r>
              <w:rPr>
                <w:b/>
                <w:noProof/>
                <w:sz w:val="20"/>
              </w:rPr>
              <w:t>Biodiversity and toxic-free environment package</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7"/>
              </w:numPr>
              <w:spacing w:after="0"/>
              <w:ind w:left="334" w:hanging="334"/>
              <w:jc w:val="left"/>
              <w:rPr>
                <w:b/>
                <w:noProof/>
                <w:sz w:val="20"/>
              </w:rPr>
            </w:pPr>
            <w:r>
              <w:rPr>
                <w:b/>
                <w:noProof/>
                <w:sz w:val="20"/>
              </w:rPr>
              <w:t>Action plan for the development of organic production: on the way to 2030</w:t>
            </w:r>
            <w:r>
              <w:rPr>
                <w:noProof/>
                <w:sz w:val="20"/>
              </w:rPr>
              <w:t xml:space="preserve"> (non-legislative, Q1 2021)</w:t>
            </w:r>
          </w:p>
          <w:p>
            <w:pPr>
              <w:pStyle w:val="ListParagraph"/>
              <w:numPr>
                <w:ilvl w:val="0"/>
                <w:numId w:val="27"/>
              </w:numPr>
              <w:spacing w:after="0"/>
              <w:ind w:left="334" w:hanging="334"/>
              <w:jc w:val="left"/>
              <w:rPr>
                <w:b/>
                <w:noProof/>
                <w:sz w:val="20"/>
              </w:rPr>
            </w:pPr>
            <w:r>
              <w:rPr>
                <w:b/>
                <w:noProof/>
                <w:sz w:val="20"/>
              </w:rPr>
              <w:t xml:space="preserve">Minimising the risk of deforestation and forest degradation associated with products placed on the EU market </w:t>
            </w:r>
            <w:r>
              <w:rPr>
                <w:noProof/>
                <w:sz w:val="20"/>
              </w:rPr>
              <w:t>(legislative, incl. impact assessment, Q2 2021)</w:t>
            </w:r>
          </w:p>
          <w:p>
            <w:pPr>
              <w:pStyle w:val="ListParagraph"/>
              <w:numPr>
                <w:ilvl w:val="0"/>
                <w:numId w:val="27"/>
              </w:numPr>
              <w:spacing w:after="0"/>
              <w:ind w:left="334" w:hanging="334"/>
              <w:jc w:val="left"/>
              <w:rPr>
                <w:b/>
                <w:noProof/>
                <w:sz w:val="20"/>
              </w:rPr>
            </w:pPr>
            <w:r>
              <w:rPr>
                <w:b/>
                <w:noProof/>
                <w:sz w:val="20"/>
              </w:rPr>
              <w:t xml:space="preserve">Zero pollution action plan for water, air and soil </w:t>
            </w:r>
            <w:r>
              <w:rPr>
                <w:noProof/>
                <w:sz w:val="20"/>
              </w:rPr>
              <w:t>(non-legislative, Q2 2021)</w:t>
            </w:r>
          </w:p>
          <w:p>
            <w:pPr>
              <w:pStyle w:val="ListParagraph"/>
              <w:numPr>
                <w:ilvl w:val="0"/>
                <w:numId w:val="27"/>
              </w:numPr>
              <w:spacing w:after="0"/>
              <w:ind w:left="334" w:hanging="334"/>
              <w:jc w:val="left"/>
              <w:rPr>
                <w:noProof/>
                <w:sz w:val="20"/>
              </w:rPr>
            </w:pPr>
            <w:r>
              <w:rPr>
                <w:b/>
                <w:noProof/>
                <w:sz w:val="20"/>
              </w:rPr>
              <w:t xml:space="preserve">New legal framework on the restoration of healthy ecosystems </w:t>
            </w:r>
            <w:r>
              <w:rPr>
                <w:noProof/>
                <w:sz w:val="20"/>
              </w:rPr>
              <w:t>(legislative, incl. impact assessment, Article 192 TFEU,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Sustainable and smart mobility</w:t>
            </w:r>
          </w:p>
        </w:tc>
        <w:tc>
          <w:tcPr>
            <w:tcW w:w="10064" w:type="dxa"/>
            <w:tcBorders>
              <w:bottom w:val="single" w:sz="4" w:space="0" w:color="auto"/>
            </w:tcBorders>
            <w:tcMar>
              <w:top w:w="85" w:type="dxa"/>
              <w:bottom w:w="85" w:type="dxa"/>
            </w:tcMar>
          </w:tcPr>
          <w:p>
            <w:pPr>
              <w:pStyle w:val="ListParagraph"/>
              <w:numPr>
                <w:ilvl w:val="0"/>
                <w:numId w:val="28"/>
              </w:numPr>
              <w:spacing w:after="0"/>
              <w:ind w:left="334" w:hanging="334"/>
              <w:jc w:val="left"/>
              <w:rPr>
                <w:b/>
                <w:noProof/>
                <w:sz w:val="20"/>
              </w:rPr>
            </w:pPr>
            <w:r>
              <w:rPr>
                <w:b/>
                <w:noProof/>
                <w:sz w:val="20"/>
              </w:rPr>
              <w:t xml:space="preserve">Revision of the Directive on Intelligent Transport Systems, including a multimodal ticketing initiative </w:t>
            </w:r>
            <w:r>
              <w:rPr>
                <w:noProof/>
                <w:sz w:val="20"/>
              </w:rPr>
              <w:t>(legislative, incl. impact assessment, Article 91 TFEU, Q3 2021)</w:t>
            </w:r>
          </w:p>
          <w:p>
            <w:pPr>
              <w:pStyle w:val="ListParagraph"/>
              <w:numPr>
                <w:ilvl w:val="0"/>
                <w:numId w:val="28"/>
              </w:numPr>
              <w:spacing w:after="0"/>
              <w:ind w:left="334" w:hanging="334"/>
              <w:jc w:val="left"/>
              <w:rPr>
                <w:b/>
                <w:noProof/>
                <w:sz w:val="20"/>
              </w:rPr>
            </w:pPr>
            <w:r>
              <w:rPr>
                <w:b/>
                <w:noProof/>
                <w:sz w:val="20"/>
              </w:rPr>
              <w:t xml:space="preserve">Revision of the Regulation on the trans-European transport network (TEN-T) </w:t>
            </w:r>
            <w:r>
              <w:rPr>
                <w:noProof/>
                <w:sz w:val="20"/>
              </w:rPr>
              <w:t>(legislative, incl. impact assessment, Article 172 TFEU, Q3 2021)</w:t>
            </w:r>
          </w:p>
          <w:p>
            <w:pPr>
              <w:pStyle w:val="ListParagraph"/>
              <w:numPr>
                <w:ilvl w:val="0"/>
                <w:numId w:val="28"/>
              </w:numPr>
              <w:spacing w:after="0"/>
              <w:ind w:left="334" w:hanging="334"/>
              <w:jc w:val="left"/>
              <w:rPr>
                <w:noProof/>
                <w:sz w:val="20"/>
              </w:rPr>
            </w:pPr>
            <w:r>
              <w:rPr>
                <w:b/>
                <w:noProof/>
                <w:sz w:val="20"/>
              </w:rPr>
              <w:t xml:space="preserve">EU 2021 Rail Corridor Initiative, including the revision of the Rail Freight Corridor Regulation and actions to boost passenger rail </w:t>
            </w:r>
            <w:r>
              <w:rPr>
                <w:noProof/>
                <w:sz w:val="20"/>
              </w:rPr>
              <w:t>(non-legislative and legislative, incl. impact assessment, Article 91 TFEU, Q3 2021)</w:t>
            </w:r>
          </w:p>
          <w:p>
            <w:pPr>
              <w:pStyle w:val="ListParagraph"/>
              <w:numPr>
                <w:ilvl w:val="0"/>
                <w:numId w:val="28"/>
              </w:numPr>
              <w:spacing w:after="0"/>
              <w:ind w:left="334" w:hanging="334"/>
              <w:jc w:val="left"/>
              <w:rPr>
                <w:noProof/>
                <w:sz w:val="20"/>
              </w:rPr>
            </w:pPr>
            <w:r>
              <w:rPr>
                <w:b/>
                <w:noProof/>
                <w:sz w:val="20"/>
              </w:rPr>
              <w:t>Development of post-Euro 6/VI emission standards for cars, vans, lorries and buses</w:t>
            </w:r>
            <w:r>
              <w:rPr>
                <w:noProof/>
                <w:sz w:val="20"/>
              </w:rPr>
              <w:t xml:space="preserve"> (legislative, incl. impact assessment, Article 114 TFEU, Q4 2021)</w:t>
            </w:r>
          </w:p>
        </w:tc>
      </w:tr>
      <w:tr>
        <w:trPr>
          <w:cantSplit/>
        </w:trPr>
        <w:tc>
          <w:tcPr>
            <w:tcW w:w="14827" w:type="dxa"/>
            <w:gridSpan w:val="3"/>
            <w:tcBorders>
              <w:bottom w:val="single" w:sz="4" w:space="0" w:color="auto"/>
            </w:tcBorders>
            <w:shd w:val="clear" w:color="auto" w:fill="18BAA8" w:themeFill="accent2"/>
          </w:tcPr>
          <w:p>
            <w:pPr>
              <w:keepNext/>
              <w:spacing w:before="60" w:after="60"/>
              <w:rPr>
                <w:b/>
                <w:bCs/>
                <w:noProof/>
                <w:sz w:val="20"/>
              </w:rPr>
            </w:pPr>
            <w:r>
              <w:rPr>
                <w:b/>
                <w:bCs/>
                <w:noProof/>
                <w:color w:val="FFFFFF" w:themeColor="background1"/>
                <w:sz w:val="20"/>
              </w:rPr>
              <w:t>A Europe Fit for the Digital Age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Europe’s digital decade</w:t>
            </w:r>
          </w:p>
        </w:tc>
        <w:tc>
          <w:tcPr>
            <w:tcW w:w="10064" w:type="dxa"/>
            <w:tcBorders>
              <w:bottom w:val="single" w:sz="4" w:space="0" w:color="auto"/>
            </w:tcBorders>
            <w:tcMar>
              <w:top w:w="85" w:type="dxa"/>
              <w:bottom w:w="85" w:type="dxa"/>
            </w:tcMar>
          </w:tcPr>
          <w:p>
            <w:pPr>
              <w:spacing w:after="0"/>
              <w:jc w:val="left"/>
              <w:rPr>
                <w:noProof/>
                <w:color w:val="000000" w:themeColor="text1"/>
                <w:sz w:val="20"/>
              </w:rPr>
            </w:pPr>
            <w:r>
              <w:rPr>
                <w:b/>
                <w:noProof/>
                <w:sz w:val="20"/>
              </w:rPr>
              <w:t>Europe’s digital decade: 2030 digital targets</w:t>
            </w:r>
            <w:r>
              <w:rPr>
                <w:noProof/>
                <w:sz w:val="20"/>
              </w:rPr>
              <w:t xml:space="preserve"> (non-legislative, Q1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rPr>
            </w:pPr>
            <w:r>
              <w:rPr>
                <w:b/>
                <w:noProof/>
                <w:sz w:val="20"/>
              </w:rPr>
              <w:t>Data package</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9"/>
              </w:numPr>
              <w:spacing w:after="0"/>
              <w:ind w:left="334" w:hanging="334"/>
              <w:jc w:val="left"/>
              <w:rPr>
                <w:b/>
                <w:noProof/>
                <w:sz w:val="20"/>
              </w:rPr>
            </w:pPr>
            <w:r>
              <w:rPr>
                <w:b/>
                <w:noProof/>
                <w:sz w:val="20"/>
              </w:rPr>
              <w:t xml:space="preserve">Data Act </w:t>
            </w:r>
            <w:r>
              <w:rPr>
                <w:noProof/>
                <w:sz w:val="20"/>
              </w:rPr>
              <w:t>(legislative, incl. impact assessment, Article 114 TFEU, Q3 2021)</w:t>
            </w:r>
          </w:p>
          <w:p>
            <w:pPr>
              <w:pStyle w:val="ListParagraph"/>
              <w:numPr>
                <w:ilvl w:val="0"/>
                <w:numId w:val="29"/>
              </w:numPr>
              <w:spacing w:after="0"/>
              <w:ind w:left="334" w:hanging="334"/>
              <w:jc w:val="left"/>
              <w:rPr>
                <w:noProof/>
                <w:sz w:val="20"/>
              </w:rPr>
            </w:pPr>
            <w:r>
              <w:rPr>
                <w:b/>
                <w:noProof/>
                <w:sz w:val="20"/>
              </w:rPr>
              <w:t xml:space="preserve">Review of the Database Directive </w:t>
            </w:r>
            <w:r>
              <w:rPr>
                <w:noProof/>
                <w:sz w:val="20"/>
              </w:rPr>
              <w:t>(legislative, incl. impact assessment, Article 114 TFEU, Q3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 xml:space="preserve">Digital levy </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noProof/>
                <w:sz w:val="20"/>
              </w:rPr>
            </w:pPr>
            <w:r>
              <w:rPr>
                <w:b/>
                <w:noProof/>
                <w:sz w:val="20"/>
              </w:rPr>
              <w:t>Digital levy and a proposal for digital levy as own resource</w:t>
            </w:r>
            <w:r>
              <w:rPr>
                <w:noProof/>
                <w:sz w:val="20"/>
              </w:rPr>
              <w:t xml:space="preserve"> (legislative, incl. impact assessment, Q2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A trusted and secure European e-ID</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b/>
                <w:bCs/>
                <w:noProof/>
                <w:color w:val="000000" w:themeColor="text1"/>
                <w:sz w:val="20"/>
              </w:rPr>
            </w:pPr>
            <w:r>
              <w:rPr>
                <w:b/>
                <w:noProof/>
                <w:sz w:val="20"/>
              </w:rPr>
              <w:t>A trusted and secure European e-ID</w:t>
            </w:r>
            <w:r>
              <w:rPr>
                <w:noProof/>
                <w:sz w:val="20"/>
              </w:rPr>
              <w:t xml:space="preserve"> (legislative, incl. impact assessment, Article 114 TFEU, Q1 2021)</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noProof/>
                <w:sz w:val="20"/>
              </w:rPr>
              <w:t>Platform workers</w:t>
            </w:r>
          </w:p>
        </w:tc>
        <w:tc>
          <w:tcPr>
            <w:tcW w:w="10064" w:type="dxa"/>
            <w:shd w:val="clear" w:color="auto" w:fill="FFFFFF" w:themeFill="background1"/>
            <w:tcMar>
              <w:top w:w="85" w:type="dxa"/>
              <w:bottom w:w="85" w:type="dxa"/>
            </w:tcMar>
          </w:tcPr>
          <w:p>
            <w:pPr>
              <w:spacing w:after="0"/>
              <w:rPr>
                <w:noProof/>
                <w:sz w:val="20"/>
              </w:rPr>
            </w:pPr>
            <w:r>
              <w:rPr>
                <w:b/>
                <w:noProof/>
                <w:sz w:val="20"/>
              </w:rPr>
              <w:t>Improving the working conditions of platform workers</w:t>
            </w:r>
            <w:r>
              <w:rPr>
                <w:noProof/>
                <w:sz w:val="20"/>
              </w:rPr>
              <w:t xml:space="preserve"> (legislative, incl. impact assessment, Article 153 TFEU, Q1/Q4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rPr>
            </w:pPr>
            <w:r>
              <w:rPr>
                <w:b/>
                <w:noProof/>
                <w:sz w:val="20"/>
              </w:rPr>
              <w:t xml:space="preserve">Industrial strategy for Europe </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noProof/>
                <w:sz w:val="20"/>
              </w:rPr>
              <w:t>Updating the new industrial strategy for Europe</w:t>
            </w:r>
            <w:r>
              <w:rPr>
                <w:noProof/>
                <w:sz w:val="20"/>
              </w:rPr>
              <w:t xml:space="preserve"> (non-legislative, Q2 2021)</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bCs/>
                <w:noProof/>
                <w:sz w:val="20"/>
              </w:rPr>
              <w:t>Foreign subsidies</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jc w:val="left"/>
              <w:rPr>
                <w:b/>
                <w:noProof/>
                <w:sz w:val="20"/>
              </w:rPr>
            </w:pPr>
            <w:r>
              <w:rPr>
                <w:b/>
                <w:noProof/>
                <w:sz w:val="20"/>
              </w:rPr>
              <w:t xml:space="preserve">Follow-up to the White Paper on foreign subsidies: </w:t>
            </w:r>
          </w:p>
          <w:p>
            <w:pPr>
              <w:pStyle w:val="ListParagraph"/>
              <w:numPr>
                <w:ilvl w:val="0"/>
                <w:numId w:val="30"/>
              </w:numPr>
              <w:spacing w:after="0"/>
              <w:ind w:left="334" w:hanging="334"/>
              <w:jc w:val="left"/>
              <w:rPr>
                <w:noProof/>
                <w:sz w:val="20"/>
              </w:rPr>
            </w:pPr>
            <w:r>
              <w:rPr>
                <w:b/>
                <w:noProof/>
                <w:sz w:val="20"/>
              </w:rPr>
              <w:t xml:space="preserve">Levelling the playing field </w:t>
            </w:r>
            <w:r>
              <w:rPr>
                <w:noProof/>
                <w:sz w:val="20"/>
              </w:rPr>
              <w:t xml:space="preserve">(legislative, incl. impact assessment, Article 207 TFEU, Q2 2021) </w:t>
            </w:r>
          </w:p>
          <w:p>
            <w:pPr>
              <w:pStyle w:val="ListParagraph"/>
              <w:numPr>
                <w:ilvl w:val="0"/>
                <w:numId w:val="30"/>
              </w:numPr>
              <w:spacing w:after="0"/>
              <w:ind w:left="334" w:hanging="334"/>
              <w:jc w:val="left"/>
              <w:rPr>
                <w:noProof/>
                <w:sz w:val="20"/>
              </w:rPr>
            </w:pPr>
            <w:r>
              <w:rPr>
                <w:b/>
                <w:noProof/>
                <w:sz w:val="20"/>
              </w:rPr>
              <w:t>Public procurement</w:t>
            </w:r>
            <w:r>
              <w:rPr>
                <w:noProof/>
                <w:sz w:val="20"/>
              </w:rPr>
              <w:t xml:space="preserve"> (legislative, incl. impact assessment, Article 207 TFEU, Q2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Civil, defence and space industries</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noProof/>
                <w:sz w:val="20"/>
              </w:rPr>
              <w:t>Action plan on synergies between civil, defence and space industries</w:t>
            </w:r>
            <w:r>
              <w:rPr>
                <w:noProof/>
                <w:sz w:val="20"/>
              </w:rPr>
              <w:t xml:space="preserve"> (non-legislative, Q1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Design requirements and consumer rights for electronics</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noProof/>
                <w:sz w:val="20"/>
              </w:rPr>
              <w:t>New design requirements and consumer rights for electronics</w:t>
            </w:r>
            <w:r>
              <w:rPr>
                <w:noProof/>
                <w:sz w:val="20"/>
              </w:rPr>
              <w:t xml:space="preserve"> (legislative, incl. impact assessment, Article 114 TFEU, Q4 2021)</w:t>
            </w:r>
          </w:p>
        </w:tc>
      </w:tr>
      <w:tr>
        <w:trPr>
          <w:cantSplit/>
        </w:trPr>
        <w:tc>
          <w:tcPr>
            <w:tcW w:w="14827" w:type="dxa"/>
            <w:gridSpan w:val="3"/>
            <w:tcBorders>
              <w:bottom w:val="single" w:sz="4" w:space="0" w:color="auto"/>
            </w:tcBorders>
            <w:shd w:val="clear" w:color="auto" w:fill="F68A42" w:themeFill="accent3"/>
          </w:tcPr>
          <w:p>
            <w:pPr>
              <w:keepNext/>
              <w:spacing w:before="60" w:after="60"/>
              <w:rPr>
                <w:b/>
                <w:bCs/>
                <w:noProof/>
                <w:sz w:val="20"/>
              </w:rPr>
            </w:pPr>
            <w:r>
              <w:rPr>
                <w:b/>
                <w:bCs/>
                <w:noProof/>
                <w:color w:val="FFFFFF" w:themeColor="background1"/>
                <w:sz w:val="20"/>
              </w:rPr>
              <w:t>An Economy that Works for People</w:t>
            </w:r>
          </w:p>
        </w:tc>
      </w:tr>
      <w:tr>
        <w:trPr>
          <w:cantSplit/>
        </w:trPr>
        <w:tc>
          <w:tcPr>
            <w:tcW w:w="511" w:type="dxa"/>
            <w:tcBorders>
              <w:right w:val="single" w:sz="4" w:space="0" w:color="auto"/>
            </w:tcBorders>
          </w:tcPr>
          <w:p>
            <w:pPr>
              <w:pStyle w:val="ListParagraph"/>
              <w:numPr>
                <w:ilvl w:val="0"/>
                <w:numId w:val="18"/>
              </w:numPr>
              <w:spacing w:after="0"/>
              <w:ind w:left="426"/>
              <w:rPr>
                <w:noProof/>
                <w:color w:val="FFFFFF" w:themeColor="background1"/>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Deepening the Capital Markets Union</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31"/>
              </w:numPr>
              <w:spacing w:after="0"/>
              <w:ind w:left="334" w:hanging="334"/>
              <w:jc w:val="left"/>
              <w:rPr>
                <w:b/>
                <w:bCs/>
                <w:noProof/>
                <w:sz w:val="20"/>
              </w:rPr>
            </w:pPr>
            <w:r>
              <w:rPr>
                <w:b/>
                <w:bCs/>
                <w:noProof/>
                <w:sz w:val="20"/>
              </w:rPr>
              <w:t xml:space="preserve">Investment protection and facilitation framework </w:t>
            </w:r>
            <w:r>
              <w:rPr>
                <w:noProof/>
                <w:sz w:val="20"/>
              </w:rPr>
              <w:t>(legislative, incl. impact assessment, Article 114 TFEU, Q2 2021)</w:t>
            </w:r>
          </w:p>
          <w:p>
            <w:pPr>
              <w:pStyle w:val="ListParagraph"/>
              <w:numPr>
                <w:ilvl w:val="0"/>
                <w:numId w:val="31"/>
              </w:numPr>
              <w:spacing w:after="0"/>
              <w:ind w:left="334" w:hanging="334"/>
              <w:jc w:val="left"/>
              <w:rPr>
                <w:b/>
                <w:bCs/>
                <w:noProof/>
                <w:sz w:val="20"/>
              </w:rPr>
            </w:pPr>
            <w:r>
              <w:rPr>
                <w:b/>
                <w:bCs/>
                <w:noProof/>
                <w:sz w:val="20"/>
              </w:rPr>
              <w:t xml:space="preserve">Revision of prudential rules for insurance and reinsurance companies (Solvency II) </w:t>
            </w:r>
            <w:r>
              <w:rPr>
                <w:noProof/>
                <w:sz w:val="20"/>
              </w:rPr>
              <w:t>(legislative, incl. impact assessment, Articles 53(1), 62 and 114 TFEU, Q3 2021)</w:t>
            </w:r>
          </w:p>
          <w:p>
            <w:pPr>
              <w:pStyle w:val="ListParagraph"/>
              <w:numPr>
                <w:ilvl w:val="0"/>
                <w:numId w:val="31"/>
              </w:numPr>
              <w:spacing w:after="0"/>
              <w:ind w:left="334" w:hanging="334"/>
              <w:jc w:val="left"/>
              <w:rPr>
                <w:b/>
                <w:bCs/>
                <w:noProof/>
                <w:sz w:val="20"/>
              </w:rPr>
            </w:pPr>
            <w:r>
              <w:rPr>
                <w:b/>
                <w:bCs/>
                <w:noProof/>
                <w:sz w:val="20"/>
              </w:rPr>
              <w:t xml:space="preserve">Revision of the Markets in Financial Instruments Directive and Regulation </w:t>
            </w:r>
            <w:r>
              <w:rPr>
                <w:noProof/>
                <w:sz w:val="20"/>
              </w:rPr>
              <w:t>(legislative, incl. impact assessment, Article 114 TFEU, Q4 2021)</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shd w:val="clear" w:color="auto" w:fill="FFFFFF" w:themeFill="background1"/>
            <w:tcMar>
              <w:top w:w="85" w:type="dxa"/>
              <w:bottom w:w="85" w:type="dxa"/>
            </w:tcMar>
          </w:tcPr>
          <w:p>
            <w:pPr>
              <w:spacing w:after="0"/>
              <w:rPr>
                <w:b/>
                <w:bCs/>
                <w:noProof/>
                <w:color w:val="000000"/>
                <w:sz w:val="20"/>
              </w:rPr>
            </w:pPr>
            <w:r>
              <w:rPr>
                <w:b/>
                <w:noProof/>
                <w:sz w:val="20"/>
              </w:rPr>
              <w:t>Sustainable corporate governance</w:t>
            </w:r>
          </w:p>
        </w:tc>
        <w:tc>
          <w:tcPr>
            <w:tcW w:w="10064" w:type="dxa"/>
            <w:tcBorders>
              <w:bottom w:val="single" w:sz="4" w:space="0" w:color="auto"/>
            </w:tcBorders>
            <w:shd w:val="clear" w:color="auto" w:fill="auto"/>
            <w:tcMar>
              <w:top w:w="85" w:type="dxa"/>
              <w:bottom w:w="85" w:type="dxa"/>
            </w:tcMar>
          </w:tcPr>
          <w:p>
            <w:pPr>
              <w:spacing w:after="0"/>
              <w:rPr>
                <w:b/>
                <w:bCs/>
                <w:noProof/>
                <w:sz w:val="20"/>
              </w:rPr>
            </w:pPr>
            <w:r>
              <w:rPr>
                <w:b/>
                <w:noProof/>
                <w:sz w:val="20"/>
              </w:rPr>
              <w:t>Sustainable corporate governance</w:t>
            </w:r>
            <w:r>
              <w:rPr>
                <w:noProof/>
                <w:sz w:val="20"/>
              </w:rPr>
              <w:t xml:space="preserve"> (legislative, incl. impact assessment, Articles 50 and, possibly, 114 TFEU, Q2 2021)</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noProof/>
                <w:sz w:val="20"/>
              </w:rPr>
              <w:t>EU green bond standard</w:t>
            </w:r>
          </w:p>
        </w:tc>
        <w:tc>
          <w:tcPr>
            <w:tcW w:w="10064" w:type="dxa"/>
            <w:tcBorders>
              <w:left w:val="single" w:sz="4" w:space="0" w:color="auto"/>
              <w:bottom w:val="single" w:sz="4" w:space="0" w:color="auto"/>
              <w:right w:val="single" w:sz="4" w:space="0" w:color="auto"/>
            </w:tcBorders>
            <w:shd w:val="clear" w:color="auto" w:fill="auto"/>
            <w:tcMar>
              <w:top w:w="85" w:type="dxa"/>
              <w:bottom w:w="85" w:type="dxa"/>
            </w:tcMar>
          </w:tcPr>
          <w:p>
            <w:pPr>
              <w:spacing w:after="0"/>
              <w:jc w:val="left"/>
              <w:rPr>
                <w:noProof/>
                <w:sz w:val="20"/>
              </w:rPr>
            </w:pPr>
            <w:r>
              <w:rPr>
                <w:b/>
                <w:noProof/>
                <w:sz w:val="20"/>
              </w:rPr>
              <w:t>Establishment of an EU green bond standard</w:t>
            </w:r>
            <w:r>
              <w:rPr>
                <w:noProof/>
                <w:sz w:val="20"/>
              </w:rPr>
              <w:t xml:space="preserve"> (legislative, incl. impact assessment, Article 114 TFEU, Q2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noProof/>
                <w:sz w:val="20"/>
              </w:rPr>
              <w:t>Anti-money laundering package</w:t>
            </w:r>
          </w:p>
        </w:tc>
        <w:tc>
          <w:tcPr>
            <w:tcW w:w="10064" w:type="dxa"/>
            <w:tcMar>
              <w:top w:w="85" w:type="dxa"/>
              <w:bottom w:w="85" w:type="dxa"/>
            </w:tcMar>
          </w:tcPr>
          <w:p>
            <w:pPr>
              <w:spacing w:after="0"/>
              <w:jc w:val="left"/>
              <w:rPr>
                <w:noProof/>
                <w:sz w:val="20"/>
              </w:rPr>
            </w:pPr>
            <w:r>
              <w:rPr>
                <w:b/>
                <w:noProof/>
                <w:sz w:val="20"/>
              </w:rPr>
              <w:t>Anti-money laundering legislative package</w:t>
            </w:r>
            <w:r>
              <w:rPr>
                <w:noProof/>
                <w:sz w:val="20"/>
              </w:rPr>
              <w:t xml:space="preserve"> (legislative, incl. impact assessment, Article 114 TFEU, Q1 2021)</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bCs/>
                <w:noProof/>
                <w:color w:val="000000"/>
                <w:sz w:val="20"/>
              </w:rPr>
              <w:t>Fair economy package</w:t>
            </w:r>
          </w:p>
        </w:tc>
        <w:tc>
          <w:tcPr>
            <w:tcW w:w="10064" w:type="dxa"/>
            <w:shd w:val="clear" w:color="auto" w:fill="FFFFFF" w:themeFill="background1"/>
            <w:tcMar>
              <w:top w:w="85" w:type="dxa"/>
              <w:bottom w:w="85" w:type="dxa"/>
            </w:tcMar>
          </w:tcPr>
          <w:p>
            <w:pPr>
              <w:pStyle w:val="Default"/>
              <w:numPr>
                <w:ilvl w:val="0"/>
                <w:numId w:val="32"/>
              </w:numPr>
              <w:ind w:left="334" w:hanging="334"/>
              <w:rPr>
                <w:b/>
                <w:noProof/>
                <w:sz w:val="20"/>
                <w:szCs w:val="20"/>
              </w:rPr>
            </w:pPr>
            <w:r>
              <w:rPr>
                <w:b/>
                <w:noProof/>
                <w:sz w:val="20"/>
                <w:szCs w:val="20"/>
              </w:rPr>
              <w:t xml:space="preserve">Action plan on the European Pillar of Social Rights </w:t>
            </w:r>
            <w:r>
              <w:rPr>
                <w:noProof/>
                <w:sz w:val="20"/>
              </w:rPr>
              <w:t>(non-legislative, Q1 2021)</w:t>
            </w:r>
          </w:p>
          <w:p>
            <w:pPr>
              <w:pStyle w:val="Default"/>
              <w:numPr>
                <w:ilvl w:val="0"/>
                <w:numId w:val="32"/>
              </w:numPr>
              <w:ind w:left="334" w:hanging="334"/>
              <w:rPr>
                <w:b/>
                <w:noProof/>
                <w:sz w:val="20"/>
                <w:szCs w:val="20"/>
              </w:rPr>
            </w:pPr>
            <w:r>
              <w:rPr>
                <w:b/>
                <w:noProof/>
                <w:sz w:val="20"/>
                <w:szCs w:val="20"/>
              </w:rPr>
              <w:t xml:space="preserve">Recommendation for a European child guarantee </w:t>
            </w:r>
            <w:r>
              <w:rPr>
                <w:noProof/>
                <w:sz w:val="20"/>
              </w:rPr>
              <w:t>(non-legislative, Q1 2021)</w:t>
            </w:r>
          </w:p>
          <w:p>
            <w:pPr>
              <w:pStyle w:val="Default"/>
              <w:numPr>
                <w:ilvl w:val="0"/>
                <w:numId w:val="32"/>
              </w:numPr>
              <w:ind w:left="334" w:hanging="334"/>
              <w:rPr>
                <w:b/>
                <w:noProof/>
                <w:sz w:val="20"/>
                <w:szCs w:val="20"/>
              </w:rPr>
            </w:pPr>
            <w:r>
              <w:rPr>
                <w:b/>
                <w:noProof/>
                <w:sz w:val="20"/>
                <w:szCs w:val="20"/>
              </w:rPr>
              <w:t xml:space="preserve">Communication on a new occupational safety and health strategy framework </w:t>
            </w:r>
            <w:r>
              <w:rPr>
                <w:noProof/>
                <w:sz w:val="20"/>
              </w:rPr>
              <w:t>(non-legislative, Q2 2021)</w:t>
            </w:r>
          </w:p>
          <w:p>
            <w:pPr>
              <w:pStyle w:val="Default"/>
              <w:numPr>
                <w:ilvl w:val="0"/>
                <w:numId w:val="32"/>
              </w:numPr>
              <w:ind w:left="334" w:hanging="334"/>
              <w:rPr>
                <w:noProof/>
                <w:sz w:val="20"/>
                <w:szCs w:val="20"/>
              </w:rPr>
            </w:pPr>
            <w:r>
              <w:rPr>
                <w:b/>
                <w:noProof/>
                <w:sz w:val="20"/>
                <w:szCs w:val="20"/>
              </w:rPr>
              <w:t xml:space="preserve">Action plan for the social economy </w:t>
            </w:r>
            <w:r>
              <w:rPr>
                <w:noProof/>
                <w:sz w:val="20"/>
              </w:rPr>
              <w:t>(non-legislative,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1185"/>
              </w:tabs>
              <w:spacing w:after="0"/>
              <w:rPr>
                <w:b/>
                <w:bCs/>
                <w:noProof/>
                <w:color w:val="000000"/>
                <w:sz w:val="20"/>
              </w:rPr>
            </w:pPr>
            <w:r>
              <w:rPr>
                <w:b/>
                <w:bCs/>
                <w:noProof/>
                <w:color w:val="000000"/>
                <w:sz w:val="20"/>
              </w:rPr>
              <w:t>Generalised scheme of preferences</w:t>
            </w:r>
          </w:p>
        </w:tc>
        <w:tc>
          <w:tcPr>
            <w:tcW w:w="10064" w:type="dxa"/>
            <w:tcBorders>
              <w:bottom w:val="single" w:sz="4" w:space="0" w:color="auto"/>
            </w:tcBorders>
            <w:tcMar>
              <w:top w:w="85" w:type="dxa"/>
              <w:bottom w:w="85" w:type="dxa"/>
            </w:tcMar>
          </w:tcPr>
          <w:p>
            <w:pPr>
              <w:pStyle w:val="Default"/>
              <w:rPr>
                <w:noProof/>
                <w:sz w:val="20"/>
                <w:szCs w:val="20"/>
              </w:rPr>
            </w:pPr>
            <w:r>
              <w:rPr>
                <w:b/>
                <w:noProof/>
                <w:sz w:val="20"/>
              </w:rPr>
              <w:t>Towards the future generalised scheme of preferences legal framework granting trade advantages to developing countries</w:t>
            </w:r>
            <w:r>
              <w:rPr>
                <w:noProof/>
                <w:sz w:val="20"/>
              </w:rPr>
              <w:t xml:space="preserve"> (legislative, incl. impact assessment, Article 207 TFEU, Q2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Detering and counteracting coercive actions by third countries</w:t>
            </w:r>
          </w:p>
        </w:tc>
        <w:tc>
          <w:tcPr>
            <w:tcW w:w="10064" w:type="dxa"/>
            <w:tcBorders>
              <w:bottom w:val="single" w:sz="4" w:space="0" w:color="auto"/>
            </w:tcBorders>
            <w:tcMar>
              <w:top w:w="85" w:type="dxa"/>
              <w:bottom w:w="85" w:type="dxa"/>
            </w:tcMar>
          </w:tcPr>
          <w:p>
            <w:pPr>
              <w:pStyle w:val="Default"/>
              <w:rPr>
                <w:noProof/>
                <w:sz w:val="20"/>
                <w:szCs w:val="20"/>
              </w:rPr>
            </w:pPr>
            <w:r>
              <w:rPr>
                <w:b/>
                <w:noProof/>
                <w:sz w:val="20"/>
              </w:rPr>
              <w:t>Instrument to deter and counteract coercive actions by third countries</w:t>
            </w:r>
            <w:r>
              <w:rPr>
                <w:noProof/>
                <w:sz w:val="20"/>
              </w:rPr>
              <w:t xml:space="preserve"> (legislative, incl. impact assessment, Article 207,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Performance framework 2021-2027</w:t>
            </w:r>
          </w:p>
        </w:tc>
        <w:tc>
          <w:tcPr>
            <w:tcW w:w="10064" w:type="dxa"/>
            <w:tcBorders>
              <w:bottom w:val="single" w:sz="4" w:space="0" w:color="auto"/>
            </w:tcBorders>
            <w:tcMar>
              <w:top w:w="85" w:type="dxa"/>
              <w:bottom w:w="85" w:type="dxa"/>
            </w:tcMar>
          </w:tcPr>
          <w:p>
            <w:pPr>
              <w:pStyle w:val="Default"/>
              <w:rPr>
                <w:noProof/>
                <w:sz w:val="20"/>
                <w:szCs w:val="20"/>
              </w:rPr>
            </w:pPr>
            <w:r>
              <w:rPr>
                <w:b/>
                <w:bCs/>
                <w:noProof/>
                <w:sz w:val="20"/>
              </w:rPr>
              <w:t>Communication on the performance framework 2021-2027</w:t>
            </w:r>
            <w:r>
              <w:rPr>
                <w:noProof/>
                <w:sz w:val="20"/>
              </w:rPr>
              <w:t xml:space="preserve"> (non-legislative, Q2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975"/>
              </w:tabs>
              <w:spacing w:after="0"/>
              <w:rPr>
                <w:b/>
                <w:bCs/>
                <w:noProof/>
                <w:color w:val="000000"/>
                <w:sz w:val="20"/>
              </w:rPr>
            </w:pPr>
            <w:r>
              <w:rPr>
                <w:b/>
                <w:bCs/>
                <w:noProof/>
                <w:color w:val="000000"/>
                <w:sz w:val="20"/>
              </w:rPr>
              <w:t>Completing the Banking Union</w:t>
            </w:r>
          </w:p>
        </w:tc>
        <w:tc>
          <w:tcPr>
            <w:tcW w:w="10064" w:type="dxa"/>
            <w:tcBorders>
              <w:bottom w:val="single" w:sz="4" w:space="0" w:color="auto"/>
            </w:tcBorders>
            <w:tcMar>
              <w:top w:w="85" w:type="dxa"/>
              <w:bottom w:w="85" w:type="dxa"/>
            </w:tcMar>
          </w:tcPr>
          <w:p>
            <w:pPr>
              <w:pStyle w:val="Default"/>
              <w:rPr>
                <w:noProof/>
                <w:sz w:val="20"/>
                <w:szCs w:val="20"/>
              </w:rPr>
            </w:pPr>
            <w:r>
              <w:rPr>
                <w:b/>
                <w:noProof/>
                <w:sz w:val="20"/>
              </w:rPr>
              <w:t>Revision of the bank crisis management and deposit insurance framework</w:t>
            </w:r>
            <w:r>
              <w:rPr>
                <w:noProof/>
                <w:sz w:val="20"/>
              </w:rPr>
              <w:t xml:space="preserve"> (legislative, incl. impact assessment, </w:t>
            </w:r>
            <w:r>
              <w:rPr>
                <w:noProof/>
                <w:sz w:val="20"/>
                <w:szCs w:val="20"/>
              </w:rPr>
              <w:t>Article 114</w:t>
            </w:r>
            <w:r>
              <w:rPr>
                <w:noProof/>
              </w:rPr>
              <w:t xml:space="preserve"> </w:t>
            </w:r>
            <w:r>
              <w:rPr>
                <w:noProof/>
                <w:sz w:val="20"/>
              </w:rPr>
              <w:t>TFEU,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lang w:val="en-US"/>
              </w:rPr>
              <w:t>Excise duties package</w:t>
            </w:r>
          </w:p>
        </w:tc>
        <w:tc>
          <w:tcPr>
            <w:tcW w:w="10064" w:type="dxa"/>
            <w:tcBorders>
              <w:bottom w:val="single" w:sz="4" w:space="0" w:color="auto"/>
            </w:tcBorders>
            <w:tcMar>
              <w:top w:w="85" w:type="dxa"/>
              <w:bottom w:w="85" w:type="dxa"/>
            </w:tcMar>
          </w:tcPr>
          <w:p>
            <w:pPr>
              <w:pStyle w:val="Default"/>
              <w:numPr>
                <w:ilvl w:val="0"/>
                <w:numId w:val="33"/>
              </w:numPr>
              <w:ind w:left="334" w:hanging="334"/>
              <w:rPr>
                <w:b/>
                <w:noProof/>
                <w:sz w:val="20"/>
                <w:szCs w:val="20"/>
              </w:rPr>
            </w:pPr>
            <w:r>
              <w:rPr>
                <w:b/>
                <w:noProof/>
                <w:sz w:val="20"/>
                <w:szCs w:val="20"/>
              </w:rPr>
              <w:t xml:space="preserve">Revision of the tobacco taxation Directive </w:t>
            </w:r>
            <w:r>
              <w:rPr>
                <w:noProof/>
                <w:sz w:val="20"/>
              </w:rPr>
              <w:t>(legislative, incl. impact assessment, Article 113 TFEU, Q3 2021)</w:t>
            </w:r>
          </w:p>
          <w:p>
            <w:pPr>
              <w:pStyle w:val="Default"/>
              <w:numPr>
                <w:ilvl w:val="0"/>
                <w:numId w:val="33"/>
              </w:numPr>
              <w:ind w:left="334" w:hanging="334"/>
              <w:rPr>
                <w:b/>
                <w:noProof/>
                <w:sz w:val="20"/>
                <w:szCs w:val="20"/>
              </w:rPr>
            </w:pPr>
            <w:r>
              <w:rPr>
                <w:b/>
                <w:noProof/>
                <w:sz w:val="20"/>
                <w:szCs w:val="20"/>
              </w:rPr>
              <w:t xml:space="preserve">Amendment of the Directive on general arrangements for excise duties </w:t>
            </w:r>
            <w:r>
              <w:rPr>
                <w:noProof/>
                <w:sz w:val="20"/>
              </w:rPr>
              <w:t>(legislative, incl. impact assessment, Article 113 TFEU, Q4 2021)</w:t>
            </w:r>
          </w:p>
        </w:tc>
      </w:tr>
      <w:tr>
        <w:trPr>
          <w:cantSplit/>
        </w:trPr>
        <w:tc>
          <w:tcPr>
            <w:tcW w:w="14827" w:type="dxa"/>
            <w:gridSpan w:val="3"/>
            <w:tcBorders>
              <w:bottom w:val="single" w:sz="4" w:space="0" w:color="auto"/>
            </w:tcBorders>
            <w:shd w:val="clear" w:color="auto" w:fill="585EAA" w:themeFill="accent4"/>
          </w:tcPr>
          <w:p>
            <w:pPr>
              <w:keepNext/>
              <w:spacing w:before="60" w:after="60"/>
              <w:rPr>
                <w:b/>
                <w:bCs/>
                <w:noProof/>
                <w:sz w:val="20"/>
              </w:rPr>
            </w:pPr>
            <w:r>
              <w:rPr>
                <w:b/>
                <w:bCs/>
                <w:noProof/>
                <w:color w:val="FFFFFF" w:themeColor="background1"/>
                <w:sz w:val="20"/>
              </w:rPr>
              <w:t>A Stronger Europe in the World</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Strengthening the EU’s contribution to rules-based multilateralism</w:t>
            </w:r>
          </w:p>
        </w:tc>
        <w:tc>
          <w:tcPr>
            <w:tcW w:w="10064" w:type="dxa"/>
            <w:tcBorders>
              <w:bottom w:val="single" w:sz="4" w:space="0" w:color="auto"/>
            </w:tcBorders>
            <w:tcMar>
              <w:top w:w="85" w:type="dxa"/>
              <w:bottom w:w="85" w:type="dxa"/>
            </w:tcMar>
          </w:tcPr>
          <w:p>
            <w:pPr>
              <w:spacing w:after="0"/>
              <w:jc w:val="left"/>
              <w:rPr>
                <w:noProof/>
                <w:sz w:val="20"/>
              </w:rPr>
            </w:pPr>
            <w:r>
              <w:rPr>
                <w:b/>
                <w:noProof/>
                <w:sz w:val="20"/>
              </w:rPr>
              <w:t>Joint communication on strengthening the EU’s contribution to rules-based multilateralism</w:t>
            </w:r>
            <w:r>
              <w:rPr>
                <w:noProof/>
                <w:sz w:val="20"/>
              </w:rPr>
              <w:t xml:space="preserve"> (non-legislative, Q2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color w:val="000000" w:themeColor="text1"/>
                <w:sz w:val="20"/>
              </w:rPr>
            </w:pPr>
            <w:r>
              <w:rPr>
                <w:b/>
                <w:noProof/>
                <w:color w:val="000000" w:themeColor="text1"/>
                <w:sz w:val="20"/>
              </w:rPr>
              <w:t>The Arctic dimension</w:t>
            </w:r>
          </w:p>
        </w:tc>
        <w:tc>
          <w:tcPr>
            <w:tcW w:w="10064" w:type="dxa"/>
            <w:tcBorders>
              <w:bottom w:val="single" w:sz="4" w:space="0" w:color="auto"/>
            </w:tcBorders>
            <w:tcMar>
              <w:top w:w="85" w:type="dxa"/>
              <w:bottom w:w="85" w:type="dxa"/>
            </w:tcMar>
          </w:tcPr>
          <w:p>
            <w:pPr>
              <w:spacing w:after="0"/>
              <w:jc w:val="left"/>
              <w:rPr>
                <w:b/>
                <w:noProof/>
                <w:sz w:val="20"/>
              </w:rPr>
            </w:pPr>
            <w:r>
              <w:rPr>
                <w:b/>
                <w:noProof/>
                <w:sz w:val="20"/>
              </w:rPr>
              <w:t xml:space="preserve">Joint Communication on the Arctic </w:t>
            </w:r>
            <w:r>
              <w:rPr>
                <w:noProof/>
                <w:sz w:val="20"/>
                <w:lang w:val="en-US"/>
              </w:rPr>
              <w:t>(non-legislative, Q4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en-IE"/>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color w:val="000000"/>
                <w:sz w:val="20"/>
              </w:rPr>
              <w:t>Southern Neighbourhood</w:t>
            </w:r>
          </w:p>
        </w:tc>
        <w:tc>
          <w:tcPr>
            <w:tcW w:w="10064" w:type="dxa"/>
            <w:tcMar>
              <w:top w:w="85" w:type="dxa"/>
              <w:bottom w:w="85" w:type="dxa"/>
            </w:tcMar>
          </w:tcPr>
          <w:p>
            <w:pPr>
              <w:spacing w:after="0"/>
              <w:jc w:val="left"/>
              <w:rPr>
                <w:noProof/>
                <w:sz w:val="20"/>
                <w:lang w:val="en-US"/>
              </w:rPr>
            </w:pPr>
            <w:r>
              <w:rPr>
                <w:b/>
                <w:noProof/>
                <w:sz w:val="20"/>
                <w:lang w:val="en-US"/>
              </w:rPr>
              <w:t>Joint Communication on</w:t>
            </w:r>
            <w:r>
              <w:rPr>
                <w:noProof/>
                <w:sz w:val="20"/>
                <w:lang w:val="en-US"/>
              </w:rPr>
              <w:t xml:space="preserve"> a </w:t>
            </w:r>
            <w:r>
              <w:rPr>
                <w:b/>
                <w:noProof/>
                <w:sz w:val="20"/>
                <w:lang w:val="en-US"/>
              </w:rPr>
              <w:t>r</w:t>
            </w:r>
            <w:r>
              <w:rPr>
                <w:b/>
                <w:bCs/>
                <w:noProof/>
                <w:color w:val="000000"/>
                <w:sz w:val="20"/>
              </w:rPr>
              <w:t>enewed partnership with the Southern Neighbourhood</w:t>
            </w:r>
            <w:r>
              <w:rPr>
                <w:noProof/>
                <w:sz w:val="20"/>
                <w:lang w:val="en-US"/>
              </w:rPr>
              <w:t xml:space="preserve"> (non-legislative, Q1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en-US"/>
              </w:rPr>
            </w:pPr>
          </w:p>
        </w:tc>
        <w:tc>
          <w:tcPr>
            <w:tcW w:w="4252" w:type="dxa"/>
            <w:tcBorders>
              <w:left w:val="single" w:sz="4" w:space="0" w:color="auto"/>
            </w:tcBorders>
            <w:tcMar>
              <w:top w:w="85" w:type="dxa"/>
              <w:bottom w:w="85" w:type="dxa"/>
            </w:tcMar>
          </w:tcPr>
          <w:p>
            <w:pPr>
              <w:spacing w:after="0"/>
              <w:rPr>
                <w:b/>
                <w:bCs/>
                <w:noProof/>
                <w:sz w:val="20"/>
                <w:lang w:val="fr-BE"/>
              </w:rPr>
            </w:pPr>
            <w:r>
              <w:rPr>
                <w:b/>
                <w:bCs/>
                <w:noProof/>
                <w:sz w:val="20"/>
                <w:lang w:val="fr-BE"/>
              </w:rPr>
              <w:t>Disarmament, demobilisation and reintegration of ex-combatants</w:t>
            </w:r>
          </w:p>
        </w:tc>
        <w:tc>
          <w:tcPr>
            <w:tcW w:w="10064" w:type="dxa"/>
            <w:tcMar>
              <w:top w:w="85" w:type="dxa"/>
              <w:bottom w:w="85" w:type="dxa"/>
            </w:tcMar>
          </w:tcPr>
          <w:p>
            <w:pPr>
              <w:spacing w:after="0"/>
              <w:jc w:val="left"/>
              <w:rPr>
                <w:b/>
                <w:bCs/>
                <w:noProof/>
                <w:sz w:val="20"/>
              </w:rPr>
            </w:pPr>
            <w:r>
              <w:rPr>
                <w:b/>
                <w:bCs/>
                <w:noProof/>
                <w:sz w:val="20"/>
              </w:rPr>
              <w:t>Joint Communication on a strategic approach to support disarmament, demobilisation and reintegration of ex-combatants</w:t>
            </w:r>
            <w:r>
              <w:rPr>
                <w:noProof/>
                <w:sz w:val="20"/>
              </w:rPr>
              <w:t xml:space="preserve"> (non-legislative, Q3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sz w:val="20"/>
              </w:rPr>
            </w:pPr>
            <w:r>
              <w:rPr>
                <w:b/>
                <w:bCs/>
                <w:noProof/>
                <w:sz w:val="20"/>
                <w:lang w:val="en-US"/>
              </w:rPr>
              <w:t>Research, innovation, education and youth</w:t>
            </w:r>
          </w:p>
        </w:tc>
        <w:tc>
          <w:tcPr>
            <w:tcW w:w="10064" w:type="dxa"/>
            <w:tcMar>
              <w:top w:w="85" w:type="dxa"/>
              <w:bottom w:w="85" w:type="dxa"/>
            </w:tcMar>
          </w:tcPr>
          <w:p>
            <w:pPr>
              <w:spacing w:after="0"/>
              <w:jc w:val="left"/>
              <w:rPr>
                <w:b/>
                <w:bCs/>
                <w:noProof/>
                <w:sz w:val="20"/>
              </w:rPr>
            </w:pPr>
            <w:r>
              <w:rPr>
                <w:b/>
                <w:noProof/>
                <w:sz w:val="20"/>
              </w:rPr>
              <w:t>Communication on</w:t>
            </w:r>
            <w:r>
              <w:rPr>
                <w:b/>
                <w:bCs/>
                <w:noProof/>
                <w:sz w:val="20"/>
                <w:lang w:val="en-US"/>
              </w:rPr>
              <w:t xml:space="preserve"> the global approach to research, innovation, education and youth</w:t>
            </w:r>
            <w:r>
              <w:rPr>
                <w:noProof/>
                <w:sz w:val="20"/>
              </w:rPr>
              <w:t xml:space="preserve"> (non-legislative, Q2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035"/>
              </w:tabs>
              <w:spacing w:after="0"/>
              <w:rPr>
                <w:b/>
                <w:bCs/>
                <w:noProof/>
                <w:sz w:val="20"/>
              </w:rPr>
            </w:pPr>
            <w:r>
              <w:rPr>
                <w:b/>
                <w:bCs/>
                <w:noProof/>
                <w:sz w:val="20"/>
              </w:rPr>
              <w:t xml:space="preserve">EU’s humanitarian aid </w:t>
            </w:r>
          </w:p>
        </w:tc>
        <w:tc>
          <w:tcPr>
            <w:tcW w:w="10064" w:type="dxa"/>
            <w:tcMar>
              <w:top w:w="85" w:type="dxa"/>
              <w:bottom w:w="85" w:type="dxa"/>
            </w:tcMar>
          </w:tcPr>
          <w:p>
            <w:pPr>
              <w:spacing w:after="0"/>
              <w:rPr>
                <w:b/>
                <w:bCs/>
                <w:noProof/>
                <w:sz w:val="20"/>
              </w:rPr>
            </w:pPr>
            <w:r>
              <w:rPr>
                <w:b/>
                <w:bCs/>
                <w:noProof/>
                <w:sz w:val="20"/>
                <w:lang w:val="en-US"/>
              </w:rPr>
              <w:t>Communication on the EU’s humanitarian aid in the context of the COVID-19 pandemic and beyond</w:t>
            </w:r>
            <w:r>
              <w:rPr>
                <w:noProof/>
                <w:sz w:val="20"/>
              </w:rPr>
              <w:t xml:space="preserve"> (non-legislative, Q1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035"/>
              </w:tabs>
              <w:spacing w:after="0"/>
              <w:rPr>
                <w:b/>
                <w:bCs/>
                <w:noProof/>
                <w:sz w:val="20"/>
              </w:rPr>
            </w:pPr>
            <w:r>
              <w:rPr>
                <w:b/>
                <w:noProof/>
                <w:sz w:val="20"/>
              </w:rPr>
              <w:t>Consular protection</w:t>
            </w:r>
          </w:p>
        </w:tc>
        <w:tc>
          <w:tcPr>
            <w:tcW w:w="10064" w:type="dxa"/>
            <w:tcMar>
              <w:top w:w="85" w:type="dxa"/>
              <w:bottom w:w="85" w:type="dxa"/>
            </w:tcMar>
          </w:tcPr>
          <w:p>
            <w:pPr>
              <w:spacing w:after="0"/>
              <w:rPr>
                <w:b/>
                <w:bCs/>
                <w:noProof/>
                <w:sz w:val="20"/>
                <w:lang w:val="en-US"/>
              </w:rPr>
            </w:pPr>
            <w:r>
              <w:rPr>
                <w:b/>
                <w:bCs/>
                <w:noProof/>
                <w:sz w:val="20"/>
              </w:rPr>
              <w:t xml:space="preserve">Consular protection – review of EU rules </w:t>
            </w:r>
            <w:r>
              <w:rPr>
                <w:bCs/>
                <w:noProof/>
                <w:sz w:val="20"/>
              </w:rPr>
              <w:t>(legislative, Article 23 TFEU, Q4 2021)</w:t>
            </w:r>
          </w:p>
        </w:tc>
      </w:tr>
      <w:tr>
        <w:trPr>
          <w:cantSplit/>
        </w:trPr>
        <w:tc>
          <w:tcPr>
            <w:tcW w:w="14827" w:type="dxa"/>
            <w:gridSpan w:val="3"/>
            <w:tcBorders>
              <w:bottom w:val="single" w:sz="4" w:space="0" w:color="auto"/>
            </w:tcBorders>
            <w:shd w:val="clear" w:color="auto" w:fill="DA5C57" w:themeFill="accent6"/>
          </w:tcPr>
          <w:p>
            <w:pPr>
              <w:keepNext/>
              <w:spacing w:before="60" w:after="60"/>
              <w:rPr>
                <w:b/>
                <w:bCs/>
                <w:noProof/>
                <w:sz w:val="20"/>
              </w:rPr>
            </w:pPr>
            <w:r>
              <w:rPr>
                <w:b/>
                <w:bCs/>
                <w:noProof/>
                <w:color w:val="FFFFFF" w:themeColor="background1"/>
                <w:sz w:val="20"/>
              </w:rPr>
              <w:t>Promoting our European Way of Life</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color w:val="000000"/>
                <w:sz w:val="20"/>
              </w:rPr>
              <w:t>European biomedical research and development</w:t>
            </w:r>
          </w:p>
        </w:tc>
        <w:tc>
          <w:tcPr>
            <w:tcW w:w="10064" w:type="dxa"/>
            <w:tcMar>
              <w:top w:w="85" w:type="dxa"/>
              <w:bottom w:w="85" w:type="dxa"/>
            </w:tcMar>
          </w:tcPr>
          <w:p>
            <w:pPr>
              <w:spacing w:after="0"/>
              <w:jc w:val="left"/>
              <w:rPr>
                <w:noProof/>
                <w:sz w:val="20"/>
              </w:rPr>
            </w:pPr>
            <w:r>
              <w:rPr>
                <w:b/>
                <w:bCs/>
                <w:noProof/>
                <w:color w:val="000000"/>
                <w:sz w:val="20"/>
              </w:rPr>
              <w:t>Proposal to establish a new European biomedical research and development agency</w:t>
            </w:r>
            <w:r>
              <w:rPr>
                <w:noProof/>
                <w:sz w:val="20"/>
              </w:rPr>
              <w:t xml:space="preserve"> (legislative, incl. impact assessment,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1005"/>
              </w:tabs>
              <w:spacing w:after="0"/>
              <w:rPr>
                <w:b/>
                <w:bCs/>
                <w:noProof/>
                <w:color w:val="000000"/>
                <w:sz w:val="20"/>
              </w:rPr>
            </w:pPr>
            <w:r>
              <w:rPr>
                <w:b/>
                <w:bCs/>
                <w:noProof/>
                <w:color w:val="000000"/>
                <w:sz w:val="20"/>
              </w:rPr>
              <w:t>European health data space</w:t>
            </w:r>
          </w:p>
        </w:tc>
        <w:tc>
          <w:tcPr>
            <w:tcW w:w="10064" w:type="dxa"/>
            <w:tcBorders>
              <w:bottom w:val="single" w:sz="4" w:space="0" w:color="auto"/>
            </w:tcBorders>
            <w:tcMar>
              <w:top w:w="85" w:type="dxa"/>
              <w:bottom w:w="85" w:type="dxa"/>
            </w:tcMar>
          </w:tcPr>
          <w:p>
            <w:pPr>
              <w:spacing w:after="0"/>
              <w:jc w:val="left"/>
              <w:rPr>
                <w:noProof/>
                <w:sz w:val="20"/>
              </w:rPr>
            </w:pPr>
            <w:r>
              <w:rPr>
                <w:b/>
                <w:bCs/>
                <w:noProof/>
                <w:color w:val="000000"/>
                <w:sz w:val="20"/>
              </w:rPr>
              <w:t>European health data space</w:t>
            </w:r>
            <w:r>
              <w:rPr>
                <w:noProof/>
                <w:sz w:val="20"/>
              </w:rPr>
              <w:t xml:space="preserve"> (legislative, incl. impact assessment, Articles 114 and 168 TFEU, Q4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noProof/>
                <w:sz w:val="20"/>
              </w:rPr>
            </w:pPr>
            <w:r>
              <w:rPr>
                <w:b/>
                <w:noProof/>
                <w:sz w:val="20"/>
              </w:rPr>
              <w:t>Follow-up initiatives under the new pact on migration and asylum</w:t>
            </w:r>
          </w:p>
        </w:tc>
        <w:tc>
          <w:tcPr>
            <w:tcW w:w="10064" w:type="dxa"/>
            <w:tcMar>
              <w:top w:w="85" w:type="dxa"/>
              <w:bottom w:w="85" w:type="dxa"/>
            </w:tcMar>
          </w:tcPr>
          <w:p>
            <w:pPr>
              <w:pStyle w:val="ListParagraph"/>
              <w:numPr>
                <w:ilvl w:val="0"/>
                <w:numId w:val="34"/>
              </w:numPr>
              <w:spacing w:after="0" w:line="240" w:lineRule="atLeast"/>
              <w:ind w:left="334" w:hanging="334"/>
              <w:jc w:val="left"/>
              <w:rPr>
                <w:b/>
                <w:noProof/>
                <w:sz w:val="20"/>
              </w:rPr>
            </w:pPr>
            <w:r>
              <w:rPr>
                <w:b/>
                <w:noProof/>
                <w:sz w:val="20"/>
              </w:rPr>
              <w:t xml:space="preserve">A new EU action plan against migrant smuggling </w:t>
            </w:r>
            <w:r>
              <w:rPr>
                <w:noProof/>
                <w:sz w:val="20"/>
              </w:rPr>
              <w:t>(non-legislative, Q2 2021)</w:t>
            </w:r>
          </w:p>
          <w:p>
            <w:pPr>
              <w:pStyle w:val="ListParagraph"/>
              <w:numPr>
                <w:ilvl w:val="0"/>
                <w:numId w:val="34"/>
              </w:numPr>
              <w:spacing w:after="0" w:line="240" w:lineRule="atLeast"/>
              <w:ind w:left="334" w:hanging="334"/>
              <w:jc w:val="left"/>
              <w:rPr>
                <w:noProof/>
                <w:sz w:val="20"/>
              </w:rPr>
            </w:pPr>
            <w:r>
              <w:rPr>
                <w:b/>
                <w:noProof/>
                <w:sz w:val="20"/>
              </w:rPr>
              <w:t xml:space="preserve">A new strategy on voluntary returns and reintegration </w:t>
            </w:r>
            <w:r>
              <w:rPr>
                <w:noProof/>
                <w:sz w:val="20"/>
              </w:rPr>
              <w:t>(non-legislative, Q2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noProof/>
                <w:sz w:val="20"/>
              </w:rPr>
              <w:t>Schengen package</w:t>
            </w:r>
          </w:p>
        </w:tc>
        <w:tc>
          <w:tcPr>
            <w:tcW w:w="10064" w:type="dxa"/>
            <w:tcBorders>
              <w:bottom w:val="single" w:sz="4" w:space="0" w:color="auto"/>
            </w:tcBorders>
            <w:tcMar>
              <w:top w:w="85" w:type="dxa"/>
              <w:bottom w:w="85" w:type="dxa"/>
            </w:tcMar>
          </w:tcPr>
          <w:p>
            <w:pPr>
              <w:pStyle w:val="ListParagraph"/>
              <w:numPr>
                <w:ilvl w:val="0"/>
                <w:numId w:val="35"/>
              </w:numPr>
              <w:spacing w:after="0"/>
              <w:ind w:left="334" w:hanging="334"/>
              <w:jc w:val="left"/>
              <w:rPr>
                <w:b/>
                <w:noProof/>
                <w:sz w:val="20"/>
              </w:rPr>
            </w:pPr>
            <w:r>
              <w:rPr>
                <w:b/>
                <w:noProof/>
                <w:sz w:val="20"/>
              </w:rPr>
              <w:t xml:space="preserve">Strategy on the future of Schengen </w:t>
            </w:r>
            <w:r>
              <w:rPr>
                <w:noProof/>
                <w:sz w:val="20"/>
              </w:rPr>
              <w:t>(non-legislative, Q2 2021)</w:t>
            </w:r>
          </w:p>
          <w:p>
            <w:pPr>
              <w:pStyle w:val="ListParagraph"/>
              <w:numPr>
                <w:ilvl w:val="0"/>
                <w:numId w:val="35"/>
              </w:numPr>
              <w:spacing w:after="0"/>
              <w:ind w:left="334" w:hanging="334"/>
              <w:jc w:val="left"/>
              <w:rPr>
                <w:b/>
                <w:noProof/>
                <w:sz w:val="20"/>
              </w:rPr>
            </w:pPr>
            <w:r>
              <w:rPr>
                <w:b/>
                <w:noProof/>
                <w:sz w:val="20"/>
              </w:rPr>
              <w:t xml:space="preserve">Amendment of the Regulation establishing the Schengen Evaluation Mechanism </w:t>
            </w:r>
            <w:r>
              <w:rPr>
                <w:noProof/>
                <w:sz w:val="20"/>
              </w:rPr>
              <w:t>(legislative, incl. impact assessment, Article 70 TFEU, Q2 2021)</w:t>
            </w:r>
          </w:p>
          <w:p>
            <w:pPr>
              <w:pStyle w:val="ListParagraph"/>
              <w:numPr>
                <w:ilvl w:val="0"/>
                <w:numId w:val="35"/>
              </w:numPr>
              <w:spacing w:after="0"/>
              <w:ind w:left="334" w:hanging="334"/>
              <w:jc w:val="left"/>
              <w:rPr>
                <w:noProof/>
                <w:sz w:val="20"/>
              </w:rPr>
            </w:pPr>
            <w:r>
              <w:rPr>
                <w:b/>
                <w:noProof/>
                <w:sz w:val="20"/>
              </w:rPr>
              <w:t xml:space="preserve">Revision of the Schengen Borders Code </w:t>
            </w:r>
            <w:r>
              <w:rPr>
                <w:noProof/>
                <w:sz w:val="20"/>
              </w:rPr>
              <w:t>(legislative, incl. impact assessment, Article 77 TFEU, Q2 2021)</w:t>
            </w:r>
          </w:p>
          <w:p>
            <w:pPr>
              <w:pStyle w:val="ListParagraph"/>
              <w:numPr>
                <w:ilvl w:val="0"/>
                <w:numId w:val="35"/>
              </w:numPr>
              <w:spacing w:after="0"/>
              <w:ind w:left="334" w:hanging="334"/>
              <w:jc w:val="left"/>
              <w:rPr>
                <w:noProof/>
                <w:sz w:val="20"/>
              </w:rPr>
            </w:pPr>
            <w:r>
              <w:rPr>
                <w:b/>
                <w:noProof/>
                <w:sz w:val="20"/>
              </w:rPr>
              <w:t>Digitalisation of visa procedures</w:t>
            </w:r>
            <w:r>
              <w:rPr>
                <w:noProof/>
                <w:sz w:val="20"/>
              </w:rPr>
              <w:t xml:space="preserve"> (legislative, incl. impact assessment, Art. 77 TFEU,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Follow-up to the EU security strategy</w:t>
            </w:r>
          </w:p>
        </w:tc>
        <w:tc>
          <w:tcPr>
            <w:tcW w:w="10064" w:type="dxa"/>
            <w:tcBorders>
              <w:bottom w:val="single" w:sz="4" w:space="0" w:color="auto"/>
            </w:tcBorders>
            <w:tcMar>
              <w:top w:w="85" w:type="dxa"/>
              <w:bottom w:w="85" w:type="dxa"/>
            </w:tcMar>
          </w:tcPr>
          <w:p>
            <w:pPr>
              <w:pStyle w:val="ListParagraph"/>
              <w:numPr>
                <w:ilvl w:val="0"/>
                <w:numId w:val="36"/>
              </w:numPr>
              <w:spacing w:after="0"/>
              <w:ind w:left="334" w:hanging="334"/>
              <w:jc w:val="left"/>
              <w:rPr>
                <w:noProof/>
                <w:sz w:val="20"/>
              </w:rPr>
            </w:pPr>
            <w:r>
              <w:rPr>
                <w:b/>
                <w:noProof/>
                <w:sz w:val="20"/>
              </w:rPr>
              <w:t>Communication on an EU Agenda to tackle organised crime (2021-2025)</w:t>
            </w:r>
            <w:r>
              <w:rPr>
                <w:noProof/>
                <w:sz w:val="20"/>
              </w:rPr>
              <w:t xml:space="preserve"> (non-legislative, Q1 2021)</w:t>
            </w:r>
          </w:p>
          <w:p>
            <w:pPr>
              <w:pStyle w:val="ListParagraph"/>
              <w:numPr>
                <w:ilvl w:val="0"/>
                <w:numId w:val="36"/>
              </w:numPr>
              <w:spacing w:after="0"/>
              <w:ind w:left="334" w:hanging="334"/>
              <w:jc w:val="left"/>
              <w:rPr>
                <w:noProof/>
                <w:sz w:val="20"/>
              </w:rPr>
            </w:pPr>
            <w:r>
              <w:rPr>
                <w:b/>
                <w:noProof/>
                <w:sz w:val="20"/>
              </w:rPr>
              <w:t>Legislation to effectively</w:t>
            </w:r>
            <w:r>
              <w:rPr>
                <w:noProof/>
                <w:sz w:val="20"/>
              </w:rPr>
              <w:t xml:space="preserve"> </w:t>
            </w:r>
            <w:r>
              <w:rPr>
                <w:b/>
                <w:noProof/>
                <w:sz w:val="20"/>
              </w:rPr>
              <w:t xml:space="preserve">tackle child sexual abuse online </w:t>
            </w:r>
            <w:r>
              <w:rPr>
                <w:noProof/>
                <w:sz w:val="20"/>
              </w:rPr>
              <w:t>(legislative, incl. impact assessment, Article 114 TFEU, Q2 2021)</w:t>
            </w:r>
          </w:p>
          <w:p>
            <w:pPr>
              <w:pStyle w:val="ListParagraph"/>
              <w:numPr>
                <w:ilvl w:val="0"/>
                <w:numId w:val="36"/>
              </w:numPr>
              <w:spacing w:after="0"/>
              <w:ind w:left="334" w:hanging="334"/>
              <w:jc w:val="left"/>
              <w:rPr>
                <w:noProof/>
                <w:sz w:val="20"/>
              </w:rPr>
            </w:pPr>
            <w:r>
              <w:rPr>
                <w:b/>
                <w:noProof/>
                <w:sz w:val="20"/>
              </w:rPr>
              <w:t>An EU agenda on counter-terrorism: prevent, protect, respond, anticipate</w:t>
            </w:r>
            <w:r>
              <w:rPr>
                <w:noProof/>
                <w:sz w:val="20"/>
              </w:rPr>
              <w:t xml:space="preserve"> (non-legislative, Q3 2021)</w:t>
            </w:r>
          </w:p>
          <w:p>
            <w:pPr>
              <w:pStyle w:val="ListParagraph"/>
              <w:numPr>
                <w:ilvl w:val="0"/>
                <w:numId w:val="36"/>
              </w:numPr>
              <w:spacing w:after="0"/>
              <w:ind w:left="334" w:hanging="334"/>
              <w:jc w:val="left"/>
              <w:rPr>
                <w:noProof/>
                <w:sz w:val="20"/>
              </w:rPr>
            </w:pPr>
            <w:r>
              <w:rPr>
                <w:b/>
                <w:noProof/>
                <w:sz w:val="20"/>
              </w:rPr>
              <w:t>Revision of the Directive on the freezing and confiscation of the proceeds of crime</w:t>
            </w:r>
            <w:r>
              <w:rPr>
                <w:noProof/>
                <w:sz w:val="20"/>
              </w:rPr>
              <w:t xml:space="preserve"> (legislative, incl. impact assessment, Articles 82 and 83 TFEU, Q4 2021)</w:t>
            </w:r>
          </w:p>
          <w:p>
            <w:pPr>
              <w:pStyle w:val="ListParagraph"/>
              <w:numPr>
                <w:ilvl w:val="0"/>
                <w:numId w:val="36"/>
              </w:numPr>
              <w:spacing w:after="0"/>
              <w:ind w:left="334" w:hanging="334"/>
              <w:jc w:val="left"/>
              <w:rPr>
                <w:noProof/>
                <w:sz w:val="20"/>
              </w:rPr>
            </w:pPr>
            <w:r>
              <w:rPr>
                <w:b/>
                <w:noProof/>
                <w:sz w:val="20"/>
              </w:rPr>
              <w:t>Proposal to modernise existing intra-EU law enforcement cooperation by creating an EU police cooperation code</w:t>
            </w:r>
            <w:r>
              <w:rPr>
                <w:noProof/>
                <w:sz w:val="20"/>
              </w:rPr>
              <w:t xml:space="preserve"> (legislative, incl. impact assessment, Q4 2021)</w:t>
            </w:r>
          </w:p>
          <w:p>
            <w:pPr>
              <w:pStyle w:val="ListParagraph"/>
              <w:numPr>
                <w:ilvl w:val="0"/>
                <w:numId w:val="36"/>
              </w:numPr>
              <w:spacing w:after="0"/>
              <w:ind w:left="334" w:hanging="334"/>
              <w:jc w:val="left"/>
              <w:rPr>
                <w:noProof/>
                <w:sz w:val="20"/>
              </w:rPr>
            </w:pPr>
            <w:r>
              <w:rPr>
                <w:b/>
                <w:noProof/>
                <w:sz w:val="20"/>
              </w:rPr>
              <w:t>Proposal for a Directive on Asset Recovery Offices</w:t>
            </w:r>
            <w:r>
              <w:rPr>
                <w:noProof/>
                <w:sz w:val="20"/>
              </w:rPr>
              <w:t xml:space="preserve"> (legislative, incl. impact assessment, Article 87 TFEU,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Follow-up to the European Education Area and the updated skills agenda</w:t>
            </w:r>
          </w:p>
        </w:tc>
        <w:tc>
          <w:tcPr>
            <w:tcW w:w="10064" w:type="dxa"/>
            <w:tcBorders>
              <w:bottom w:val="single" w:sz="4" w:space="0" w:color="auto"/>
            </w:tcBorders>
            <w:tcMar>
              <w:top w:w="85" w:type="dxa"/>
              <w:bottom w:w="85" w:type="dxa"/>
            </w:tcMar>
          </w:tcPr>
          <w:p>
            <w:pPr>
              <w:pStyle w:val="ListParagraph"/>
              <w:numPr>
                <w:ilvl w:val="0"/>
                <w:numId w:val="37"/>
              </w:numPr>
              <w:spacing w:after="0"/>
              <w:ind w:left="334" w:hanging="334"/>
              <w:jc w:val="left"/>
              <w:rPr>
                <w:noProof/>
                <w:sz w:val="20"/>
              </w:rPr>
            </w:pPr>
            <w:r>
              <w:rPr>
                <w:b/>
                <w:noProof/>
                <w:sz w:val="20"/>
              </w:rPr>
              <w:t>European approach for micro-credentials</w:t>
            </w:r>
            <w:r>
              <w:rPr>
                <w:noProof/>
                <w:sz w:val="20"/>
              </w:rPr>
              <w:t xml:space="preserve"> (non-legislative, Q4 2021)</w:t>
            </w:r>
          </w:p>
          <w:p>
            <w:pPr>
              <w:pStyle w:val="ListParagraph"/>
              <w:numPr>
                <w:ilvl w:val="0"/>
                <w:numId w:val="37"/>
              </w:numPr>
              <w:spacing w:after="0"/>
              <w:ind w:left="334" w:hanging="334"/>
              <w:jc w:val="left"/>
              <w:rPr>
                <w:noProof/>
                <w:sz w:val="20"/>
              </w:rPr>
            </w:pPr>
            <w:r>
              <w:rPr>
                <w:b/>
                <w:noProof/>
                <w:sz w:val="20"/>
              </w:rPr>
              <w:t xml:space="preserve">Individual learning accounts </w:t>
            </w:r>
            <w:r>
              <w:rPr>
                <w:noProof/>
                <w:sz w:val="20"/>
              </w:rPr>
              <w:t>(legislative and non-legislative, incl. impact assessment,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sz w:val="20"/>
              </w:rPr>
            </w:pPr>
            <w:r>
              <w:rPr>
                <w:b/>
                <w:bCs/>
                <w:noProof/>
                <w:sz w:val="20"/>
              </w:rPr>
              <w:t>EU strategy on combating antisemitism</w:t>
            </w:r>
          </w:p>
        </w:tc>
        <w:tc>
          <w:tcPr>
            <w:tcW w:w="10064" w:type="dxa"/>
            <w:tcBorders>
              <w:bottom w:val="single" w:sz="4" w:space="0" w:color="auto"/>
            </w:tcBorders>
            <w:tcMar>
              <w:top w:w="85" w:type="dxa"/>
              <w:bottom w:w="85" w:type="dxa"/>
            </w:tcMar>
          </w:tcPr>
          <w:p>
            <w:pPr>
              <w:spacing w:after="0"/>
              <w:jc w:val="left"/>
              <w:rPr>
                <w:b/>
                <w:noProof/>
                <w:sz w:val="20"/>
              </w:rPr>
            </w:pPr>
            <w:r>
              <w:rPr>
                <w:b/>
                <w:bCs/>
                <w:noProof/>
                <w:sz w:val="20"/>
              </w:rPr>
              <w:t xml:space="preserve">Communication on the </w:t>
            </w:r>
            <w:r>
              <w:rPr>
                <w:b/>
                <w:noProof/>
                <w:sz w:val="20"/>
              </w:rPr>
              <w:t xml:space="preserve">EU strategy on combating antisemitism </w:t>
            </w:r>
            <w:r>
              <w:rPr>
                <w:noProof/>
                <w:sz w:val="20"/>
              </w:rPr>
              <w:t>(non-legislative, Q4 2021)</w:t>
            </w:r>
          </w:p>
        </w:tc>
      </w:tr>
      <w:tr>
        <w:trPr>
          <w:cantSplit/>
        </w:trPr>
        <w:tc>
          <w:tcPr>
            <w:tcW w:w="14827" w:type="dxa"/>
            <w:gridSpan w:val="3"/>
            <w:tcBorders>
              <w:bottom w:val="single" w:sz="4" w:space="0" w:color="auto"/>
            </w:tcBorders>
            <w:shd w:val="clear" w:color="auto" w:fill="00ADDC" w:themeFill="accent5"/>
          </w:tcPr>
          <w:p>
            <w:pPr>
              <w:keepNext/>
              <w:spacing w:before="60" w:after="60"/>
              <w:rPr>
                <w:b/>
                <w:bCs/>
                <w:noProof/>
                <w:sz w:val="20"/>
              </w:rPr>
            </w:pPr>
            <w:r>
              <w:rPr>
                <w:b/>
                <w:bCs/>
                <w:noProof/>
                <w:color w:val="FFFFFF" w:themeColor="background1"/>
                <w:sz w:val="20"/>
              </w:rPr>
              <w:t>A New Push for European Democracy</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Rights of children</w:t>
            </w:r>
          </w:p>
        </w:tc>
        <w:tc>
          <w:tcPr>
            <w:tcW w:w="10064" w:type="dxa"/>
            <w:tcBorders>
              <w:bottom w:val="single" w:sz="4" w:space="0" w:color="auto"/>
            </w:tcBorders>
            <w:tcMar>
              <w:top w:w="85" w:type="dxa"/>
              <w:bottom w:w="85" w:type="dxa"/>
            </w:tcMar>
          </w:tcPr>
          <w:p>
            <w:pPr>
              <w:spacing w:after="0"/>
              <w:rPr>
                <w:noProof/>
                <w:sz w:val="20"/>
              </w:rPr>
            </w:pPr>
            <w:r>
              <w:rPr>
                <w:b/>
                <w:noProof/>
                <w:sz w:val="20"/>
              </w:rPr>
              <w:t xml:space="preserve">EU strategy on the rights of the child </w:t>
            </w:r>
            <w:r>
              <w:rPr>
                <w:noProof/>
                <w:sz w:val="20"/>
              </w:rPr>
              <w:t xml:space="preserve">(non-legislative, Q1 2021) </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noProof/>
                <w:sz w:val="20"/>
              </w:rPr>
            </w:pPr>
            <w:r>
              <w:rPr>
                <w:b/>
                <w:noProof/>
                <w:sz w:val="20"/>
              </w:rPr>
              <w:t>Preventing and combating specific forms of gender-based violence</w:t>
            </w:r>
          </w:p>
        </w:tc>
        <w:tc>
          <w:tcPr>
            <w:tcW w:w="10064" w:type="dxa"/>
            <w:tcMar>
              <w:top w:w="85" w:type="dxa"/>
              <w:bottom w:w="85" w:type="dxa"/>
            </w:tcMar>
          </w:tcPr>
          <w:p>
            <w:pPr>
              <w:spacing w:after="0"/>
              <w:jc w:val="left"/>
              <w:rPr>
                <w:b/>
                <w:bCs/>
                <w:noProof/>
                <w:sz w:val="20"/>
              </w:rPr>
            </w:pPr>
            <w:r>
              <w:rPr>
                <w:b/>
                <w:noProof/>
                <w:sz w:val="20"/>
              </w:rPr>
              <w:t>Proposal to prevent and combat specific forms of gender-based violence</w:t>
            </w:r>
            <w:r>
              <w:rPr>
                <w:noProof/>
                <w:sz w:val="20"/>
              </w:rPr>
              <w:t xml:space="preserve"> (legislative, incl. impact assessment, Articles 82(2), 83 and 84 TFEU, Q4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245"/>
              </w:tabs>
              <w:spacing w:after="0"/>
              <w:jc w:val="left"/>
              <w:rPr>
                <w:noProof/>
                <w:sz w:val="20"/>
              </w:rPr>
            </w:pPr>
            <w:r>
              <w:rPr>
                <w:b/>
                <w:bCs/>
                <w:noProof/>
                <w:sz w:val="20"/>
              </w:rPr>
              <w:t>Fighting hate crime and hate speech</w:t>
            </w:r>
          </w:p>
        </w:tc>
        <w:tc>
          <w:tcPr>
            <w:tcW w:w="10064" w:type="dxa"/>
            <w:tcMar>
              <w:top w:w="85" w:type="dxa"/>
              <w:bottom w:w="85" w:type="dxa"/>
            </w:tcMar>
          </w:tcPr>
          <w:p>
            <w:pPr>
              <w:spacing w:after="0"/>
              <w:jc w:val="left"/>
              <w:rPr>
                <w:noProof/>
                <w:sz w:val="20"/>
              </w:rPr>
            </w:pPr>
            <w:r>
              <w:rPr>
                <w:b/>
                <w:bCs/>
                <w:noProof/>
                <w:sz w:val="20"/>
              </w:rPr>
              <w:t>Initiative to extend the list of EU crimes to all forms of hate crime and hate speech</w:t>
            </w:r>
            <w:r>
              <w:rPr>
                <w:noProof/>
                <w:sz w:val="20"/>
              </w:rPr>
              <w:t xml:space="preserve"> (legislative, incl. impact assessment, Article 83 TFEU,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930"/>
              </w:tabs>
              <w:spacing w:after="0"/>
              <w:rPr>
                <w:b/>
                <w:noProof/>
                <w:sz w:val="20"/>
              </w:rPr>
            </w:pPr>
            <w:r>
              <w:rPr>
                <w:b/>
                <w:noProof/>
                <w:sz w:val="20"/>
              </w:rPr>
              <w:t>Digital judicial cooperation package</w:t>
            </w:r>
          </w:p>
        </w:tc>
        <w:tc>
          <w:tcPr>
            <w:tcW w:w="10064" w:type="dxa"/>
            <w:tcBorders>
              <w:bottom w:val="single" w:sz="4" w:space="0" w:color="auto"/>
            </w:tcBorders>
            <w:tcMar>
              <w:top w:w="85" w:type="dxa"/>
              <w:bottom w:w="85" w:type="dxa"/>
            </w:tcMar>
          </w:tcPr>
          <w:p>
            <w:pPr>
              <w:pStyle w:val="ListParagraph"/>
              <w:numPr>
                <w:ilvl w:val="0"/>
                <w:numId w:val="39"/>
              </w:numPr>
              <w:spacing w:after="0" w:line="240" w:lineRule="atLeast"/>
              <w:ind w:left="334" w:hanging="334"/>
              <w:jc w:val="left"/>
              <w:rPr>
                <w:noProof/>
                <w:sz w:val="20"/>
              </w:rPr>
            </w:pPr>
            <w:r>
              <w:rPr>
                <w:b/>
                <w:bCs/>
                <w:noProof/>
                <w:sz w:val="20"/>
                <w:lang w:val="en-IE"/>
              </w:rPr>
              <w:t xml:space="preserve">Digital </w:t>
            </w:r>
            <w:r>
              <w:rPr>
                <w:b/>
                <w:bCs/>
                <w:noProof/>
                <w:sz w:val="20"/>
              </w:rPr>
              <w:t xml:space="preserve">information exchange on cross-border terrorism cases </w:t>
            </w:r>
            <w:r>
              <w:rPr>
                <w:noProof/>
                <w:sz w:val="20"/>
              </w:rPr>
              <w:t>(legislative, incl. impact assessment Articles 85 and 88 TFEU, Q4 2021)</w:t>
            </w:r>
          </w:p>
          <w:p>
            <w:pPr>
              <w:pStyle w:val="ListParagraph"/>
              <w:numPr>
                <w:ilvl w:val="0"/>
                <w:numId w:val="39"/>
              </w:numPr>
              <w:spacing w:after="0" w:line="240" w:lineRule="atLeast"/>
              <w:ind w:left="334" w:hanging="334"/>
              <w:jc w:val="left"/>
              <w:rPr>
                <w:noProof/>
                <w:sz w:val="20"/>
              </w:rPr>
            </w:pPr>
            <w:r>
              <w:rPr>
                <w:b/>
                <w:noProof/>
                <w:sz w:val="20"/>
              </w:rPr>
              <w:t xml:space="preserve">Joint Investigation Teams collaboration platform </w:t>
            </w:r>
            <w:r>
              <w:rPr>
                <w:noProof/>
                <w:sz w:val="20"/>
              </w:rPr>
              <w:t>(legislative, incl. impact assessment, Article 82(1)(d) TFEU, Q4 2021)</w:t>
            </w:r>
          </w:p>
          <w:p>
            <w:pPr>
              <w:pStyle w:val="ListParagraph"/>
              <w:numPr>
                <w:ilvl w:val="0"/>
                <w:numId w:val="39"/>
              </w:numPr>
              <w:spacing w:after="0" w:line="240" w:lineRule="atLeast"/>
              <w:ind w:left="334" w:hanging="334"/>
              <w:jc w:val="left"/>
              <w:rPr>
                <w:noProof/>
                <w:sz w:val="20"/>
              </w:rPr>
            </w:pPr>
            <w:r>
              <w:rPr>
                <w:b/>
                <w:bCs/>
                <w:noProof/>
                <w:sz w:val="20"/>
              </w:rPr>
              <w:t xml:space="preserve">Digitalisation of cross-border judicial cooperation </w:t>
            </w:r>
            <w:r>
              <w:rPr>
                <w:noProof/>
                <w:sz w:val="20"/>
              </w:rPr>
              <w:t>(legislative, incl. impact assessment, Articles 81 and 82 TFEU, Q4 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1216"/>
              </w:tabs>
              <w:spacing w:after="0"/>
              <w:rPr>
                <w:noProof/>
                <w:sz w:val="20"/>
              </w:rPr>
            </w:pPr>
            <w:r>
              <w:rPr>
                <w:b/>
                <w:bCs/>
                <w:noProof/>
                <w:color w:val="000000"/>
                <w:sz w:val="20"/>
              </w:rPr>
              <w:t>Transparency and democracy</w:t>
            </w:r>
            <w:r>
              <w:rPr>
                <w:b/>
                <w:bCs/>
                <w:noProof/>
              </w:rPr>
              <w:t xml:space="preserve"> </w:t>
            </w:r>
            <w:r>
              <w:rPr>
                <w:b/>
                <w:bCs/>
                <w:noProof/>
                <w:color w:val="000000"/>
                <w:sz w:val="20"/>
              </w:rPr>
              <w:t>package</w:t>
            </w:r>
          </w:p>
        </w:tc>
        <w:tc>
          <w:tcPr>
            <w:tcW w:w="10064" w:type="dxa"/>
            <w:tcBorders>
              <w:bottom w:val="single" w:sz="4" w:space="0" w:color="auto"/>
            </w:tcBorders>
            <w:tcMar>
              <w:top w:w="85" w:type="dxa"/>
              <w:bottom w:w="85" w:type="dxa"/>
            </w:tcMar>
          </w:tcPr>
          <w:p>
            <w:pPr>
              <w:pStyle w:val="ListParagraph"/>
              <w:numPr>
                <w:ilvl w:val="0"/>
                <w:numId w:val="40"/>
              </w:numPr>
              <w:spacing w:after="0" w:line="240" w:lineRule="atLeast"/>
              <w:ind w:left="334" w:hanging="334"/>
              <w:jc w:val="left"/>
              <w:rPr>
                <w:noProof/>
                <w:sz w:val="20"/>
              </w:rPr>
            </w:pPr>
            <w:r>
              <w:rPr>
                <w:b/>
                <w:noProof/>
                <w:sz w:val="20"/>
              </w:rPr>
              <w:t xml:space="preserve">Revision of the statute and funding of European political parties and European political foundations </w:t>
            </w:r>
            <w:r>
              <w:rPr>
                <w:noProof/>
                <w:sz w:val="20"/>
              </w:rPr>
              <w:t>(legislative, incl. impact assessment, Article 224 TFEU, Q3 2021)</w:t>
            </w:r>
          </w:p>
          <w:p>
            <w:pPr>
              <w:pStyle w:val="ListParagraph"/>
              <w:numPr>
                <w:ilvl w:val="0"/>
                <w:numId w:val="40"/>
              </w:numPr>
              <w:spacing w:after="0" w:line="240" w:lineRule="atLeast"/>
              <w:ind w:left="334" w:hanging="334"/>
              <w:jc w:val="left"/>
              <w:rPr>
                <w:noProof/>
                <w:sz w:val="20"/>
              </w:rPr>
            </w:pPr>
            <w:r>
              <w:rPr>
                <w:b/>
                <w:noProof/>
                <w:sz w:val="20"/>
              </w:rPr>
              <w:t xml:space="preserve">Greater transparency in paid political advertising </w:t>
            </w:r>
            <w:r>
              <w:rPr>
                <w:noProof/>
                <w:sz w:val="20"/>
              </w:rPr>
              <w:t>(legislative, incl. impact assessment, Articles 114 and 224 TFEU, Q3 2021)</w:t>
            </w:r>
          </w:p>
          <w:p>
            <w:pPr>
              <w:pStyle w:val="ListParagraph"/>
              <w:numPr>
                <w:ilvl w:val="0"/>
                <w:numId w:val="40"/>
              </w:numPr>
              <w:spacing w:after="0" w:line="240" w:lineRule="atLeast"/>
              <w:ind w:left="334" w:hanging="334"/>
              <w:jc w:val="left"/>
              <w:rPr>
                <w:noProof/>
                <w:sz w:val="20"/>
              </w:rPr>
            </w:pPr>
            <w:r>
              <w:rPr>
                <w:b/>
                <w:bCs/>
                <w:noProof/>
                <w:sz w:val="20"/>
              </w:rPr>
              <w:t xml:space="preserve">Revision of the Council Directive laying down detailed arrangements for the exercise of the right to vote and stand as a candidate in elections to the European Parliament for citizens of the Union residing in a Member State of which they are not nationals </w:t>
            </w:r>
            <w:r>
              <w:rPr>
                <w:noProof/>
                <w:sz w:val="20"/>
              </w:rPr>
              <w:t>(legislative, incl. impact assessment, Article 22 TFEU, Q4 2021)</w:t>
            </w:r>
          </w:p>
          <w:p>
            <w:pPr>
              <w:pStyle w:val="ListParagraph"/>
              <w:numPr>
                <w:ilvl w:val="0"/>
                <w:numId w:val="40"/>
              </w:numPr>
              <w:spacing w:after="0" w:line="240" w:lineRule="atLeast"/>
              <w:ind w:left="334" w:hanging="334"/>
              <w:jc w:val="left"/>
              <w:rPr>
                <w:noProof/>
                <w:sz w:val="20"/>
              </w:rPr>
            </w:pPr>
            <w:r>
              <w:rPr>
                <w:b/>
                <w:noProof/>
                <w:sz w:val="20"/>
              </w:rPr>
              <w:t xml:space="preserve">Revision of the Council Directive laying down detailed arrangements for the exercise of the right to vote and to stand as a candidate in municipal elections by citizens of the Union residing in a Member State of which they are not nationals </w:t>
            </w:r>
            <w:r>
              <w:rPr>
                <w:noProof/>
                <w:sz w:val="20"/>
              </w:rPr>
              <w:t>(legislative, incl. impact assessment, Article 22 TFEU, Q4 2021)</w:t>
            </w:r>
          </w:p>
          <w:p>
            <w:pPr>
              <w:pStyle w:val="ListParagraph"/>
              <w:numPr>
                <w:ilvl w:val="0"/>
                <w:numId w:val="40"/>
              </w:numPr>
              <w:spacing w:after="0" w:line="240" w:lineRule="atLeast"/>
              <w:ind w:left="334" w:hanging="334"/>
              <w:jc w:val="left"/>
              <w:rPr>
                <w:noProof/>
                <w:sz w:val="20"/>
              </w:rPr>
            </w:pPr>
            <w:r>
              <w:rPr>
                <w:b/>
                <w:bCs/>
                <w:noProof/>
                <w:sz w:val="20"/>
              </w:rPr>
              <w:t xml:space="preserve">Initiative against abusive litigation targeting journalists and rights defenders </w:t>
            </w:r>
            <w:r>
              <w:rPr>
                <w:noProof/>
                <w:sz w:val="20"/>
              </w:rPr>
              <w:t>(legislative or non-legislative, Q4 2021)</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216"/>
              </w:tabs>
              <w:spacing w:after="0"/>
              <w:rPr>
                <w:b/>
                <w:bCs/>
                <w:noProof/>
                <w:color w:val="000000"/>
                <w:sz w:val="20"/>
              </w:rPr>
            </w:pPr>
            <w:r>
              <w:rPr>
                <w:b/>
                <w:bCs/>
                <w:noProof/>
                <w:color w:val="000000"/>
                <w:sz w:val="20"/>
              </w:rPr>
              <w:t>Long-term vision for rural areas</w:t>
            </w:r>
          </w:p>
        </w:tc>
        <w:tc>
          <w:tcPr>
            <w:tcW w:w="10064" w:type="dxa"/>
            <w:tcMar>
              <w:top w:w="85" w:type="dxa"/>
              <w:bottom w:w="85" w:type="dxa"/>
            </w:tcMar>
          </w:tcPr>
          <w:p>
            <w:pPr>
              <w:spacing w:after="0"/>
              <w:jc w:val="left"/>
              <w:rPr>
                <w:noProof/>
                <w:sz w:val="20"/>
              </w:rPr>
            </w:pPr>
            <w:r>
              <w:rPr>
                <w:b/>
                <w:bCs/>
                <w:noProof/>
                <w:sz w:val="20"/>
              </w:rPr>
              <w:t xml:space="preserve">Communication on the </w:t>
            </w:r>
            <w:r>
              <w:rPr>
                <w:b/>
                <w:noProof/>
                <w:sz w:val="20"/>
              </w:rPr>
              <w:t xml:space="preserve">long-term vision for rural areas </w:t>
            </w:r>
            <w:r>
              <w:rPr>
                <w:noProof/>
                <w:sz w:val="20"/>
              </w:rPr>
              <w:t>(non-legislative, Q2 2021)</w:t>
            </w:r>
          </w:p>
        </w:tc>
      </w:tr>
      <w:tr>
        <w:trPr>
          <w:cantSplit/>
          <w:trHeight w:val="362"/>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noProof/>
                <w:sz w:val="20"/>
              </w:rPr>
            </w:pPr>
            <w:r>
              <w:rPr>
                <w:b/>
                <w:noProof/>
                <w:sz w:val="20"/>
              </w:rPr>
              <w:t>EU disability strategy</w:t>
            </w:r>
          </w:p>
        </w:tc>
        <w:tc>
          <w:tcPr>
            <w:tcW w:w="10064" w:type="dxa"/>
            <w:tcMar>
              <w:top w:w="85" w:type="dxa"/>
              <w:bottom w:w="85" w:type="dxa"/>
            </w:tcMar>
          </w:tcPr>
          <w:p>
            <w:pPr>
              <w:spacing w:after="0"/>
              <w:rPr>
                <w:noProof/>
                <w:sz w:val="20"/>
              </w:rPr>
            </w:pPr>
            <w:r>
              <w:rPr>
                <w:b/>
                <w:bCs/>
                <w:noProof/>
                <w:sz w:val="20"/>
              </w:rPr>
              <w:t xml:space="preserve">Strategy on the rights of persons with disabilities </w:t>
            </w:r>
            <w:r>
              <w:rPr>
                <w:noProof/>
                <w:sz w:val="20"/>
              </w:rPr>
              <w:t>(non-legislative, Q1 2021)</w:t>
            </w:r>
          </w:p>
        </w:tc>
      </w:tr>
    </w:tbl>
    <w:p>
      <w:pPr>
        <w:rPr>
          <w:noProof/>
        </w:rPr>
      </w:pPr>
      <w:r>
        <w:rPr>
          <w:noProof/>
        </w:rPr>
        <w:br w:type="page"/>
      </w:r>
    </w:p>
    <w:p>
      <w:pPr>
        <w:keepNext/>
        <w:tabs>
          <w:tab w:val="left" w:pos="651"/>
          <w:tab w:val="left" w:pos="2054"/>
          <w:tab w:val="left" w:pos="4893"/>
        </w:tabs>
        <w:spacing w:after="600" w:line="276" w:lineRule="auto"/>
        <w:jc w:val="center"/>
        <w:rPr>
          <w:b/>
          <w:noProof/>
          <w:sz w:val="28"/>
          <w:szCs w:val="28"/>
          <w:u w:val="single"/>
          <w:lang w:eastAsia="de-DE"/>
        </w:rPr>
      </w:pPr>
      <w:r>
        <w:rPr>
          <w:b/>
          <w:bCs/>
          <w:noProof/>
          <w:sz w:val="28"/>
          <w:szCs w:val="28"/>
          <w:u w:val="single"/>
          <w:lang w:eastAsia="de-DE"/>
        </w:rPr>
        <w:t>Annex II: REFIT initiatives</w:t>
      </w:r>
      <w:r>
        <w:rPr>
          <w:rStyle w:val="FootnoteReference"/>
          <w:b/>
          <w:bCs/>
          <w:noProof/>
          <w:sz w:val="28"/>
          <w:szCs w:val="28"/>
          <w:u w:val="single"/>
          <w:lang w:eastAsia="de-DE"/>
        </w:rPr>
        <w:footnoteReference w:id="3"/>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5"/>
        <w:gridCol w:w="4482"/>
        <w:gridCol w:w="9780"/>
      </w:tblGrid>
      <w:tr>
        <w:trPr>
          <w:cantSplit/>
          <w:tblHeader/>
        </w:trPr>
        <w:tc>
          <w:tcPr>
            <w:tcW w:w="565"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lang w:eastAsia="en-US"/>
              </w:rPr>
            </w:pPr>
            <w:r>
              <w:rPr>
                <w:rFonts w:eastAsia="MS Mincho" w:cstheme="minorBidi"/>
                <w:b/>
                <w:bCs/>
                <w:noProof/>
                <w:sz w:val="20"/>
                <w:lang w:eastAsia="ja-JP"/>
              </w:rPr>
              <w:t>No.</w:t>
            </w:r>
          </w:p>
        </w:tc>
        <w:tc>
          <w:tcPr>
            <w:tcW w:w="4482"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lang w:eastAsia="en-US"/>
              </w:rPr>
            </w:pPr>
            <w:r>
              <w:rPr>
                <w:rFonts w:eastAsiaTheme="minorHAnsi" w:cstheme="minorBidi"/>
                <w:b/>
                <w:noProof/>
                <w:sz w:val="20"/>
                <w:lang w:eastAsia="en-US"/>
              </w:rPr>
              <w:t>Title</w:t>
            </w:r>
          </w:p>
        </w:tc>
        <w:tc>
          <w:tcPr>
            <w:tcW w:w="9780"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lang w:eastAsia="en-US"/>
              </w:rPr>
            </w:pPr>
            <w:r>
              <w:rPr>
                <w:rFonts w:eastAsiaTheme="minorHAnsi" w:cstheme="minorBidi"/>
                <w:b/>
                <w:noProof/>
                <w:sz w:val="20"/>
                <w:lang w:eastAsia="en-US"/>
              </w:rPr>
              <w:t>Simplification objective / potential</w:t>
            </w:r>
            <w:r>
              <w:rPr>
                <w:rFonts w:eastAsiaTheme="minorHAnsi" w:cstheme="minorBidi"/>
                <w:noProof/>
                <w:sz w:val="20"/>
                <w:lang w:eastAsia="en-US"/>
              </w:rPr>
              <w:t xml:space="preserve"> (short explanation of the REFIT objective of the revisions, and simplification potential for evaluations and fitness checks)</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rPr>
                <w:b/>
                <w:bCs/>
                <w:noProof/>
                <w:sz w:val="20"/>
              </w:rPr>
            </w:pPr>
            <w:r>
              <w:rPr>
                <w:b/>
                <w:bCs/>
                <w:noProof/>
                <w:color w:val="FFFFFF" w:themeColor="background1"/>
                <w:sz w:val="20"/>
              </w:rPr>
              <w:t>A European Green Deal</w:t>
            </w:r>
          </w:p>
        </w:tc>
      </w:tr>
      <w:tr>
        <w:trPr>
          <w:cantSplit/>
          <w:trHeight w:val="4077"/>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eastAsia="en-US"/>
              </w:rPr>
            </w:pPr>
            <w:r>
              <w:rPr>
                <w:b/>
                <w:noProof/>
                <w:sz w:val="20"/>
              </w:rPr>
              <w:t xml:space="preserve">Revision of geographical indications </w:t>
            </w:r>
          </w:p>
        </w:tc>
        <w:tc>
          <w:tcPr>
            <w:tcW w:w="9780" w:type="dxa"/>
            <w:tcBorders>
              <w:top w:val="single" w:sz="4" w:space="0" w:color="auto"/>
              <w:left w:val="single" w:sz="4" w:space="0" w:color="auto"/>
              <w:bottom w:val="single" w:sz="4" w:space="0" w:color="auto"/>
            </w:tcBorders>
          </w:tcPr>
          <w:p>
            <w:pPr>
              <w:spacing w:after="120"/>
              <w:rPr>
                <w:noProof/>
                <w:sz w:val="20"/>
              </w:rPr>
            </w:pPr>
            <w:r>
              <w:rPr>
                <w:noProof/>
                <w:sz w:val="20"/>
              </w:rPr>
              <w:t>This revision will strengthen geographical indications (GIs) for all agricultural sectors while maintaining the specificities of GIs in the wines and spirit drinks sectors. The fundamental structure of the EU GIs system is sound. The proposal will: increase the applicability of GIs for farmers and producers of sustainable products; increase the attractiveness of GIs notably for producers in the ‘low use’ Member States; correct legislative gaps including in the scope of coverage; improve protection and enforcement especially on the internet; empower GI producer groups; better valorise the GI scheme notably through use of the GI logos; modernise management of the GI registers. The traditional specialities guaranteed scheme (TSG), which has not after 28 years delivered the expected benefits for producers and consumers, will be replaced by a more-effective and flexible labelling mechanism essentially managed by Member States while providing EU level protection, where needed, through appropriate instruments.</w:t>
            </w:r>
          </w:p>
          <w:p>
            <w:pPr>
              <w:spacing w:after="120"/>
              <w:rPr>
                <w:noProof/>
                <w:sz w:val="20"/>
              </w:rPr>
            </w:pPr>
            <w:r>
              <w:rPr>
                <w:noProof/>
                <w:sz w:val="20"/>
              </w:rPr>
              <w:t xml:space="preserve">The proposed initiative will, as far as possible, merge the technical and procedural rules on geographical indications, provide for a single GI registration procedure and digital submission of applications by EU and non-EU applicants, with a view to shortening registration times. A simplified system would become more attractive to producers, be more understandable to consumers, and become easier to promote and lead to higher sales as the GI concept becomes better known. The evaluation is on-going. </w:t>
            </w:r>
          </w:p>
          <w:p>
            <w:pPr>
              <w:spacing w:after="120"/>
              <w:rPr>
                <w:rFonts w:eastAsiaTheme="minorEastAsia"/>
                <w:noProof/>
                <w:sz w:val="20"/>
                <w:lang w:eastAsia="en-US"/>
              </w:rPr>
            </w:pPr>
            <w:r>
              <w:rPr>
                <w:noProof/>
                <w:sz w:val="20"/>
              </w:rPr>
              <w:t>Planned adoption: Q4/2021; Legislative; Legal basis: Articles 43 and 118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eastAsia="en-US"/>
              </w:rPr>
            </w:pPr>
            <w:r>
              <w:rPr>
                <w:b/>
                <w:noProof/>
                <w:sz w:val="20"/>
              </w:rPr>
              <w:t>Ozone layer protection – revision of EU rules</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eastAsia="en-US"/>
              </w:rPr>
            </w:pPr>
            <w:r>
              <w:rPr>
                <w:rFonts w:eastAsiaTheme="minorEastAsia"/>
                <w:noProof/>
                <w:sz w:val="20"/>
                <w:lang w:eastAsia="en-US"/>
              </w:rPr>
              <w:t xml:space="preserve">The evaluation of the Ozone Regulation concluded that there is scope for simplification, clarity and better coherence. The Regulation could also be updated with the latest technological developments. </w:t>
            </w:r>
          </w:p>
          <w:p>
            <w:pPr>
              <w:keepNext/>
              <w:spacing w:after="120"/>
              <w:rPr>
                <w:rFonts w:eastAsiaTheme="minorEastAsia"/>
                <w:noProof/>
                <w:sz w:val="20"/>
                <w:lang w:eastAsia="en-US"/>
              </w:rPr>
            </w:pPr>
            <w:r>
              <w:rPr>
                <w:rFonts w:eastAsiaTheme="minorEastAsia"/>
                <w:noProof/>
                <w:sz w:val="20"/>
                <w:lang w:eastAsia="en-US"/>
              </w:rPr>
              <w:t>Planned adoption: Q4/2021; Legislative; Legal basis: Article 192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b/>
                <w:noProof/>
                <w:sz w:val="20"/>
              </w:rPr>
            </w:pPr>
            <w:r>
              <w:rPr>
                <w:b/>
                <w:noProof/>
                <w:sz w:val="20"/>
              </w:rPr>
              <w:t xml:space="preserve">Revision of Regulation (EC) No 1013/2006 on Shipments of Waste </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eastAsia="en-US"/>
              </w:rPr>
            </w:pPr>
            <w:r>
              <w:rPr>
                <w:rFonts w:eastAsiaTheme="minorEastAsia"/>
                <w:noProof/>
                <w:sz w:val="20"/>
                <w:lang w:eastAsia="en-US"/>
              </w:rPr>
              <w:t xml:space="preserve">This initiative responds to the priorities announced in the  European Green Deal, the new Circular Economy Action. The Commission will propose a revision of the Waste Shipment Regulation on basis of its evaluation  to reduce the shipments of problematic waste outside of EU, update the shipment procedures to reflect the objectives of the circular economy and improve enforcement. </w:t>
            </w:r>
          </w:p>
          <w:p>
            <w:pPr>
              <w:keepNext/>
              <w:spacing w:after="120"/>
              <w:rPr>
                <w:rFonts w:eastAsiaTheme="minorEastAsia"/>
                <w:noProof/>
                <w:sz w:val="20"/>
                <w:lang w:eastAsia="en-US"/>
              </w:rPr>
            </w:pPr>
            <w:r>
              <w:rPr>
                <w:rFonts w:eastAsiaTheme="minorEastAsia"/>
                <w:noProof/>
                <w:sz w:val="20"/>
                <w:lang w:eastAsia="en-US"/>
              </w:rPr>
              <w:t>Planned adoption date: Q2/2021; Legislative; Legal basis: Article 192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eastAsia="en-US"/>
              </w:rPr>
            </w:pPr>
            <w:r>
              <w:rPr>
                <w:b/>
                <w:noProof/>
                <w:sz w:val="20"/>
              </w:rPr>
              <w:t>Revision - Update of concentration limit values of persistent organic pollutants in waste - Amendments to Annexes IV and V on waste of the Regulation on persistent organic pollutants in waste</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eastAsia="en-US"/>
              </w:rPr>
            </w:pPr>
            <w:r>
              <w:rPr>
                <w:rFonts w:eastAsiaTheme="minorEastAsia"/>
                <w:noProof/>
                <w:sz w:val="20"/>
                <w:lang w:eastAsia="en-US"/>
              </w:rPr>
              <w:t>This initiative responds to the priorities announced in the new Circular Economy Action Plan. The Commission will propose a revision of the Regulation on POPs Annexes IV and V on waste to ensure that such waste is managed in an environmentally sound way and achieve safer recycling.</w:t>
            </w:r>
          </w:p>
          <w:p>
            <w:pPr>
              <w:keepNext/>
              <w:spacing w:after="120"/>
              <w:rPr>
                <w:rFonts w:eastAsiaTheme="minorEastAsia"/>
                <w:noProof/>
                <w:sz w:val="20"/>
                <w:lang w:eastAsia="en-US"/>
              </w:rPr>
            </w:pPr>
            <w:r>
              <w:rPr>
                <w:rFonts w:eastAsiaTheme="minorEastAsia"/>
                <w:noProof/>
                <w:sz w:val="20"/>
                <w:lang w:eastAsia="en-US"/>
              </w:rPr>
              <w:t>Planned adoption date: Q2/2021; Legislative; Legal basis: Article 192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eastAsia="en-US"/>
              </w:rPr>
            </w:pPr>
            <w:r>
              <w:rPr>
                <w:b/>
                <w:noProof/>
                <w:sz w:val="20"/>
              </w:rPr>
              <w:t xml:space="preserve">Revision of Directive 94/62/EC on Packaging and Packaging Waste Directive in order to reinforce the essential requirements for packaging to be placed on the EU market </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eastAsia="en-US"/>
              </w:rPr>
            </w:pPr>
            <w:r>
              <w:rPr>
                <w:rFonts w:eastAsiaTheme="minorEastAsia"/>
                <w:noProof/>
                <w:sz w:val="20"/>
                <w:lang w:eastAsia="en-US"/>
              </w:rPr>
              <w:t xml:space="preserve">This initiative responds to the priorities announced in the European Green Deal, the new Circular Economy Action Plan and a specific legal mandate in the Packaging and Packaging Waste Directive. The Commission will propose a revision of the essential requirements for packaging to ensure their reuse and recycling, uptake of recycled content and improve their enforceability. The initiative will also envisage measures to tackle over-packaging and to reduce packaging waste. </w:t>
            </w:r>
          </w:p>
          <w:p>
            <w:pPr>
              <w:keepNext/>
              <w:spacing w:after="120"/>
              <w:rPr>
                <w:rFonts w:eastAsiaTheme="minorEastAsia"/>
                <w:noProof/>
                <w:sz w:val="20"/>
                <w:lang w:eastAsia="en-US"/>
              </w:rPr>
            </w:pPr>
            <w:r>
              <w:rPr>
                <w:rFonts w:eastAsiaTheme="minorEastAsia"/>
                <w:noProof/>
                <w:sz w:val="20"/>
                <w:lang w:eastAsia="en-US"/>
              </w:rPr>
              <w:t>Planned adoption date: Q4/2021; Legislative; Legal basis: Article 114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eastAsia="en-US"/>
              </w:rPr>
            </w:pPr>
            <w:r>
              <w:rPr>
                <w:b/>
                <w:noProof/>
                <w:sz w:val="20"/>
              </w:rPr>
              <w:t xml:space="preserve">Revision of Directive 2010/75/EU on industrial emissions </w:t>
            </w:r>
          </w:p>
        </w:tc>
        <w:tc>
          <w:tcPr>
            <w:tcW w:w="9780" w:type="dxa"/>
            <w:tcBorders>
              <w:top w:val="single" w:sz="4" w:space="0" w:color="auto"/>
              <w:left w:val="single" w:sz="4" w:space="0" w:color="auto"/>
              <w:bottom w:val="single" w:sz="4" w:space="0" w:color="auto"/>
            </w:tcBorders>
            <w:vAlign w:val="center"/>
          </w:tcPr>
          <w:p>
            <w:pPr>
              <w:keepNext/>
              <w:spacing w:after="120"/>
              <w:rPr>
                <w:rFonts w:eastAsiaTheme="minorEastAsia"/>
                <w:noProof/>
                <w:sz w:val="20"/>
                <w:lang w:eastAsia="en-US"/>
              </w:rPr>
            </w:pPr>
            <w:r>
              <w:rPr>
                <w:rFonts w:eastAsiaTheme="minorEastAsia"/>
                <w:noProof/>
                <w:sz w:val="20"/>
                <w:lang w:eastAsia="en-US"/>
              </w:rPr>
              <w:t>The revision of the Industrial Emissions Directive (IED) is part of the revision of EU measures on pollution from large industrial plants, announced in the European Green Deal. The revision aims at enhancing the directive’s contribution to the zero pollution objective and its consistency with climate, energy and circular economy policies. It will ensure that the directive is fit for purpose of accompanying the upcoming industrial transformation.</w:t>
            </w:r>
          </w:p>
          <w:p>
            <w:pPr>
              <w:keepNext/>
              <w:spacing w:after="120"/>
              <w:rPr>
                <w:rFonts w:eastAsiaTheme="minorEastAsia"/>
                <w:noProof/>
                <w:sz w:val="20"/>
                <w:lang w:eastAsia="en-US"/>
              </w:rPr>
            </w:pPr>
            <w:r>
              <w:rPr>
                <w:rFonts w:eastAsiaTheme="minorEastAsia"/>
                <w:noProof/>
                <w:sz w:val="20"/>
                <w:lang w:eastAsia="en-US"/>
              </w:rPr>
              <w:t xml:space="preserve">Planned adoption date: Q4/2021; Legislative; Legal basis: Article 192 of the TFEU; Impact assessment is envisaged. </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Revision of the Regulation of the European Parliament and of the Council on Statistics on Agricultural Input and Output (SAIO)</w:t>
            </w:r>
          </w:p>
        </w:tc>
        <w:tc>
          <w:tcPr>
            <w:tcW w:w="9780" w:type="dxa"/>
            <w:tcBorders>
              <w:top w:val="single" w:sz="4" w:space="0" w:color="auto"/>
              <w:left w:val="single" w:sz="4" w:space="0" w:color="auto"/>
              <w:bottom w:val="single" w:sz="4" w:space="0" w:color="auto"/>
            </w:tcBorders>
          </w:tcPr>
          <w:p>
            <w:pPr>
              <w:keepNext/>
              <w:spacing w:after="0"/>
              <w:rPr>
                <w:rFonts w:eastAsiaTheme="minorEastAsia"/>
                <w:noProof/>
                <w:sz w:val="20"/>
                <w:lang w:eastAsia="en-US"/>
              </w:rPr>
            </w:pPr>
            <w:r>
              <w:rPr>
                <w:rFonts w:eastAsiaTheme="minorEastAsia"/>
                <w:noProof/>
                <w:sz w:val="20"/>
                <w:lang w:eastAsia="en-US"/>
              </w:rPr>
              <w:t>SAIO is meant to cater for needs stemming from the Common Agricultural Policy post-2020 and the European Green Deal, in particular the Farm to Fork Strategy. The aim is to update agricultural statistics legislation, reduce the burden to provide data, take account of new data needs and ensure better comparability of collected data. It brings together under a common integrated legal frame:</w:t>
            </w:r>
          </w:p>
          <w:p>
            <w:pPr>
              <w:keepNext/>
              <w:spacing w:after="0"/>
              <w:rPr>
                <w:rFonts w:eastAsiaTheme="minorEastAsia"/>
                <w:noProof/>
                <w:sz w:val="20"/>
                <w:lang w:eastAsia="en-US"/>
              </w:rPr>
            </w:pPr>
            <w:r>
              <w:rPr>
                <w:rFonts w:eastAsiaTheme="minorEastAsia"/>
                <w:noProof/>
                <w:sz w:val="20"/>
                <w:lang w:eastAsia="en-US"/>
              </w:rPr>
              <w:t>o</w:t>
            </w:r>
            <w:r>
              <w:rPr>
                <w:rFonts w:eastAsiaTheme="minorEastAsia"/>
                <w:noProof/>
                <w:sz w:val="20"/>
                <w:lang w:eastAsia="en-US"/>
              </w:rPr>
              <w:tab/>
              <w:t>agricultural production statistics including organic farming statistics</w:t>
            </w:r>
          </w:p>
          <w:p>
            <w:pPr>
              <w:keepNext/>
              <w:spacing w:after="0"/>
              <w:rPr>
                <w:rFonts w:eastAsiaTheme="minorEastAsia"/>
                <w:noProof/>
                <w:sz w:val="20"/>
                <w:lang w:eastAsia="en-US"/>
              </w:rPr>
            </w:pPr>
            <w:r>
              <w:rPr>
                <w:rFonts w:eastAsiaTheme="minorEastAsia"/>
                <w:noProof/>
                <w:sz w:val="20"/>
                <w:lang w:eastAsia="en-US"/>
              </w:rPr>
              <w:t>o</w:t>
            </w:r>
            <w:r>
              <w:rPr>
                <w:rFonts w:eastAsiaTheme="minorEastAsia"/>
                <w:noProof/>
                <w:sz w:val="20"/>
                <w:lang w:eastAsia="en-US"/>
              </w:rPr>
              <w:tab/>
              <w:t>agricultural price statistics, and</w:t>
            </w:r>
          </w:p>
          <w:p>
            <w:pPr>
              <w:keepNext/>
              <w:spacing w:after="0"/>
              <w:rPr>
                <w:rFonts w:eastAsiaTheme="minorEastAsia"/>
                <w:noProof/>
                <w:sz w:val="20"/>
                <w:lang w:eastAsia="en-US"/>
              </w:rPr>
            </w:pPr>
            <w:r>
              <w:rPr>
                <w:rFonts w:eastAsiaTheme="minorEastAsia"/>
                <w:noProof/>
                <w:sz w:val="20"/>
                <w:lang w:eastAsia="en-US"/>
              </w:rPr>
              <w:t>o</w:t>
            </w:r>
            <w:r>
              <w:rPr>
                <w:rFonts w:eastAsiaTheme="minorEastAsia"/>
                <w:noProof/>
                <w:sz w:val="20"/>
                <w:lang w:eastAsia="en-US"/>
              </w:rPr>
              <w:tab/>
              <w:t xml:space="preserve">statistics on plant protection products and on nutrients. </w:t>
            </w:r>
          </w:p>
          <w:p>
            <w:pPr>
              <w:keepNext/>
              <w:spacing w:after="0"/>
              <w:rPr>
                <w:rFonts w:eastAsiaTheme="minorEastAsia"/>
                <w:noProof/>
                <w:sz w:val="20"/>
                <w:lang w:eastAsia="en-US"/>
              </w:rPr>
            </w:pPr>
          </w:p>
          <w:p>
            <w:pPr>
              <w:keepNext/>
              <w:spacing w:after="120"/>
              <w:rPr>
                <w:rFonts w:eastAsiaTheme="minorEastAsia"/>
                <w:noProof/>
                <w:sz w:val="20"/>
                <w:lang w:eastAsia="en-US"/>
              </w:rPr>
            </w:pPr>
            <w:r>
              <w:rPr>
                <w:rFonts w:eastAsiaTheme="minorEastAsia"/>
                <w:noProof/>
                <w:sz w:val="20"/>
                <w:lang w:eastAsia="en-US"/>
              </w:rPr>
              <w:t>Planned adoption date: Q1/2021; Legislative; Legal basis: Article 338 (1) of the TFEU. No impact assessment is envisaged.</w:t>
            </w:r>
          </w:p>
        </w:tc>
      </w:tr>
      <w:tr>
        <w:trPr>
          <w:cantSplit/>
        </w:trPr>
        <w:tc>
          <w:tcPr>
            <w:tcW w:w="565" w:type="dxa"/>
            <w:tcBorders>
              <w:bottom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bottom w:val="single" w:sz="4" w:space="0" w:color="auto"/>
            </w:tcBorders>
          </w:tcPr>
          <w:p>
            <w:pPr>
              <w:keepNext/>
              <w:spacing w:after="120"/>
              <w:rPr>
                <w:rFonts w:eastAsiaTheme="minorEastAsia" w:cstheme="minorBidi"/>
                <w:b/>
                <w:bCs/>
                <w:noProof/>
                <w:sz w:val="20"/>
                <w:lang w:eastAsia="en-US"/>
              </w:rPr>
            </w:pPr>
            <w:r>
              <w:rPr>
                <w:rFonts w:eastAsiaTheme="minorEastAsia" w:cstheme="minorBidi"/>
                <w:b/>
                <w:bCs/>
                <w:noProof/>
                <w:sz w:val="20"/>
                <w:lang w:eastAsia="en-US"/>
              </w:rPr>
              <w:t>Revision of the Regulation of the European Parliament and of the Council on European Fishery Statistics, repealing Regulation (EC) No 1921/2006, Regulation (EC) No 762/2008, Regulation (EC) No 216/2009, Regulation (EC) No 217/2009 and Regulation (EC) No 218/2009</w:t>
            </w:r>
          </w:p>
        </w:tc>
        <w:tc>
          <w:tcPr>
            <w:tcW w:w="9780" w:type="dxa"/>
            <w:tcBorders>
              <w:bottom w:val="single" w:sz="4" w:space="0" w:color="auto"/>
            </w:tcBorders>
          </w:tcPr>
          <w:p>
            <w:pPr>
              <w:keepNext/>
              <w:spacing w:after="120"/>
              <w:rPr>
                <w:rFonts w:eastAsiaTheme="minorEastAsia"/>
                <w:noProof/>
                <w:sz w:val="20"/>
                <w:lang w:eastAsia="en-US"/>
              </w:rPr>
            </w:pPr>
            <w:r>
              <w:rPr>
                <w:rFonts w:eastAsiaTheme="minorEastAsia"/>
                <w:noProof/>
                <w:sz w:val="20"/>
                <w:lang w:eastAsia="en-US"/>
              </w:rPr>
              <w:t>The aim of the revision is to streamline and simplify the data collections needed to produce European fishery statistics. It will also align European fishery statistics with the data and information needs of the reformed common fisheries policy. It covers statistics on catches, on landings of fishery products and on aquaculture. Main targets are to use as much as possible the administrative data collected for the Common Fisheries Policy and to reduce the burden on Member States.</w:t>
            </w:r>
          </w:p>
          <w:p>
            <w:pPr>
              <w:keepNext/>
              <w:spacing w:after="120"/>
              <w:rPr>
                <w:rFonts w:eastAsiaTheme="minorEastAsia"/>
                <w:noProof/>
                <w:sz w:val="20"/>
                <w:lang w:eastAsia="en-US"/>
              </w:rPr>
            </w:pPr>
            <w:r>
              <w:rPr>
                <w:rFonts w:eastAsiaTheme="minorEastAsia"/>
                <w:noProof/>
                <w:sz w:val="20"/>
                <w:lang w:eastAsia="en-US"/>
              </w:rPr>
              <w:t>Planned adoption date: Q4/2021; Legislative; Legal basis: Article 338 of the TFEU. Impact assessment is envisaged.</w:t>
            </w:r>
          </w:p>
        </w:tc>
      </w:tr>
      <w:tr>
        <w:trPr>
          <w:cantSplit/>
        </w:trPr>
        <w:tc>
          <w:tcPr>
            <w:tcW w:w="565" w:type="dxa"/>
            <w:tcBorders>
              <w:bottom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bottom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 xml:space="preserve">Revision of the Construction Products Regulation (EU No 305/2011) </w:t>
            </w:r>
          </w:p>
        </w:tc>
        <w:tc>
          <w:tcPr>
            <w:tcW w:w="9780" w:type="dxa"/>
            <w:tcBorders>
              <w:bottom w:val="single" w:sz="4" w:space="0" w:color="auto"/>
            </w:tcBorders>
          </w:tcPr>
          <w:p>
            <w:pPr>
              <w:keepNext/>
              <w:spacing w:after="120"/>
              <w:jc w:val="left"/>
              <w:rPr>
                <w:rFonts w:eastAsiaTheme="minorEastAsia"/>
                <w:noProof/>
                <w:sz w:val="20"/>
                <w:lang w:eastAsia="en-US"/>
              </w:rPr>
            </w:pPr>
            <w:r>
              <w:rPr>
                <w:rFonts w:eastAsiaTheme="minorEastAsia"/>
                <w:noProof/>
                <w:sz w:val="20"/>
                <w:lang w:eastAsia="en-US"/>
              </w:rPr>
              <w:t>Construction is one of the 14 flagship industrial ecosystems at the centre of the recovery plan. The revision, mentioned in the European Green Deal and the Circular Economy Action Plan, will add a framework for environmental and circularity requirements for construction products, contributing to greater energy and material efficiency in buildings.</w:t>
            </w:r>
          </w:p>
          <w:p>
            <w:pPr>
              <w:keepNext/>
              <w:spacing w:after="120"/>
              <w:jc w:val="left"/>
              <w:rPr>
                <w:rFonts w:eastAsiaTheme="minorEastAsia"/>
                <w:noProof/>
                <w:sz w:val="20"/>
                <w:lang w:eastAsia="en-US"/>
              </w:rPr>
            </w:pPr>
            <w:r>
              <w:rPr>
                <w:rFonts w:eastAsiaTheme="minorEastAsia"/>
                <w:noProof/>
                <w:sz w:val="20"/>
                <w:lang w:eastAsia="en-US"/>
              </w:rPr>
              <w:t>The initiative will tackle the main issues identified in the evaluation, particularly the problems linked with the development of harmonised technical specifications and especially the blockage of standardisation to improve market surveillance and to deal with still existing problems with national marks or national additional requirements/tests. As a result, it will improve the functioning of the Internal Market for construction products. In addition, it will provide the framework to develop and implement environmental and sustainability criteria for construction products. The evaluation of the CPR has shown that CPR compliance costs represent 0.6% to 1.1% of the sector’s turnover, mainly borne by manufacturers. The analysis confirms the existence of economies of scale in compliance activities and shows that costs can be quite substantial for SMEs, particularly micro-enterprises.  Despite the lack of firm evidence regarding the impacts of the CPR on the internal market, stakeholders generally perceive a positive impact of the CPR on cross-border trade.</w:t>
            </w:r>
          </w:p>
          <w:p>
            <w:pPr>
              <w:keepNext/>
              <w:spacing w:after="120"/>
              <w:jc w:val="left"/>
              <w:rPr>
                <w:rFonts w:eastAsiaTheme="minorEastAsia"/>
                <w:noProof/>
                <w:sz w:val="20"/>
                <w:lang w:eastAsia="en-US"/>
              </w:rPr>
            </w:pPr>
            <w:r>
              <w:rPr>
                <w:rFonts w:eastAsiaTheme="minorEastAsia"/>
                <w:noProof/>
                <w:sz w:val="20"/>
                <w:lang w:eastAsia="en-US"/>
              </w:rPr>
              <w:t>Planned adoption date: Q3/2021; Legislative; Legal basis: Article 114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jc w:val="left"/>
              <w:rPr>
                <w:rFonts w:eastAsiaTheme="minorEastAsia" w:cstheme="minorBidi"/>
                <w:b/>
                <w:bCs/>
                <w:noProof/>
                <w:sz w:val="20"/>
                <w:lang w:eastAsia="en-US"/>
              </w:rPr>
            </w:pPr>
            <w:r>
              <w:rPr>
                <w:rFonts w:eastAsiaTheme="minorEastAsia" w:cstheme="minorBidi"/>
                <w:b/>
                <w:bCs/>
                <w:noProof/>
                <w:sz w:val="20"/>
                <w:lang w:eastAsia="en-US"/>
              </w:rPr>
              <w:t>Revision of Regulation (EC) No 1831/2003 on additives for use in animal nutrition</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lang w:eastAsia="en-US"/>
              </w:rPr>
            </w:pPr>
            <w:r>
              <w:rPr>
                <w:rFonts w:eastAsiaTheme="minorEastAsia" w:cstheme="minorBidi"/>
                <w:noProof/>
                <w:sz w:val="20"/>
                <w:lang w:eastAsia="en-US"/>
              </w:rPr>
              <w:t>The Feed Additives Regulation, adopted in 2003 sets out rules for authorising feed additives and placing them on the market. The evaluation performed identified factors that have hampered achievement of some objectives, consequently, a revision is required. In line with the action plan of the Farm to fork strategy, the main aim of the proposal is to contribute to a more sustainable food production system by establishing new criteria to promote the authorisation of feed additives with positive effects on animal welfare and on the environment. It will also build up mechanisms to promote innovation in feed additives, particularly those contributing to reducing the use of antibiotics, improving animal welfare and mitigating climate change effects. It also aims at streamlining the processes to gain efficiencies in risk assessment to bring innovative feed additives earlier to the market and reduce the administrative burden for authorisation holder applications.</w:t>
            </w:r>
          </w:p>
          <w:p>
            <w:pPr>
              <w:keepNext/>
              <w:spacing w:after="120"/>
              <w:rPr>
                <w:rFonts w:eastAsiaTheme="minorEastAsia" w:cstheme="minorBidi"/>
                <w:noProof/>
                <w:sz w:val="20"/>
                <w:lang w:eastAsia="en-US"/>
              </w:rPr>
            </w:pPr>
            <w:r>
              <w:rPr>
                <w:rFonts w:eastAsiaTheme="minorEastAsia" w:cstheme="minorBidi"/>
                <w:noProof/>
                <w:sz w:val="20"/>
                <w:lang w:eastAsia="en-US"/>
              </w:rPr>
              <w:t>Planned adoption date: Q4/2021; Legislative; Legal basis: Articles 43 and 168(4)(b)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 xml:space="preserve">Evaluation of the Sewage Sludge Directive 86/278/EEC </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lang w:eastAsia="en-US"/>
              </w:rPr>
            </w:pPr>
            <w:r>
              <w:rPr>
                <w:rFonts w:eastAsiaTheme="minorEastAsia"/>
                <w:noProof/>
                <w:sz w:val="20"/>
                <w:lang w:eastAsia="en-US"/>
              </w:rPr>
              <w:t>The Sewage Sludge Directive 86/278/EEC aims to encourage the correct use of sewage sludge in agriculture and to regulate its use in order to prevent harmful effects on soil, vegetation, animals and humans. Adopted 30 years ago, the Directive does not fully match the current needs and expectations, such as the regulation of emerging contaminants like pharmaceuticals and microplastics. This evaluation will assess the performance of the Directive and analyse the risks and opportunities related to the management of sewage sludge. It will cover the standard evaluation criteria of effectiveness, efficiency, coherence, relevance and EU added value. The administrative costs will be assessed and particular attention will be paid to impacts on SMEs and micro-enterprises.</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jc w:val="left"/>
              <w:rPr>
                <w:rFonts w:eastAsiaTheme="minorEastAsia" w:cstheme="minorBidi"/>
                <w:b/>
                <w:bCs/>
                <w:noProof/>
                <w:sz w:val="20"/>
                <w:lang w:eastAsia="en-US"/>
              </w:rPr>
            </w:pPr>
            <w:r>
              <w:rPr>
                <w:b/>
                <w:noProof/>
                <w:sz w:val="20"/>
              </w:rPr>
              <w:t xml:space="preserve">Evaluation of Directive 2007/2/EC establishing an Infrastructure for Spatial Information in the European Community (INSPIRE) </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lang w:eastAsia="en-US"/>
              </w:rPr>
            </w:pPr>
            <w:r>
              <w:rPr>
                <w:rFonts w:eastAsiaTheme="minorEastAsia"/>
                <w:iCs/>
                <w:noProof/>
                <w:sz w:val="20"/>
                <w:lang w:eastAsia="en-US"/>
              </w:rPr>
              <w:t xml:space="preserve">The INSPIRE Directive set up an EU wide digital space for sharing spatial data for protecting the environment. This evaluation will assess whether it has contributed to improve the effectiveness and efficiency of measures to protect the environment. It will also assess whether the directive is still relevant for its stakeholders and coherent with other legislation, notably in the context of the new Green Deal data space initiative. </w:t>
            </w:r>
          </w:p>
        </w:tc>
      </w:tr>
      <w:tr>
        <w:trPr>
          <w:cantSplit/>
        </w:trPr>
        <w:tc>
          <w:tcPr>
            <w:tcW w:w="14827" w:type="dxa"/>
            <w:gridSpan w:val="3"/>
            <w:shd w:val="clear" w:color="auto" w:fill="18BAA8" w:themeFill="accent2"/>
          </w:tcPr>
          <w:p>
            <w:pPr>
              <w:keepNext/>
              <w:spacing w:before="60" w:after="120"/>
              <w:rPr>
                <w:b/>
                <w:bCs/>
                <w:noProof/>
                <w:sz w:val="20"/>
              </w:rPr>
            </w:pPr>
            <w:r>
              <w:rPr>
                <w:b/>
                <w:bCs/>
                <w:noProof/>
                <w:color w:val="FFFFFF" w:themeColor="background1"/>
                <w:sz w:val="20"/>
              </w:rPr>
              <w:t>A Europe fit for the Digital Age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Revision of Regional Aid Guidelines</w:t>
            </w:r>
          </w:p>
        </w:tc>
        <w:tc>
          <w:tcPr>
            <w:tcW w:w="9780" w:type="dxa"/>
          </w:tcPr>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The objective of the initiative is to revise the regional State aid guidelines that were to expire at the end of 2020, and are prolonged until 31 December 2021, in order to promote the economic development of certain disadvantaged areas within the European Union as enshrined in Articles 107 (3)(a) and (c) of the Treaty on the Functioning of the European Union. The Regional aid guidelines represent one of the State aid tools that will foster the implementation of the objectives of the European Green Deal and the Digital Strategy. A limited modification of the current Regional aid guidelines is needed to mitigate the consequences of the transition to a green economy. </w:t>
            </w:r>
          </w:p>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Planned adoption date: Q1/2021; non-legislative, Legal basis: Articles 107 and 108 of the TFEU. No impact assessment is envisaged.  </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Revision of the Energy and Environmental Aid Guideline</w:t>
            </w:r>
          </w:p>
        </w:tc>
        <w:tc>
          <w:tcPr>
            <w:tcW w:w="9780" w:type="dxa"/>
          </w:tcPr>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The current rules are applicable until 31 December 2020 (and will be prolonged until 31 December 2021). The ongoing Fitness Check has shown that the current rules have worked well but should be updated to reflect regulatory, technological and market developments and accompany adequately the twin digital and green transformation of the economy. In its Communications on the “European Green Deal” and on the “Sustainable Europe Investment Plan”/”European Green Deal Investment Plan”, the Commission committed to revise the EEAG by 2021 to support a cost-effective transition of the economy and industry to climate neutrality by 2050. </w:t>
            </w:r>
          </w:p>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The revision should provide a modernised and simplified framework enabling public authorities to reach the EU objectives in a cost effective manner with minimum distortions of competition and trade in the Union. In particular, the revision will have to facilitate appropriate measures further promoting a modern decarbonised and circular economy, while ensuring limited distortions of competition and adequate safeguards to the integrity of the single market. The revision should ensure that the revised rules are fit for new technological and market developments and ensure a fair and undistorted transformation of the economy in the next years of economic recovery. </w:t>
            </w:r>
          </w:p>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Planned adoption date: Q4/2021; non-legislative; Legal basis: Articles 107 and 108 of the TFEU. Impact assessment is envisaged.  </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 xml:space="preserve">Revision of the Risk Finance Guidelines </w:t>
            </w:r>
          </w:p>
          <w:p>
            <w:pPr>
              <w:spacing w:after="120"/>
              <w:rPr>
                <w:rFonts w:eastAsiaTheme="minorEastAsia" w:cstheme="minorBidi"/>
                <w:b/>
                <w:bCs/>
                <w:noProof/>
                <w:color w:val="000000" w:themeColor="text1"/>
                <w:sz w:val="20"/>
                <w:lang w:eastAsia="en-US"/>
              </w:rPr>
            </w:pPr>
          </w:p>
        </w:tc>
        <w:tc>
          <w:tcPr>
            <w:tcW w:w="9780" w:type="dxa"/>
          </w:tcPr>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The current rules are applicable until 31 December 2020 (and will be prolonged until 31 December 2021). The ongoing Fitness Check has shown that the current rules have worked well, but should be updated to reflect regulatory, technological and market developments and accompany adequately the current Commission priorities and the economic recovery. </w:t>
            </w:r>
          </w:p>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Planned adoption date: Q4/2021; non-legislative; Legal basis: Articles 107 and 108 of the TFEU. No impact assessment is envisaged.</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Revision of the Framework for State aid research, development and innovation</w:t>
            </w:r>
          </w:p>
          <w:p>
            <w:pPr>
              <w:spacing w:after="120"/>
              <w:rPr>
                <w:rFonts w:eastAsiaTheme="minorEastAsia" w:cstheme="minorBidi"/>
                <w:b/>
                <w:bCs/>
                <w:noProof/>
                <w:color w:val="000000" w:themeColor="text1"/>
                <w:sz w:val="20"/>
                <w:lang w:eastAsia="en-US"/>
              </w:rPr>
            </w:pPr>
          </w:p>
          <w:p>
            <w:pPr>
              <w:spacing w:after="120"/>
              <w:rPr>
                <w:rFonts w:eastAsiaTheme="minorEastAsia" w:cstheme="minorBidi"/>
                <w:b/>
                <w:bCs/>
                <w:noProof/>
                <w:color w:val="000000" w:themeColor="text1"/>
                <w:sz w:val="20"/>
                <w:lang w:eastAsia="en-US"/>
              </w:rPr>
            </w:pPr>
          </w:p>
        </w:tc>
        <w:tc>
          <w:tcPr>
            <w:tcW w:w="9780" w:type="dxa"/>
          </w:tcPr>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The current rules have no expiry date. However, the ongoing Fitness Check has shown that the current rules have worked well, but should be updated in a targeted manner to reflect regulatory, technological and market developments and accompany adequately the current Commission priorities and the economic recovery. </w:t>
            </w:r>
          </w:p>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Planned adoption date: Q4/2021; non-legislative; Legal basis: Articles 107 and 108 of the TFEU. No impact assessment is envisaged.</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lang w:eastAsia="en-US"/>
              </w:rPr>
            </w:pPr>
            <w:r>
              <w:rPr>
                <w:rFonts w:eastAsiaTheme="minorEastAsia" w:cstheme="minorBidi"/>
                <w:b/>
                <w:bCs/>
                <w:noProof/>
                <w:sz w:val="20"/>
                <w:lang w:eastAsia="en-US"/>
              </w:rPr>
              <w:t>Revision of the Communication on Important Projects of Common European Interest</w:t>
            </w:r>
          </w:p>
        </w:tc>
        <w:tc>
          <w:tcPr>
            <w:tcW w:w="9780" w:type="dxa"/>
          </w:tcPr>
          <w:p>
            <w:pPr>
              <w:spacing w:after="120"/>
              <w:rPr>
                <w:rFonts w:eastAsiaTheme="minorEastAsia" w:cstheme="minorBidi"/>
                <w:noProof/>
                <w:spacing w:val="-2"/>
                <w:sz w:val="20"/>
                <w:lang w:eastAsia="en-US"/>
              </w:rPr>
            </w:pPr>
            <w:r>
              <w:rPr>
                <w:rFonts w:eastAsiaTheme="minorEastAsia" w:cstheme="minorBidi"/>
                <w:noProof/>
                <w:spacing w:val="-2"/>
                <w:sz w:val="20"/>
                <w:lang w:eastAsia="en-US"/>
              </w:rPr>
              <w:t xml:space="preserve">The current rules are applicable until 31 December 2020 (and will be prolonged until 31 December 2021). The ongoing Fitness Check has shown that the current rules have worked well, but should be updated in a targeted manner to reflect regulatory, technological and market developments and accompany adequately the current Commission strategic priorities and the economic recovery. </w:t>
            </w:r>
          </w:p>
          <w:p>
            <w:pPr>
              <w:spacing w:after="120"/>
              <w:rPr>
                <w:rFonts w:eastAsiaTheme="minorEastAsia" w:cstheme="minorBidi"/>
                <w:noProof/>
                <w:spacing w:val="-2"/>
                <w:sz w:val="20"/>
                <w:lang w:eastAsia="en-US"/>
              </w:rPr>
            </w:pPr>
            <w:r>
              <w:rPr>
                <w:rFonts w:eastAsiaTheme="minorEastAsia" w:cstheme="minorBidi"/>
                <w:noProof/>
                <w:spacing w:val="-2"/>
                <w:sz w:val="20"/>
                <w:lang w:eastAsia="en-US"/>
              </w:rPr>
              <w:t>Planned adoption date: Q4/2021; non-legislative; Legal basis: Articles 107 and 108 of the TFEU. No impact assessment is envisaged.</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lang w:eastAsia="en-US"/>
              </w:rPr>
            </w:pPr>
            <w:r>
              <w:rPr>
                <w:rFonts w:eastAsiaTheme="minorEastAsia" w:cstheme="minorBidi"/>
                <w:b/>
                <w:bCs/>
                <w:noProof/>
                <w:sz w:val="20"/>
                <w:lang w:eastAsia="en-US"/>
              </w:rPr>
              <w:t>Revision of the State Aid General Block Exemption Regulation (GBER) in light of the Green Deal</w:t>
            </w:r>
          </w:p>
          <w:p>
            <w:pPr>
              <w:spacing w:after="120"/>
              <w:rPr>
                <w:rFonts w:eastAsiaTheme="minorEastAsia" w:cstheme="minorBidi"/>
                <w:b/>
                <w:bCs/>
                <w:noProof/>
                <w:sz w:val="20"/>
                <w:lang w:eastAsia="en-US"/>
              </w:rPr>
            </w:pPr>
          </w:p>
        </w:tc>
        <w:tc>
          <w:tcPr>
            <w:tcW w:w="9780" w:type="dxa"/>
          </w:tcPr>
          <w:p>
            <w:pPr>
              <w:spacing w:after="120"/>
              <w:rPr>
                <w:rFonts w:eastAsiaTheme="minorEastAsia" w:cstheme="minorBidi"/>
                <w:noProof/>
                <w:spacing w:val="-2"/>
                <w:sz w:val="20"/>
                <w:lang w:eastAsia="en-US"/>
              </w:rPr>
            </w:pPr>
            <w:r>
              <w:rPr>
                <w:rFonts w:eastAsiaTheme="minorEastAsia" w:cstheme="minorBidi"/>
                <w:noProof/>
                <w:spacing w:val="-2"/>
                <w:sz w:val="20"/>
                <w:lang w:eastAsia="en-US"/>
              </w:rPr>
              <w:t xml:space="preserve">The current rules are applicable until 31 December 2020 (and will be prolonged until 31 December 2023). The ongoing Fitness Check has shown that the current rules have worked well but should be updated to reflect regulatory, technological and market developments and accompany adequately the twin digital and green transformation of the economy. The revision should provide a modernised and simplified framework enabling public authorities to reach the EU objectives in a cost effective manner with minimum distortions of competition and trade in the Union. </w:t>
            </w:r>
          </w:p>
          <w:p>
            <w:pPr>
              <w:spacing w:after="120"/>
              <w:rPr>
                <w:rFonts w:eastAsiaTheme="minorEastAsia" w:cstheme="minorBidi"/>
                <w:noProof/>
                <w:spacing w:val="-2"/>
                <w:sz w:val="20"/>
                <w:lang w:eastAsia="en-US"/>
              </w:rPr>
            </w:pPr>
            <w:r>
              <w:rPr>
                <w:rFonts w:eastAsiaTheme="minorEastAsia" w:cstheme="minorBidi"/>
                <w:noProof/>
                <w:spacing w:val="-2"/>
                <w:sz w:val="20"/>
                <w:lang w:eastAsia="en-US"/>
              </w:rPr>
              <w:t>Planned adoption date: Q4/2021; Legislative; Legal basis: Articles 107 and 108 of the TFEU. No impact assessment is envisaged.</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lang w:eastAsia="en-US"/>
              </w:rPr>
            </w:pPr>
            <w:r>
              <w:rPr>
                <w:b/>
                <w:noProof/>
                <w:sz w:val="20"/>
              </w:rPr>
              <w:t>Revision of the Guidelines on State aid to the Agricultural and Forestry Sectors and in Rural Areas and Agricultural Block Exemption Regulation (ABER)</w:t>
            </w:r>
          </w:p>
        </w:tc>
        <w:tc>
          <w:tcPr>
            <w:tcW w:w="9780" w:type="dxa"/>
            <w:shd w:val="clear" w:color="auto" w:fill="auto"/>
          </w:tcPr>
          <w:p>
            <w:pPr>
              <w:spacing w:after="120"/>
              <w:rPr>
                <w:noProof/>
                <w:sz w:val="20"/>
              </w:rPr>
            </w:pPr>
            <w:r>
              <w:rPr>
                <w:noProof/>
                <w:sz w:val="20"/>
              </w:rPr>
              <w:t xml:space="preserve">The current rules are applicable until 31 December 2020 (and will be prolonged until 31 December 2021). The on-going evaluation has shown that the current rules have worked well but that there is scope for procedural simplification as well as adjustments to increase the effectiveness of certain aid measures. The State aid framework must continue to be closely linked to the legislation under the Common Agricultural Policy, in particular the future regulation on support for national strategic plans. </w:t>
            </w:r>
          </w:p>
          <w:p>
            <w:pPr>
              <w:spacing w:after="120"/>
              <w:rPr>
                <w:rFonts w:eastAsiaTheme="minorEastAsia" w:cstheme="minorBidi"/>
                <w:noProof/>
                <w:spacing w:val="-2"/>
                <w:sz w:val="20"/>
                <w:lang w:eastAsia="en-US"/>
              </w:rPr>
            </w:pPr>
            <w:r>
              <w:rPr>
                <w:noProof/>
                <w:sz w:val="20"/>
              </w:rPr>
              <w:t>Planned adoption date: Q4/2021; Legislative; Legal basis: Article 107 and 108 of the TFEU. Impact assessment is envisaged.</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autoSpaceDE w:val="0"/>
              <w:autoSpaceDN w:val="0"/>
              <w:adjustRightInd w:val="0"/>
              <w:spacing w:after="120"/>
              <w:rPr>
                <w:rFonts w:eastAsiaTheme="minorEastAsia"/>
                <w:b/>
                <w:bCs/>
                <w:noProof/>
                <w:color w:val="000000"/>
                <w:sz w:val="20"/>
                <w:lang w:eastAsia="en-US"/>
              </w:rPr>
            </w:pPr>
            <w:r>
              <w:rPr>
                <w:b/>
                <w:noProof/>
                <w:sz w:val="20"/>
              </w:rPr>
              <w:t>Revision of the Guidelines on State aid for the fishery and aquaculture sector, Block Exemption Regulation (FIBER) and Regulation on de minimis</w:t>
            </w:r>
          </w:p>
        </w:tc>
        <w:tc>
          <w:tcPr>
            <w:tcW w:w="9780" w:type="dxa"/>
            <w:shd w:val="clear" w:color="auto" w:fill="auto"/>
          </w:tcPr>
          <w:p>
            <w:pPr>
              <w:rPr>
                <w:noProof/>
                <w:sz w:val="20"/>
              </w:rPr>
            </w:pPr>
            <w:r>
              <w:rPr>
                <w:noProof/>
                <w:sz w:val="20"/>
              </w:rPr>
              <w:t xml:space="preserve">The current rules are applicable until 31 December 2020 (and will be prolonged until 31 December 2021). The on-going evaluation has shown that the current rules have worked well but that there is scope for procedural simplification. The State aid framework must continue to be closely linked the legislation under the Common Fishery Policy, in particular the future regulation on the European Maritime and Fisheries Fund. </w:t>
            </w:r>
          </w:p>
          <w:p>
            <w:pPr>
              <w:spacing w:after="120"/>
              <w:rPr>
                <w:rFonts w:eastAsiaTheme="minorEastAsia" w:cstheme="minorBidi"/>
                <w:noProof/>
                <w:spacing w:val="-2"/>
                <w:sz w:val="20"/>
                <w:lang w:eastAsia="en-US"/>
              </w:rPr>
            </w:pPr>
            <w:r>
              <w:rPr>
                <w:noProof/>
                <w:sz w:val="20"/>
              </w:rPr>
              <w:t>Planned adoption date: Q4/2021; Legislative; Legal basis: Article 107 and 108 of the TFEU. Impact assessment is envisaged.</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jc w:val="left"/>
              <w:rPr>
                <w:rFonts w:eastAsiaTheme="minorEastAsia" w:cstheme="minorBidi"/>
                <w:b/>
                <w:bCs/>
                <w:noProof/>
                <w:sz w:val="20"/>
                <w:lang w:eastAsia="en-US"/>
              </w:rPr>
            </w:pPr>
            <w:r>
              <w:rPr>
                <w:b/>
                <w:noProof/>
                <w:sz w:val="20"/>
              </w:rPr>
              <w:t>Revision of the Machinery Directive 2006/42/EC</w:t>
            </w:r>
          </w:p>
        </w:tc>
        <w:tc>
          <w:tcPr>
            <w:tcW w:w="9780" w:type="dxa"/>
            <w:shd w:val="clear" w:color="auto" w:fill="auto"/>
          </w:tcPr>
          <w:p>
            <w:pPr>
              <w:rPr>
                <w:noProof/>
                <w:sz w:val="20"/>
              </w:rPr>
            </w:pPr>
            <w:r>
              <w:rPr>
                <w:noProof/>
                <w:sz w:val="20"/>
              </w:rPr>
              <w:t xml:space="preserve">The initiative aims to:  </w:t>
            </w:r>
          </w:p>
          <w:p>
            <w:pPr>
              <w:pStyle w:val="ListParagraph"/>
              <w:numPr>
                <w:ilvl w:val="0"/>
                <w:numId w:val="44"/>
              </w:numPr>
              <w:spacing w:after="0"/>
              <w:rPr>
                <w:noProof/>
                <w:sz w:val="20"/>
              </w:rPr>
            </w:pPr>
            <w:r>
              <w:rPr>
                <w:noProof/>
                <w:sz w:val="20"/>
              </w:rPr>
              <w:t xml:space="preserve">address the risks stemming from new technologies while allowing for technical progress  </w:t>
            </w:r>
          </w:p>
          <w:p>
            <w:pPr>
              <w:pStyle w:val="ListParagraph"/>
              <w:numPr>
                <w:ilvl w:val="0"/>
                <w:numId w:val="44"/>
              </w:numPr>
              <w:spacing w:after="0"/>
              <w:rPr>
                <w:noProof/>
                <w:sz w:val="20"/>
              </w:rPr>
            </w:pPr>
            <w:r>
              <w:rPr>
                <w:noProof/>
                <w:sz w:val="20"/>
              </w:rPr>
              <w:t xml:space="preserve">simplify the requirements for documentation, by allowing digital formats, hence reducing administrative burden for economic operators, with an additional positive impact on environmental costs </w:t>
            </w:r>
          </w:p>
          <w:p>
            <w:pPr>
              <w:pStyle w:val="ListParagraph"/>
              <w:numPr>
                <w:ilvl w:val="0"/>
                <w:numId w:val="44"/>
              </w:numPr>
              <w:spacing w:after="0"/>
              <w:rPr>
                <w:noProof/>
                <w:sz w:val="20"/>
              </w:rPr>
            </w:pPr>
            <w:r>
              <w:rPr>
                <w:noProof/>
                <w:sz w:val="20"/>
              </w:rPr>
              <w:t>improve the legal clarity of some major concepts and definitions in the current text of the Directive</w:t>
            </w:r>
          </w:p>
          <w:p>
            <w:pPr>
              <w:pStyle w:val="ListParagraph"/>
              <w:numPr>
                <w:ilvl w:val="0"/>
                <w:numId w:val="44"/>
              </w:numPr>
              <w:spacing w:after="0"/>
              <w:rPr>
                <w:noProof/>
                <w:sz w:val="20"/>
              </w:rPr>
            </w:pPr>
            <w:r>
              <w:rPr>
                <w:noProof/>
                <w:sz w:val="20"/>
              </w:rPr>
              <w:t xml:space="preserve">ensure coherence with other Directives and Regulations for products and improve enforcement of the legislation through the alignment to the New Legislative Framework </w:t>
            </w:r>
          </w:p>
          <w:p>
            <w:pPr>
              <w:pStyle w:val="ListParagraph"/>
              <w:numPr>
                <w:ilvl w:val="0"/>
                <w:numId w:val="44"/>
              </w:numPr>
              <w:spacing w:after="0"/>
              <w:rPr>
                <w:noProof/>
                <w:sz w:val="20"/>
              </w:rPr>
            </w:pPr>
            <w:r>
              <w:rPr>
                <w:noProof/>
                <w:sz w:val="20"/>
              </w:rPr>
              <w:t>reduce costs of transposition by converting the Directive into a Regulation.</w:t>
            </w:r>
          </w:p>
          <w:p>
            <w:pPr>
              <w:spacing w:after="0"/>
              <w:rPr>
                <w:noProof/>
              </w:rPr>
            </w:pPr>
          </w:p>
          <w:p>
            <w:pPr>
              <w:spacing w:after="120"/>
              <w:rPr>
                <w:rFonts w:eastAsiaTheme="minorEastAsia" w:cstheme="minorBidi"/>
                <w:noProof/>
                <w:sz w:val="20"/>
                <w:lang w:eastAsia="en-US"/>
              </w:rPr>
            </w:pPr>
            <w:r>
              <w:rPr>
                <w:noProof/>
                <w:sz w:val="20"/>
              </w:rPr>
              <w:t>Planned adoption date: Q2/2021; Legislative; Legal basis: Article 114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rFonts w:eastAsiaTheme="minorEastAsia" w:cstheme="minorBidi"/>
                <w:b/>
                <w:bCs/>
                <w:noProof/>
                <w:sz w:val="20"/>
                <w:lang w:eastAsia="en-US"/>
              </w:rPr>
            </w:pPr>
            <w:r>
              <w:rPr>
                <w:b/>
                <w:noProof/>
                <w:sz w:val="20"/>
              </w:rPr>
              <w:t>Revision - Computer reservation systems</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 xml:space="preserve">The Regulation on a CRS Code of Conduct establishes a regulatory framework for Computerised Reservation Systems (CRS) for air transport products. The overall general objectives of the Regulation were to prevent abuse of market power and ensure market efficiency and the protection of consumer interests. </w:t>
            </w:r>
          </w:p>
          <w:p>
            <w:pPr>
              <w:spacing w:after="120"/>
              <w:rPr>
                <w:rFonts w:eastAsiaTheme="minorEastAsia" w:cstheme="minorBidi"/>
                <w:noProof/>
                <w:sz w:val="20"/>
                <w:lang w:eastAsia="en-US"/>
              </w:rPr>
            </w:pPr>
            <w:r>
              <w:rPr>
                <w:rFonts w:eastAsiaTheme="minorEastAsia" w:cstheme="minorBidi"/>
                <w:noProof/>
                <w:sz w:val="20"/>
                <w:lang w:eastAsia="en-US"/>
              </w:rPr>
              <w:t>Planned adoption: Q4/2021; Legislative; Legal basis: Articles 91 and 100(2)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Evaluation of the Commission Notice on market definition in EU competition law</w:t>
            </w:r>
          </w:p>
        </w:tc>
        <w:tc>
          <w:tcPr>
            <w:tcW w:w="9780" w:type="dxa"/>
            <w:tcBorders>
              <w:bottom w:val="single" w:sz="4" w:space="0" w:color="auto"/>
            </w:tcBorders>
          </w:tcPr>
          <w:p>
            <w:pPr>
              <w:spacing w:after="120"/>
              <w:rPr>
                <w:noProof/>
                <w:sz w:val="20"/>
                <w:lang w:val="en-IE"/>
              </w:rPr>
            </w:pPr>
            <w:r>
              <w:rPr>
                <w:noProof/>
                <w:sz w:val="20"/>
                <w:lang w:val="en-IE"/>
              </w:rPr>
              <w:t xml:space="preserve">Over the past few years, change is happening at an ever more rapid pace, and the world is becoming increasingly digital and interconnected. </w:t>
            </w:r>
          </w:p>
          <w:p>
            <w:pPr>
              <w:spacing w:after="120"/>
              <w:rPr>
                <w:noProof/>
                <w:sz w:val="20"/>
                <w:lang w:val="en-IE"/>
              </w:rPr>
            </w:pPr>
            <w:r>
              <w:rPr>
                <w:noProof/>
                <w:sz w:val="20"/>
                <w:lang w:val="en-IE"/>
              </w:rPr>
              <w:t>The current Market Definition Notice dates from 1997 and may therefore not address all pertinent questions arising today when defining the relevant product and geographic market. The Commission has also gained a lot of experience in market definition all these years, techniques have evolved and the EU courts have provided additional guidance.</w:t>
            </w:r>
          </w:p>
          <w:p>
            <w:pPr>
              <w:spacing w:after="120"/>
              <w:rPr>
                <w:noProof/>
                <w:sz w:val="20"/>
              </w:rPr>
            </w:pPr>
            <w:r>
              <w:rPr>
                <w:noProof/>
                <w:sz w:val="20"/>
              </w:rPr>
              <w:t>The Commission will evaluate whether its 1997 Notice on market definition requires updating to ensure that it is accurate and up to date and that it sets out a clear and consistent approach to market definition in both antitrust and merger cases across different industries, in a way that is easily accessible. The Commission must ensure that its guidance in antitrust and merger enforcement continues to take into account fully digitisation and technological developments in the current global context.</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Evaluation of State aid rules for broadband infrastructure deployment</w:t>
            </w:r>
          </w:p>
        </w:tc>
        <w:tc>
          <w:tcPr>
            <w:tcW w:w="9780" w:type="dxa"/>
            <w:tcBorders>
              <w:bottom w:val="single" w:sz="4" w:space="0" w:color="auto"/>
            </w:tcBorders>
          </w:tcPr>
          <w:p>
            <w:pPr>
              <w:spacing w:after="120"/>
              <w:rPr>
                <w:noProof/>
                <w:sz w:val="20"/>
              </w:rPr>
            </w:pPr>
            <w:r>
              <w:rPr>
                <w:noProof/>
                <w:sz w:val="20"/>
              </w:rPr>
              <w:t xml:space="preserve">The State aid rules applicable to the broadband sector aim at the deployment of pro-competitive broadband networks, ensuring that the public funds are steered into areas that need it most (mainly rural areas), while preventing the crowding out of private investment. The evaluation of these rules aims at verifying how they have functioned, whether they respond to the technological and socio-economic developments and are appropriate to meet the new EU objectives. </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Evaluation of State aid rules for health and social services of general economic interest</w:t>
            </w:r>
          </w:p>
        </w:tc>
        <w:tc>
          <w:tcPr>
            <w:tcW w:w="9780" w:type="dxa"/>
            <w:tcBorders>
              <w:bottom w:val="single" w:sz="4" w:space="0" w:color="auto"/>
            </w:tcBorders>
          </w:tcPr>
          <w:p>
            <w:pPr>
              <w:spacing w:after="120"/>
              <w:rPr>
                <w:noProof/>
                <w:sz w:val="20"/>
              </w:rPr>
            </w:pPr>
            <w:r>
              <w:rPr>
                <w:noProof/>
                <w:sz w:val="20"/>
              </w:rPr>
              <w:t xml:space="preserve">The goal of the evaluation is to verify to which extent the rules on health and social Services of General Economic Interest (SGEIs) reached the envisaged objectives under the 2012 SGEI package, namely to support Member States in funding services of general economic interest that are of key importance to citizens and society as a whole while preserving the key aspects of State aid control. </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Evaluation of the ‘New Legislative Framework for Products’ (Decision No 768/2008/EC on a common framework for the marketing of products and the accreditation and CE marking provisions of Regulation (EC) No 765/2008).</w:t>
            </w:r>
          </w:p>
        </w:tc>
        <w:tc>
          <w:tcPr>
            <w:tcW w:w="9780" w:type="dxa"/>
            <w:tcBorders>
              <w:bottom w:val="single" w:sz="4" w:space="0" w:color="auto"/>
            </w:tcBorders>
          </w:tcPr>
          <w:p>
            <w:pPr>
              <w:spacing w:after="120"/>
              <w:rPr>
                <w:noProof/>
                <w:sz w:val="20"/>
              </w:rPr>
            </w:pPr>
            <w:r>
              <w:rPr>
                <w:noProof/>
                <w:sz w:val="20"/>
              </w:rPr>
              <w:t>The objective of this evaluation is to assess the effectiveness, efficiency, relevance, coherence and EU added value of Decision No 768/2008/EC on a common framework for the marketing of products and the accreditation and CE marking provisions of Regulation (EC) No 765/2008. It should also assess if these instruments are fit for the digital age and a greener economy and if they accelerate our green and digital transition and our economic resilience.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Evaluation of the Electromagnetic Compatibility Directive 2014/30/EU</w:t>
            </w:r>
          </w:p>
        </w:tc>
        <w:tc>
          <w:tcPr>
            <w:tcW w:w="9780" w:type="dxa"/>
            <w:tcBorders>
              <w:bottom w:val="single" w:sz="4" w:space="0" w:color="auto"/>
            </w:tcBorders>
          </w:tcPr>
          <w:p>
            <w:pPr>
              <w:spacing w:after="120"/>
              <w:rPr>
                <w:noProof/>
                <w:sz w:val="20"/>
              </w:rPr>
            </w:pPr>
            <w:r>
              <w:rPr>
                <w:noProof/>
                <w:sz w:val="20"/>
              </w:rPr>
              <w:t>The Electromagnetic Compatibility Directive 2014/30/EU (EMCD) addresses electrical equipment placed on the EU market. Its scope covers a high and increasing number of products, both for consumer and professional use.</w:t>
            </w:r>
          </w:p>
          <w:p>
            <w:pPr>
              <w:rPr>
                <w:noProof/>
                <w:sz w:val="20"/>
              </w:rPr>
            </w:pPr>
            <w:r>
              <w:rPr>
                <w:noProof/>
                <w:sz w:val="20"/>
              </w:rPr>
              <w:t>The objectives of the EMCD are to ensure the functioning of the internal market by requiring equipment to comply with an adequate level of electromagnetic compatibility. More specifically, the Directive seeks to ensure that electromagnetic disturbances produced by equipment do not affect the correct functioning of other such equipment, and that such equipment has an appropriate level of immunity to electromagnetic disturbances so that it can function as intended.</w:t>
            </w:r>
          </w:p>
          <w:p>
            <w:pPr>
              <w:spacing w:after="120"/>
              <w:rPr>
                <w:noProof/>
                <w:sz w:val="20"/>
              </w:rPr>
            </w:pPr>
            <w:r>
              <w:rPr>
                <w:noProof/>
                <w:sz w:val="20"/>
              </w:rPr>
              <w:t>The purpose of the evaluation is to assess if the EMCD is still fit for purpose in terms of effectiveness, efficiency, relevance, coherence and EU added value.</w:t>
            </w:r>
          </w:p>
        </w:tc>
      </w:tr>
      <w:tr>
        <w:trPr>
          <w:cantSplit/>
        </w:trPr>
        <w:tc>
          <w:tcPr>
            <w:tcW w:w="14827" w:type="dxa"/>
            <w:gridSpan w:val="3"/>
            <w:shd w:val="clear" w:color="auto" w:fill="F68A42" w:themeFill="accent3"/>
          </w:tcPr>
          <w:p>
            <w:pPr>
              <w:keepNext/>
              <w:spacing w:before="60" w:after="120"/>
              <w:rPr>
                <w:rFonts w:eastAsiaTheme="minorEastAsia" w:cstheme="minorBidi"/>
                <w:noProof/>
                <w:sz w:val="20"/>
                <w:lang w:eastAsia="en-US"/>
              </w:rPr>
            </w:pPr>
            <w:r>
              <w:rPr>
                <w:b/>
                <w:bCs/>
                <w:noProof/>
                <w:color w:val="FFFFFF" w:themeColor="background1"/>
                <w:sz w:val="20"/>
              </w:rPr>
              <w:t>An Economy that Works for People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Pr>
          <w:p>
            <w:pPr>
              <w:spacing w:after="120" w:line="276" w:lineRule="auto"/>
              <w:jc w:val="left"/>
              <w:rPr>
                <w:rFonts w:eastAsiaTheme="minorEastAsia" w:cstheme="minorBidi"/>
                <w:b/>
                <w:bCs/>
                <w:noProof/>
                <w:sz w:val="20"/>
                <w:lang w:val="en-IE" w:eastAsia="en-US"/>
              </w:rPr>
            </w:pPr>
            <w:r>
              <w:rPr>
                <w:b/>
                <w:noProof/>
                <w:sz w:val="20"/>
              </w:rPr>
              <w:t>Revision of Regulation (EU) No 909/2014 of the European Parliament and of the Council of 23 July 2014 on improving securities settlement in the European Union and on central securities depositories and amending Directives 98/26/EC and 2014/65/EU and Regulation (EU) No 236/2012 (CSDR)</w:t>
            </w:r>
          </w:p>
        </w:tc>
        <w:tc>
          <w:tcPr>
            <w:tcW w:w="9780" w:type="dxa"/>
          </w:tcPr>
          <w:p>
            <w:pPr>
              <w:spacing w:after="120"/>
              <w:rPr>
                <w:rFonts w:eastAsiaTheme="minorEastAsia" w:cstheme="minorBidi"/>
                <w:noProof/>
                <w:sz w:val="20"/>
                <w:lang w:eastAsia="en-US"/>
              </w:rPr>
            </w:pPr>
            <w:r>
              <w:rPr>
                <w:rFonts w:eastAsiaTheme="minorEastAsia" w:cstheme="minorBidi"/>
                <w:noProof/>
                <w:sz w:val="20"/>
                <w:lang w:eastAsia="en-US"/>
              </w:rPr>
              <w:t xml:space="preserve">The initiative is based on the experience gathered six years after the entry into force of CSDR, in a limited number of areas practical issues with the application of the new framework have arisen. The forthcoming proposal will therefore set out a number of targeted modifications of CSDR, aimed at simplifying the rules as well as making them more proportionate and less burdensome for stakeholders. </w:t>
            </w:r>
          </w:p>
          <w:p>
            <w:pPr>
              <w:spacing w:after="0"/>
              <w:rPr>
                <w:rFonts w:eastAsiaTheme="minorEastAsia" w:cstheme="minorBidi"/>
                <w:noProof/>
                <w:sz w:val="20"/>
                <w:lang w:eastAsia="en-US"/>
              </w:rPr>
            </w:pPr>
            <w:r>
              <w:rPr>
                <w:rFonts w:eastAsiaTheme="minorEastAsia" w:cstheme="minorBidi"/>
                <w:noProof/>
                <w:sz w:val="20"/>
                <w:lang w:eastAsia="en-US"/>
              </w:rPr>
              <w:t>These areas may include:</w:t>
            </w:r>
          </w:p>
          <w:p>
            <w:pPr>
              <w:spacing w:after="0"/>
              <w:rPr>
                <w:rFonts w:eastAsiaTheme="minorEastAsia" w:cstheme="minorBidi"/>
                <w:noProof/>
                <w:sz w:val="20"/>
                <w:lang w:eastAsia="en-US"/>
              </w:rPr>
            </w:pPr>
            <w:r>
              <w:rPr>
                <w:rFonts w:eastAsiaTheme="minorEastAsia" w:cstheme="minorBidi"/>
                <w:noProof/>
                <w:sz w:val="20"/>
                <w:lang w:eastAsia="en-US"/>
              </w:rPr>
              <w:t>(a) cross-border provision of services by Union CSDs and handling of relevant applications</w:t>
            </w:r>
          </w:p>
          <w:p>
            <w:pPr>
              <w:spacing w:after="0"/>
              <w:rPr>
                <w:rFonts w:eastAsiaTheme="minorEastAsia" w:cstheme="minorBidi"/>
                <w:noProof/>
                <w:sz w:val="20"/>
                <w:lang w:eastAsia="en-US"/>
              </w:rPr>
            </w:pPr>
            <w:r>
              <w:rPr>
                <w:rFonts w:eastAsiaTheme="minorEastAsia" w:cstheme="minorBidi"/>
                <w:noProof/>
                <w:sz w:val="20"/>
                <w:lang w:eastAsia="en-US"/>
              </w:rPr>
              <w:t xml:space="preserve">(b) the procedures and conditions under which CSDs have been authorised to designate credit institutions or themselves to provide banking-type ancillary services </w:t>
            </w:r>
          </w:p>
          <w:p>
            <w:pPr>
              <w:spacing w:after="0"/>
              <w:rPr>
                <w:rFonts w:eastAsiaTheme="minorEastAsia" w:cstheme="minorBidi"/>
                <w:noProof/>
                <w:sz w:val="20"/>
                <w:lang w:eastAsia="en-US"/>
              </w:rPr>
            </w:pPr>
            <w:r>
              <w:rPr>
                <w:rFonts w:eastAsiaTheme="minorEastAsia" w:cstheme="minorBidi"/>
                <w:noProof/>
                <w:sz w:val="20"/>
                <w:lang w:eastAsia="en-US"/>
              </w:rPr>
              <w:t>(c) rules relating to internalised settlement</w:t>
            </w:r>
          </w:p>
          <w:p>
            <w:pPr>
              <w:spacing w:after="120"/>
              <w:rPr>
                <w:rFonts w:eastAsiaTheme="minorEastAsia" w:cstheme="minorBidi"/>
                <w:noProof/>
                <w:sz w:val="20"/>
                <w:lang w:eastAsia="en-US"/>
              </w:rPr>
            </w:pPr>
            <w:r>
              <w:rPr>
                <w:rFonts w:eastAsiaTheme="minorEastAsia" w:cstheme="minorBidi"/>
                <w:noProof/>
                <w:sz w:val="20"/>
                <w:lang w:eastAsia="en-US"/>
              </w:rPr>
              <w:t>(d) Fintech / use of technological innovation</w:t>
            </w:r>
          </w:p>
          <w:p>
            <w:pPr>
              <w:spacing w:after="120"/>
              <w:rPr>
                <w:rFonts w:eastAsiaTheme="minorEastAsia" w:cstheme="minorBidi"/>
                <w:noProof/>
                <w:sz w:val="20"/>
                <w:lang w:eastAsia="en-US"/>
              </w:rPr>
            </w:pPr>
            <w:r>
              <w:rPr>
                <w:rFonts w:eastAsiaTheme="minorEastAsia" w:cstheme="minorBidi"/>
                <w:noProof/>
                <w:sz w:val="20"/>
                <w:lang w:eastAsia="en-US"/>
              </w:rPr>
              <w:t>Planned adoption date: Q2/2021; Legislative; Legal basis: Article 114 of the TFEU. Impact assessment is envisaged.</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Pr>
          <w:p>
            <w:pPr>
              <w:spacing w:after="120"/>
              <w:jc w:val="left"/>
              <w:rPr>
                <w:rFonts w:eastAsiaTheme="minorEastAsia" w:cstheme="minorBidi"/>
                <w:b/>
                <w:bCs/>
                <w:noProof/>
                <w:sz w:val="20"/>
                <w:lang w:eastAsia="en-US"/>
              </w:rPr>
            </w:pPr>
            <w:r>
              <w:rPr>
                <w:b/>
                <w:noProof/>
                <w:sz w:val="20"/>
              </w:rPr>
              <w:t>Evaluation of three passenger rights Regulations on: the rights of persons with disabilities and persons with reduced mobility when travelling by air (Regulations No 1107/2006), the rights of passengers when travelling by sea and inland waterway and (Regulation (EU) No 1177/2010), and the rights of passengers in bus and coach transport (Regulation (EU) No 181/2011)</w:t>
            </w:r>
          </w:p>
        </w:tc>
        <w:tc>
          <w:tcPr>
            <w:tcW w:w="9780" w:type="dxa"/>
          </w:tcPr>
          <w:p>
            <w:pPr>
              <w:spacing w:after="120"/>
              <w:rPr>
                <w:rFonts w:eastAsiaTheme="minorEastAsia" w:cstheme="minorBidi"/>
                <w:bCs/>
                <w:noProof/>
                <w:sz w:val="20"/>
                <w:lang w:eastAsia="en-US"/>
              </w:rPr>
            </w:pPr>
            <w:r>
              <w:rPr>
                <w:rFonts w:eastAsiaTheme="minorEastAsia" w:cstheme="minorBidi"/>
                <w:bCs/>
                <w:noProof/>
                <w:sz w:val="20"/>
                <w:lang w:eastAsia="en-US"/>
              </w:rPr>
              <w:t>Based on the conclusions of the evaluation, a study for a comparative analysis of the good practices of passenger rights across all transport modes, the outcome of the ongoing legislative procedures for rail and air passenger rights and considering also the lessons of the COVID-19 pandemic in the field of passenger rights.</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Pr>
          <w:p>
            <w:pPr>
              <w:spacing w:after="120"/>
              <w:jc w:val="left"/>
              <w:rPr>
                <w:rFonts w:eastAsiaTheme="minorEastAsia" w:cstheme="minorBidi"/>
                <w:b/>
                <w:bCs/>
                <w:noProof/>
                <w:sz w:val="20"/>
                <w:lang w:eastAsia="en-US"/>
              </w:rPr>
            </w:pPr>
            <w:r>
              <w:rPr>
                <w:b/>
                <w:noProof/>
                <w:sz w:val="20"/>
              </w:rPr>
              <w:t xml:space="preserve">Interim evaluation of the implementation of the Union Customs Code </w:t>
            </w:r>
          </w:p>
        </w:tc>
        <w:tc>
          <w:tcPr>
            <w:tcW w:w="9780" w:type="dxa"/>
          </w:tcPr>
          <w:p>
            <w:pPr>
              <w:spacing w:after="12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The evaluation will provide a comprehensive assessment of the implementation and impact of the UCC legal and IT framework, at both EU and Member States’ levels, since its entry into force in 2016. The UCC aims, amongst others, to streamline customs rules, procedures and processes, achieve a fully paperless environment and strengthen legal certainty and predictability of customs rules. The evaluation will assess the balance between customs controls and trade facilitation as well as the extent to which the current rules support legitimate economic activity and prevent unfair or illegal trade. Concerning the IT systems, the study should assess whether the automated processes set out in the UCC package have allowed for reinforced collaboration among customs authorities and interoperability between the different electronic systems. The evaluation will attempt to assess all costs of implementing the UCC, together with its electronic systems as well as the benefits of safer, more compliant trade and speedier procedures. The two criteria should then be set against each other in order to assess the ratio and judge the value for money. This assessment should include the regulatory costs and benefits related to the implementation and application of the UCC for all relevant stakeholders (compliance costs, administrative costs, administrative burdens, benefits, savings), as well as the potential for any further simplification and burden reduction, which would not, however, compromise customs objectives.</w:t>
            </w:r>
          </w:p>
        </w:tc>
      </w:tr>
      <w:tr>
        <w:trPr>
          <w:cantSplit/>
        </w:trPr>
        <w:tc>
          <w:tcPr>
            <w:tcW w:w="14827" w:type="dxa"/>
            <w:gridSpan w:val="3"/>
            <w:shd w:val="clear" w:color="auto" w:fill="DA5C57" w:themeFill="accent6"/>
          </w:tcPr>
          <w:p>
            <w:pPr>
              <w:keepNext/>
              <w:spacing w:before="60" w:after="120"/>
              <w:rPr>
                <w:b/>
                <w:bCs/>
                <w:noProof/>
                <w:sz w:val="20"/>
              </w:rPr>
            </w:pPr>
            <w:r>
              <w:rPr>
                <w:b/>
                <w:bCs/>
                <w:noProof/>
                <w:color w:val="FFFFFF" w:themeColor="background1"/>
                <w:sz w:val="20"/>
              </w:rPr>
              <w:t>Promoting our European Way of Life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lang w:eastAsia="en-US"/>
              </w:rPr>
            </w:pPr>
            <w:r>
              <w:rPr>
                <w:b/>
                <w:noProof/>
                <w:sz w:val="20"/>
              </w:rPr>
              <w:t xml:space="preserve">Revision of Directive 2003/109/EC on long-term residents </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As a follow-up to the 2019 Fitness check on legal migration, the revision of the long-term residents Directive will aim to improve its effectiveness, in particular intra-EU mobility rights.</w:t>
            </w:r>
          </w:p>
          <w:p>
            <w:pPr>
              <w:spacing w:after="120"/>
              <w:rPr>
                <w:rFonts w:eastAsiaTheme="minorEastAsia" w:cstheme="minorBidi"/>
                <w:noProof/>
                <w:sz w:val="20"/>
                <w:lang w:eastAsia="en-US"/>
              </w:rPr>
            </w:pPr>
            <w:r>
              <w:rPr>
                <w:rFonts w:eastAsiaTheme="minorEastAsia" w:cstheme="minorBidi"/>
                <w:noProof/>
                <w:sz w:val="20"/>
                <w:lang w:eastAsia="en-US"/>
              </w:rPr>
              <w:t>Planned adoption date: Q3/2021; Legislative; Legal basis: Article 79(2)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lang w:eastAsia="en-US"/>
              </w:rPr>
            </w:pPr>
            <w:r>
              <w:rPr>
                <w:b/>
                <w:noProof/>
                <w:sz w:val="20"/>
              </w:rPr>
              <w:t xml:space="preserve">Revision of Directive 2011/98/EU on the Single permit </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As a follow to the 2019 Fitness check on legal migration, the revision of the Single permit Directive will aim to simplify and clarify its scope and to ensure a minimum harmonisation of admission and residence conditions for low and medium skilled workers.</w:t>
            </w:r>
          </w:p>
          <w:p>
            <w:pPr>
              <w:spacing w:after="120"/>
              <w:rPr>
                <w:rFonts w:eastAsiaTheme="minorEastAsia" w:cstheme="minorBidi"/>
                <w:noProof/>
                <w:sz w:val="20"/>
                <w:lang w:eastAsia="en-US"/>
              </w:rPr>
            </w:pPr>
            <w:r>
              <w:rPr>
                <w:rFonts w:eastAsiaTheme="minorEastAsia" w:cstheme="minorBidi"/>
                <w:noProof/>
                <w:sz w:val="20"/>
                <w:lang w:eastAsia="en-US"/>
              </w:rPr>
              <w:t>Planned adoption date: Q4/2021; Legislative; Legal basis: Article 79(2)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b/>
                <w:noProof/>
                <w:sz w:val="20"/>
              </w:rPr>
            </w:pPr>
            <w:r>
              <w:rPr>
                <w:b/>
                <w:noProof/>
                <w:sz w:val="20"/>
              </w:rPr>
              <w:t>Revision of Regulation 258/2012 on export authorisation, and import and transit measures for firearms</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Improve traceability of firearms (harmonised import markings), improve exchanges of information between national authorities, increase the security of export and import control procedures, better address the imports of easily convertible alarm and signal weapons, apply the whistle-blower-protection regime put in place with Directive (EU) No 2019/1937 to persons who report breaches of the amended Regulation.</w:t>
            </w:r>
          </w:p>
          <w:p>
            <w:pPr>
              <w:spacing w:after="120"/>
              <w:rPr>
                <w:rFonts w:eastAsiaTheme="minorEastAsia" w:cstheme="minorBidi"/>
                <w:noProof/>
                <w:sz w:val="20"/>
                <w:lang w:eastAsia="en-US"/>
              </w:rPr>
            </w:pPr>
            <w:r>
              <w:rPr>
                <w:rFonts w:eastAsiaTheme="minorEastAsia" w:cstheme="minorBidi"/>
                <w:noProof/>
                <w:sz w:val="20"/>
                <w:lang w:eastAsia="en-US"/>
              </w:rPr>
              <w:t xml:space="preserve">Planned adoption date: Q4/2021; Legislative; Legal basis: Article 207 of the TFEU. Impact assessment is envisaged. </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lang w:eastAsia="en-US"/>
              </w:rPr>
            </w:pPr>
            <w:r>
              <w:rPr>
                <w:rFonts w:eastAsiaTheme="minorEastAsia" w:cstheme="minorBidi"/>
                <w:b/>
                <w:bCs/>
                <w:noProof/>
                <w:sz w:val="20"/>
                <w:lang w:eastAsia="en-US"/>
              </w:rPr>
              <w:t>Revision - Maritime Accident Investigation</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The establishment of a permanent accident investigation body with adequate resources and expertise, able to respond at short notice, is seen as a heavy resource burden and time-consuming task for smaller Member States and States with small fleets. As a result, accidents are going unreported or are not being carried out in a timely, expert and independent manner with possible implications in terms of safety and accidents occurring. The revision could therefore help to focus better the use of resources and address shortages in expertise.</w:t>
            </w:r>
          </w:p>
          <w:p>
            <w:pPr>
              <w:spacing w:after="120"/>
              <w:rPr>
                <w:rFonts w:eastAsiaTheme="minorEastAsia" w:cstheme="minorBidi"/>
                <w:noProof/>
                <w:sz w:val="20"/>
                <w:lang w:eastAsia="en-US"/>
              </w:rPr>
            </w:pPr>
            <w:r>
              <w:rPr>
                <w:rFonts w:eastAsiaTheme="minorEastAsia" w:cstheme="minorBidi"/>
                <w:noProof/>
                <w:sz w:val="20"/>
                <w:lang w:eastAsia="en-US"/>
              </w:rPr>
              <w:t>Planned adoption date: Q4/2021; Legislative; Legal basis: Article 100(2)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tabs>
                <w:tab w:val="left" w:pos="1260"/>
              </w:tabs>
              <w:spacing w:after="120"/>
              <w:jc w:val="left"/>
              <w:rPr>
                <w:rFonts w:eastAsiaTheme="minorEastAsia" w:cstheme="minorBidi"/>
                <w:b/>
                <w:bCs/>
                <w:noProof/>
                <w:sz w:val="20"/>
                <w:lang w:eastAsia="en-US"/>
              </w:rPr>
            </w:pPr>
            <w:r>
              <w:rPr>
                <w:rFonts w:eastAsiaTheme="minorEastAsia" w:cstheme="minorBidi"/>
                <w:b/>
                <w:bCs/>
                <w:noProof/>
                <w:sz w:val="20"/>
                <w:lang w:eastAsia="en-US"/>
              </w:rPr>
              <w:t>Revision - Port State control</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The revision will look at the possibility of more use of electronic information to allow for more targeted inspections. This would allow the inspections to concentrate on operational issues rather than just being a documentation check. This would also allow for more concentration on environmental issues and the development of an incentive mechanism for newer/greener and quality shipping. It would help Member States with the recruitment retention and training of suitably qualified inspectors and making use of the inspection database to allow for better burden sharing between Member States. The revision will consider possibly broadening the scope of inspections to include foreign fishing vessels, which have been shown to be particularly dangerous.</w:t>
            </w:r>
          </w:p>
          <w:p>
            <w:pPr>
              <w:spacing w:after="120"/>
              <w:rPr>
                <w:rFonts w:eastAsiaTheme="minorEastAsia" w:cstheme="minorBidi"/>
                <w:noProof/>
                <w:sz w:val="20"/>
                <w:lang w:eastAsia="en-US"/>
              </w:rPr>
            </w:pPr>
            <w:r>
              <w:rPr>
                <w:rFonts w:eastAsiaTheme="minorEastAsia" w:cstheme="minorBidi"/>
                <w:noProof/>
                <w:sz w:val="20"/>
                <w:lang w:eastAsia="en-US"/>
              </w:rPr>
              <w:t>Planned adoption date: Q4/2021; Legislative; Legal basis: Article 100(2)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Revision - Flag State control</w:t>
            </w:r>
          </w:p>
          <w:p>
            <w:pPr>
              <w:tabs>
                <w:tab w:val="left" w:pos="1260"/>
              </w:tabs>
              <w:spacing w:after="120"/>
              <w:jc w:val="left"/>
              <w:rPr>
                <w:rFonts w:eastAsiaTheme="minorEastAsia" w:cstheme="minorBidi"/>
                <w:b/>
                <w:bCs/>
                <w:noProof/>
                <w:sz w:val="20"/>
                <w:lang w:eastAsia="en-US"/>
              </w:rPr>
            </w:pP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The revision will primarily align with already agreed rules in the context of International Maritime Organisation (IMO). But, in terms of possible simplification, it will look at the possibility of modernising Member States ship registry into e-Registers for the keeping and exchanging of e-Certificates (ship related). This should support more efficient services as well as control and monitoring of vessels sailing under their flag. It also links to the simplification and administrative reduction objective of port State control, both for administrations and for industry (quicker turnaround times in ports). In addition, this would also allow for more concentration on environmental issues, in terms of the development of incentives (reward for compliance and not only punish for non-compliance) for good quality and green operators. Via the improved capacity building programme of the European Maritime Safety Agency, it would support Member States in the continuous updating and sharing of best practices (avoiding to ‘re-invent the wheel’ at national level). At the same time working towards greater harmonisation and common understanding to the benefit of a harmonised EU approach both for Administrations and for Industry. Overall improving attractiveness and competitiveness whilst maintaining high levels of safety, security and pollution prevention.</w:t>
            </w:r>
          </w:p>
          <w:p>
            <w:pPr>
              <w:spacing w:after="120"/>
              <w:rPr>
                <w:rFonts w:eastAsiaTheme="minorEastAsia" w:cstheme="minorBidi"/>
                <w:noProof/>
                <w:sz w:val="20"/>
                <w:lang w:eastAsia="en-US"/>
              </w:rPr>
            </w:pPr>
            <w:r>
              <w:rPr>
                <w:rFonts w:eastAsiaTheme="minorEastAsia" w:cstheme="minorBidi"/>
                <w:noProof/>
                <w:sz w:val="20"/>
                <w:lang w:eastAsia="en-US"/>
              </w:rPr>
              <w:t>Planned adoption date: Q4/2021; Legislative; Legal basis: Article 100(2)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bidi="ne-NP"/>
              </w:rPr>
              <w:t>Revision of blood, tissues and cells legislation</w:t>
            </w:r>
          </w:p>
        </w:tc>
        <w:tc>
          <w:tcPr>
            <w:tcW w:w="9780" w:type="dxa"/>
            <w:tcBorders>
              <w:bottom w:val="single" w:sz="4" w:space="0" w:color="auto"/>
            </w:tcBorders>
          </w:tcPr>
          <w:p>
            <w:pPr>
              <w:spacing w:after="120"/>
              <w:rPr>
                <w:rFonts w:eastAsiaTheme="minorEastAsia" w:cstheme="minorBidi"/>
                <w:noProof/>
                <w:sz w:val="20"/>
                <w:lang w:eastAsia="en-US" w:bidi="ne-NP"/>
              </w:rPr>
            </w:pPr>
            <w:r>
              <w:rPr>
                <w:rFonts w:eastAsiaTheme="minorEastAsia" w:cstheme="minorBidi"/>
                <w:noProof/>
                <w:sz w:val="20"/>
                <w:lang w:eastAsia="en-US" w:bidi="ne-NP"/>
              </w:rPr>
              <w:t>The revision of Directive 2002/98/EC on safety and quality of human blood and blood components and of Directive 2004/23/EC on safety and quality of human tissues and cells and their implementing acts aims to update the blood, tissues and cells legal frameworks. The EU legislation provides high safety and quality standards for blood, tissues and cells (BTC). These were adopted in response to the transmission of diseases through BTC in the 80s and 90s. The initiative aims to update the current legislation to allow for more flexible alignment to scientific and technological developments. It aims to address the (re</w:t>
            </w:r>
            <w:r>
              <w:rPr>
                <w:rFonts w:eastAsiaTheme="minorEastAsia" w:cstheme="minorBidi"/>
                <w:noProof/>
                <w:sz w:val="20"/>
                <w:lang w:eastAsia="en-US" w:bidi="ne-NP"/>
              </w:rPr>
              <w:noBreakHyphen/>
              <w:t>)emergence of communicable diseases, including lessons learnt from the COVID-19 pandemic. It will also address increasing commercialisation and globalisation of the sector. The revision aims at the removal from legislation of many technical provisions, which will allow faster updating of standards. Also, the revision would allow the possibility to merge the basic acts into a single instrument.</w:t>
            </w:r>
          </w:p>
          <w:p>
            <w:pPr>
              <w:spacing w:after="120"/>
              <w:rPr>
                <w:rFonts w:eastAsiaTheme="minorEastAsia" w:cstheme="minorBidi"/>
                <w:noProof/>
                <w:sz w:val="20"/>
                <w:lang w:eastAsia="en-US"/>
              </w:rPr>
            </w:pPr>
            <w:r>
              <w:rPr>
                <w:rFonts w:eastAsiaTheme="minorEastAsia" w:cstheme="minorBidi"/>
                <w:noProof/>
                <w:sz w:val="20"/>
                <w:lang w:eastAsia="en-US" w:bidi="ne-NP"/>
              </w:rPr>
              <w:t>Planned adoption date: Q4/2021; Legislative; Legal Basis Article 168(4)(a) of the TFEU. Impact assessment is envisaged.</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Evaluation of Fishing Vessel safety</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The fishing sector is widely recognised as amongst the most hazardous professions. The current Directive 97/70/EC applies the technical provisions of the IMO 1993 Torremolinos Protocol (TP) an international agreement that has never come into force, to vessels of 24 metres and over. Its successor, the 2012 Cape Town Agreement – CTA, which retains most of the TP provisions, has also not yet entered into force and only by six EU Member States have ratified it. The evaluation of Directive 97/70/EC will address the issue of the non-ratification of the CTA and identify regulatory gaps in safety as well as potential updates to reflect technological developments since 1993, taking inspiration from improvements undertaken in the international merchant shipping sector, as well as in EU shipping legislation. It will also consider the feasibility of regulations at EU level for smaller fishing vessels (less than 24 metres), the sector in which a major proportion of accidents occur.</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Evaluation of the Directive 2011/24/EU on the application on patient rights in cross-border healthcare</w:t>
            </w:r>
          </w:p>
        </w:tc>
        <w:tc>
          <w:tcPr>
            <w:tcW w:w="9780" w:type="dxa"/>
            <w:tcBorders>
              <w:bottom w:val="single" w:sz="4" w:space="0" w:color="auto"/>
            </w:tcBorders>
          </w:tcPr>
          <w:p>
            <w:pPr>
              <w:spacing w:after="120"/>
              <w:rPr>
                <w:rFonts w:eastAsiaTheme="minorEastAsia" w:cstheme="minorBidi"/>
                <w:noProof/>
                <w:sz w:val="20"/>
                <w:lang w:eastAsia="en-US"/>
              </w:rPr>
            </w:pPr>
            <w:r>
              <w:rPr>
                <w:rFonts w:eastAsiaTheme="minorEastAsia" w:cstheme="minorBidi"/>
                <w:noProof/>
                <w:sz w:val="20"/>
                <w:lang w:eastAsia="en-US"/>
              </w:rPr>
              <w:t>Ten years after the Directive’s adoption, the evaluation will assess how the Directive’s objective to facilitate access to safe and high quality cross-border healthcare in another Member State has been met and how the Directive has promoted patient rights and cross-border cooperation between Member States for the benefit of EU citizens. The evaluation will look into the approaches implemented by Member States in practice, how effectively these are working and what areas still act as barriers to patients seeking healthcare across borders.</w:t>
            </w:r>
          </w:p>
        </w:tc>
      </w:tr>
      <w:tr>
        <w:trPr>
          <w:cantSplit/>
        </w:trPr>
        <w:tc>
          <w:tcPr>
            <w:tcW w:w="14827" w:type="dxa"/>
            <w:gridSpan w:val="3"/>
            <w:tcBorders>
              <w:top w:val="single" w:sz="4" w:space="0" w:color="auto"/>
              <w:left w:val="single" w:sz="4" w:space="0" w:color="auto"/>
              <w:bottom w:val="single" w:sz="4" w:space="0" w:color="auto"/>
              <w:right w:val="single" w:sz="4" w:space="0" w:color="auto"/>
            </w:tcBorders>
            <w:shd w:val="clear" w:color="auto" w:fill="00ADDC" w:themeFill="accent5"/>
          </w:tcPr>
          <w:p>
            <w:pPr>
              <w:keepNext/>
              <w:spacing w:before="60" w:after="120"/>
              <w:rPr>
                <w:b/>
                <w:bCs/>
                <w:noProof/>
                <w:sz w:val="20"/>
              </w:rPr>
            </w:pPr>
            <w:r>
              <w:rPr>
                <w:b/>
                <w:bCs/>
                <w:noProof/>
                <w:color w:val="FFFFFF" w:themeColor="background1"/>
                <w:sz w:val="20"/>
              </w:rPr>
              <w:t>A New Push for European Democracy</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Revision of the Directive 99/2008/EC on the protection of the environment through criminal law</w:t>
            </w:r>
          </w:p>
        </w:tc>
        <w:tc>
          <w:tcPr>
            <w:tcW w:w="9780" w:type="dxa"/>
            <w:tcBorders>
              <w:top w:val="single" w:sz="4" w:space="0" w:color="auto"/>
              <w:left w:val="single" w:sz="4" w:space="0" w:color="auto"/>
              <w:bottom w:val="single" w:sz="4" w:space="0" w:color="auto"/>
              <w:right w:val="single" w:sz="4" w:space="0" w:color="auto"/>
            </w:tcBorders>
          </w:tcPr>
          <w:p>
            <w:pPr>
              <w:spacing w:after="120"/>
              <w:jc w:val="left"/>
              <w:rPr>
                <w:rFonts w:eastAsiaTheme="minorEastAsia" w:cstheme="minorBidi"/>
                <w:noProof/>
                <w:sz w:val="20"/>
                <w:lang w:eastAsia="en-US"/>
              </w:rPr>
            </w:pPr>
            <w:r>
              <w:rPr>
                <w:rFonts w:eastAsiaTheme="minorEastAsia" w:cstheme="minorBidi"/>
                <w:noProof/>
                <w:sz w:val="20"/>
                <w:lang w:eastAsia="en-US"/>
              </w:rPr>
              <w:t xml:space="preserve">Based on the outcome of the evaluation, the revision of the Directive will ensure improved and more targeted tools to achieve the objectives and a more consistent interplay with other legislative instruments protecting the environment. The revision will also make use of the reinforced competence in the field of criminal law under the Lisbon Treaty.  It will aim at providing better protection of the environment through criminal law in concert with other legislative and implementation measures. </w:t>
            </w:r>
          </w:p>
          <w:p>
            <w:pPr>
              <w:spacing w:after="120"/>
              <w:jc w:val="left"/>
              <w:rPr>
                <w:rFonts w:eastAsiaTheme="minorEastAsia" w:cstheme="minorBidi"/>
                <w:noProof/>
                <w:sz w:val="20"/>
                <w:lang w:eastAsia="en-US"/>
              </w:rPr>
            </w:pPr>
            <w:r>
              <w:rPr>
                <w:rFonts w:eastAsiaTheme="minorEastAsia" w:cstheme="minorBidi"/>
                <w:noProof/>
                <w:sz w:val="20"/>
                <w:lang w:eastAsia="en-US"/>
              </w:rPr>
              <w:t>Planned adoption date: Q4/2021; Legislative; Legal basis: Article 83(2) of the TFEU. Impact assessment is envisaged.</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eastAsia="en-US"/>
              </w:rPr>
            </w:pPr>
            <w:r>
              <w:rPr>
                <w:rFonts w:eastAsiaTheme="minorEastAsia" w:cstheme="minorBidi"/>
                <w:b/>
                <w:bCs/>
                <w:noProof/>
                <w:sz w:val="20"/>
                <w:lang w:eastAsia="en-US"/>
              </w:rPr>
              <w:t>Fitness check of the EU legislation on violence against women and domestic violence</w:t>
            </w:r>
          </w:p>
        </w:tc>
        <w:tc>
          <w:tcPr>
            <w:tcW w:w="9780" w:type="dxa"/>
            <w:tcBorders>
              <w:top w:val="single" w:sz="4" w:space="0" w:color="auto"/>
              <w:left w:val="single" w:sz="4" w:space="0" w:color="auto"/>
              <w:bottom w:val="single" w:sz="4" w:space="0" w:color="auto"/>
              <w:right w:val="single" w:sz="4" w:space="0" w:color="auto"/>
            </w:tcBorders>
          </w:tcPr>
          <w:p>
            <w:pPr>
              <w:spacing w:after="120"/>
              <w:jc w:val="left"/>
              <w:rPr>
                <w:rFonts w:eastAsiaTheme="minorEastAsia" w:cstheme="minorBidi"/>
                <w:noProof/>
                <w:sz w:val="20"/>
                <w:lang w:eastAsia="en-US"/>
              </w:rPr>
            </w:pPr>
            <w:r>
              <w:rPr>
                <w:rFonts w:eastAsiaTheme="minorEastAsia" w:cstheme="minorBidi"/>
                <w:noProof/>
                <w:sz w:val="20"/>
                <w:lang w:eastAsia="en-US"/>
              </w:rPr>
              <w:t>The fitness check will assess which role the existing EU legislation has had in preventing and combatting violence against women and domestic violence and analyse the coherence of these EU measures with international sources. It will identify legislative gaps and analyse the need for possible further steps towards improved, coordinated protection against this persistent type of gender-based discrimination. The fitness check will cover the period from the adoption of each legal act up until 2020. It will cover all EU Member States.</w:t>
            </w:r>
          </w:p>
        </w:tc>
      </w:tr>
    </w:tbl>
    <w:p>
      <w:pPr>
        <w:spacing w:after="0"/>
        <w:jc w:val="center"/>
        <w:rPr>
          <w:noProof/>
          <w:sz w:val="20"/>
        </w:rPr>
      </w:pPr>
    </w:p>
    <w:p>
      <w:pPr>
        <w:spacing w:after="0"/>
        <w:jc w:val="left"/>
        <w:rPr>
          <w:noProof/>
          <w:sz w:val="20"/>
        </w:rPr>
      </w:pPr>
      <w:r>
        <w:rPr>
          <w:noProof/>
          <w:sz w:val="20"/>
        </w:rPr>
        <w:br w:type="page"/>
      </w:r>
    </w:p>
    <w:p>
      <w:pPr>
        <w:spacing w:after="600"/>
        <w:jc w:val="center"/>
        <w:rPr>
          <w:b/>
          <w:noProof/>
          <w:sz w:val="28"/>
          <w:szCs w:val="28"/>
          <w:u w:val="single"/>
        </w:rPr>
      </w:pPr>
      <w:r>
        <w:rPr>
          <w:b/>
          <w:bCs/>
          <w:noProof/>
          <w:sz w:val="28"/>
          <w:szCs w:val="28"/>
          <w:u w:val="single"/>
        </w:rPr>
        <w:t>Annex III: Priority pending proposals</w:t>
      </w:r>
    </w:p>
    <w:tbl>
      <w:tblPr>
        <w:tblStyle w:val="TableGrid"/>
        <w:tblW w:w="14850" w:type="dxa"/>
        <w:tblLayout w:type="fixed"/>
        <w:tblLook w:val="04A0" w:firstRow="1" w:lastRow="0" w:firstColumn="1" w:lastColumn="0" w:noHBand="0" w:noVBand="1"/>
      </w:tblPr>
      <w:tblGrid>
        <w:gridCol w:w="652"/>
        <w:gridCol w:w="12072"/>
        <w:gridCol w:w="2126"/>
      </w:tblGrid>
      <w:tr>
        <w:trPr>
          <w:cantSplit/>
          <w:tblHeader/>
        </w:trPr>
        <w:tc>
          <w:tcPr>
            <w:tcW w:w="652" w:type="dxa"/>
            <w:tcBorders>
              <w:bottom w:val="single" w:sz="4" w:space="0" w:color="auto"/>
            </w:tcBorders>
            <w:shd w:val="clear" w:color="auto" w:fill="99CCFF"/>
            <w:tcMar>
              <w:top w:w="85" w:type="dxa"/>
              <w:left w:w="85" w:type="dxa"/>
              <w:bottom w:w="85" w:type="dxa"/>
              <w:right w:w="85" w:type="dxa"/>
            </w:tcMar>
          </w:tcPr>
          <w:p>
            <w:pPr>
              <w:spacing w:before="60" w:after="60"/>
              <w:rPr>
                <w:b/>
                <w:bCs/>
                <w:noProof/>
                <w:sz w:val="20"/>
              </w:rPr>
            </w:pPr>
            <w:r>
              <w:rPr>
                <w:b/>
                <w:bCs/>
                <w:noProof/>
                <w:sz w:val="20"/>
              </w:rPr>
              <w:t>No.</w:t>
            </w:r>
          </w:p>
        </w:tc>
        <w:tc>
          <w:tcPr>
            <w:tcW w:w="12072"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Full Title</w:t>
            </w:r>
          </w:p>
        </w:tc>
        <w:tc>
          <w:tcPr>
            <w:tcW w:w="2126"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References</w:t>
            </w:r>
          </w:p>
        </w:tc>
      </w:tr>
      <w:tr>
        <w:trPr>
          <w:cantSplit/>
        </w:trPr>
        <w:tc>
          <w:tcPr>
            <w:tcW w:w="14850" w:type="dxa"/>
            <w:gridSpan w:val="3"/>
            <w:shd w:val="clear" w:color="auto" w:fill="9ACA3C" w:themeFill="accent1"/>
            <w:tcMar>
              <w:top w:w="85" w:type="dxa"/>
              <w:left w:w="85" w:type="dxa"/>
              <w:bottom w:w="85" w:type="dxa"/>
              <w:right w:w="85" w:type="dxa"/>
            </w:tcMar>
          </w:tcPr>
          <w:p>
            <w:pPr>
              <w:keepNext/>
              <w:spacing w:before="60" w:after="60"/>
              <w:rPr>
                <w:b/>
                <w:bCs/>
                <w:noProof/>
                <w:sz w:val="20"/>
              </w:rPr>
            </w:pPr>
            <w:r>
              <w:rPr>
                <w:b/>
                <w:bCs/>
                <w:noProof/>
                <w:color w:val="FFFFFF" w:themeColor="background1"/>
                <w:sz w:val="20"/>
              </w:rPr>
              <w:t>A European Green Deal</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5" w:hanging="357"/>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Amended proposal for a REGULATION OF THE EUROPEAN PARLIAMENT AND OF THE COUNCIL establishing the framework for achieving climate neutrality and amending Regulation (EU) 2018/1999 (European Climate Law)</w:t>
            </w:r>
          </w:p>
        </w:tc>
        <w:tc>
          <w:tcPr>
            <w:tcW w:w="2126" w:type="dxa"/>
            <w:tcMar>
              <w:top w:w="85" w:type="dxa"/>
              <w:left w:w="85" w:type="dxa"/>
              <w:bottom w:w="85" w:type="dxa"/>
            </w:tcMar>
          </w:tcPr>
          <w:p>
            <w:pPr>
              <w:spacing w:after="0"/>
              <w:jc w:val="left"/>
              <w:rPr>
                <w:bCs/>
                <w:noProof/>
                <w:sz w:val="20"/>
                <w:lang w:val="pt-PT"/>
              </w:rPr>
            </w:pPr>
            <w:r>
              <w:rPr>
                <w:bCs/>
                <w:noProof/>
                <w:sz w:val="20"/>
                <w:lang w:val="pt-PT"/>
              </w:rPr>
              <w:t>COM(2020)80 final</w:t>
            </w:r>
            <w:r>
              <w:rPr>
                <w:noProof/>
                <w:sz w:val="20"/>
                <w:lang w:val="pt-PT"/>
              </w:rPr>
              <w:t xml:space="preserve"> </w:t>
            </w:r>
            <w:r>
              <w:rPr>
                <w:noProof/>
                <w:sz w:val="20"/>
                <w:lang w:val="pt-PT"/>
              </w:rPr>
              <w:br/>
            </w:r>
            <w:r>
              <w:rPr>
                <w:bCs/>
                <w:noProof/>
                <w:sz w:val="20"/>
                <w:lang w:val="pt-PT"/>
              </w:rPr>
              <w:t>2020/0036 (COD)</w:t>
            </w:r>
            <w:r>
              <w:rPr>
                <w:bCs/>
                <w:noProof/>
                <w:sz w:val="20"/>
                <w:lang w:val="pt-PT"/>
              </w:rPr>
              <w:br/>
              <w:t>04.03.2020</w:t>
            </w:r>
            <w:r>
              <w:rPr>
                <w:bCs/>
                <w:noProof/>
                <w:sz w:val="20"/>
                <w:lang w:val="pt-PT"/>
              </w:rPr>
              <w:br/>
            </w:r>
          </w:p>
          <w:p>
            <w:pPr>
              <w:spacing w:after="0"/>
              <w:jc w:val="left"/>
              <w:rPr>
                <w:bCs/>
                <w:noProof/>
                <w:sz w:val="20"/>
                <w:lang w:val="pt-PT"/>
              </w:rPr>
            </w:pPr>
            <w:r>
              <w:rPr>
                <w:noProof/>
                <w:sz w:val="20"/>
                <w:lang w:val="pt-PT"/>
              </w:rPr>
              <w:t>COM(2020)563 final</w:t>
            </w:r>
          </w:p>
          <w:p>
            <w:pPr>
              <w:spacing w:after="0"/>
              <w:jc w:val="left"/>
              <w:rPr>
                <w:noProof/>
                <w:sz w:val="20"/>
                <w:lang w:val="pt-PT"/>
              </w:rPr>
            </w:pPr>
            <w:r>
              <w:rPr>
                <w:bCs/>
                <w:noProof/>
                <w:sz w:val="20"/>
                <w:lang w:val="pt-PT"/>
              </w:rPr>
              <w:t>17.09.2020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Proposal for a DECISION OF THE EUROPEAN PARLIAMENT AND OF THE COUNCIL on a European Year of Rail (2021)</w:t>
            </w:r>
          </w:p>
        </w:tc>
        <w:tc>
          <w:tcPr>
            <w:tcW w:w="2126" w:type="dxa"/>
            <w:tcMar>
              <w:top w:w="85" w:type="dxa"/>
              <w:left w:w="85" w:type="dxa"/>
              <w:bottom w:w="85" w:type="dxa"/>
            </w:tcMar>
          </w:tcPr>
          <w:p>
            <w:pPr>
              <w:spacing w:after="0"/>
              <w:jc w:val="left"/>
              <w:rPr>
                <w:noProof/>
                <w:sz w:val="20"/>
              </w:rPr>
            </w:pPr>
            <w:r>
              <w:rPr>
                <w:noProof/>
                <w:sz w:val="20"/>
                <w:shd w:val="clear" w:color="auto" w:fill="FFFFFF"/>
              </w:rPr>
              <w:t>COM(2020)78 final</w:t>
            </w:r>
            <w:r>
              <w:rPr>
                <w:noProof/>
                <w:sz w:val="20"/>
                <w:shd w:val="clear" w:color="auto" w:fill="FFFFFF"/>
              </w:rPr>
              <w:br/>
              <w:t>2020/0035 (COD)</w:t>
            </w:r>
            <w:r>
              <w:rPr>
                <w:noProof/>
                <w:sz w:val="20"/>
                <w:shd w:val="clear" w:color="auto" w:fill="FFFFFF"/>
              </w:rPr>
              <w:br/>
              <w:t>04.03.2020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w:t>
            </w:r>
          </w:p>
        </w:tc>
        <w:tc>
          <w:tcPr>
            <w:tcW w:w="2126" w:type="dxa"/>
            <w:tcMar>
              <w:top w:w="85" w:type="dxa"/>
              <w:left w:w="85" w:type="dxa"/>
              <w:bottom w:w="85" w:type="dxa"/>
            </w:tcMar>
          </w:tcPr>
          <w:p>
            <w:pPr>
              <w:spacing w:after="0"/>
              <w:jc w:val="left"/>
              <w:rPr>
                <w:noProof/>
                <w:sz w:val="20"/>
              </w:rPr>
            </w:pPr>
            <w:r>
              <w:rPr>
                <w:noProof/>
                <w:sz w:val="20"/>
              </w:rPr>
              <w:t>COM(2018)368 final</w:t>
            </w:r>
            <w:r>
              <w:rPr>
                <w:noProof/>
                <w:sz w:val="20"/>
              </w:rPr>
              <w:br/>
              <w:t>2018/0193 (COD)</w:t>
            </w:r>
            <w:r>
              <w:rPr>
                <w:noProof/>
                <w:sz w:val="20"/>
              </w:rPr>
              <w:br/>
              <w:t>30.05.2018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on the implementation of the Single European Sky (recast)</w:t>
            </w:r>
          </w:p>
        </w:tc>
        <w:tc>
          <w:tcPr>
            <w:tcW w:w="2126" w:type="dxa"/>
            <w:tcMar>
              <w:top w:w="85" w:type="dxa"/>
              <w:left w:w="85" w:type="dxa"/>
              <w:bottom w:w="85" w:type="dxa"/>
            </w:tcMar>
          </w:tcPr>
          <w:p>
            <w:pPr>
              <w:spacing w:after="0"/>
              <w:jc w:val="left"/>
              <w:rPr>
                <w:noProof/>
                <w:sz w:val="20"/>
                <w:lang w:val="pt-PT"/>
              </w:rPr>
            </w:pPr>
            <w:r>
              <w:rPr>
                <w:noProof/>
                <w:sz w:val="20"/>
                <w:lang w:val="pt-PT"/>
              </w:rPr>
              <w:t>COM(2013)410 final</w:t>
            </w:r>
            <w:r>
              <w:rPr>
                <w:noProof/>
                <w:sz w:val="20"/>
                <w:lang w:val="pt-PT"/>
              </w:rPr>
              <w:br/>
              <w:t>2013/0186 (COD)</w:t>
            </w:r>
            <w:r>
              <w:rPr>
                <w:noProof/>
                <w:sz w:val="20"/>
                <w:lang w:val="pt-PT"/>
              </w:rPr>
              <w:br/>
              <w:t>11.06.2013</w:t>
            </w:r>
            <w:r>
              <w:rPr>
                <w:noProof/>
                <w:sz w:val="20"/>
                <w:lang w:val="pt-PT"/>
              </w:rPr>
              <w:br/>
            </w:r>
          </w:p>
          <w:p>
            <w:pPr>
              <w:spacing w:after="0"/>
              <w:jc w:val="left"/>
              <w:rPr>
                <w:noProof/>
                <w:sz w:val="20"/>
                <w:lang w:val="pt-PT"/>
              </w:rPr>
            </w:pPr>
            <w:r>
              <w:rPr>
                <w:noProof/>
                <w:sz w:val="20"/>
                <w:lang w:val="pt-PT"/>
              </w:rPr>
              <w:t>COM(2020)579 final</w:t>
            </w:r>
            <w:r>
              <w:rPr>
                <w:noProof/>
                <w:sz w:val="20"/>
                <w:lang w:val="pt-PT"/>
              </w:rPr>
              <w:br/>
              <w:t>22.09.2020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amending Regulation (EC) No 261/2004 establishing common rules on compensation and assistance to passengers in the event of denied boarding and of cancellation or long delay of flights and Regulation (EC) No 2027/97 on air carrier liability in respect of the carriage of passengers and their baggage by air</w:t>
            </w:r>
          </w:p>
        </w:tc>
        <w:tc>
          <w:tcPr>
            <w:tcW w:w="2126" w:type="dxa"/>
            <w:shd w:val="clear" w:color="auto" w:fill="auto"/>
            <w:tcMar>
              <w:top w:w="85" w:type="dxa"/>
              <w:left w:w="85" w:type="dxa"/>
              <w:bottom w:w="85" w:type="dxa"/>
            </w:tcMar>
          </w:tcPr>
          <w:p>
            <w:pPr>
              <w:spacing w:after="0"/>
              <w:jc w:val="left"/>
              <w:rPr>
                <w:noProof/>
                <w:sz w:val="20"/>
              </w:rPr>
            </w:pPr>
            <w:r>
              <w:rPr>
                <w:noProof/>
                <w:sz w:val="20"/>
              </w:rPr>
              <w:t>COM(2013)130 final</w:t>
            </w:r>
            <w:r>
              <w:rPr>
                <w:noProof/>
                <w:sz w:val="20"/>
              </w:rPr>
              <w:br/>
              <w:t>2013/0072 (COD)</w:t>
            </w:r>
            <w:r>
              <w:rPr>
                <w:noProof/>
                <w:sz w:val="20"/>
              </w:rPr>
              <w:br/>
              <w:t>13.03.2013</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on common rules for the allocation of slots at European Union airports</w:t>
            </w:r>
          </w:p>
        </w:tc>
        <w:tc>
          <w:tcPr>
            <w:tcW w:w="2126" w:type="dxa"/>
            <w:tcMar>
              <w:top w:w="85" w:type="dxa"/>
              <w:left w:w="85" w:type="dxa"/>
              <w:bottom w:w="85" w:type="dxa"/>
            </w:tcMar>
          </w:tcPr>
          <w:p>
            <w:pPr>
              <w:spacing w:after="0"/>
              <w:jc w:val="left"/>
              <w:rPr>
                <w:noProof/>
                <w:sz w:val="20"/>
              </w:rPr>
            </w:pPr>
            <w:r>
              <w:rPr>
                <w:noProof/>
                <w:sz w:val="20"/>
              </w:rPr>
              <w:t>COM(2011)827 final</w:t>
            </w:r>
            <w:r>
              <w:rPr>
                <w:noProof/>
                <w:sz w:val="20"/>
              </w:rPr>
              <w:br/>
              <w:t>2011/0391 (COD)</w:t>
            </w:r>
            <w:r>
              <w:rPr>
                <w:noProof/>
                <w:sz w:val="20"/>
              </w:rPr>
              <w:br/>
              <w:t>01.12.2011</w:t>
            </w:r>
            <w:r>
              <w:rPr>
                <w:noProof/>
                <w:sz w:val="20"/>
              </w:rPr>
              <w:br/>
            </w:r>
          </w:p>
        </w:tc>
      </w:tr>
      <w:tr>
        <w:trPr>
          <w:cantSplit/>
        </w:trPr>
        <w:tc>
          <w:tcPr>
            <w:tcW w:w="14850" w:type="dxa"/>
            <w:gridSpan w:val="3"/>
            <w:shd w:val="clear" w:color="auto" w:fill="18BAA8" w:themeFill="accent2"/>
            <w:tcMar>
              <w:top w:w="85" w:type="dxa"/>
              <w:left w:w="85" w:type="dxa"/>
              <w:bottom w:w="85" w:type="dxa"/>
              <w:right w:w="85" w:type="dxa"/>
            </w:tcMar>
          </w:tcPr>
          <w:p>
            <w:pPr>
              <w:keepNext/>
              <w:keepLines/>
              <w:spacing w:before="60" w:after="60"/>
              <w:rPr>
                <w:noProof/>
                <w:sz w:val="20"/>
              </w:rPr>
            </w:pPr>
            <w:r>
              <w:rPr>
                <w:b/>
                <w:bCs/>
                <w:noProof/>
                <w:sz w:val="20"/>
              </w:rPr>
              <w:t>A Europe fit for the Digital Age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bCs/>
                <w:noProof/>
                <w:sz w:val="20"/>
                <w:lang w:val="en-US"/>
              </w:rPr>
              <w:t>Proposal for a DIRECTIVE OF THE EUROPEAN PARLIAMENT AND OF THE COUNCIL amending Directives 2006/43/EC, 2009/65/EC, 2009/138/EU, 2011/61/EU, EU/2013/36, 2014/65/EU, (EU) 2015/2366 and EU/2016/2341</w:t>
            </w:r>
          </w:p>
        </w:tc>
        <w:tc>
          <w:tcPr>
            <w:tcW w:w="2126" w:type="dxa"/>
            <w:tcMar>
              <w:top w:w="85" w:type="dxa"/>
              <w:left w:w="85" w:type="dxa"/>
              <w:bottom w:w="85" w:type="dxa"/>
            </w:tcMar>
          </w:tcPr>
          <w:p>
            <w:pPr>
              <w:spacing w:after="0"/>
              <w:jc w:val="left"/>
              <w:rPr>
                <w:noProof/>
                <w:sz w:val="20"/>
              </w:rPr>
            </w:pPr>
            <w:r>
              <w:rPr>
                <w:noProof/>
                <w:sz w:val="20"/>
              </w:rPr>
              <w:t>COM(2020)596 final</w:t>
            </w:r>
            <w:r>
              <w:rPr>
                <w:noProof/>
                <w:sz w:val="20"/>
              </w:rPr>
              <w:br/>
            </w:r>
            <w:r>
              <w:rPr>
                <w:noProof/>
                <w:sz w:val="20"/>
                <w:shd w:val="clear" w:color="auto" w:fill="FFFFFF"/>
              </w:rPr>
              <w:t>2020/0268 (COD)</w:t>
            </w:r>
            <w:r>
              <w:rPr>
                <w:noProof/>
                <w:sz w:val="20"/>
                <w:shd w:val="clear" w:color="auto" w:fill="FFFFFF"/>
              </w:rPr>
              <w:b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Proposal for a REGULATION OF THE EUROPEAN PARLIAMENT AND OF THE COUNCIL on digital operational resilience for the financial sector and amending Regulations (EC) No 1060/2009, (EU) No 648/2012, (EU) No 600/2014 and (EU) No 909/2014 (DORA)</w:t>
            </w:r>
          </w:p>
        </w:tc>
        <w:tc>
          <w:tcPr>
            <w:tcW w:w="2126" w:type="dxa"/>
            <w:tcMar>
              <w:top w:w="85" w:type="dxa"/>
              <w:left w:w="85" w:type="dxa"/>
              <w:bottom w:w="85" w:type="dxa"/>
            </w:tcMar>
          </w:tcPr>
          <w:p>
            <w:pPr>
              <w:spacing w:after="0"/>
              <w:jc w:val="left"/>
              <w:rPr>
                <w:noProof/>
                <w:sz w:val="20"/>
              </w:rPr>
            </w:pPr>
            <w:r>
              <w:rPr>
                <w:noProof/>
                <w:sz w:val="20"/>
                <w:shd w:val="clear" w:color="auto" w:fill="FFFFFF"/>
              </w:rPr>
              <w:t>COM(2020)595 final</w:t>
            </w:r>
            <w:r>
              <w:rPr>
                <w:noProof/>
                <w:sz w:val="20"/>
                <w:shd w:val="clear" w:color="auto" w:fill="FFFFFF"/>
              </w:rPr>
              <w:br/>
              <w:t>2020/0266 (COD)</w:t>
            </w:r>
            <w:r>
              <w:rPr>
                <w:noProof/>
                <w:sz w:val="20"/>
                <w:shd w:val="clear" w:color="auto" w:fill="FFFFFF"/>
              </w:rPr>
              <w:b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bCs/>
                <w:noProof/>
                <w:sz w:val="20"/>
                <w:lang w:val="en-US"/>
              </w:rPr>
              <w:t>Proposal for a REGULATION OF THE EUROPEAN PARLIAMENT AND OF THE COUNCIL on a pilot regime for market infrastructures based on distributed ledger technology</w:t>
            </w:r>
          </w:p>
        </w:tc>
        <w:tc>
          <w:tcPr>
            <w:tcW w:w="2126" w:type="dxa"/>
            <w:tcMar>
              <w:top w:w="85" w:type="dxa"/>
              <w:left w:w="85" w:type="dxa"/>
              <w:bottom w:w="85" w:type="dxa"/>
            </w:tcMar>
          </w:tcPr>
          <w:p>
            <w:pPr>
              <w:spacing w:after="0"/>
              <w:jc w:val="left"/>
              <w:rPr>
                <w:noProof/>
                <w:sz w:val="20"/>
              </w:rPr>
            </w:pPr>
            <w:r>
              <w:rPr>
                <w:noProof/>
                <w:sz w:val="20"/>
                <w:shd w:val="clear" w:color="auto" w:fill="FFFFFF"/>
              </w:rPr>
              <w:t>COM(2020)594 final</w:t>
            </w:r>
            <w:r>
              <w:rPr>
                <w:noProof/>
                <w:sz w:val="20"/>
                <w:shd w:val="clear" w:color="auto" w:fill="FFFFFF"/>
              </w:rPr>
              <w:br/>
              <w:t>2020/0267 (COD)</w:t>
            </w:r>
            <w:r>
              <w:rPr>
                <w:noProof/>
                <w:sz w:val="20"/>
                <w:shd w:val="clear" w:color="auto" w:fill="FFFFFF"/>
              </w:rPr>
              <w:b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lang w:val="en-US"/>
              </w:rPr>
            </w:pPr>
            <w:r>
              <w:rPr>
                <w:bCs/>
                <w:noProof/>
                <w:sz w:val="20"/>
              </w:rPr>
              <w:t>Proposal for a REGULATION OF THE EUROPEAN PARLIAMENT AND OF THE COUNCIL on Markets in Crypto-assets, and amending Directive (EU) 2019/1937 (MICA)</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COM(2020)593 final</w:t>
            </w:r>
            <w:r>
              <w:rPr>
                <w:noProof/>
                <w:sz w:val="20"/>
                <w:shd w:val="clear" w:color="auto" w:fill="FFFFFF"/>
              </w:rPr>
              <w:br/>
              <w:t>2020/0265 (COD)</w:t>
            </w:r>
            <w:r>
              <w:rPr>
                <w:noProof/>
                <w:sz w:val="20"/>
                <w:shd w:val="clear" w:color="auto" w:fill="FFFFFF"/>
              </w:rPr>
              <w:b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rPr>
            </w:pPr>
            <w:r>
              <w:rPr>
                <w:noProof/>
                <w:sz w:val="20"/>
              </w:rPr>
              <w:t>Proposal for a REGULATION OF THE EUROPEAN PARLIAMENT AND OF THE COUNCIL amending Regulation (EC) No 715/2007 on type approval of motor vehicles with respect to emissions from light passenger and commercial vehicles (Euro 5 and Euro 6) and on access to vehicle repair and maintenance information</w:t>
            </w:r>
          </w:p>
        </w:tc>
        <w:tc>
          <w:tcPr>
            <w:tcW w:w="2126" w:type="dxa"/>
            <w:tcMar>
              <w:top w:w="85" w:type="dxa"/>
              <w:left w:w="85" w:type="dxa"/>
              <w:bottom w:w="85" w:type="dxa"/>
            </w:tcMar>
          </w:tcPr>
          <w:p>
            <w:pPr>
              <w:spacing w:after="0"/>
              <w:jc w:val="left"/>
              <w:rPr>
                <w:noProof/>
                <w:sz w:val="20"/>
                <w:shd w:val="clear" w:color="auto" w:fill="FFFFFF"/>
              </w:rPr>
            </w:pPr>
            <w:r>
              <w:rPr>
                <w:noProof/>
                <w:sz w:val="20"/>
              </w:rPr>
              <w:t>COM(2019)208 final</w:t>
            </w:r>
            <w:r>
              <w:rPr>
                <w:noProof/>
                <w:sz w:val="20"/>
              </w:rPr>
              <w:br/>
              <w:t>2019/0101 (COD)</w:t>
            </w:r>
            <w:r>
              <w:rPr>
                <w:noProof/>
                <w:sz w:val="20"/>
              </w:rPr>
              <w:br/>
              <w:t>14.06.2019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rPr>
            </w:pPr>
            <w:r>
              <w:rPr>
                <w:noProof/>
                <w:sz w:val="20"/>
              </w:rPr>
              <w:t xml:space="preserve">Proposal for a REGULATION OF THE EUROPEAN PARLIAMENT AND OF THE COUNCIL establishing the European Cybersecurity Industrial, Technology and Research Competence Centre and the Network of National Coordination Centres </w:t>
            </w:r>
          </w:p>
        </w:tc>
        <w:tc>
          <w:tcPr>
            <w:tcW w:w="2126" w:type="dxa"/>
            <w:tcMar>
              <w:top w:w="85" w:type="dxa"/>
              <w:left w:w="85" w:type="dxa"/>
              <w:bottom w:w="85" w:type="dxa"/>
            </w:tcMar>
          </w:tcPr>
          <w:p>
            <w:pPr>
              <w:spacing w:after="0"/>
              <w:jc w:val="left"/>
              <w:rPr>
                <w:noProof/>
                <w:sz w:val="20"/>
                <w:shd w:val="clear" w:color="auto" w:fill="FFFFFF"/>
              </w:rPr>
            </w:pPr>
            <w:r>
              <w:rPr>
                <w:noProof/>
                <w:sz w:val="20"/>
              </w:rPr>
              <w:t>COM(2018)630 final</w:t>
            </w:r>
            <w:r>
              <w:rPr>
                <w:noProof/>
                <w:sz w:val="20"/>
              </w:rPr>
              <w:br/>
              <w:t>2018/0328 (COD)</w:t>
            </w:r>
            <w:r>
              <w:rPr>
                <w:noProof/>
                <w:sz w:val="20"/>
              </w:rPr>
              <w:br/>
              <w:t>12.09.2019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rPr>
            </w:pPr>
            <w:r>
              <w:rPr>
                <w:noProof/>
                <w:sz w:val="20"/>
              </w:rPr>
              <w:t>Proposal for a REGULATION OF THE EUROPEAN PARLIAMENT AND OF THE COUNCIL concerning the respect for private life and the protection of personal data in electronic communications and repealing Directive 2002/58/EC (Regulation on Privacy and Electronic Communications)</w:t>
            </w:r>
          </w:p>
        </w:tc>
        <w:tc>
          <w:tcPr>
            <w:tcW w:w="2126" w:type="dxa"/>
            <w:tcMar>
              <w:top w:w="85" w:type="dxa"/>
              <w:left w:w="85" w:type="dxa"/>
              <w:bottom w:w="85" w:type="dxa"/>
            </w:tcMar>
          </w:tcPr>
          <w:p>
            <w:pPr>
              <w:spacing w:after="0"/>
              <w:jc w:val="left"/>
              <w:rPr>
                <w:noProof/>
                <w:sz w:val="20"/>
                <w:shd w:val="clear" w:color="auto" w:fill="FFFFFF"/>
              </w:rPr>
            </w:pPr>
            <w:r>
              <w:rPr>
                <w:noProof/>
                <w:sz w:val="20"/>
              </w:rPr>
              <w:t>COM(2017)10 final</w:t>
            </w:r>
            <w:r>
              <w:rPr>
                <w:noProof/>
                <w:sz w:val="20"/>
              </w:rPr>
              <w:br/>
              <w:t>2017/0003 (COD)</w:t>
            </w:r>
            <w:r>
              <w:rPr>
                <w:noProof/>
                <w:sz w:val="20"/>
              </w:rPr>
              <w:br/>
              <w:t>10.1.2017</w:t>
            </w:r>
          </w:p>
        </w:tc>
      </w:tr>
      <w:tr>
        <w:trPr>
          <w:cantSplit/>
        </w:trPr>
        <w:tc>
          <w:tcPr>
            <w:tcW w:w="14850" w:type="dxa"/>
            <w:gridSpan w:val="3"/>
            <w:shd w:val="clear" w:color="auto" w:fill="F68A42" w:themeFill="accent3"/>
            <w:tcMar>
              <w:top w:w="85" w:type="dxa"/>
              <w:left w:w="85" w:type="dxa"/>
              <w:bottom w:w="85" w:type="dxa"/>
              <w:right w:w="85" w:type="dxa"/>
            </w:tcMar>
          </w:tcPr>
          <w:p>
            <w:pPr>
              <w:spacing w:before="60" w:after="60"/>
              <w:rPr>
                <w:noProof/>
                <w:sz w:val="20"/>
              </w:rPr>
            </w:pPr>
            <w:r>
              <w:rPr>
                <w:b/>
                <w:bCs/>
                <w:noProof/>
                <w:color w:val="FFFFFF" w:themeColor="background1"/>
                <w:sz w:val="20"/>
              </w:rPr>
              <w:t>An Economy that Works for People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Proposal for a REGULATION OF THE EUROPEAN PARLIAMENT AND OF THE COUNCIL amending Regulation (EU) 2016/1011 as regards the exemption of certain third country foreign exchange benchmarks and the designation of replacement benchmarks for certain benchmarks in cessation</w:t>
            </w:r>
          </w:p>
        </w:tc>
        <w:tc>
          <w:tcPr>
            <w:tcW w:w="2126" w:type="dxa"/>
            <w:tcMar>
              <w:top w:w="85" w:type="dxa"/>
              <w:left w:w="85" w:type="dxa"/>
              <w:bottom w:w="85" w:type="dxa"/>
            </w:tcMar>
          </w:tcPr>
          <w:p>
            <w:pPr>
              <w:spacing w:after="0"/>
              <w:jc w:val="left"/>
              <w:rPr>
                <w:noProof/>
                <w:sz w:val="20"/>
              </w:rPr>
            </w:pPr>
            <w:r>
              <w:rPr>
                <w:noProof/>
                <w:sz w:val="20"/>
                <w:shd w:val="clear" w:color="auto" w:fill="FFFFFF"/>
              </w:rPr>
              <w:t>COM(2020)337 final</w:t>
            </w:r>
            <w:r>
              <w:rPr>
                <w:noProof/>
                <w:sz w:val="20"/>
                <w:shd w:val="clear" w:color="auto" w:fill="FFFFFF"/>
              </w:rPr>
              <w:br/>
              <w:t>2020/0154 (COD)</w:t>
            </w:r>
            <w:r>
              <w:rPr>
                <w:noProof/>
                <w:sz w:val="20"/>
                <w:shd w:val="clear" w:color="auto" w:fill="FFFFFF"/>
              </w:rPr>
              <w:b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 xml:space="preserve">Proposal for a COUNCIL DIRECTIVE </w:t>
            </w:r>
            <w:r>
              <w:rPr>
                <w:noProof/>
                <w:sz w:val="20"/>
              </w:rPr>
              <w:t>amending Directive 2011/16/EU on administrative cooperation in the field of taxation</w:t>
            </w:r>
          </w:p>
        </w:tc>
        <w:tc>
          <w:tcPr>
            <w:tcW w:w="2126" w:type="dxa"/>
            <w:tcMar>
              <w:top w:w="85" w:type="dxa"/>
              <w:left w:w="85" w:type="dxa"/>
              <w:bottom w:w="85" w:type="dxa"/>
            </w:tcMar>
          </w:tcPr>
          <w:p>
            <w:pPr>
              <w:spacing w:after="0"/>
              <w:jc w:val="left"/>
              <w:rPr>
                <w:noProof/>
                <w:sz w:val="20"/>
              </w:rPr>
            </w:pPr>
            <w:r>
              <w:rPr>
                <w:noProof/>
                <w:sz w:val="20"/>
              </w:rPr>
              <w:t>COM(2020)314 final</w:t>
            </w:r>
            <w:r>
              <w:rPr>
                <w:noProof/>
                <w:sz w:val="20"/>
              </w:rPr>
              <w:br/>
              <w:t>2020/0148 (CNS)</w:t>
            </w:r>
            <w:r>
              <w:rPr>
                <w:noProof/>
                <w:sz w:val="20"/>
              </w:rPr>
              <w:br/>
              <w:t>15.07.2020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 xml:space="preserve">Proposal for a REGULATION OF THE EUROPEAN PARLIAMENT AND OF THE COUNCIL </w:t>
            </w:r>
            <w:r>
              <w:rPr>
                <w:noProof/>
                <w:sz w:val="20"/>
              </w:rPr>
              <w:t>amending Regulation (EU) No 575/2013 as regards adjustments to the securitisation framework to support the economic recovery in response to the COVID-19 pandemic</w:t>
            </w:r>
          </w:p>
        </w:tc>
        <w:tc>
          <w:tcPr>
            <w:tcW w:w="2126" w:type="dxa"/>
            <w:tcMar>
              <w:top w:w="85" w:type="dxa"/>
              <w:left w:w="85" w:type="dxa"/>
              <w:bottom w:w="85" w:type="dxa"/>
            </w:tcMar>
          </w:tcPr>
          <w:p>
            <w:pPr>
              <w:spacing w:after="0"/>
              <w:jc w:val="left"/>
              <w:rPr>
                <w:noProof/>
                <w:sz w:val="20"/>
              </w:rPr>
            </w:pPr>
            <w:r>
              <w:rPr>
                <w:noProof/>
                <w:sz w:val="20"/>
              </w:rPr>
              <w:t>COM(2020)283 final</w:t>
            </w:r>
            <w:r>
              <w:rPr>
                <w:noProof/>
                <w:sz w:val="20"/>
              </w:rPr>
              <w:br/>
              <w:t>2020/0156 (COD)</w:t>
            </w:r>
            <w:r>
              <w:rPr>
                <w:noProof/>
                <w:sz w:val="20"/>
              </w:rPr>
              <w:b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shd w:val="clear" w:color="auto" w:fill="FFFFFF"/>
              </w:rPr>
              <w:t>Proposal for a REGULATION OF THE EUROPEAN PARLIAMENT AND OF THE COUNCIL amending Regulation (EU) 2017/2402 laying down a general framework for securitisation and creating a specific framework for simple, transparent and standardised securitisation to help the recovery from the COVID-19 pandemic</w:t>
            </w:r>
          </w:p>
        </w:tc>
        <w:tc>
          <w:tcPr>
            <w:tcW w:w="2126" w:type="dxa"/>
            <w:tcMar>
              <w:top w:w="85" w:type="dxa"/>
              <w:left w:w="85" w:type="dxa"/>
              <w:bottom w:w="85" w:type="dxa"/>
            </w:tcMar>
          </w:tcPr>
          <w:p>
            <w:pPr>
              <w:spacing w:after="0"/>
              <w:jc w:val="left"/>
              <w:rPr>
                <w:noProof/>
                <w:sz w:val="20"/>
              </w:rPr>
            </w:pPr>
            <w:r>
              <w:rPr>
                <w:noProof/>
                <w:sz w:val="20"/>
                <w:shd w:val="clear" w:color="auto" w:fill="FFFFFF"/>
              </w:rPr>
              <w:t>COM(2020)282 final</w:t>
            </w:r>
            <w:r>
              <w:rPr>
                <w:noProof/>
                <w:sz w:val="20"/>
                <w:shd w:val="clear" w:color="auto" w:fill="FFFFFF"/>
              </w:rPr>
              <w:br/>
              <w:t>2020/0151 (COD)</w:t>
            </w:r>
            <w:r>
              <w:rPr>
                <w:noProof/>
                <w:sz w:val="20"/>
                <w:shd w:val="clear" w:color="auto" w:fill="FFFFFF"/>
              </w:rPr>
              <w:br/>
            </w:r>
            <w:r>
              <w:rPr>
                <w:noProof/>
                <w:sz w:val="20"/>
              </w:rP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Proposal for a REGULATION OF THE EUROPEAN PARLIAMENT AND OF THE COUNCIL amending Regulation (EU) 2017/1129 as regards the EU Recovery prospectus and targeted adjustments for financial intermediaries to help the recovery from the COVID-19 pandemic</w:t>
            </w:r>
          </w:p>
        </w:tc>
        <w:tc>
          <w:tcPr>
            <w:tcW w:w="2126" w:type="dxa"/>
            <w:tcMar>
              <w:top w:w="85" w:type="dxa"/>
              <w:left w:w="85" w:type="dxa"/>
              <w:bottom w:w="85" w:type="dxa"/>
            </w:tcMar>
          </w:tcPr>
          <w:p>
            <w:pPr>
              <w:spacing w:after="0"/>
              <w:jc w:val="left"/>
              <w:rPr>
                <w:noProof/>
                <w:sz w:val="20"/>
              </w:rPr>
            </w:pPr>
            <w:r>
              <w:rPr>
                <w:noProof/>
                <w:sz w:val="20"/>
                <w:shd w:val="clear" w:color="auto" w:fill="FFFFFF"/>
              </w:rPr>
              <w:t>COM(2020)281 final</w:t>
            </w:r>
            <w:r>
              <w:rPr>
                <w:noProof/>
                <w:sz w:val="20"/>
                <w:shd w:val="clear" w:color="auto" w:fill="FFFFFF"/>
              </w:rPr>
              <w:br/>
              <w:t>2020/0155 (COD)</w:t>
            </w:r>
            <w:r>
              <w:rPr>
                <w:noProof/>
                <w:sz w:val="20"/>
                <w:shd w:val="clear" w:color="auto" w:fill="FFFFFF"/>
              </w:rPr>
              <w:b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shd w:val="clear" w:color="auto" w:fill="FFFFFF"/>
              </w:rPr>
              <w:t>Proposal for a DIRECTIVE OF THE EUROPEAN PARLIAMENT AND OF THE COUNCIL amending Directive 2014/65/EU as regards information requirements, product governance and position limits to help the recovery from the COVID-19 pandemic</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COM(2020)280 final</w:t>
            </w:r>
            <w:r>
              <w:rPr>
                <w:noProof/>
                <w:sz w:val="20"/>
                <w:shd w:val="clear" w:color="auto" w:fill="FFFFFF"/>
              </w:rPr>
              <w:br/>
              <w:t>2020/0152 (COD)</w:t>
            </w:r>
            <w:r>
              <w:rPr>
                <w:noProof/>
                <w:sz w:val="20"/>
                <w:shd w:val="clear" w:color="auto" w:fill="FFFFFF"/>
              </w:rPr>
              <w:b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shd w:val="clear" w:color="auto" w:fill="FFFFFF"/>
              </w:rPr>
              <w:t>Proposal for a DIRECTIVE OF THE EUROPEAN PARLIAMENT AND OF THE COUNCIL amending Directive 2009/103/EC of the European Parliament and the Council of 16 September 2009 relating to insurance against civil liability in respect of the use of motor vehicles, and the enforcement of the obligation to ensure against such liability</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COM(2018)336 final</w:t>
            </w:r>
            <w:r>
              <w:rPr>
                <w:noProof/>
                <w:sz w:val="20"/>
                <w:shd w:val="clear" w:color="auto" w:fill="FFFFFF"/>
              </w:rPr>
              <w:br/>
              <w:t>2018/0168 (COD)</w:t>
            </w:r>
            <w:r>
              <w:rPr>
                <w:noProof/>
                <w:sz w:val="20"/>
                <w:shd w:val="clear" w:color="auto" w:fill="FFFFFF"/>
              </w:rPr>
              <w:br/>
            </w:r>
            <w:r>
              <w:rPr>
                <w:noProof/>
                <w:sz w:val="20"/>
              </w:rPr>
              <w:t>24.05.2018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rPr>
              <w:t>Proposal for a DIRECTIVE OF THE EUROPEAN PARLIAMENT AND OF THE COUNCIL on credit servicers, credit purchasers and the recovery of collateral</w:t>
            </w:r>
          </w:p>
        </w:tc>
        <w:tc>
          <w:tcPr>
            <w:tcW w:w="2126" w:type="dxa"/>
            <w:tcMar>
              <w:top w:w="85" w:type="dxa"/>
              <w:left w:w="85" w:type="dxa"/>
              <w:bottom w:w="85" w:type="dxa"/>
            </w:tcMar>
          </w:tcPr>
          <w:p>
            <w:pPr>
              <w:spacing w:after="0"/>
              <w:jc w:val="left"/>
              <w:rPr>
                <w:noProof/>
                <w:sz w:val="20"/>
                <w:shd w:val="clear" w:color="auto" w:fill="FFFFFF"/>
              </w:rPr>
            </w:pPr>
            <w:r>
              <w:rPr>
                <w:noProof/>
                <w:sz w:val="20"/>
                <w:lang w:val="pt-PT"/>
              </w:rPr>
              <w:t>COM(2018)135 final</w:t>
            </w:r>
            <w:r>
              <w:rPr>
                <w:noProof/>
                <w:sz w:val="20"/>
                <w:lang w:val="pt-PT"/>
              </w:rPr>
              <w:br/>
              <w:t>2018/0063A (COD)</w:t>
            </w:r>
            <w:r>
              <w:rPr>
                <w:noProof/>
                <w:sz w:val="20"/>
                <w:lang w:val="pt-PT"/>
              </w:rPr>
              <w:br/>
              <w:t>2018/0063B (COD)</w:t>
            </w:r>
            <w:r>
              <w:rPr>
                <w:noProof/>
                <w:sz w:val="20"/>
                <w:lang w:val="pt-PT"/>
              </w:rPr>
              <w:br/>
              <w:t>14.03.2018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amending Regulation (EC) No 883/2004 on the coordination of social security systems and regulation (EC) No 987/2009 laying down the procedure for implementing Regulation (EC) No 883/2004(Text with relevance for the EEA and Switzerland)</w:t>
            </w:r>
          </w:p>
        </w:tc>
        <w:tc>
          <w:tcPr>
            <w:tcW w:w="2126" w:type="dxa"/>
            <w:tcMar>
              <w:top w:w="85" w:type="dxa"/>
              <w:left w:w="85" w:type="dxa"/>
              <w:bottom w:w="85" w:type="dxa"/>
            </w:tcMar>
          </w:tcPr>
          <w:p>
            <w:pPr>
              <w:spacing w:after="0"/>
              <w:jc w:val="left"/>
              <w:rPr>
                <w:noProof/>
                <w:sz w:val="20"/>
                <w:lang w:val="pt-PT"/>
              </w:rPr>
            </w:pPr>
            <w:r>
              <w:rPr>
                <w:noProof/>
                <w:sz w:val="20"/>
              </w:rPr>
              <w:t>COM(2016)815 final</w:t>
            </w:r>
            <w:r>
              <w:rPr>
                <w:noProof/>
                <w:sz w:val="20"/>
              </w:rPr>
              <w:br/>
              <w:t>2016/0397 (COD)</w:t>
            </w:r>
            <w:r>
              <w:rPr>
                <w:noProof/>
                <w:sz w:val="20"/>
              </w:rPr>
              <w:br/>
              <w:t>14.12.2016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COUNCIL DIRECTIVE on a Common Consolidated Corporate Tax Base (CCCTB)</w:t>
            </w:r>
          </w:p>
        </w:tc>
        <w:tc>
          <w:tcPr>
            <w:tcW w:w="2126" w:type="dxa"/>
            <w:tcMar>
              <w:top w:w="85" w:type="dxa"/>
              <w:left w:w="85" w:type="dxa"/>
              <w:bottom w:w="85" w:type="dxa"/>
            </w:tcMar>
          </w:tcPr>
          <w:p>
            <w:pPr>
              <w:spacing w:after="0"/>
              <w:jc w:val="left"/>
              <w:rPr>
                <w:noProof/>
                <w:sz w:val="20"/>
              </w:rPr>
            </w:pPr>
            <w:r>
              <w:rPr>
                <w:noProof/>
                <w:sz w:val="20"/>
              </w:rPr>
              <w:t>COM(2016)683 final</w:t>
            </w:r>
            <w:r>
              <w:rPr>
                <w:noProof/>
                <w:sz w:val="20"/>
              </w:rPr>
              <w:br/>
              <w:t>2016/0336 (CNS)</w:t>
            </w:r>
            <w:r>
              <w:rPr>
                <w:noProof/>
                <w:sz w:val="20"/>
              </w:rPr>
              <w:br/>
              <w:t>26.10.2016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DIRECTIVE OF THE EUROPEAN PARLIAMENT AND OF THE COUNCIL amending Directive 2013/34/EU as regards disclosure of income tax information by certain undertakings and branches</w:t>
            </w:r>
          </w:p>
        </w:tc>
        <w:tc>
          <w:tcPr>
            <w:tcW w:w="2126" w:type="dxa"/>
            <w:tcMar>
              <w:top w:w="85" w:type="dxa"/>
              <w:left w:w="85" w:type="dxa"/>
              <w:bottom w:w="85" w:type="dxa"/>
            </w:tcMar>
          </w:tcPr>
          <w:p>
            <w:pPr>
              <w:spacing w:after="0"/>
              <w:jc w:val="left"/>
              <w:rPr>
                <w:noProof/>
                <w:sz w:val="20"/>
              </w:rPr>
            </w:pPr>
            <w:r>
              <w:rPr>
                <w:noProof/>
                <w:sz w:val="20"/>
              </w:rPr>
              <w:t>COM(2016)198 final</w:t>
            </w:r>
            <w:r>
              <w:rPr>
                <w:noProof/>
                <w:sz w:val="20"/>
              </w:rPr>
              <w:br/>
              <w:t>2016/0107 (COD)</w:t>
            </w:r>
            <w:r>
              <w:rPr>
                <w:noProof/>
                <w:sz w:val="20"/>
              </w:rPr>
              <w:br/>
              <w:t>13.04.2016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amending Regulation (EU) 806/2014 in order to establish a European Deposit Insurance Scheme</w:t>
            </w:r>
          </w:p>
        </w:tc>
        <w:tc>
          <w:tcPr>
            <w:tcW w:w="2126" w:type="dxa"/>
            <w:tcMar>
              <w:top w:w="85" w:type="dxa"/>
              <w:left w:w="85" w:type="dxa"/>
              <w:bottom w:w="85" w:type="dxa"/>
            </w:tcMar>
          </w:tcPr>
          <w:p>
            <w:pPr>
              <w:spacing w:after="0"/>
              <w:jc w:val="left"/>
              <w:rPr>
                <w:noProof/>
                <w:sz w:val="20"/>
              </w:rPr>
            </w:pPr>
            <w:r>
              <w:rPr>
                <w:noProof/>
                <w:sz w:val="20"/>
              </w:rPr>
              <w:t>COM(2015)586 final</w:t>
            </w:r>
            <w:r>
              <w:rPr>
                <w:noProof/>
                <w:sz w:val="20"/>
              </w:rPr>
              <w:br/>
              <w:t>2015/0270 (COD)</w:t>
            </w:r>
            <w:r>
              <w:rPr>
                <w:noProof/>
                <w:sz w:val="20"/>
              </w:rPr>
              <w:br/>
              <w:t>24.11.2015</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rPr>
              <w:t>Proposal for a COUNCIL DIRECTIVE implementing enhanced cooperation in the area of financial transaction tax</w:t>
            </w:r>
          </w:p>
        </w:tc>
        <w:tc>
          <w:tcPr>
            <w:tcW w:w="2126" w:type="dxa"/>
            <w:tcMar>
              <w:top w:w="85" w:type="dxa"/>
              <w:left w:w="85" w:type="dxa"/>
              <w:bottom w:w="85" w:type="dxa"/>
            </w:tcMar>
          </w:tcPr>
          <w:p>
            <w:pPr>
              <w:spacing w:after="0"/>
              <w:jc w:val="left"/>
              <w:rPr>
                <w:noProof/>
                <w:sz w:val="20"/>
                <w:shd w:val="clear" w:color="auto" w:fill="FFFFFF"/>
              </w:rPr>
            </w:pPr>
            <w:r>
              <w:rPr>
                <w:noProof/>
                <w:sz w:val="20"/>
              </w:rPr>
              <w:t>COM(2013)71 final</w:t>
            </w:r>
            <w:r>
              <w:rPr>
                <w:noProof/>
                <w:sz w:val="20"/>
              </w:rPr>
              <w:br/>
              <w:t>2013/0045 (CNS)</w:t>
            </w:r>
            <w:r>
              <w:rPr>
                <w:noProof/>
                <w:sz w:val="20"/>
              </w:rPr>
              <w:br/>
              <w:t>14.02.2013</w:t>
            </w:r>
          </w:p>
        </w:tc>
      </w:tr>
      <w:tr>
        <w:trPr>
          <w:cantSplit/>
        </w:trPr>
        <w:tc>
          <w:tcPr>
            <w:tcW w:w="14850" w:type="dxa"/>
            <w:gridSpan w:val="3"/>
            <w:shd w:val="clear" w:color="auto" w:fill="585EAA" w:themeFill="accent4"/>
            <w:tcMar>
              <w:top w:w="85" w:type="dxa"/>
              <w:left w:w="85" w:type="dxa"/>
              <w:bottom w:w="85" w:type="dxa"/>
              <w:right w:w="85" w:type="dxa"/>
            </w:tcMar>
          </w:tcPr>
          <w:p>
            <w:pPr>
              <w:keepNext/>
              <w:spacing w:before="60" w:after="60"/>
              <w:rPr>
                <w:noProof/>
                <w:sz w:val="20"/>
              </w:rPr>
            </w:pPr>
            <w:r>
              <w:rPr>
                <w:b/>
                <w:bCs/>
                <w:noProof/>
                <w:sz w:val="20"/>
              </w:rPr>
              <w:t>A Stronger Europe in the World</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amending Council Regulation (EC) No 1215/2009 introducing exceptional trade measures for countries and territories participating in or linked to the European Union's Stabilisation and Association process</w:t>
            </w:r>
          </w:p>
        </w:tc>
        <w:tc>
          <w:tcPr>
            <w:tcW w:w="2126" w:type="dxa"/>
            <w:tcMar>
              <w:top w:w="85" w:type="dxa"/>
              <w:left w:w="85" w:type="dxa"/>
              <w:bottom w:w="85" w:type="dxa"/>
            </w:tcMar>
          </w:tcPr>
          <w:p>
            <w:pPr>
              <w:spacing w:after="0"/>
              <w:jc w:val="left"/>
              <w:rPr>
                <w:noProof/>
                <w:sz w:val="20"/>
              </w:rPr>
            </w:pPr>
            <w:r>
              <w:rPr>
                <w:noProof/>
                <w:sz w:val="20"/>
              </w:rPr>
              <w:t>COM(2020)135 final</w:t>
            </w:r>
            <w:r>
              <w:rPr>
                <w:noProof/>
                <w:sz w:val="20"/>
              </w:rPr>
              <w:br/>
              <w:t>2020/0051 (COD)</w:t>
            </w:r>
            <w:r>
              <w:rPr>
                <w:noProof/>
                <w:sz w:val="20"/>
              </w:rPr>
              <w:br/>
              <w:t>03.04.2020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rPr>
              <w:t>Proposal for a REGULATION OF THE EUROPEAN PARLIAMENT AND OF THE COUNCIL amending Regulation (EU) No 654/2014 of the European Parliament and of the Council concerning the exercise of the Union's rights for the application and enforcement of international trade rules</w:t>
            </w:r>
          </w:p>
        </w:tc>
        <w:tc>
          <w:tcPr>
            <w:tcW w:w="2126" w:type="dxa"/>
            <w:tcMar>
              <w:top w:w="85" w:type="dxa"/>
              <w:left w:w="85" w:type="dxa"/>
              <w:bottom w:w="85" w:type="dxa"/>
            </w:tcMar>
          </w:tcPr>
          <w:p>
            <w:pPr>
              <w:spacing w:after="0"/>
              <w:jc w:val="left"/>
              <w:rPr>
                <w:noProof/>
                <w:sz w:val="20"/>
                <w:shd w:val="clear" w:color="auto" w:fill="FFFFFF"/>
              </w:rPr>
            </w:pPr>
            <w:r>
              <w:rPr>
                <w:noProof/>
                <w:sz w:val="20"/>
              </w:rPr>
              <w:t>COM(2019)623 final</w:t>
            </w:r>
            <w:r>
              <w:rPr>
                <w:noProof/>
                <w:sz w:val="20"/>
              </w:rPr>
              <w:br/>
              <w:t>2019/0273 (COD)</w:t>
            </w:r>
            <w:r>
              <w:rPr>
                <w:noProof/>
                <w:sz w:val="20"/>
              </w:rPr>
              <w:br/>
              <w:t>12.12.2019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 xml:space="preserve">Proposal for a REGULATION OF THE EUROPEAN PARLIAMENT AND OF THE COUNCIL setting up a Union regime for the control of exports, transfer, brokering, technical assistance and transit of dual-use items (recast) </w:t>
            </w:r>
          </w:p>
        </w:tc>
        <w:tc>
          <w:tcPr>
            <w:tcW w:w="2126" w:type="dxa"/>
            <w:tcMar>
              <w:top w:w="85" w:type="dxa"/>
              <w:left w:w="85" w:type="dxa"/>
              <w:bottom w:w="85" w:type="dxa"/>
            </w:tcMar>
          </w:tcPr>
          <w:p>
            <w:pPr>
              <w:spacing w:after="0"/>
              <w:jc w:val="left"/>
              <w:rPr>
                <w:noProof/>
                <w:sz w:val="20"/>
              </w:rPr>
            </w:pPr>
            <w:r>
              <w:rPr>
                <w:noProof/>
                <w:sz w:val="20"/>
              </w:rPr>
              <w:t>COM(2016)616 final</w:t>
            </w:r>
            <w:r>
              <w:rPr>
                <w:noProof/>
                <w:sz w:val="20"/>
              </w:rPr>
              <w:br/>
              <w:t>2016/0295 (COD)</w:t>
            </w:r>
            <w:r>
              <w:rPr>
                <w:noProof/>
                <w:sz w:val="20"/>
              </w:rPr>
              <w:br/>
              <w:t>28.09.2016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on the access of third-country goods and services to the Union’s internal market in public procurement and procedures supporting negotiations on access of Union goods and services to the public procurement markets of third countries</w:t>
            </w:r>
          </w:p>
        </w:tc>
        <w:tc>
          <w:tcPr>
            <w:tcW w:w="2126" w:type="dxa"/>
            <w:tcMar>
              <w:top w:w="85" w:type="dxa"/>
              <w:left w:w="85" w:type="dxa"/>
              <w:bottom w:w="85" w:type="dxa"/>
            </w:tcMar>
          </w:tcPr>
          <w:p>
            <w:pPr>
              <w:spacing w:after="0"/>
              <w:jc w:val="left"/>
              <w:rPr>
                <w:noProof/>
                <w:sz w:val="20"/>
              </w:rPr>
            </w:pPr>
            <w:r>
              <w:rPr>
                <w:noProof/>
                <w:sz w:val="20"/>
              </w:rPr>
              <w:t>COM(2012)124 final</w:t>
            </w:r>
            <w:r>
              <w:rPr>
                <w:noProof/>
                <w:sz w:val="20"/>
              </w:rPr>
              <w:br/>
              <w:t>2012/0060 (COD)</w:t>
            </w:r>
            <w:r>
              <w:rPr>
                <w:noProof/>
                <w:sz w:val="20"/>
              </w:rPr>
              <w:br/>
              <w:t>21.03.2012</w:t>
            </w:r>
          </w:p>
        </w:tc>
      </w:tr>
      <w:tr>
        <w:trPr>
          <w:cantSplit/>
        </w:trPr>
        <w:tc>
          <w:tcPr>
            <w:tcW w:w="14850" w:type="dxa"/>
            <w:gridSpan w:val="3"/>
            <w:shd w:val="clear" w:color="auto" w:fill="DA5C57" w:themeFill="accent6"/>
            <w:tcMar>
              <w:top w:w="85" w:type="dxa"/>
              <w:left w:w="85" w:type="dxa"/>
              <w:bottom w:w="85" w:type="dxa"/>
              <w:right w:w="85" w:type="dxa"/>
            </w:tcMar>
          </w:tcPr>
          <w:p>
            <w:pPr>
              <w:spacing w:before="60" w:after="60"/>
              <w:rPr>
                <w:noProof/>
                <w:color w:val="FFFFFF" w:themeColor="background1"/>
                <w:sz w:val="20"/>
              </w:rPr>
            </w:pPr>
            <w:r>
              <w:rPr>
                <w:b/>
                <w:bCs/>
                <w:noProof/>
                <w:color w:val="FFFFFF" w:themeColor="background1"/>
                <w:sz w:val="20"/>
              </w:rPr>
              <w:t>Promoting our European Way of Life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Proposal for a REGULATION OF THE EUROPEAN PARLIAMENT AND OF THE COUNCIL addressing situations of crisis and force majeure in the field of migration and asylum</w:t>
            </w:r>
          </w:p>
        </w:tc>
        <w:tc>
          <w:tcPr>
            <w:tcW w:w="2126" w:type="dxa"/>
            <w:tcMar>
              <w:top w:w="85" w:type="dxa"/>
              <w:left w:w="85" w:type="dxa"/>
              <w:bottom w:w="85" w:type="dxa"/>
            </w:tcMar>
          </w:tcPr>
          <w:p>
            <w:pPr>
              <w:spacing w:after="0"/>
              <w:jc w:val="left"/>
              <w:rPr>
                <w:noProof/>
                <w:sz w:val="20"/>
              </w:rPr>
            </w:pPr>
            <w:r>
              <w:rPr>
                <w:noProof/>
                <w:sz w:val="20"/>
                <w:shd w:val="clear" w:color="auto" w:fill="FFFFFF"/>
              </w:rPr>
              <w:t>COM(2020)613 final</w:t>
            </w:r>
            <w:r>
              <w:rPr>
                <w:noProof/>
                <w:sz w:val="20"/>
              </w:rPr>
              <w:br/>
            </w:r>
            <w:r>
              <w:rPr>
                <w:noProof/>
                <w:sz w:val="20"/>
                <w:shd w:val="clear" w:color="auto" w:fill="FFFFFF"/>
              </w:rPr>
              <w:t>2020/0277 (COD)</w:t>
            </w:r>
            <w:r>
              <w:rPr>
                <w:noProof/>
                <w:sz w:val="20"/>
                <w:shd w:val="clear" w:color="auto" w:fill="FFFFFF"/>
              </w:rPr>
              <w:b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 xml:space="preserve">Proposal for a REGULATION OF THE EUROPEAN PARLIAMENT AND OF THE COUNCIL </w:t>
            </w:r>
            <w:r>
              <w:rPr>
                <w:noProof/>
                <w:sz w:val="20"/>
              </w:rPr>
              <w:t>introducing a screening of third country nationals at the external borders and amending Regulations (EC) No 767/2008, (EU) 2017/2226, (EU) 2018/1240 and (EU) 2019/817</w:t>
            </w:r>
          </w:p>
        </w:tc>
        <w:tc>
          <w:tcPr>
            <w:tcW w:w="2126" w:type="dxa"/>
            <w:tcMar>
              <w:top w:w="85" w:type="dxa"/>
              <w:left w:w="85" w:type="dxa"/>
              <w:bottom w:w="85" w:type="dxa"/>
            </w:tcMar>
          </w:tcPr>
          <w:p>
            <w:pPr>
              <w:spacing w:after="0"/>
              <w:jc w:val="left"/>
              <w:rPr>
                <w:noProof/>
                <w:sz w:val="20"/>
              </w:rPr>
            </w:pPr>
            <w:r>
              <w:rPr>
                <w:noProof/>
                <w:sz w:val="20"/>
              </w:rPr>
              <w:t>COM(2020)612 final</w:t>
            </w:r>
            <w:r>
              <w:rPr>
                <w:noProof/>
                <w:sz w:val="20"/>
              </w:rPr>
              <w:br/>
              <w:t>2020/0278 (COD)</w:t>
            </w:r>
            <w:r>
              <w:rPr>
                <w:noProof/>
                <w:sz w:val="20"/>
              </w:rPr>
              <w:b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Proposal for a REGULATION OF THE EUROPEAN PARLIAMENT AND OF THE COUNCIL on asylum and migration management and amending Council Directive (EC) 2003/109 and the proposed Regulation (EU) XXX/XXX [Asylum and Migration Fund]</w:t>
            </w:r>
          </w:p>
        </w:tc>
        <w:tc>
          <w:tcPr>
            <w:tcW w:w="2126" w:type="dxa"/>
            <w:tcMar>
              <w:top w:w="85" w:type="dxa"/>
              <w:left w:w="85" w:type="dxa"/>
              <w:bottom w:w="85" w:type="dxa"/>
            </w:tcMar>
          </w:tcPr>
          <w:p>
            <w:pPr>
              <w:spacing w:after="0"/>
              <w:jc w:val="left"/>
              <w:rPr>
                <w:noProof/>
                <w:sz w:val="20"/>
              </w:rPr>
            </w:pPr>
            <w:r>
              <w:rPr>
                <w:noProof/>
                <w:sz w:val="20"/>
                <w:shd w:val="clear" w:color="auto" w:fill="FFFFFF"/>
              </w:rPr>
              <w:t>COM(2020)610 final</w:t>
            </w:r>
            <w:r>
              <w:rPr>
                <w:noProof/>
                <w:sz w:val="20"/>
                <w:shd w:val="clear" w:color="auto" w:fill="FFFFFF"/>
              </w:rPr>
              <w:br/>
              <w:t>2020/0279 (COD)</w:t>
            </w:r>
            <w:r>
              <w:rPr>
                <w:noProof/>
                <w:sz w:val="20"/>
                <w:shd w:val="clear" w:color="auto" w:fill="FFFFFF"/>
              </w:rPr>
              <w:b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Proposal for a DECISION OF THE EUROPEAN PARLIAMENT AND OF THE COUNCIL Amending Decision No 445/2014/EU establishing a Union action for the European Capitals of Culture for the years 2020 to 2033</w:t>
            </w:r>
          </w:p>
        </w:tc>
        <w:tc>
          <w:tcPr>
            <w:tcW w:w="2126" w:type="dxa"/>
            <w:tcMar>
              <w:top w:w="85" w:type="dxa"/>
              <w:left w:w="85" w:type="dxa"/>
              <w:bottom w:w="85" w:type="dxa"/>
            </w:tcMar>
          </w:tcPr>
          <w:p>
            <w:pPr>
              <w:spacing w:after="0"/>
              <w:jc w:val="left"/>
              <w:rPr>
                <w:noProof/>
                <w:sz w:val="20"/>
              </w:rPr>
            </w:pPr>
            <w:r>
              <w:rPr>
                <w:noProof/>
                <w:sz w:val="20"/>
                <w:shd w:val="clear" w:color="auto" w:fill="FFFFFF"/>
              </w:rPr>
              <w:t>COM(2020)384 final</w:t>
            </w:r>
            <w:r>
              <w:rPr>
                <w:noProof/>
                <w:sz w:val="20"/>
                <w:shd w:val="clear" w:color="auto" w:fill="FFFFFF"/>
              </w:rPr>
              <w:br/>
              <w:t>2020/0179 (COD)</w:t>
            </w:r>
            <w:r>
              <w:rPr>
                <w:noProof/>
                <w:sz w:val="20"/>
                <w:shd w:val="clear" w:color="auto" w:fill="FFFFFF"/>
              </w:rPr>
              <w:br/>
              <w:t>18.08.2020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establishing the conditions for accessing other EU information systems for ETIAS purposes and amending Regulation (EU) 2018/1240, Regulation (EC) No 767/2008, Regulation (EU)2017/2226 and Regulation (EU) 2018/1861</w:t>
            </w:r>
          </w:p>
        </w:tc>
        <w:tc>
          <w:tcPr>
            <w:tcW w:w="2126" w:type="dxa"/>
            <w:tcMar>
              <w:top w:w="85" w:type="dxa"/>
              <w:left w:w="85" w:type="dxa"/>
              <w:bottom w:w="85" w:type="dxa"/>
            </w:tcMar>
          </w:tcPr>
          <w:p>
            <w:pPr>
              <w:spacing w:after="0"/>
              <w:jc w:val="left"/>
              <w:rPr>
                <w:noProof/>
                <w:sz w:val="20"/>
              </w:rPr>
            </w:pPr>
            <w:r>
              <w:rPr>
                <w:noProof/>
                <w:sz w:val="20"/>
              </w:rPr>
              <w:t>COM(2019)4 final</w:t>
            </w:r>
            <w:r>
              <w:rPr>
                <w:noProof/>
                <w:sz w:val="20"/>
              </w:rPr>
              <w:br/>
              <w:t>2019/0002 (COD)</w:t>
            </w:r>
            <w:r>
              <w:rPr>
                <w:noProof/>
                <w:sz w:val="20"/>
              </w:rPr>
              <w:br/>
              <w:t>07.01.2019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Proposal for a REGULATION OF THE EUROPEAN PARLIAMENT AND OF THE COUNCIL establishing the conditions for accessing the other EU information systems and amending Regulation (EU) 2018/1862 and Regulation (EU) yyyy/xxx [ECRIS-TCN]</w:t>
            </w:r>
          </w:p>
        </w:tc>
        <w:tc>
          <w:tcPr>
            <w:tcW w:w="2126" w:type="dxa"/>
            <w:tcMar>
              <w:top w:w="85" w:type="dxa"/>
              <w:left w:w="85" w:type="dxa"/>
              <w:bottom w:w="85" w:type="dxa"/>
            </w:tcMar>
          </w:tcPr>
          <w:p>
            <w:pPr>
              <w:spacing w:after="0"/>
              <w:jc w:val="left"/>
              <w:rPr>
                <w:noProof/>
                <w:sz w:val="20"/>
              </w:rPr>
            </w:pPr>
            <w:r>
              <w:rPr>
                <w:noProof/>
                <w:sz w:val="20"/>
                <w:shd w:val="clear" w:color="auto" w:fill="FFFFFF"/>
              </w:rPr>
              <w:t>COM(2019)3 final</w:t>
            </w:r>
            <w:r>
              <w:rPr>
                <w:noProof/>
                <w:sz w:val="20"/>
                <w:shd w:val="clear" w:color="auto" w:fill="FFFFFF"/>
              </w:rPr>
              <w:br/>
              <w:t>2019/0001 (COD)</w:t>
            </w:r>
            <w:r>
              <w:rPr>
                <w:noProof/>
                <w:sz w:val="20"/>
                <w:shd w:val="clear" w:color="auto" w:fill="FFFFFF"/>
              </w:rPr>
              <w:br/>
              <w:t>07.01.2020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 xml:space="preserve">Proposal for a REGULATION OF THE EUROPEAN PARLIAMENT AND OF THE COUNCIL on preventing the dissemination of terrorist content online </w:t>
            </w:r>
          </w:p>
        </w:tc>
        <w:tc>
          <w:tcPr>
            <w:tcW w:w="2126" w:type="dxa"/>
            <w:tcMar>
              <w:top w:w="85" w:type="dxa"/>
              <w:left w:w="85" w:type="dxa"/>
              <w:bottom w:w="85" w:type="dxa"/>
            </w:tcMar>
          </w:tcPr>
          <w:p>
            <w:pPr>
              <w:spacing w:after="0"/>
              <w:jc w:val="left"/>
              <w:rPr>
                <w:noProof/>
                <w:sz w:val="20"/>
              </w:rPr>
            </w:pPr>
            <w:r>
              <w:rPr>
                <w:noProof/>
                <w:sz w:val="20"/>
              </w:rPr>
              <w:t>COM(2018)640 final</w:t>
            </w:r>
            <w:r>
              <w:rPr>
                <w:noProof/>
                <w:sz w:val="20"/>
              </w:rPr>
              <w:br/>
              <w:t>2018/0331 (COD)</w:t>
            </w:r>
            <w:r>
              <w:rPr>
                <w:noProof/>
                <w:sz w:val="20"/>
              </w:rPr>
              <w:br/>
              <w:t>12.09.2018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 xml:space="preserve">Proposal for a DIRECTIVE OF THE EUROPEAN PARLIAMENT AND OF THE COUNCIL on common standards and procedures in Member States for returning illegally staying third-country nationals (recast) </w:t>
            </w:r>
          </w:p>
        </w:tc>
        <w:tc>
          <w:tcPr>
            <w:tcW w:w="2126" w:type="dxa"/>
            <w:tcMar>
              <w:top w:w="85" w:type="dxa"/>
              <w:left w:w="85" w:type="dxa"/>
              <w:bottom w:w="85" w:type="dxa"/>
            </w:tcMar>
          </w:tcPr>
          <w:p>
            <w:pPr>
              <w:spacing w:after="0"/>
              <w:jc w:val="left"/>
              <w:rPr>
                <w:noProof/>
                <w:sz w:val="20"/>
              </w:rPr>
            </w:pPr>
            <w:r>
              <w:rPr>
                <w:noProof/>
                <w:sz w:val="20"/>
              </w:rPr>
              <w:t>COM(2018)634 final</w:t>
            </w:r>
            <w:r>
              <w:rPr>
                <w:noProof/>
                <w:sz w:val="20"/>
              </w:rPr>
              <w:br/>
              <w:t>2018/0329 (COD)</w:t>
            </w:r>
            <w:r>
              <w:rPr>
                <w:noProof/>
                <w:sz w:val="20"/>
              </w:rPr>
              <w:br/>
              <w:t>12.09.2018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amending Regulation (EC) No 767/2008, Regulation(EC) No 810/2009, Regulation (EU) 2017/2226, Regulation (EU) 2016/399, Regulation XX/2018 [Interoperability Regulation], and Decision 2004/512/EC and repealing Council Decision 2008/633/JHA</w:t>
            </w:r>
          </w:p>
        </w:tc>
        <w:tc>
          <w:tcPr>
            <w:tcW w:w="2126" w:type="dxa"/>
            <w:tcMar>
              <w:top w:w="85" w:type="dxa"/>
              <w:left w:w="85" w:type="dxa"/>
              <w:bottom w:w="85" w:type="dxa"/>
            </w:tcMar>
          </w:tcPr>
          <w:p>
            <w:pPr>
              <w:spacing w:after="0"/>
              <w:jc w:val="left"/>
              <w:rPr>
                <w:noProof/>
                <w:sz w:val="20"/>
              </w:rPr>
            </w:pPr>
            <w:r>
              <w:rPr>
                <w:noProof/>
                <w:sz w:val="20"/>
              </w:rPr>
              <w:t>COM(2018)302 final</w:t>
            </w:r>
            <w:r>
              <w:rPr>
                <w:noProof/>
                <w:sz w:val="20"/>
              </w:rPr>
              <w:br/>
              <w:t>2018/0152 (COD)</w:t>
            </w:r>
            <w:r>
              <w:rPr>
                <w:noProof/>
                <w:sz w:val="20"/>
              </w:rPr>
              <w:br/>
              <w:t>17.05.2018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establishing a Union Resettlement Framework and amending Regulation (EU) No 516/2014 of the European Parliament and the Council</w:t>
            </w:r>
          </w:p>
        </w:tc>
        <w:tc>
          <w:tcPr>
            <w:tcW w:w="2126" w:type="dxa"/>
            <w:tcMar>
              <w:top w:w="85" w:type="dxa"/>
              <w:left w:w="85" w:type="dxa"/>
              <w:bottom w:w="85" w:type="dxa"/>
            </w:tcMar>
          </w:tcPr>
          <w:p>
            <w:pPr>
              <w:spacing w:after="0"/>
              <w:jc w:val="left"/>
              <w:rPr>
                <w:noProof/>
                <w:sz w:val="20"/>
              </w:rPr>
            </w:pPr>
            <w:r>
              <w:rPr>
                <w:noProof/>
                <w:sz w:val="20"/>
              </w:rPr>
              <w:t>COM(2016)468 final</w:t>
            </w:r>
            <w:r>
              <w:rPr>
                <w:noProof/>
                <w:sz w:val="20"/>
              </w:rPr>
              <w:br/>
              <w:t>2016/0225 (COD)</w:t>
            </w:r>
            <w:r>
              <w:rPr>
                <w:noProof/>
                <w:sz w:val="20"/>
              </w:rPr>
              <w:br/>
              <w:t>13.07.2016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establishing a common procedure for international protection in the Union and repealing Directive 2013/32/EU</w:t>
            </w:r>
          </w:p>
        </w:tc>
        <w:tc>
          <w:tcPr>
            <w:tcW w:w="2126" w:type="dxa"/>
            <w:tcMar>
              <w:top w:w="85" w:type="dxa"/>
              <w:left w:w="85" w:type="dxa"/>
              <w:bottom w:w="85" w:type="dxa"/>
            </w:tcMar>
          </w:tcPr>
          <w:p>
            <w:pPr>
              <w:spacing w:after="0"/>
              <w:jc w:val="left"/>
              <w:rPr>
                <w:noProof/>
                <w:sz w:val="20"/>
                <w:lang w:val="pt-PT"/>
              </w:rPr>
            </w:pPr>
            <w:r>
              <w:rPr>
                <w:noProof/>
                <w:sz w:val="20"/>
                <w:lang w:val="pt-PT"/>
              </w:rPr>
              <w:t>COM(2016)467 final</w:t>
            </w:r>
            <w:r>
              <w:rPr>
                <w:noProof/>
                <w:sz w:val="20"/>
                <w:lang w:val="pt-PT"/>
              </w:rPr>
              <w:br/>
              <w:t>2016/0224 (COD)</w:t>
            </w:r>
            <w:r>
              <w:rPr>
                <w:noProof/>
                <w:sz w:val="20"/>
                <w:lang w:val="pt-PT"/>
              </w:rPr>
              <w:br/>
              <w:t>13.07.2016</w:t>
            </w:r>
            <w:r>
              <w:rPr>
                <w:noProof/>
                <w:sz w:val="20"/>
                <w:lang w:val="pt-PT"/>
              </w:rPr>
              <w:br/>
            </w:r>
          </w:p>
          <w:p>
            <w:pPr>
              <w:spacing w:after="0"/>
              <w:jc w:val="left"/>
              <w:rPr>
                <w:noProof/>
                <w:sz w:val="20"/>
                <w:lang w:val="pt-PT"/>
              </w:rPr>
            </w:pPr>
            <w:r>
              <w:rPr>
                <w:noProof/>
                <w:sz w:val="20"/>
                <w:lang w:val="pt-PT"/>
              </w:rPr>
              <w:t>COM(2020)611 final</w:t>
            </w:r>
            <w:r>
              <w:rPr>
                <w:noProof/>
                <w:sz w:val="20"/>
                <w:lang w:val="pt-PT"/>
              </w:rPr>
              <w:b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 xml:space="preserve">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 </w:t>
            </w:r>
          </w:p>
        </w:tc>
        <w:tc>
          <w:tcPr>
            <w:tcW w:w="2126" w:type="dxa"/>
            <w:tcMar>
              <w:top w:w="85" w:type="dxa"/>
              <w:left w:w="85" w:type="dxa"/>
              <w:bottom w:w="85" w:type="dxa"/>
            </w:tcMar>
          </w:tcPr>
          <w:p>
            <w:pPr>
              <w:spacing w:after="0"/>
              <w:jc w:val="left"/>
              <w:rPr>
                <w:noProof/>
                <w:sz w:val="20"/>
              </w:rPr>
            </w:pPr>
            <w:r>
              <w:rPr>
                <w:noProof/>
                <w:sz w:val="20"/>
              </w:rPr>
              <w:t>COM(2016)466 final</w:t>
            </w:r>
            <w:r>
              <w:rPr>
                <w:noProof/>
                <w:sz w:val="20"/>
              </w:rPr>
              <w:br/>
              <w:t>2016/0223 (COD)</w:t>
            </w:r>
            <w:r>
              <w:rPr>
                <w:noProof/>
                <w:sz w:val="20"/>
              </w:rPr>
              <w:br/>
              <w:t>13.07.2016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Proposal for a DIRECTIVE OF THE EUROPEAN PARLIAMENT AND OF THE COUNCIL laying down standards for the reception of applicants for international protection (recast)</w:t>
            </w:r>
          </w:p>
        </w:tc>
        <w:tc>
          <w:tcPr>
            <w:tcW w:w="2126" w:type="dxa"/>
            <w:tcMar>
              <w:top w:w="85" w:type="dxa"/>
              <w:left w:w="85" w:type="dxa"/>
              <w:bottom w:w="85" w:type="dxa"/>
            </w:tcMar>
          </w:tcPr>
          <w:p>
            <w:pPr>
              <w:spacing w:after="0"/>
              <w:jc w:val="left"/>
              <w:rPr>
                <w:noProof/>
                <w:sz w:val="20"/>
              </w:rPr>
            </w:pPr>
            <w:r>
              <w:rPr>
                <w:noProof/>
                <w:sz w:val="20"/>
              </w:rPr>
              <w:t>COM(2016)465 final</w:t>
            </w:r>
            <w:r>
              <w:rPr>
                <w:noProof/>
                <w:sz w:val="20"/>
              </w:rPr>
              <w:br/>
              <w:t>2016/0222 (COD)</w:t>
            </w:r>
            <w:r>
              <w:rPr>
                <w:noProof/>
                <w:sz w:val="20"/>
              </w:rPr>
              <w:br/>
              <w:t>13.07.2016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Proposal for a DIRECTIVE OF THE EUROPEAN PARLIAMENT AND OF THE COUNCIL on the conditions of entry and residence of third-country nationals for the purposes of highly skilled employment</w:t>
            </w:r>
          </w:p>
        </w:tc>
        <w:tc>
          <w:tcPr>
            <w:tcW w:w="2126" w:type="dxa"/>
            <w:tcMar>
              <w:top w:w="85" w:type="dxa"/>
              <w:left w:w="85" w:type="dxa"/>
              <w:bottom w:w="85" w:type="dxa"/>
            </w:tcMar>
          </w:tcPr>
          <w:p>
            <w:pPr>
              <w:spacing w:after="0"/>
              <w:jc w:val="left"/>
              <w:rPr>
                <w:noProof/>
                <w:sz w:val="20"/>
              </w:rPr>
            </w:pPr>
            <w:r>
              <w:rPr>
                <w:noProof/>
                <w:sz w:val="20"/>
              </w:rPr>
              <w:t>COM(2016)378 final 2016/0176 (COD) 07.06.2016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 for identifying an illegally staying third-country national or stateless person and on requests for the comparison with Eurodac data by Member States' law enforcement authorities and Europol for law enforcement purposes (recast)</w:t>
            </w:r>
          </w:p>
        </w:tc>
        <w:tc>
          <w:tcPr>
            <w:tcW w:w="2126" w:type="dxa"/>
            <w:tcMar>
              <w:top w:w="85" w:type="dxa"/>
              <w:left w:w="85" w:type="dxa"/>
              <w:bottom w:w="85" w:type="dxa"/>
            </w:tcMar>
          </w:tcPr>
          <w:p>
            <w:pPr>
              <w:spacing w:after="0"/>
              <w:jc w:val="left"/>
              <w:rPr>
                <w:noProof/>
                <w:sz w:val="20"/>
                <w:lang w:val="pt-PT"/>
              </w:rPr>
            </w:pPr>
            <w:r>
              <w:rPr>
                <w:noProof/>
                <w:sz w:val="20"/>
                <w:lang w:val="pt-PT"/>
              </w:rPr>
              <w:t>COM(2016)272 final</w:t>
            </w:r>
            <w:r>
              <w:rPr>
                <w:noProof/>
                <w:sz w:val="20"/>
                <w:lang w:val="pt-PT"/>
              </w:rPr>
              <w:br/>
              <w:t>2016/0132 (COD)</w:t>
            </w:r>
            <w:r>
              <w:rPr>
                <w:noProof/>
                <w:sz w:val="20"/>
                <w:lang w:val="pt-PT"/>
              </w:rPr>
              <w:br/>
              <w:t xml:space="preserve">04.05.2016 </w:t>
            </w:r>
            <w:r>
              <w:rPr>
                <w:noProof/>
                <w:sz w:val="20"/>
                <w:lang w:val="pt-PT"/>
              </w:rPr>
              <w:br/>
            </w:r>
          </w:p>
          <w:p>
            <w:pPr>
              <w:spacing w:after="0"/>
              <w:jc w:val="left"/>
              <w:rPr>
                <w:noProof/>
                <w:sz w:val="20"/>
                <w:lang w:val="pt-PT"/>
              </w:rPr>
            </w:pPr>
            <w:r>
              <w:rPr>
                <w:noProof/>
                <w:sz w:val="20"/>
                <w:lang w:val="pt-PT"/>
              </w:rPr>
              <w:t>COM(2020)614 final</w:t>
            </w:r>
          </w:p>
          <w:p>
            <w:pPr>
              <w:spacing w:after="0"/>
              <w:jc w:val="left"/>
              <w:rPr>
                <w:noProof/>
                <w:sz w:val="20"/>
                <w:lang w:val="pt-PT"/>
              </w:rPr>
            </w:pPr>
            <w:r>
              <w:rPr>
                <w:noProof/>
                <w:sz w:val="20"/>
                <w:lang w:val="pt-PT"/>
              </w:rP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on the European Union Agency for Asylum and repealing Regulation (EU) No 439/2010</w:t>
            </w:r>
          </w:p>
        </w:tc>
        <w:tc>
          <w:tcPr>
            <w:tcW w:w="2126" w:type="dxa"/>
            <w:tcMar>
              <w:top w:w="85" w:type="dxa"/>
              <w:left w:w="85" w:type="dxa"/>
              <w:bottom w:w="85" w:type="dxa"/>
            </w:tcMar>
          </w:tcPr>
          <w:p>
            <w:pPr>
              <w:spacing w:after="0"/>
              <w:jc w:val="left"/>
              <w:rPr>
                <w:noProof/>
                <w:sz w:val="20"/>
                <w:highlight w:val="yellow"/>
                <w:lang w:val="pt-PT"/>
              </w:rPr>
            </w:pPr>
            <w:r>
              <w:rPr>
                <w:noProof/>
                <w:sz w:val="20"/>
                <w:lang w:val="pt-PT"/>
              </w:rPr>
              <w:t>COM(2016)271 final</w:t>
            </w:r>
            <w:r>
              <w:rPr>
                <w:noProof/>
                <w:sz w:val="20"/>
                <w:lang w:val="pt-PT"/>
              </w:rPr>
              <w:br/>
              <w:t>2016/0131 (COD)</w:t>
            </w:r>
            <w:r>
              <w:rPr>
                <w:noProof/>
                <w:sz w:val="20"/>
                <w:lang w:val="pt-PT"/>
              </w:rPr>
              <w:br/>
              <w:t>04.05.2016</w:t>
            </w:r>
            <w:r>
              <w:rPr>
                <w:noProof/>
                <w:sz w:val="20"/>
                <w:lang w:val="pt-PT"/>
              </w:rPr>
              <w:br/>
            </w:r>
            <w:r>
              <w:rPr>
                <w:noProof/>
                <w:sz w:val="20"/>
                <w:lang w:val="pt-PT"/>
              </w:rPr>
              <w:br/>
              <w:t>COM(2018)633 final</w:t>
            </w:r>
            <w:r>
              <w:rPr>
                <w:noProof/>
                <w:sz w:val="20"/>
                <w:lang w:val="pt-PT"/>
              </w:rPr>
              <w:br/>
              <w:t>12.09.2018</w:t>
            </w:r>
          </w:p>
        </w:tc>
      </w:tr>
      <w:tr>
        <w:trPr>
          <w:cantSplit/>
        </w:trPr>
        <w:tc>
          <w:tcPr>
            <w:tcW w:w="14850" w:type="dxa"/>
            <w:gridSpan w:val="3"/>
            <w:shd w:val="clear" w:color="auto" w:fill="00ADDC" w:themeFill="accent5"/>
            <w:tcMar>
              <w:top w:w="85" w:type="dxa"/>
              <w:left w:w="85" w:type="dxa"/>
              <w:bottom w:w="85" w:type="dxa"/>
              <w:right w:w="85" w:type="dxa"/>
            </w:tcMar>
          </w:tcPr>
          <w:p>
            <w:pPr>
              <w:spacing w:before="60" w:after="60"/>
              <w:rPr>
                <w:noProof/>
                <w:sz w:val="20"/>
              </w:rPr>
            </w:pPr>
            <w:r>
              <w:rPr>
                <w:b/>
                <w:bCs/>
                <w:noProof/>
                <w:sz w:val="20"/>
              </w:rPr>
              <w:t>A New Push for European Democracy</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Proposal for a DIRECTIVE OF THE EUROPEAN PARLIAMENT AND OF THE COUNCIL laying down harmonised rules on the appointment of legal representatives for the purpose of gathering evidence in criminal proceedings</w:t>
            </w:r>
          </w:p>
        </w:tc>
        <w:tc>
          <w:tcPr>
            <w:tcW w:w="2126" w:type="dxa"/>
            <w:tcMar>
              <w:top w:w="85" w:type="dxa"/>
              <w:left w:w="85" w:type="dxa"/>
              <w:bottom w:w="85" w:type="dxa"/>
            </w:tcMar>
          </w:tcPr>
          <w:p>
            <w:pPr>
              <w:spacing w:after="0"/>
              <w:jc w:val="left"/>
              <w:rPr>
                <w:noProof/>
                <w:sz w:val="20"/>
              </w:rPr>
            </w:pPr>
            <w:r>
              <w:rPr>
                <w:noProof/>
                <w:sz w:val="20"/>
              </w:rPr>
              <w:t>COM(2018)226 final</w:t>
            </w:r>
            <w:r>
              <w:rPr>
                <w:noProof/>
                <w:sz w:val="20"/>
              </w:rPr>
              <w:br/>
              <w:t>2018/0107 (COD) 18.04.2018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Proposal for a REGULATION OF THE EUROPEAN PARLIAMENT AND OF THE COUNCIL on European Production and Preservation Orders for electronic evidence in criminal matters</w:t>
            </w:r>
          </w:p>
        </w:tc>
        <w:tc>
          <w:tcPr>
            <w:tcW w:w="2126" w:type="dxa"/>
            <w:tcMar>
              <w:top w:w="85" w:type="dxa"/>
              <w:left w:w="85" w:type="dxa"/>
              <w:bottom w:w="85" w:type="dxa"/>
            </w:tcMar>
          </w:tcPr>
          <w:p>
            <w:pPr>
              <w:spacing w:after="0"/>
              <w:jc w:val="left"/>
              <w:rPr>
                <w:noProof/>
                <w:sz w:val="20"/>
              </w:rPr>
            </w:pPr>
            <w:r>
              <w:rPr>
                <w:noProof/>
                <w:sz w:val="20"/>
              </w:rPr>
              <w:t>COM(2018)225 final</w:t>
            </w:r>
            <w:r>
              <w:rPr>
                <w:noProof/>
                <w:sz w:val="20"/>
              </w:rPr>
              <w:br/>
              <w:t>2018/0108 (COD) 18.04.2018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Proposal for a DIRECTIVE OF THE EUROPEAN PARLIAMENT AND OF THE COUNCIL on improving the gender balance among non-executive directors of companies listed on stock exchanges and related measures</w:t>
            </w:r>
          </w:p>
        </w:tc>
        <w:tc>
          <w:tcPr>
            <w:tcW w:w="2126" w:type="dxa"/>
            <w:tcMar>
              <w:top w:w="85" w:type="dxa"/>
              <w:left w:w="85" w:type="dxa"/>
              <w:bottom w:w="85" w:type="dxa"/>
            </w:tcMar>
          </w:tcPr>
          <w:p>
            <w:pPr>
              <w:spacing w:after="0"/>
              <w:jc w:val="left"/>
              <w:rPr>
                <w:noProof/>
                <w:sz w:val="20"/>
              </w:rPr>
            </w:pPr>
            <w:r>
              <w:rPr>
                <w:noProof/>
                <w:sz w:val="20"/>
              </w:rPr>
              <w:t>COM(2012)614 final</w:t>
            </w:r>
            <w:r>
              <w:rPr>
                <w:noProof/>
                <w:sz w:val="20"/>
              </w:rPr>
              <w:br/>
              <w:t>2012/0299 (COD)</w:t>
            </w:r>
            <w:r>
              <w:rPr>
                <w:noProof/>
                <w:sz w:val="20"/>
              </w:rPr>
              <w:br/>
              <w:t>14.11.2012</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Proposal for a Council Directive on implementing the principle of equal treatment between persons irrespective of religion or belief, disability, age or sexual orientation</w:t>
            </w:r>
          </w:p>
        </w:tc>
        <w:tc>
          <w:tcPr>
            <w:tcW w:w="2126" w:type="dxa"/>
            <w:tcMar>
              <w:top w:w="85" w:type="dxa"/>
              <w:left w:w="85" w:type="dxa"/>
              <w:bottom w:w="85" w:type="dxa"/>
            </w:tcMar>
          </w:tcPr>
          <w:p>
            <w:pPr>
              <w:spacing w:after="0"/>
              <w:jc w:val="left"/>
              <w:rPr>
                <w:noProof/>
                <w:sz w:val="20"/>
              </w:rPr>
            </w:pPr>
            <w:r>
              <w:rPr>
                <w:noProof/>
                <w:sz w:val="20"/>
              </w:rPr>
              <w:t>COM(2008)426 final</w:t>
            </w:r>
            <w:r>
              <w:rPr>
                <w:noProof/>
                <w:sz w:val="20"/>
              </w:rPr>
              <w:br/>
              <w:t>2008/0140 (CNS)</w:t>
            </w:r>
            <w:r>
              <w:rPr>
                <w:noProof/>
                <w:sz w:val="20"/>
              </w:rPr>
              <w:br/>
              <w:t>02.07.2008</w:t>
            </w:r>
          </w:p>
        </w:tc>
      </w:tr>
    </w:tbl>
    <w:p>
      <w:pPr>
        <w:spacing w:after="0"/>
        <w:jc w:val="center"/>
        <w:rPr>
          <w:noProof/>
          <w:sz w:val="20"/>
        </w:rPr>
      </w:pPr>
    </w:p>
    <w:p>
      <w:pPr>
        <w:spacing w:after="0"/>
        <w:jc w:val="left"/>
        <w:rPr>
          <w:noProof/>
          <w:sz w:val="20"/>
        </w:rPr>
      </w:pPr>
      <w:r>
        <w:rPr>
          <w:noProof/>
          <w:sz w:val="20"/>
        </w:rPr>
        <w:br w:type="page"/>
      </w:r>
    </w:p>
    <w:p>
      <w:pPr>
        <w:spacing w:after="600"/>
        <w:jc w:val="center"/>
        <w:rPr>
          <w:b/>
          <w:noProof/>
          <w:sz w:val="28"/>
          <w:szCs w:val="28"/>
          <w:u w:val="single"/>
        </w:rPr>
      </w:pPr>
      <w:r>
        <w:rPr>
          <w:b/>
          <w:bCs/>
          <w:noProof/>
          <w:sz w:val="28"/>
          <w:szCs w:val="28"/>
          <w:u w:val="single"/>
        </w:rPr>
        <w:t>Annex IV: Withdrawals</w:t>
      </w:r>
      <w:r>
        <w:rPr>
          <w:rStyle w:val="FootnoteReference"/>
          <w:b/>
          <w:bCs/>
          <w:noProof/>
          <w:sz w:val="28"/>
          <w:szCs w:val="28"/>
          <w:u w:val="single"/>
        </w:rPr>
        <w:footnoteReference w:id="4"/>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trPr>
          <w:cantSplit/>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pPr>
              <w:spacing w:before="60" w:after="60"/>
              <w:rPr>
                <w:b/>
                <w:bCs/>
                <w:noProof/>
                <w:sz w:val="20"/>
              </w:rPr>
            </w:pPr>
            <w:r>
              <w:rPr>
                <w:b/>
                <w:bCs/>
                <w:noProof/>
                <w:sz w:val="20"/>
              </w:rPr>
              <w:t>No.</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References</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Title</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Reasons for withdrawal</w:t>
            </w:r>
          </w:p>
        </w:tc>
      </w:tr>
      <w:tr>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pPr>
              <w:keepNext/>
              <w:spacing w:before="60" w:after="60"/>
              <w:rPr>
                <w:noProof/>
                <w:sz w:val="20"/>
              </w:rPr>
            </w:pPr>
            <w:r>
              <w:rPr>
                <w:b/>
                <w:bCs/>
                <w:noProof/>
                <w:color w:val="FFFFFF" w:themeColor="background1"/>
                <w:sz w:val="20"/>
              </w:rPr>
              <w:t>A European Green Deal</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color w:val="000000"/>
                <w:sz w:val="20"/>
                <w:lang w:val="en-IE"/>
              </w:rPr>
              <w:t>COM(2020)136 final</w:t>
            </w:r>
            <w:r>
              <w:rPr>
                <w:noProof/>
                <w:color w:val="000000"/>
                <w:sz w:val="20"/>
                <w:lang w:val="en-IE"/>
              </w:rPr>
              <w:br/>
              <w:t>2020/0052 (NLE)</w:t>
            </w:r>
          </w:p>
        </w:tc>
        <w:tc>
          <w:tcPr>
            <w:tcW w:w="7836" w:type="dxa"/>
            <w:shd w:val="clear" w:color="auto" w:fill="auto"/>
            <w:tcMar>
              <w:top w:w="85" w:type="dxa"/>
              <w:bottom w:w="85" w:type="dxa"/>
              <w:right w:w="108" w:type="dxa"/>
            </w:tcMar>
          </w:tcPr>
          <w:p>
            <w:pPr>
              <w:spacing w:after="0"/>
              <w:rPr>
                <w:noProof/>
                <w:sz w:val="20"/>
              </w:rPr>
            </w:pPr>
            <w:r>
              <w:rPr>
                <w:noProof/>
                <w:color w:val="000000"/>
                <w:sz w:val="20"/>
                <w:lang w:val="en-IE"/>
              </w:rPr>
              <w:t>Proposal for a COUNCIL DECISION on the position to be taken on behalf of the European Union in the Assembly of the Lisbon Union</w:t>
            </w:r>
          </w:p>
        </w:tc>
        <w:tc>
          <w:tcPr>
            <w:tcW w:w="4413" w:type="dxa"/>
            <w:tcMar>
              <w:top w:w="85" w:type="dxa"/>
              <w:bottom w:w="85" w:type="dxa"/>
              <w:right w:w="108" w:type="dxa"/>
            </w:tcMar>
          </w:tcPr>
          <w:p>
            <w:pPr>
              <w:spacing w:after="0"/>
              <w:rPr>
                <w:noProof/>
                <w:sz w:val="20"/>
              </w:rPr>
            </w:pPr>
            <w:r>
              <w:rPr>
                <w:noProof/>
                <w:sz w:val="20"/>
              </w:rPr>
              <w:t xml:space="preserve">Obsolete: in the context of the Covid-19 crisis, the Assembly of the Lisbon Union will not take any legally binding decision in 2020, including on special contributions, which was the topic of this proposal.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COM(2020)182 final</w:t>
            </w:r>
            <w:r>
              <w:rPr>
                <w:noProof/>
                <w:sz w:val="20"/>
              </w:rPr>
              <w:br/>
              <w:t xml:space="preserve">2020/0072 (NLE) </w:t>
            </w:r>
          </w:p>
        </w:tc>
        <w:tc>
          <w:tcPr>
            <w:tcW w:w="7836" w:type="dxa"/>
            <w:shd w:val="clear" w:color="auto" w:fill="auto"/>
            <w:tcMar>
              <w:top w:w="85" w:type="dxa"/>
              <w:bottom w:w="85" w:type="dxa"/>
              <w:right w:w="108" w:type="dxa"/>
            </w:tcMar>
          </w:tcPr>
          <w:p>
            <w:pPr>
              <w:spacing w:after="0"/>
              <w:rPr>
                <w:noProof/>
                <w:sz w:val="20"/>
              </w:rPr>
            </w:pPr>
            <w:r>
              <w:rPr>
                <w:noProof/>
                <w:sz w:val="20"/>
              </w:rPr>
              <w:t>Proposal for a COUNCIL DECISION on the position to be taken on behalf of the European Union in the Convention for the Protection of the Marine Environment of the North-East Atlantic on the integration of Macaronesia in the OSPAR maritime area</w:t>
            </w:r>
          </w:p>
        </w:tc>
        <w:tc>
          <w:tcPr>
            <w:tcW w:w="4413" w:type="dxa"/>
            <w:tcMar>
              <w:top w:w="85" w:type="dxa"/>
              <w:bottom w:w="85" w:type="dxa"/>
              <w:right w:w="108" w:type="dxa"/>
            </w:tcMar>
          </w:tcPr>
          <w:p>
            <w:pPr>
              <w:spacing w:after="0"/>
              <w:rPr>
                <w:noProof/>
                <w:sz w:val="20"/>
              </w:rPr>
            </w:pPr>
            <w:r>
              <w:rPr>
                <w:noProof/>
                <w:sz w:val="20"/>
              </w:rPr>
              <w:t xml:space="preserve">Obsolete: the Secretariat of the Convention for the Protection of the Marine Environment of the North-East Atlantic (OSPAR) has announced the withdrawal of the proposal for the integration of Macaronesia in the OSPAR maritime area.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COM(2010)154 final</w:t>
            </w:r>
            <w:r>
              <w:rPr>
                <w:noProof/>
                <w:sz w:val="20"/>
              </w:rPr>
              <w:br/>
              <w:t xml:space="preserve">2010/0084 (APP)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Proposal for a Council Decision on the conclusion of the Agreement in the form of an Exchange of Letters between the European Union and the Republic of Chile on the conclusion of the Understanding concerning the conservation of swordfish stocks in the South-Eastern Pacific Ocean</w:t>
            </w:r>
          </w:p>
        </w:tc>
        <w:tc>
          <w:tcPr>
            <w:tcW w:w="4413" w:type="dxa"/>
            <w:tcBorders>
              <w:bottom w:val="single" w:sz="4" w:space="0" w:color="auto"/>
            </w:tcBorders>
            <w:tcMar>
              <w:top w:w="85" w:type="dxa"/>
              <w:bottom w:w="85" w:type="dxa"/>
              <w:right w:w="108" w:type="dxa"/>
            </w:tcMar>
          </w:tcPr>
          <w:p>
            <w:pPr>
              <w:spacing w:after="0"/>
              <w:rPr>
                <w:noProof/>
                <w:sz w:val="20"/>
              </w:rPr>
            </w:pPr>
            <w:r>
              <w:rPr>
                <w:noProof/>
                <w:sz w:val="20"/>
              </w:rPr>
              <w:t>Obsolete: the subject of this proposal has been superseded by the accession of Chile to the United Nations Fish Stock Agreement (UNFSA), the establishment of the South Pacific Regional Fisheries Organisation (SPRFMO) - where both Chile and the EU are Members - and Chile’s cooperating non-contracting party status in the Inter-American Tropical Tuna Convention (IATTC).</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COM(2011)252 final</w:t>
            </w:r>
            <w:r>
              <w:rPr>
                <w:noProof/>
                <w:sz w:val="20"/>
              </w:rPr>
              <w:br/>
              <w:t xml:space="preserve">2011/0109 (NLE)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Proposal for a COUNCIL DECISION on the conclusion of the Agreement on Air Transport between the European Union and its Member States, of the one part, and the Federative Republic of Brazil, of the other part</w:t>
            </w:r>
          </w:p>
        </w:tc>
        <w:tc>
          <w:tcPr>
            <w:tcW w:w="4413" w:type="dxa"/>
            <w:tcBorders>
              <w:bottom w:val="single" w:sz="4" w:space="0" w:color="auto"/>
            </w:tcBorders>
            <w:tcMar>
              <w:top w:w="85" w:type="dxa"/>
              <w:bottom w:w="85" w:type="dxa"/>
              <w:right w:w="108" w:type="dxa"/>
            </w:tcMar>
          </w:tcPr>
          <w:p>
            <w:pPr>
              <w:spacing w:after="0"/>
              <w:rPr>
                <w:noProof/>
                <w:sz w:val="20"/>
              </w:rPr>
            </w:pPr>
            <w:r>
              <w:rPr>
                <w:noProof/>
                <w:sz w:val="20"/>
              </w:rPr>
              <w:t xml:space="preserve">Obsolete: the negotiations at EU-level with Brazil are currently not active anymore.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COM(2008)92 final</w:t>
            </w:r>
            <w:r>
              <w:rPr>
                <w:noProof/>
                <w:sz w:val="20"/>
              </w:rPr>
              <w:br/>
              <w:t>2008/0040 (APP)</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Proposal for a COUNCIL DECISION on the signature and provisional application of the Agreement between the European Community and the Republic of Kazakhstan on certain aspects of air services</w:t>
            </w:r>
          </w:p>
        </w:tc>
        <w:tc>
          <w:tcPr>
            <w:tcW w:w="4413" w:type="dxa"/>
            <w:tcBorders>
              <w:bottom w:val="single" w:sz="4" w:space="0" w:color="auto"/>
            </w:tcBorders>
            <w:tcMar>
              <w:top w:w="85" w:type="dxa"/>
              <w:bottom w:w="85" w:type="dxa"/>
              <w:right w:w="108" w:type="dxa"/>
            </w:tcMar>
          </w:tcPr>
          <w:p>
            <w:pPr>
              <w:spacing w:after="0"/>
              <w:rPr>
                <w:noProof/>
                <w:sz w:val="20"/>
              </w:rPr>
            </w:pPr>
            <w:r>
              <w:rPr>
                <w:noProof/>
                <w:sz w:val="20"/>
              </w:rPr>
              <w:t xml:space="preserve">Obsolete: the negotiations at EU-level with Kazakhstan are currently not active anymore. </w:t>
            </w:r>
          </w:p>
        </w:tc>
      </w:tr>
      <w:tr>
        <w:trPr>
          <w:cantSplit/>
        </w:trPr>
        <w:tc>
          <w:tcPr>
            <w:tcW w:w="14827" w:type="dxa"/>
            <w:gridSpan w:val="4"/>
            <w:shd w:val="clear" w:color="auto" w:fill="18BAA8" w:themeFill="accent2"/>
            <w:tcMar>
              <w:top w:w="85" w:type="dxa"/>
              <w:bottom w:w="85" w:type="dxa"/>
              <w:right w:w="85" w:type="dxa"/>
            </w:tcMar>
          </w:tcPr>
          <w:p>
            <w:pPr>
              <w:keepNext/>
              <w:spacing w:before="60" w:after="60"/>
              <w:rPr>
                <w:noProof/>
                <w:sz w:val="20"/>
              </w:rPr>
            </w:pPr>
            <w:r>
              <w:rPr>
                <w:b/>
                <w:bCs/>
                <w:noProof/>
                <w:color w:val="FFFFFF" w:themeColor="background1"/>
                <w:sz w:val="20"/>
              </w:rPr>
              <w:t>A Europe fit for the Digital Age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COM(2016)823 final</w:t>
            </w:r>
            <w:r>
              <w:rPr>
                <w:noProof/>
                <w:sz w:val="20"/>
              </w:rPr>
              <w:br/>
              <w:t>2016/0402 (COD)</w:t>
            </w:r>
          </w:p>
        </w:tc>
        <w:tc>
          <w:tcPr>
            <w:tcW w:w="7836" w:type="dxa"/>
            <w:shd w:val="clear" w:color="auto" w:fill="auto"/>
            <w:tcMar>
              <w:top w:w="85" w:type="dxa"/>
              <w:bottom w:w="85" w:type="dxa"/>
              <w:right w:w="108" w:type="dxa"/>
            </w:tcMar>
          </w:tcPr>
          <w:p>
            <w:pPr>
              <w:spacing w:after="0"/>
              <w:rPr>
                <w:noProof/>
                <w:sz w:val="20"/>
              </w:rPr>
            </w:pPr>
            <w:r>
              <w:rPr>
                <w:noProof/>
                <w:sz w:val="20"/>
              </w:rPr>
              <w:t>Proposal for a DIRECTIVE OF THE EUROPEAN PARLIAMENT AND OF THE COUNCIL on the legal and operational framework of the European services e-card introduced by Regulation ....[ESC Regulation]....</w:t>
            </w:r>
          </w:p>
        </w:tc>
        <w:tc>
          <w:tcPr>
            <w:tcW w:w="4413" w:type="dxa"/>
            <w:shd w:val="clear" w:color="auto" w:fill="auto"/>
            <w:tcMar>
              <w:top w:w="85" w:type="dxa"/>
              <w:bottom w:w="85" w:type="dxa"/>
              <w:right w:w="108" w:type="dxa"/>
            </w:tcMar>
          </w:tcPr>
          <w:p>
            <w:pPr>
              <w:spacing w:after="0"/>
              <w:rPr>
                <w:noProof/>
                <w:sz w:val="20"/>
              </w:rPr>
            </w:pPr>
            <w:r>
              <w:rPr>
                <w:noProof/>
                <w:sz w:val="20"/>
              </w:rPr>
              <w:t>No foreseeable agreement: no progress has been made by the co-legislators since 2018 and further progress in unlikely.</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COM(2016)824 final</w:t>
            </w:r>
            <w:r>
              <w:rPr>
                <w:noProof/>
                <w:sz w:val="20"/>
              </w:rPr>
              <w:br/>
              <w:t xml:space="preserve">2016/0403 (COD),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Proposal for a REGULATION OF THE EUROPEAN PARLIAMENT AND OF THE COUNCIL introducing a European services e-card and related administrative facilities</w:t>
            </w:r>
          </w:p>
        </w:tc>
        <w:tc>
          <w:tcPr>
            <w:tcW w:w="4413"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No foreseeable agreement: no progress has been made by the co-legislators since 2018 and further progress in unlikely.</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COM(2016)821 final</w:t>
            </w:r>
            <w:r>
              <w:rPr>
                <w:noProof/>
                <w:sz w:val="20"/>
              </w:rPr>
              <w:br/>
              <w:t xml:space="preserve">2016/0398 (COD)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Proposal for a 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w:t>
            </w:r>
          </w:p>
        </w:tc>
        <w:tc>
          <w:tcPr>
            <w:tcW w:w="4413"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 xml:space="preserve">No foreseeable agreement: prospects of finding a compromise without jeopardising the objectives of the proposal are unlikely. The Commission will take measures to ensure the full enforcement of the Services Directive.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COM(2019)441 final</w:t>
            </w:r>
          </w:p>
          <w:p>
            <w:pPr>
              <w:spacing w:after="0"/>
              <w:jc w:val="left"/>
              <w:rPr>
                <w:noProof/>
                <w:sz w:val="20"/>
              </w:rPr>
            </w:pPr>
            <w:r>
              <w:rPr>
                <w:rFonts w:eastAsia="Calibri"/>
                <w:noProof/>
              </w:rPr>
              <w:t>2019/0207 (NLE)</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Proposal for a COUNCIL DECISION on the conclusion,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w:t>
            </w:r>
          </w:p>
        </w:tc>
        <w:tc>
          <w:tcPr>
            <w:tcW w:w="4413"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Obsolete: the Cooperation Agreement on a Civil Global Navigation Satellite System (GNSS) between the European Community and its Member States and Ukraine expired in December 2018.</w:t>
            </w:r>
          </w:p>
        </w:tc>
      </w:tr>
      <w:tr>
        <w:trPr>
          <w:cantSplit/>
        </w:trPr>
        <w:tc>
          <w:tcPr>
            <w:tcW w:w="14827" w:type="dxa"/>
            <w:gridSpan w:val="4"/>
            <w:shd w:val="clear" w:color="auto" w:fill="F68A42" w:themeFill="accent3"/>
            <w:tcMar>
              <w:top w:w="85" w:type="dxa"/>
              <w:bottom w:w="85" w:type="dxa"/>
              <w:right w:w="85" w:type="dxa"/>
            </w:tcMar>
          </w:tcPr>
          <w:p>
            <w:pPr>
              <w:keepNext/>
              <w:spacing w:before="60" w:after="60"/>
              <w:jc w:val="left"/>
              <w:rPr>
                <w:noProof/>
                <w:sz w:val="20"/>
              </w:rPr>
            </w:pPr>
            <w:r>
              <w:rPr>
                <w:b/>
                <w:bCs/>
                <w:noProof/>
                <w:color w:val="FFFFFF" w:themeColor="background1"/>
                <w:sz w:val="20"/>
              </w:rPr>
              <w:t>An Economy that works for People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COM(2019)354 final</w:t>
            </w:r>
            <w:r>
              <w:rPr>
                <w:noProof/>
                <w:sz w:val="20"/>
              </w:rPr>
              <w:br/>
              <w:t>2019/0161 (COD)</w:t>
            </w:r>
          </w:p>
        </w:tc>
        <w:tc>
          <w:tcPr>
            <w:tcW w:w="7836" w:type="dxa"/>
            <w:shd w:val="clear" w:color="auto" w:fill="auto"/>
            <w:tcMar>
              <w:top w:w="85" w:type="dxa"/>
              <w:bottom w:w="85" w:type="dxa"/>
              <w:right w:w="108" w:type="dxa"/>
            </w:tcMar>
          </w:tcPr>
          <w:p>
            <w:pPr>
              <w:spacing w:after="0"/>
              <w:rPr>
                <w:noProof/>
                <w:sz w:val="20"/>
              </w:rPr>
            </w:pPr>
            <w:r>
              <w:rPr>
                <w:noProof/>
                <w:sz w:val="20"/>
              </w:rPr>
              <w:t>Proposal for a REGULATION OF THE EUROPEAN PARLIAMENT AND OF THE COUNCIL on a governance framework for the budgetary instrument for convergence and competitiveness for the euro area</w:t>
            </w:r>
          </w:p>
        </w:tc>
        <w:tc>
          <w:tcPr>
            <w:tcW w:w="4413" w:type="dxa"/>
            <w:tcMar>
              <w:top w:w="85" w:type="dxa"/>
              <w:bottom w:w="85" w:type="dxa"/>
              <w:right w:w="108" w:type="dxa"/>
            </w:tcMar>
          </w:tcPr>
          <w:p>
            <w:pPr>
              <w:spacing w:after="0"/>
              <w:rPr>
                <w:noProof/>
                <w:sz w:val="20"/>
              </w:rPr>
            </w:pPr>
            <w:r>
              <w:rPr>
                <w:noProof/>
                <w:sz w:val="20"/>
              </w:rPr>
              <w:t>Obsolete: the withdrawal of this proposal was announced in the context of the proposal for a Regulation establishing a Recovery and Resilience Facility (COM(2020)408).</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COM(2018)391 final</w:t>
            </w:r>
            <w:r>
              <w:rPr>
                <w:noProof/>
                <w:sz w:val="20"/>
              </w:rPr>
              <w:br/>
              <w:t>2018/0213 (COD)</w:t>
            </w:r>
          </w:p>
        </w:tc>
        <w:tc>
          <w:tcPr>
            <w:tcW w:w="7836" w:type="dxa"/>
            <w:shd w:val="clear" w:color="auto" w:fill="auto"/>
            <w:tcMar>
              <w:top w:w="85" w:type="dxa"/>
              <w:bottom w:w="85" w:type="dxa"/>
              <w:right w:w="108" w:type="dxa"/>
            </w:tcMar>
          </w:tcPr>
          <w:p>
            <w:pPr>
              <w:spacing w:after="0"/>
              <w:rPr>
                <w:noProof/>
                <w:sz w:val="20"/>
              </w:rPr>
            </w:pPr>
            <w:r>
              <w:rPr>
                <w:noProof/>
                <w:sz w:val="20"/>
              </w:rPr>
              <w:t>Proposal for a REGULATION OF THE EUROPEAN PARLIAMENT AND OF THE COUNCIL on the establishment of the Reform Support Programme</w:t>
            </w:r>
          </w:p>
        </w:tc>
        <w:tc>
          <w:tcPr>
            <w:tcW w:w="4413" w:type="dxa"/>
            <w:tcMar>
              <w:top w:w="85" w:type="dxa"/>
              <w:bottom w:w="85" w:type="dxa"/>
              <w:right w:w="108" w:type="dxa"/>
            </w:tcMar>
          </w:tcPr>
          <w:p>
            <w:pPr>
              <w:spacing w:after="0"/>
              <w:rPr>
                <w:noProof/>
                <w:sz w:val="20"/>
              </w:rPr>
            </w:pPr>
            <w:r>
              <w:rPr>
                <w:noProof/>
                <w:sz w:val="20"/>
              </w:rPr>
              <w:t>Obsolete: the withdrawal of this proposal was announced in the context of the proposal for a Regulation establishing a Recovery and Resilience Facility (COM(2020)408).</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COM(2019)399 final</w:t>
            </w:r>
            <w:r>
              <w:rPr>
                <w:noProof/>
                <w:sz w:val="20"/>
              </w:rPr>
              <w:br/>
              <w:t>2019/0183 (COD)</w:t>
            </w:r>
          </w:p>
        </w:tc>
        <w:tc>
          <w:tcPr>
            <w:tcW w:w="7836" w:type="dxa"/>
            <w:shd w:val="clear" w:color="auto" w:fill="auto"/>
            <w:tcMar>
              <w:top w:w="85" w:type="dxa"/>
              <w:bottom w:w="85" w:type="dxa"/>
              <w:right w:w="108" w:type="dxa"/>
            </w:tcMar>
          </w:tcPr>
          <w:p>
            <w:pPr>
              <w:spacing w:after="0"/>
              <w:rPr>
                <w:noProof/>
                <w:sz w:val="20"/>
              </w:rPr>
            </w:pPr>
            <w:r>
              <w:rPr>
                <w:noProof/>
                <w:sz w:val="20"/>
              </w:rPr>
              <w:t>Proposal for a REGULATION OF THE EUROPEAN PARLIAMENT AND OF THE COUNCIL amending Council Regulation (EC) No 2012/2002 in order to provide financial assistance to Member States to cover serious financial burden inflicted on them following a withdrawal of the United Kingdom from the Union without an agreement</w:t>
            </w:r>
          </w:p>
        </w:tc>
        <w:tc>
          <w:tcPr>
            <w:tcW w:w="4413" w:type="dxa"/>
            <w:tcMar>
              <w:top w:w="85" w:type="dxa"/>
              <w:bottom w:w="85" w:type="dxa"/>
              <w:right w:w="108" w:type="dxa"/>
            </w:tcMar>
          </w:tcPr>
          <w:p>
            <w:pPr>
              <w:spacing w:after="0"/>
              <w:rPr>
                <w:noProof/>
                <w:sz w:val="20"/>
              </w:rPr>
            </w:pPr>
            <w:r>
              <w:rPr>
                <w:noProof/>
                <w:sz w:val="20"/>
              </w:rPr>
              <w:t xml:space="preserve">Obsolete: the proposal was originally tabled as a contingency measure in case of a no-deal Brexit and now obsolete in view of the Withdrawal Agreement concluded. </w:t>
            </w:r>
          </w:p>
        </w:tc>
      </w:tr>
      <w:tr>
        <w:trPr>
          <w:cantSplit/>
        </w:trPr>
        <w:tc>
          <w:tcPr>
            <w:tcW w:w="14827" w:type="dxa"/>
            <w:gridSpan w:val="4"/>
            <w:tcBorders>
              <w:bottom w:val="single" w:sz="4" w:space="0" w:color="auto"/>
            </w:tcBorders>
            <w:shd w:val="clear" w:color="auto" w:fill="DA5C57" w:themeFill="accent6"/>
          </w:tcPr>
          <w:p>
            <w:pPr>
              <w:keepNext/>
              <w:spacing w:before="60" w:after="60"/>
              <w:rPr>
                <w:b/>
                <w:bCs/>
                <w:noProof/>
                <w:sz w:val="20"/>
              </w:rPr>
            </w:pPr>
            <w:r>
              <w:rPr>
                <w:b/>
                <w:bCs/>
                <w:noProof/>
                <w:color w:val="FFFFFF" w:themeColor="background1"/>
                <w:sz w:val="20"/>
              </w:rPr>
              <w:t>Promoting our European Way of Life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COM(2016)270 final</w:t>
            </w:r>
            <w:r>
              <w:rPr>
                <w:noProof/>
                <w:sz w:val="20"/>
              </w:rPr>
              <w:br/>
              <w:t>2016/0133 (COD)</w:t>
            </w:r>
          </w:p>
        </w:tc>
        <w:tc>
          <w:tcPr>
            <w:tcW w:w="7836" w:type="dxa"/>
            <w:shd w:val="clear" w:color="auto" w:fill="auto"/>
            <w:tcMar>
              <w:top w:w="85" w:type="dxa"/>
              <w:bottom w:w="85" w:type="dxa"/>
              <w:right w:w="108" w:type="dxa"/>
            </w:tcMar>
          </w:tcPr>
          <w:p>
            <w:pPr>
              <w:spacing w:after="0"/>
              <w:rPr>
                <w:noProof/>
                <w:sz w:val="20"/>
              </w:rPr>
            </w:pPr>
            <w:r>
              <w:rPr>
                <w:noProof/>
                <w:sz w:val="20"/>
              </w:rPr>
              <w:t>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w:t>
            </w:r>
          </w:p>
        </w:tc>
        <w:tc>
          <w:tcPr>
            <w:tcW w:w="4413" w:type="dxa"/>
            <w:tcMar>
              <w:top w:w="85" w:type="dxa"/>
              <w:bottom w:w="85" w:type="dxa"/>
              <w:right w:w="108" w:type="dxa"/>
            </w:tcMar>
          </w:tcPr>
          <w:p>
            <w:pPr>
              <w:spacing w:after="0"/>
              <w:rPr>
                <w:noProof/>
                <w:sz w:val="20"/>
              </w:rPr>
            </w:pPr>
            <w:r>
              <w:rPr>
                <w:noProof/>
                <w:sz w:val="20"/>
              </w:rPr>
              <w:t>Obsolete: a new proposal for a Regulation on asylum and migration management (COM(2020)610) has been tabled in the context of the New Pact for Asylum and Migration. It includes, among others, aspects covered by this 2016 proposal.</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COM(2015)450 final</w:t>
            </w:r>
            <w:r>
              <w:rPr>
                <w:noProof/>
                <w:sz w:val="20"/>
              </w:rPr>
              <w:br/>
              <w:t>2015/0208 (COD)</w:t>
            </w:r>
          </w:p>
        </w:tc>
        <w:tc>
          <w:tcPr>
            <w:tcW w:w="7836" w:type="dxa"/>
            <w:shd w:val="clear" w:color="auto" w:fill="auto"/>
            <w:tcMar>
              <w:top w:w="85" w:type="dxa"/>
              <w:bottom w:w="85" w:type="dxa"/>
              <w:right w:w="108" w:type="dxa"/>
            </w:tcMar>
          </w:tcPr>
          <w:p>
            <w:pPr>
              <w:spacing w:after="0"/>
              <w:rPr>
                <w:noProof/>
                <w:sz w:val="20"/>
              </w:rPr>
            </w:pPr>
            <w:r>
              <w:rPr>
                <w:noProof/>
                <w:sz w:val="20"/>
              </w:rPr>
              <w: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w:t>
            </w:r>
          </w:p>
        </w:tc>
        <w:tc>
          <w:tcPr>
            <w:tcW w:w="4413" w:type="dxa"/>
            <w:tcMar>
              <w:top w:w="85" w:type="dxa"/>
              <w:bottom w:w="85" w:type="dxa"/>
              <w:right w:w="108" w:type="dxa"/>
            </w:tcMar>
          </w:tcPr>
          <w:p>
            <w:pPr>
              <w:spacing w:after="0"/>
              <w:rPr>
                <w:noProof/>
                <w:sz w:val="20"/>
              </w:rPr>
            </w:pPr>
            <w:r>
              <w:rPr>
                <w:noProof/>
                <w:sz w:val="20"/>
              </w:rPr>
              <w:t>Obsolete: a new proposal for a Regulation on situations of crisis and force majeure in the field of migration and asylum (COM(2020)613) has been tabled in the context of the New Pact for Asylum and Migration. It includes, among others, aspects covered by this 2016 proposal.</w:t>
            </w:r>
          </w:p>
        </w:tc>
      </w:tr>
    </w:tbl>
    <w:p>
      <w:pPr>
        <w:spacing w:after="0"/>
        <w:jc w:val="center"/>
        <w:rPr>
          <w:noProof/>
          <w:sz w:val="20"/>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spacing w:before="0"/>
      <w:jc w:val="right"/>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22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In this annex, the Commission provides further information, as far as available, on the initiatives included in its Work Programme, in line with the Interinstitutional Agreement on Better Law-making. This information, which is provided in brackets next to each initiative, is indicative only and subject to change during the preparatory process, notably in view of the outcome of an impact assessment process.</w:t>
      </w:r>
    </w:p>
  </w:footnote>
  <w:footnote w:id="3">
    <w:p>
      <w:pPr>
        <w:pStyle w:val="FootnoteText"/>
      </w:pPr>
      <w:r>
        <w:rPr>
          <w:rStyle w:val="FootnoteReference"/>
        </w:rPr>
        <w:footnoteRef/>
      </w:r>
      <w:r>
        <w:tab/>
        <w:t xml:space="preserve">This annex sets out the most significant REFIT revisions, evaluations and fitness checks the Commission will undertake in 2021. </w:t>
      </w:r>
    </w:p>
  </w:footnote>
  <w:footnote w:id="4">
    <w:p>
      <w:pPr>
        <w:pStyle w:val="FootnoteText"/>
      </w:pPr>
      <w:r>
        <w:rPr>
          <w:rStyle w:val="FootnoteReference"/>
        </w:rPr>
        <w:footnoteRef/>
      </w:r>
      <w:r>
        <w:tab/>
        <w:t xml:space="preserve">This list includes pending legislative proposals, which the Commission intends to withdraw within six months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7B5"/>
    <w:multiLevelType w:val="hybridMultilevel"/>
    <w:tmpl w:val="6AF6D6C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052AA9"/>
    <w:multiLevelType w:val="hybridMultilevel"/>
    <w:tmpl w:val="777667AA"/>
    <w:lvl w:ilvl="0" w:tplc="5026412C">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9D369E"/>
    <w:multiLevelType w:val="hybridMultilevel"/>
    <w:tmpl w:val="F3801CE6"/>
    <w:lvl w:ilvl="0" w:tplc="E1AE6520">
      <w:start w:val="1"/>
      <w:numFmt w:val="decimal"/>
      <w:lvlText w:val="%1."/>
      <w:lvlJc w:val="left"/>
      <w:pPr>
        <w:ind w:left="360" w:hanging="360"/>
      </w:pPr>
      <w:rPr>
        <w:rFonts w:ascii="Times New Roman" w:hAnsi="Times New Roman" w:cs="Times New Roman"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8">
    <w:nsid w:val="151E49EC"/>
    <w:multiLevelType w:val="hybridMultilevel"/>
    <w:tmpl w:val="4FD6290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67F2EDE"/>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1D8E0F3D"/>
    <w:multiLevelType w:val="hybridMultilevel"/>
    <w:tmpl w:val="35E87F90"/>
    <w:lvl w:ilvl="0" w:tplc="5CF0E38A">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D917A61"/>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D967AF"/>
    <w:multiLevelType w:val="hybridMultilevel"/>
    <w:tmpl w:val="8CE801B2"/>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18073F7"/>
    <w:multiLevelType w:val="hybridMultilevel"/>
    <w:tmpl w:val="F12230FE"/>
    <w:lvl w:ilvl="0" w:tplc="0AF49B90">
      <w:start w:val="1"/>
      <w:numFmt w:val="lowerRoman"/>
      <w:lvlText w:val="(%1)"/>
      <w:lvlJc w:val="left"/>
      <w:pPr>
        <w:ind w:left="1080" w:hanging="720"/>
      </w:pPr>
      <w:rPr>
        <w:rFonts w:ascii="Times New Roman" w:eastAsia="Calibr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641333D"/>
    <w:multiLevelType w:val="hybridMultilevel"/>
    <w:tmpl w:val="CDB2D1F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27367B23"/>
    <w:multiLevelType w:val="hybridMultilevel"/>
    <w:tmpl w:val="07A23A3C"/>
    <w:lvl w:ilvl="0" w:tplc="65AAA550">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285A2D5D"/>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DB70664"/>
    <w:multiLevelType w:val="hybridMultilevel"/>
    <w:tmpl w:val="CB12E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F5F0B7F"/>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7C7314"/>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9333E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CB07DF"/>
    <w:multiLevelType w:val="hybridMultilevel"/>
    <w:tmpl w:val="8E9A3A96"/>
    <w:lvl w:ilvl="0" w:tplc="D9E6EE58">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319D1618"/>
    <w:multiLevelType w:val="hybridMultilevel"/>
    <w:tmpl w:val="AA3894B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332A1388"/>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4112B49"/>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5500E81"/>
    <w:multiLevelType w:val="hybridMultilevel"/>
    <w:tmpl w:val="F344079C"/>
    <w:lvl w:ilvl="0" w:tplc="6C183AC6">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355132FF"/>
    <w:multiLevelType w:val="hybridMultilevel"/>
    <w:tmpl w:val="8CE801B2"/>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5717D52"/>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57B7E92"/>
    <w:multiLevelType w:val="hybridMultilevel"/>
    <w:tmpl w:val="95767378"/>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6">
    <w:nsid w:val="3C071D9A"/>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8">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33B73D4"/>
    <w:multiLevelType w:val="hybridMultilevel"/>
    <w:tmpl w:val="8BB8B68C"/>
    <w:lvl w:ilvl="0" w:tplc="BA4A1B08">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43D74DFA"/>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7302FF9"/>
    <w:multiLevelType w:val="hybridMultilevel"/>
    <w:tmpl w:val="19EE161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486C143F"/>
    <w:multiLevelType w:val="hybridMultilevel"/>
    <w:tmpl w:val="17546D64"/>
    <w:lvl w:ilvl="0" w:tplc="AB487E34">
      <w:start w:val="1"/>
      <w:numFmt w:val="decimal"/>
      <w:suff w:val="nothing"/>
      <w:lvlText w:val="%1."/>
      <w:lvlJc w:val="left"/>
      <w:pPr>
        <w:ind w:left="0" w:firstLine="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494F2565"/>
    <w:multiLevelType w:val="hybridMultilevel"/>
    <w:tmpl w:val="7C2C2EB2"/>
    <w:lvl w:ilvl="0" w:tplc="BABC3342">
      <w:start w:val="1"/>
      <w:numFmt w:val="lowerLetter"/>
      <w:lvlText w:val="%1)"/>
      <w:lvlJc w:val="lef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4B216C71"/>
    <w:multiLevelType w:val="hybridMultilevel"/>
    <w:tmpl w:val="C8C6D76A"/>
    <w:lvl w:ilvl="0" w:tplc="BCCC5AA4">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4C0B00CE"/>
    <w:multiLevelType w:val="hybridMultilevel"/>
    <w:tmpl w:val="B0041B3E"/>
    <w:lvl w:ilvl="0" w:tplc="64765E68">
      <w:start w:val="1"/>
      <w:numFmt w:val="lowerLetter"/>
      <w:lvlText w:val="%1)"/>
      <w:lvlJc w:val="left"/>
      <w:pPr>
        <w:ind w:left="720" w:hanging="360"/>
      </w:pPr>
      <w:rPr>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7">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51B3A35"/>
    <w:multiLevelType w:val="hybridMultilevel"/>
    <w:tmpl w:val="81483B7E"/>
    <w:lvl w:ilvl="0" w:tplc="D340BC66">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nsid w:val="561417E6"/>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8D95450"/>
    <w:multiLevelType w:val="hybridMultilevel"/>
    <w:tmpl w:val="D8303B1A"/>
    <w:lvl w:ilvl="0" w:tplc="E876B9C4">
      <w:start w:val="1"/>
      <w:numFmt w:val="decimal"/>
      <w:lvlText w:val="%1."/>
      <w:lvlJc w:val="left"/>
      <w:pPr>
        <w:ind w:left="360" w:hanging="360"/>
      </w:pPr>
      <w:rPr>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EDE2F03"/>
    <w:multiLevelType w:val="hybridMultilevel"/>
    <w:tmpl w:val="D10C71D4"/>
    <w:lvl w:ilvl="0" w:tplc="740EACCA">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nsid w:val="62274100"/>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55067FD"/>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F35214B"/>
    <w:multiLevelType w:val="hybridMultilevel"/>
    <w:tmpl w:val="68E46B96"/>
    <w:lvl w:ilvl="0" w:tplc="E7B8FBE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0FF4691"/>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4F8286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885625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BBE7DC6"/>
    <w:multiLevelType w:val="hybridMultilevel"/>
    <w:tmpl w:val="E0A8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EC17B36"/>
    <w:multiLevelType w:val="hybridMultilevel"/>
    <w:tmpl w:val="E0A6D648"/>
    <w:lvl w:ilvl="0" w:tplc="B07403B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0"/>
  </w:num>
  <w:num w:numId="2">
    <w:abstractNumId w:val="37"/>
  </w:num>
  <w:num w:numId="3">
    <w:abstractNumId w:val="35"/>
  </w:num>
  <w:num w:numId="4">
    <w:abstractNumId w:val="19"/>
  </w:num>
  <w:num w:numId="5">
    <w:abstractNumId w:val="7"/>
  </w:num>
  <w:num w:numId="6">
    <w:abstractNumId w:val="6"/>
  </w:num>
  <w:num w:numId="7">
    <w:abstractNumId w:val="46"/>
  </w:num>
  <w:num w:numId="8">
    <w:abstractNumId w:val="34"/>
  </w:num>
  <w:num w:numId="9">
    <w:abstractNumId w:val="11"/>
  </w:num>
  <w:num w:numId="10">
    <w:abstractNumId w:val="33"/>
  </w:num>
  <w:num w:numId="11">
    <w:abstractNumId w:val="2"/>
  </w:num>
  <w:num w:numId="12">
    <w:abstractNumId w:val="5"/>
  </w:num>
  <w:num w:numId="13">
    <w:abstractNumId w:val="38"/>
  </w:num>
  <w:num w:numId="14">
    <w:abstractNumId w:val="10"/>
  </w:num>
  <w:num w:numId="15">
    <w:abstractNumId w:val="3"/>
  </w:num>
  <w:num w:numId="16">
    <w:abstractNumId w:val="54"/>
  </w:num>
  <w:num w:numId="17">
    <w:abstractNumId w:val="20"/>
  </w:num>
  <w:num w:numId="18">
    <w:abstractNumId w:val="55"/>
  </w:num>
  <w:num w:numId="19">
    <w:abstractNumId w:val="59"/>
  </w:num>
  <w:num w:numId="20">
    <w:abstractNumId w:val="32"/>
  </w:num>
  <w:num w:numId="21">
    <w:abstractNumId w:val="47"/>
  </w:num>
  <w:num w:numId="22">
    <w:abstractNumId w:val="42"/>
  </w:num>
  <w:num w:numId="23">
    <w:abstractNumId w:val="4"/>
  </w:num>
  <w:num w:numId="24">
    <w:abstractNumId w:val="21"/>
  </w:num>
  <w:num w:numId="25">
    <w:abstractNumId w:val="43"/>
  </w:num>
  <w:num w:numId="26">
    <w:abstractNumId w:val="25"/>
  </w:num>
  <w:num w:numId="27">
    <w:abstractNumId w:val="29"/>
  </w:num>
  <w:num w:numId="28">
    <w:abstractNumId w:val="44"/>
  </w:num>
  <w:num w:numId="29">
    <w:abstractNumId w:val="48"/>
  </w:num>
  <w:num w:numId="30">
    <w:abstractNumId w:val="41"/>
  </w:num>
  <w:num w:numId="31">
    <w:abstractNumId w:val="1"/>
  </w:num>
  <w:num w:numId="32">
    <w:abstractNumId w:val="17"/>
  </w:num>
  <w:num w:numId="33">
    <w:abstractNumId w:val="12"/>
  </w:num>
  <w:num w:numId="34">
    <w:abstractNumId w:val="51"/>
  </w:num>
  <w:num w:numId="35">
    <w:abstractNumId w:val="39"/>
  </w:num>
  <w:num w:numId="36">
    <w:abstractNumId w:val="45"/>
  </w:num>
  <w:num w:numId="37">
    <w:abstractNumId w:val="8"/>
  </w:num>
  <w:num w:numId="38">
    <w:abstractNumId w:val="16"/>
  </w:num>
  <w:num w:numId="39">
    <w:abstractNumId w:val="0"/>
  </w:num>
  <w:num w:numId="40">
    <w:abstractNumId w:val="26"/>
  </w:num>
  <w:num w:numId="41">
    <w:abstractNumId w:val="22"/>
  </w:num>
  <w:num w:numId="42">
    <w:abstractNumId w:val="61"/>
  </w:num>
  <w:num w:numId="43">
    <w:abstractNumId w:val="3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3"/>
  </w:num>
  <w:num w:numId="47">
    <w:abstractNumId w:val="28"/>
  </w:num>
  <w:num w:numId="48">
    <w:abstractNumId w:val="27"/>
  </w:num>
  <w:num w:numId="49">
    <w:abstractNumId w:val="14"/>
  </w:num>
  <w:num w:numId="50">
    <w:abstractNumId w:val="30"/>
  </w:num>
  <w:num w:numId="51">
    <w:abstractNumId w:val="9"/>
  </w:num>
  <w:num w:numId="52">
    <w:abstractNumId w:val="24"/>
  </w:num>
  <w:num w:numId="53">
    <w:abstractNumId w:val="52"/>
  </w:num>
  <w:num w:numId="54">
    <w:abstractNumId w:val="53"/>
  </w:num>
  <w:num w:numId="55">
    <w:abstractNumId w:val="18"/>
  </w:num>
  <w:num w:numId="56">
    <w:abstractNumId w:val="40"/>
  </w:num>
  <w:num w:numId="57">
    <w:abstractNumId w:val="58"/>
  </w:num>
  <w:num w:numId="58">
    <w:abstractNumId w:val="31"/>
  </w:num>
  <w:num w:numId="59">
    <w:abstractNumId w:val="57"/>
  </w:num>
  <w:num w:numId="60">
    <w:abstractNumId w:val="13"/>
  </w:num>
  <w:num w:numId="61">
    <w:abstractNumId w:val="56"/>
  </w:num>
  <w:num w:numId="62">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13501C53-9953-43FA-9EF7-C9ACD727CD4A"/>
    <w:docVar w:name="LW_COVERPAGE_TYPE" w:val="1"/>
    <w:docVar w:name="LW_CROSSREFERENCE" w:val="&lt;UNUSED&gt;"/>
    <w:docVar w:name="LW_DocType" w:val="EUROLOOK"/>
    <w:docVar w:name="LW_EMISSION" w:val="19.10.2020"/>
    <w:docVar w:name="LW_EMISSION_ISODATE" w:val="2020-10-1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Commission Work Programme 2021_x000d__x000d__x000d__x000d__x000d__x000d__x000d__x000d__x000d__x000b__x000d__x000d__x000d__x000d__x000d__x000d__x000d__x000d__x000d__x000d__x000d__x000d__x000d__x000b__x000d__x000d__x000d__x000d__x000d__x000d__x000d__x000d__x000d__x000d__x000d__x000d__x000d__x000b_&lt;FMT:Bold&gt;A Union of vitality in a world of fragility&lt;/FMT&gt;_x000d__x000d__x000d__x000d__x000d__x000d__x000b__x000d__x000d__x000d__x000d__x000d__x000d_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0)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basedOn w:val="DefaultParagraphFont"/>
    <w:link w:val="FootnoteText"/>
    <w:semiHidden/>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basedOn w:val="DefaultParagraphFont"/>
    <w:link w:val="FootnoteText"/>
    <w:semiHidden/>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1290">
      <w:bodyDiv w:val="1"/>
      <w:marLeft w:val="0"/>
      <w:marRight w:val="0"/>
      <w:marTop w:val="0"/>
      <w:marBottom w:val="0"/>
      <w:divBdr>
        <w:top w:val="none" w:sz="0" w:space="0" w:color="auto"/>
        <w:left w:val="none" w:sz="0" w:space="0" w:color="auto"/>
        <w:bottom w:val="none" w:sz="0" w:space="0" w:color="auto"/>
        <w:right w:val="none" w:sz="0" w:space="0" w:color="auto"/>
      </w:divBdr>
    </w:div>
    <w:div w:id="470294323">
      <w:bodyDiv w:val="1"/>
      <w:marLeft w:val="0"/>
      <w:marRight w:val="0"/>
      <w:marTop w:val="0"/>
      <w:marBottom w:val="0"/>
      <w:divBdr>
        <w:top w:val="none" w:sz="0" w:space="0" w:color="auto"/>
        <w:left w:val="none" w:sz="0" w:space="0" w:color="auto"/>
        <w:bottom w:val="none" w:sz="0" w:space="0" w:color="auto"/>
        <w:right w:val="none" w:sz="0" w:space="0" w:color="auto"/>
      </w:divBdr>
    </w:div>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1766069407">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F8647E9148679489C08DFB96BDB6683" ma:contentTypeVersion="0" ma:contentTypeDescription="Create a new document in this library." ma:contentTypeScope="" ma:versionID="e5e0310dc89cda28f9b2243fee64c37a">
  <xsd:schema xmlns:xsd="http://www.w3.org/2001/XMLSchema" xmlns:xs="http://www.w3.org/2001/XMLSchema" xmlns:p="http://schemas.microsoft.com/office/2006/metadata/properties" xmlns:ns2="http://schemas.microsoft.com/sharepoint/v3/fields" xmlns:ns3="e56fd78c-c7c8-4bfb-a8bc-c276a0f72d9b" targetNamespace="http://schemas.microsoft.com/office/2006/metadata/properties" ma:root="true" ma:fieldsID="ba038ae6dcbbedaf69b50cf88c970fa2" ns2:_="" ns3:_="">
    <xsd:import namespace="http://schemas.microsoft.com/sharepoint/v3/fields"/>
    <xsd:import namespace="e56fd78c-c7c8-4bfb-a8bc-c276a0f72d9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fd78c-c7c8-4bfb-a8bc-c276a0f72d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
  <Created>
    <Version>10.0.37611.0</Version>
    <Date>2018-10-23T14:12:56</Date>
    <Language>EN</Language>
  </Created>
  <Edited>
    <Version>10.0.41212.0</Version>
    <Date>2020-10-19T12:33:04</Date>
  </Edited>
  <DocumentModel>
    <Id>6cbda13a-4db2-46c6-876a-ef72275827ef</Id>
    <Name>Report</Name>
  </DocumentModel>
  <DocumentDate>2018-10-23T14:12:56</DocumentDate>
  <DocumentVersion>0.1</DocumentVersion>
  <CompatibilityMode>Eurolook10</CompatibilityMode>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EC_Collab_Reference xmlns="e56fd78c-c7c8-4bfb-a8bc-c276a0f72d9b" xsi:nil="true"/>
    <EC_Collab_Status xmlns="e56fd78c-c7c8-4bfb-a8bc-c276a0f72d9b">Not Started</EC_Collab_Status>
    <_Status xmlns="http://schemas.microsoft.com/sharepoint/v3/fields">Not Started</_Status>
    <EC_Collab_DocumentLanguage xmlns="e56fd78c-c7c8-4bfb-a8bc-c276a0f72d9b">EN</EC_Collab_DocumentLanguag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9252D5-4B58-4FAE-8400-0253905B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6fd78c-c7c8-4bfb-a8bc-c276a0f7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6FD66C9F-6C9C-41F4-B758-65FCCB620340}">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56fd78c-c7c8-4bfb-a8bc-c276a0f72d9b"/>
    <ds:schemaRef ds:uri="http://www.w3.org/XML/1998/namespace"/>
    <ds:schemaRef ds:uri="http://purl.org/dc/dcmitype/"/>
  </ds:schemaRefs>
</ds:datastoreItem>
</file>

<file path=customXml/itemProps6.xml><?xml version="1.0" encoding="utf-8"?>
<ds:datastoreItem xmlns:ds="http://schemas.openxmlformats.org/officeDocument/2006/customXml" ds:itemID="{6BA8EE44-009E-4BD8-9B8D-4451FCE44476}">
  <ds:schemaRefs>
    <ds:schemaRef ds:uri="http://schemas.microsoft.com/sharepoint/v3/contenttype/forms"/>
  </ds:schemaRefs>
</ds:datastoreItem>
</file>

<file path=customXml/itemProps7.xml><?xml version="1.0" encoding="utf-8"?>
<ds:datastoreItem xmlns:ds="http://schemas.openxmlformats.org/officeDocument/2006/customXml" ds:itemID="{EB34DA37-645E-465B-B03F-D20EBC90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9993</Words>
  <Characters>57665</Characters>
  <Application>Microsoft Office Word</Application>
  <DocSecurity>0</DocSecurity>
  <PresentationFormat>Microsoft Word 14.0</PresentationFormat>
  <Lines>1226</Lines>
  <Paragraphs>697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2020-10-19T10:32:00Z</dcterms:created>
  <dcterms:modified xsi:type="dcterms:W3CDTF">2020-10-19T13:03:00Z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4</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PTemplateID">
    <vt:lpwstr>CP-039</vt:lpwstr>
  </property>
  <property fmtid="{D5CDD505-2E9C-101B-9397-08002B2CF9AE}" pid="11" name="_LW_INVALIDATED__LW_INVALIDATED_ContentTypeId">
    <vt:lpwstr>0x010100258AA79CEB83498886A3A08681123250005F8647E9148679489C08DFB96BDB6683</vt:lpwstr>
  </property>
</Properties>
</file>