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C03D407-7FF3-499F-B727-394FDB508003" style="width:450.75pt;height:425.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DÉCISION Nº […/2020] DU COMITÉ MIXTE DE COOPÉRATION DOUANIÈRE CANADA-UNION EUROPÉENNE RELATIVE À LA RECONNAISSANCE MUTUELLE DU PROGRAMME PARTENAIRES EN PROTECTION DU CANADA ET DU PROGRAMME RELATIF AUX OPÉRATEURS ÉCONOMIQUES AGRÉÉS DE L’UNION EUROPÉENNE</w:t>
      </w:r>
    </w:p>
    <w:p>
      <w:pPr>
        <w:rPr>
          <w:noProof/>
        </w:rPr>
      </w:pPr>
      <w:r>
        <w:rPr>
          <w:noProof/>
        </w:rPr>
        <w:t>LE COMITÉ MIXTE DE COOPÉRATION DOUANIÈRE (ci-après le «CMCD»),</w:t>
      </w:r>
    </w:p>
    <w:p>
      <w:pPr>
        <w:spacing w:after="0"/>
        <w:rPr>
          <w:rFonts w:eastAsia="Times New Roman"/>
          <w:noProof/>
          <w:szCs w:val="24"/>
        </w:rPr>
      </w:pPr>
      <w:r>
        <w:rPr>
          <w:noProof/>
        </w:rPr>
        <w:t>vu l’</w:t>
      </w:r>
      <w:r>
        <w:rPr>
          <w:i/>
          <w:noProof/>
        </w:rPr>
        <w:t>Accord entre la Communauté européenne et le Canada sur la coopération douanière et l’assistance mutuelle en matière douanière</w:t>
      </w:r>
      <w:r>
        <w:rPr>
          <w:noProof/>
        </w:rPr>
        <w:t>, fait à Ottawa le 4 décembre 1997 (ci-après l’«AAMD»), et notamment son article 20 qui institue le CMCD, composé de représentants des autorités douanières des parties contractantes à l’AAMD,</w:t>
      </w:r>
    </w:p>
    <w:p>
      <w:pPr>
        <w:spacing w:after="0"/>
        <w:rPr>
          <w:rFonts w:eastAsia="Times New Roman"/>
          <w:noProof/>
          <w:szCs w:val="24"/>
        </w:rPr>
      </w:pPr>
      <w:r>
        <w:rPr>
          <w:noProof/>
        </w:rPr>
        <w:t>vu l’</w:t>
      </w:r>
      <w:r>
        <w:rPr>
          <w:i/>
          <w:noProof/>
        </w:rPr>
        <w:t>Accord entre l’Union européenne et le Canada sur la coopération douanière concernant les questions liées à la sécurité de la chaîne d’approvisionnement</w:t>
      </w:r>
      <w:r>
        <w:rPr>
          <w:noProof/>
        </w:rPr>
        <w:t>, fait à Bruxelles le 4 mars 2013 (ci-après l’«ASCA»), et notamment son article 5 et les dispositions concernant la reconnaissance mutuelle de programmes portant sur la sécurité de la chaîne d’approvisionnement et les échanges de renseignements et de données y relatifs prévus par l’article 4, points c), d) et f),</w:t>
      </w:r>
    </w:p>
    <w:p>
      <w:pPr>
        <w:spacing w:after="0"/>
        <w:rPr>
          <w:rFonts w:eastAsia="Times New Roman"/>
          <w:noProof/>
          <w:szCs w:val="24"/>
        </w:rPr>
      </w:pPr>
      <w:r>
        <w:rPr>
          <w:noProof/>
        </w:rPr>
        <w:t>reconnaissant que l’Union européenne (ci-après l’«UE») et le Canada (les «parties contractantes») sont déterminés à renforcer leur coopération douanière conformément à l’AAMD et à l’ASCA,</w:t>
      </w:r>
    </w:p>
    <w:p>
      <w:pPr>
        <w:spacing w:after="0"/>
        <w:rPr>
          <w:rFonts w:eastAsia="Times New Roman"/>
          <w:noProof/>
          <w:szCs w:val="24"/>
        </w:rPr>
      </w:pPr>
      <w:r>
        <w:rPr>
          <w:noProof/>
        </w:rPr>
        <w:t>affirmant l’engagement des parties contractantes à faciliter les échanges commerciaux et à accroître la sécurité de la chaîne d’approvisionnement au moyen de programmes de partenariat dans le domaine du commerce,</w:t>
      </w:r>
    </w:p>
    <w:p>
      <w:pPr>
        <w:spacing w:after="0"/>
        <w:rPr>
          <w:rFonts w:eastAsia="Times New Roman"/>
          <w:noProof/>
          <w:szCs w:val="24"/>
        </w:rPr>
      </w:pPr>
      <w:r>
        <w:rPr>
          <w:noProof/>
        </w:rPr>
        <w:t>affirmant que la sécurité et la sûreté, de même que la facilitation de la chaîne d’approvisionnement du commerce international, peuvent être considérablement améliorées par la reconnaissance mutuelle des programmes respectifs de partenariat dans le domaine commercial, à savoir le programme Partenaires en protection («PEP») au Canada et le programme relatif aux opérateurs économiques agréés («OEA») dans l’UE,</w:t>
      </w:r>
    </w:p>
    <w:p>
      <w:pPr>
        <w:spacing w:after="0"/>
        <w:rPr>
          <w:rFonts w:eastAsia="Times New Roman"/>
          <w:noProof/>
          <w:szCs w:val="24"/>
        </w:rPr>
      </w:pPr>
      <w:r>
        <w:rPr>
          <w:noProof/>
        </w:rPr>
        <w:t>affirmant que le programme relatif aux OEA et le programme PEP se fondent sur des normes de sécurité reconnues au niveau international et recommandées par le Cadre de normes SAFE visant à sécuriser et à faciliter le commerce mondial, adopté par l’Organisation mondiale des douanes en juin 2005,</w:t>
      </w:r>
    </w:p>
    <w:p>
      <w:pPr>
        <w:spacing w:after="0"/>
        <w:rPr>
          <w:rFonts w:eastAsia="Times New Roman"/>
          <w:noProof/>
          <w:szCs w:val="24"/>
        </w:rPr>
      </w:pPr>
      <w:r>
        <w:rPr>
          <w:noProof/>
        </w:rPr>
        <w:t>considérant que des visites sur place et une évaluation commune du programme relatif aux OEA dans l’UE et du programme PEP au Canada ont permis de conclure que leurs normes de qualification à des fins de sécurité et de sûreté étaient compatibles et conduisaient à des résultats équivalents,</w:t>
      </w:r>
    </w:p>
    <w:p>
      <w:pPr>
        <w:spacing w:after="0"/>
        <w:rPr>
          <w:rFonts w:eastAsia="Times New Roman"/>
          <w:noProof/>
          <w:szCs w:val="24"/>
        </w:rPr>
      </w:pPr>
      <w:r>
        <w:rPr>
          <w:noProof/>
        </w:rPr>
        <w:t xml:space="preserve">considérant que la reconnaissance mutuelle permet aux parties contractantes d’accorder des avantages de facilitation aux opérateurs économiques qui ont investi dans la sécurité de la chaîne d’approvisionnement et ont été agréés dans le cadre de leurs programmes respectifs, </w:t>
      </w:r>
    </w:p>
    <w:p>
      <w:pPr>
        <w:spacing w:after="0"/>
        <w:rPr>
          <w:rFonts w:eastAsia="Times New Roman"/>
          <w:noProof/>
          <w:szCs w:val="24"/>
        </w:rPr>
      </w:pPr>
      <w:r>
        <w:rPr>
          <w:noProof/>
        </w:rPr>
        <w:t>DÉCIDE CE QUI SUIT:</w:t>
      </w:r>
    </w:p>
    <w:p>
      <w:pPr>
        <w:spacing w:after="0"/>
        <w:rPr>
          <w:rFonts w:eastAsia="Times New Roman"/>
          <w:b/>
          <w:i/>
          <w:noProof/>
          <w:szCs w:val="24"/>
        </w:rPr>
      </w:pPr>
      <w:r>
        <w:rPr>
          <w:b/>
          <w:i/>
          <w:noProof/>
        </w:rPr>
        <w:t>Article premier</w:t>
      </w:r>
    </w:p>
    <w:p>
      <w:pPr>
        <w:spacing w:after="0"/>
        <w:rPr>
          <w:rFonts w:eastAsia="Times New Roman"/>
          <w:b/>
          <w:i/>
          <w:noProof/>
          <w:szCs w:val="24"/>
        </w:rPr>
      </w:pPr>
      <w:r>
        <w:rPr>
          <w:b/>
          <w:i/>
          <w:noProof/>
        </w:rPr>
        <w:t>Définitions</w:t>
      </w:r>
    </w:p>
    <w:p>
      <w:pPr>
        <w:spacing w:after="0"/>
        <w:rPr>
          <w:rFonts w:eastAsia="Times New Roman"/>
          <w:noProof/>
          <w:szCs w:val="24"/>
        </w:rPr>
      </w:pPr>
      <w:r>
        <w:rPr>
          <w:noProof/>
        </w:rPr>
        <w:t xml:space="preserve">Aux fins de la présente décision, on entend par: </w:t>
      </w:r>
    </w:p>
    <w:p>
      <w:pPr>
        <w:spacing w:after="0"/>
        <w:rPr>
          <w:rFonts w:eastAsia="Times New Roman"/>
          <w:noProof/>
          <w:szCs w:val="24"/>
        </w:rPr>
      </w:pPr>
      <w:r>
        <w:rPr>
          <w:noProof/>
        </w:rPr>
        <w:lastRenderedPageBreak/>
        <w:t>«autorité douanière», l’autorité douanière telle que définie à l’article 1</w:t>
      </w:r>
      <w:r>
        <w:rPr>
          <w:noProof/>
          <w:vertAlign w:val="superscript"/>
        </w:rPr>
        <w:t>er</w:t>
      </w:r>
      <w:r>
        <w:rPr>
          <w:noProof/>
        </w:rPr>
        <w:t xml:space="preserve"> de l’ASCA, ci-après dénommée collectivement les «autorités douanières» et individuellement l’«autorité douanière»;</w:t>
      </w:r>
    </w:p>
    <w:p>
      <w:pPr>
        <w:spacing w:after="0"/>
        <w:rPr>
          <w:rFonts w:eastAsia="Times New Roman"/>
          <w:noProof/>
          <w:szCs w:val="24"/>
        </w:rPr>
      </w:pPr>
      <w:r>
        <w:rPr>
          <w:noProof/>
        </w:rPr>
        <w:t>«données à caractère personnel», toutes les informations se rapportant à une personne physique identifiée ou identifiable;</w:t>
      </w:r>
    </w:p>
    <w:p>
      <w:pPr>
        <w:spacing w:after="0"/>
        <w:rPr>
          <w:rFonts w:eastAsia="Times New Roman"/>
          <w:noProof/>
          <w:szCs w:val="24"/>
        </w:rPr>
      </w:pPr>
      <w:r>
        <w:rPr>
          <w:noProof/>
        </w:rPr>
        <w:t>«membres du programme», les opérateurs économiques ayant le statut d’OEA dans l’UE et ceux ayant le statut de membres du programme PEP au Canada, conformément à la définition de «programme» lorsqu’ils sont visés collectivement;</w:t>
      </w:r>
    </w:p>
    <w:p>
      <w:pPr>
        <w:spacing w:after="0"/>
        <w:rPr>
          <w:rFonts w:eastAsia="Times New Roman"/>
          <w:noProof/>
          <w:szCs w:val="24"/>
        </w:rPr>
      </w:pPr>
      <w:r>
        <w:rPr>
          <w:noProof/>
        </w:rPr>
        <w:t>«opérateur économique», une partie concernée par la circulation internationale des marchandises; et</w:t>
      </w:r>
    </w:p>
    <w:p>
      <w:pPr>
        <w:spacing w:after="0"/>
        <w:rPr>
          <w:rFonts w:eastAsia="Times New Roman"/>
          <w:noProof/>
          <w:szCs w:val="24"/>
        </w:rPr>
      </w:pPr>
      <w:r>
        <w:rPr>
          <w:noProof/>
        </w:rPr>
        <w:t>«programme»,</w:t>
      </w:r>
    </w:p>
    <w:p>
      <w:pPr>
        <w:spacing w:after="0"/>
        <w:ind w:left="1080"/>
        <w:rPr>
          <w:rFonts w:eastAsia="Times New Roman"/>
          <w:noProof/>
          <w:szCs w:val="24"/>
        </w:rPr>
      </w:pPr>
      <w:r>
        <w:rPr>
          <w:noProof/>
        </w:rPr>
        <w:t>a) dans l’UE: le programme relatif aux OEA, couvrant le statut d’OEA – Sécurité et sûreté (autorisation) et le statut d’OEA – Simplifications douanières/Sécurité et sûreté (OEAC/OEAS) (autorisation),</w:t>
      </w:r>
    </w:p>
    <w:p>
      <w:pPr>
        <w:spacing w:after="0"/>
        <w:ind w:left="1080"/>
        <w:rPr>
          <w:rFonts w:eastAsia="Times New Roman"/>
          <w:noProof/>
          <w:szCs w:val="24"/>
        </w:rPr>
      </w:pPr>
      <w:r>
        <w:rPr>
          <w:noProof/>
        </w:rPr>
        <w:t>b) au Canada: le programme PEP.</w:t>
      </w:r>
    </w:p>
    <w:p>
      <w:pPr>
        <w:spacing w:after="0"/>
        <w:rPr>
          <w:rFonts w:eastAsia="Times New Roman"/>
          <w:b/>
          <w:i/>
          <w:noProof/>
          <w:szCs w:val="24"/>
        </w:rPr>
      </w:pPr>
      <w:r>
        <w:rPr>
          <w:b/>
          <w:i/>
          <w:noProof/>
        </w:rPr>
        <w:t>Article 2</w:t>
      </w:r>
    </w:p>
    <w:p>
      <w:pPr>
        <w:spacing w:after="0"/>
        <w:rPr>
          <w:rFonts w:eastAsia="Times New Roman"/>
          <w:b/>
          <w:i/>
          <w:noProof/>
          <w:szCs w:val="24"/>
        </w:rPr>
      </w:pPr>
      <w:r>
        <w:rPr>
          <w:b/>
          <w:i/>
          <w:noProof/>
        </w:rPr>
        <w:t>Reconnaissance mutuelle et mise en œuvre de la décision</w:t>
      </w:r>
    </w:p>
    <w:p>
      <w:pPr>
        <w:spacing w:after="0"/>
        <w:rPr>
          <w:rFonts w:eastAsia="Times New Roman"/>
          <w:noProof/>
          <w:szCs w:val="24"/>
        </w:rPr>
      </w:pPr>
      <w:r>
        <w:rPr>
          <w:noProof/>
        </w:rPr>
        <w:t xml:space="preserve">1. Chaque partie contractante, agissant par l’intermédiaire de son autorité douanière, reconnaît le programme de l’autre partie contractante comme compatible et équivalent à son propre programme et traite les membres du programme au titre du programme de l’autre partie contractante de manière conforme à l’article 4. </w:t>
      </w:r>
    </w:p>
    <w:p>
      <w:pPr>
        <w:spacing w:after="0"/>
        <w:rPr>
          <w:rFonts w:eastAsia="Times New Roman"/>
          <w:noProof/>
          <w:szCs w:val="24"/>
        </w:rPr>
      </w:pPr>
      <w:r>
        <w:rPr>
          <w:noProof/>
        </w:rPr>
        <w:t>2. Les parties contractantes mettent en œuvre la présente décision par l’intermédiaire de leurs autorités douanières respectives.</w:t>
      </w:r>
    </w:p>
    <w:p>
      <w:pPr>
        <w:spacing w:after="0"/>
        <w:rPr>
          <w:rFonts w:eastAsia="Times New Roman"/>
          <w:b/>
          <w:i/>
          <w:noProof/>
          <w:szCs w:val="24"/>
        </w:rPr>
      </w:pPr>
      <w:r>
        <w:rPr>
          <w:b/>
          <w:i/>
          <w:noProof/>
        </w:rPr>
        <w:t>Article 3</w:t>
      </w:r>
    </w:p>
    <w:p>
      <w:pPr>
        <w:spacing w:after="0"/>
        <w:rPr>
          <w:rFonts w:eastAsia="Times New Roman"/>
          <w:i/>
          <w:noProof/>
          <w:szCs w:val="24"/>
        </w:rPr>
      </w:pPr>
      <w:r>
        <w:rPr>
          <w:b/>
          <w:i/>
          <w:noProof/>
        </w:rPr>
        <w:t>Compatibilité</w:t>
      </w:r>
    </w:p>
    <w:p>
      <w:pPr>
        <w:spacing w:after="0"/>
        <w:rPr>
          <w:rFonts w:eastAsia="Times New Roman"/>
          <w:noProof/>
          <w:szCs w:val="24"/>
        </w:rPr>
      </w:pPr>
      <w:r>
        <w:rPr>
          <w:noProof/>
        </w:rPr>
        <w:t>Les autorités douanières coopèrent pour maintenir la compatibilité et l’équivalence de leurs programmes, notamment en ce qui concerne les sujets suivants:</w:t>
      </w:r>
    </w:p>
    <w:p>
      <w:pPr>
        <w:spacing w:after="0"/>
        <w:ind w:left="720"/>
        <w:rPr>
          <w:rFonts w:eastAsia="Times New Roman"/>
          <w:noProof/>
          <w:szCs w:val="24"/>
        </w:rPr>
      </w:pPr>
      <w:r>
        <w:rPr>
          <w:noProof/>
        </w:rPr>
        <w:t>a) le processus de demande d’obtention du statut de membre;</w:t>
      </w:r>
    </w:p>
    <w:p>
      <w:pPr>
        <w:spacing w:after="0"/>
        <w:ind w:left="720"/>
        <w:rPr>
          <w:rFonts w:eastAsia="Times New Roman"/>
          <w:noProof/>
          <w:szCs w:val="24"/>
        </w:rPr>
      </w:pPr>
      <w:r>
        <w:rPr>
          <w:noProof/>
        </w:rPr>
        <w:t xml:space="preserve">b) l’évaluation des demandes; et </w:t>
      </w:r>
    </w:p>
    <w:p>
      <w:pPr>
        <w:spacing w:after="0"/>
        <w:ind w:left="720"/>
        <w:rPr>
          <w:rFonts w:eastAsia="Times New Roman"/>
          <w:noProof/>
          <w:szCs w:val="24"/>
        </w:rPr>
      </w:pPr>
      <w:r>
        <w:rPr>
          <w:noProof/>
        </w:rPr>
        <w:t>c) l’octroi et la gestion du statut de membre.</w:t>
      </w:r>
    </w:p>
    <w:p>
      <w:pPr>
        <w:spacing w:after="0"/>
        <w:rPr>
          <w:rFonts w:eastAsia="Times New Roman"/>
          <w:b/>
          <w:i/>
          <w:noProof/>
          <w:szCs w:val="24"/>
        </w:rPr>
      </w:pPr>
      <w:r>
        <w:rPr>
          <w:b/>
          <w:i/>
          <w:noProof/>
        </w:rPr>
        <w:t>Article 4</w:t>
      </w:r>
    </w:p>
    <w:p>
      <w:pPr>
        <w:spacing w:after="0"/>
        <w:rPr>
          <w:rFonts w:eastAsia="Times New Roman"/>
          <w:i/>
          <w:noProof/>
          <w:szCs w:val="24"/>
        </w:rPr>
      </w:pPr>
      <w:r>
        <w:rPr>
          <w:b/>
          <w:i/>
          <w:noProof/>
        </w:rPr>
        <w:t>Avantages</w:t>
      </w:r>
    </w:p>
    <w:p>
      <w:pPr>
        <w:spacing w:after="0"/>
        <w:rPr>
          <w:rFonts w:eastAsia="Times New Roman"/>
          <w:noProof/>
          <w:szCs w:val="24"/>
        </w:rPr>
      </w:pPr>
      <w:r>
        <w:rPr>
          <w:noProof/>
        </w:rPr>
        <w:t>1. Chaque autorité douanière accorde aux membres du programme de l’autre autorité douanière des avantages comparables à ceux qu’elle accorde aux membres du programme au titre de son propre programme.</w:t>
      </w:r>
    </w:p>
    <w:p>
      <w:pPr>
        <w:spacing w:after="0"/>
        <w:rPr>
          <w:rFonts w:eastAsia="Times New Roman"/>
          <w:noProof/>
          <w:szCs w:val="24"/>
        </w:rPr>
      </w:pPr>
      <w:r>
        <w:rPr>
          <w:noProof/>
        </w:rPr>
        <w:t>2. Les avantages visés au paragraphe 1 comprennent:</w:t>
      </w:r>
    </w:p>
    <w:p>
      <w:pPr>
        <w:spacing w:after="0"/>
        <w:ind w:left="720"/>
        <w:rPr>
          <w:rFonts w:eastAsia="Times New Roman"/>
          <w:noProof/>
          <w:szCs w:val="24"/>
        </w:rPr>
      </w:pPr>
      <w:r>
        <w:rPr>
          <w:noProof/>
        </w:rPr>
        <w:t xml:space="preserve">a) la prise en compte positive du statut agréé d’un membre du programme de l’autre autorité douanière dans le cadre de son évaluation des risques, ce qui peut aboutir à une réduction des inspections ou des contrôles, et, si possible, à d’autres mesures touchant à la sécurité et à la sûreté; </w:t>
      </w:r>
    </w:p>
    <w:p>
      <w:pPr>
        <w:spacing w:after="0"/>
        <w:ind w:left="720"/>
        <w:rPr>
          <w:rFonts w:eastAsia="Times New Roman"/>
          <w:noProof/>
          <w:szCs w:val="24"/>
        </w:rPr>
      </w:pPr>
      <w:r>
        <w:rPr>
          <w:noProof/>
        </w:rPr>
        <w:t>b) la prise en compte positive du statut agréé d’un membre du programme de l’autre autorité douanière lors de l’évaluation des exigences applicables aux partenaires commerciaux pour les demandeurs dans le cadre de son propre programme;</w:t>
      </w:r>
    </w:p>
    <w:p>
      <w:pPr>
        <w:spacing w:after="0"/>
        <w:ind w:left="720"/>
        <w:rPr>
          <w:rFonts w:eastAsia="Times New Roman"/>
          <w:noProof/>
          <w:szCs w:val="24"/>
        </w:rPr>
      </w:pPr>
      <w:r>
        <w:rPr>
          <w:noProof/>
        </w:rPr>
        <w:t>c) la prise en compte, dans toute la mesure du possible, du statut agréé d’un membre du programme de l’autre autorité douanière en veillant à accorder un traitement prioritaire aux membres du programme et à leurs envois, lorsque l’autorité douanière qui accorde les avantages le juge approprié, ce qui peut inclure un examen prioritaire, une procédure accélérée et la mainlevée accélérée des envois concernant les membres du programme; et</w:t>
      </w:r>
    </w:p>
    <w:p>
      <w:pPr>
        <w:spacing w:after="0"/>
        <w:ind w:left="720"/>
        <w:rPr>
          <w:rFonts w:eastAsia="Times New Roman"/>
          <w:noProof/>
          <w:szCs w:val="24"/>
        </w:rPr>
      </w:pPr>
      <w:r>
        <w:rPr>
          <w:noProof/>
        </w:rPr>
        <w:t>d) la mise en place, dans toute la mesure du possible, d’un mécanisme de continuité des activités permettant de faire bénéficier les membres du programme et leurs envois d’un dédouanement accéléré, lorsque l’autorité douanière qui accorde les avantages le juge approprié, lors du rétablissement des services après une perturbation des échanges internationaux provoquée par l’augmentation des niveaux d’alerte en matière de sécurité, la fermeture des frontières ou les catastrophes naturelles, les situations dangereuses ou d’autres incidents majeurs.</w:t>
      </w:r>
    </w:p>
    <w:p>
      <w:pPr>
        <w:spacing w:after="0"/>
        <w:rPr>
          <w:rFonts w:eastAsia="Times New Roman"/>
          <w:noProof/>
          <w:szCs w:val="24"/>
        </w:rPr>
      </w:pPr>
      <w:r>
        <w:rPr>
          <w:noProof/>
        </w:rPr>
        <w:t xml:space="preserve">3. À l’issue de la procédure de contrôle visée à l’article 7, paragraphe 2, l’autorité douanière de chaque partie contractante peut accorder, en coopération avec d’autres autorités publiques sur son territoire, des facilités supplémentaires, au nombre desquelles figurent la rationalisation des processus et le renforcement de la prévisibilité de circulation à la frontière, dans la mesure du possible. </w:t>
      </w:r>
    </w:p>
    <w:p>
      <w:pPr>
        <w:spacing w:after="0"/>
        <w:rPr>
          <w:rFonts w:eastAsia="Times New Roman"/>
          <w:noProof/>
          <w:szCs w:val="24"/>
        </w:rPr>
      </w:pPr>
      <w:r>
        <w:rPr>
          <w:noProof/>
        </w:rPr>
        <w:t>4. Chaque autorité douanière:</w:t>
      </w:r>
    </w:p>
    <w:p>
      <w:pPr>
        <w:spacing w:after="0"/>
        <w:ind w:left="720"/>
        <w:rPr>
          <w:rFonts w:eastAsia="Times New Roman"/>
          <w:noProof/>
          <w:szCs w:val="24"/>
        </w:rPr>
      </w:pPr>
      <w:r>
        <w:rPr>
          <w:noProof/>
        </w:rPr>
        <w:t>a) peut suspendre les avantages accordés aux membres du programme de l’autre autorité douanière en application de la présente décision;</w:t>
      </w:r>
    </w:p>
    <w:p>
      <w:pPr>
        <w:spacing w:after="0"/>
        <w:ind w:left="720"/>
        <w:rPr>
          <w:rFonts w:eastAsia="Times New Roman"/>
          <w:noProof/>
          <w:szCs w:val="24"/>
        </w:rPr>
      </w:pPr>
      <w:r>
        <w:rPr>
          <w:noProof/>
        </w:rPr>
        <w:t>b) informe l’autre autorité douanière, dans un délai raisonnable, de la suspension décrite au point a) et de ses motifs; et</w:t>
      </w:r>
    </w:p>
    <w:p>
      <w:pPr>
        <w:spacing w:after="0"/>
        <w:ind w:left="720"/>
        <w:rPr>
          <w:rFonts w:eastAsia="Times New Roman"/>
          <w:noProof/>
          <w:szCs w:val="24"/>
        </w:rPr>
      </w:pPr>
      <w:r>
        <w:rPr>
          <w:noProof/>
        </w:rPr>
        <w:t xml:space="preserve">c) ne peut procéder à une suspension en vertu du point a) que pour des motifs équivalents à ceux pour lesquelles elle suspendrait les membres du programme de son propre programme. </w:t>
      </w:r>
    </w:p>
    <w:p>
      <w:pPr>
        <w:spacing w:after="0"/>
        <w:rPr>
          <w:rFonts w:eastAsia="Times New Roman"/>
          <w:noProof/>
          <w:szCs w:val="24"/>
        </w:rPr>
      </w:pPr>
      <w:r>
        <w:rPr>
          <w:noProof/>
        </w:rPr>
        <w:t>5. Lorsqu’elle le juge approprié, chaque autorité douanière informe l’autre autorité douanière des irrégularités impliquant des membres du programme au titre du programme de cette dernière, afin de veiller à ce que le bien-fondé des avantages et du statut accordés par l’autre autorité douanière soit analysé.</w:t>
      </w:r>
    </w:p>
    <w:p>
      <w:pPr>
        <w:spacing w:after="0"/>
        <w:rPr>
          <w:rFonts w:eastAsia="Times New Roman"/>
          <w:noProof/>
          <w:szCs w:val="24"/>
        </w:rPr>
      </w:pPr>
      <w:r>
        <w:rPr>
          <w:noProof/>
        </w:rPr>
        <w:t>6. Il est entendu que la présente décision ne limite pas la possibilité pour une partie contractante ou une autorité douanière de demander des renseignements conformément à l’AAMD ou à un autre instrument applicable entre les parties contractantes ou entre les autorités douanières.</w:t>
      </w:r>
    </w:p>
    <w:p>
      <w:pPr>
        <w:spacing w:after="0"/>
        <w:rPr>
          <w:rFonts w:eastAsia="Times New Roman"/>
          <w:b/>
          <w:i/>
          <w:noProof/>
          <w:szCs w:val="24"/>
        </w:rPr>
      </w:pPr>
      <w:r>
        <w:rPr>
          <w:b/>
          <w:i/>
          <w:noProof/>
        </w:rPr>
        <w:t>Article 5</w:t>
      </w:r>
    </w:p>
    <w:p>
      <w:pPr>
        <w:spacing w:after="0"/>
        <w:rPr>
          <w:rFonts w:eastAsia="Times New Roman"/>
          <w:i/>
          <w:noProof/>
          <w:szCs w:val="24"/>
        </w:rPr>
      </w:pPr>
      <w:r>
        <w:rPr>
          <w:b/>
          <w:bCs/>
          <w:i/>
          <w:noProof/>
        </w:rPr>
        <w:t xml:space="preserve">Échange de renseignements et communication </w:t>
      </w:r>
    </w:p>
    <w:p>
      <w:pPr>
        <w:spacing w:after="0"/>
        <w:rPr>
          <w:rFonts w:eastAsia="Times New Roman"/>
          <w:noProof/>
          <w:szCs w:val="24"/>
        </w:rPr>
      </w:pPr>
      <w:r>
        <w:rPr>
          <w:noProof/>
        </w:rPr>
        <w:t>1. Les autorités douanières améliorent la communication entre elles aux fins de la mise en œuvre efficace de la présente décision:</w:t>
      </w:r>
    </w:p>
    <w:p>
      <w:pPr>
        <w:spacing w:after="0"/>
        <w:ind w:left="720"/>
        <w:rPr>
          <w:rFonts w:eastAsia="Times New Roman"/>
          <w:noProof/>
          <w:szCs w:val="24"/>
        </w:rPr>
      </w:pPr>
      <w:r>
        <w:rPr>
          <w:noProof/>
        </w:rPr>
        <w:t>a) en se communiquant des informations détaillées sur les membres de leur programme comme le prévoit l’article 5, paragraphe 3;</w:t>
      </w:r>
    </w:p>
    <w:p>
      <w:pPr>
        <w:spacing w:after="0"/>
        <w:ind w:left="720"/>
        <w:rPr>
          <w:rFonts w:eastAsia="Times New Roman"/>
          <w:noProof/>
          <w:szCs w:val="24"/>
        </w:rPr>
      </w:pPr>
      <w:r>
        <w:rPr>
          <w:noProof/>
        </w:rPr>
        <w:t>b) en se communiquant des mises à jour sur le fonctionnement et l’évolution de leurs programmes en temps utile;</w:t>
      </w:r>
    </w:p>
    <w:p>
      <w:pPr>
        <w:spacing w:after="0"/>
        <w:ind w:left="720"/>
        <w:rPr>
          <w:rFonts w:eastAsia="Times New Roman"/>
          <w:noProof/>
          <w:szCs w:val="24"/>
        </w:rPr>
      </w:pPr>
      <w:r>
        <w:rPr>
          <w:noProof/>
        </w:rPr>
        <w:t>c) en échangeant des renseignements relatifs à la politique de sécurité de la chaîne d’approvisionnement et aux évolutions en la matière; et</w:t>
      </w:r>
    </w:p>
    <w:p>
      <w:pPr>
        <w:spacing w:after="0"/>
        <w:ind w:left="720"/>
        <w:rPr>
          <w:rFonts w:eastAsia="Times New Roman"/>
          <w:noProof/>
          <w:szCs w:val="24"/>
        </w:rPr>
      </w:pPr>
      <w:r>
        <w:rPr>
          <w:noProof/>
        </w:rPr>
        <w:t>d) en veillant à une communication efficace entre les services compétents de la Commission européenne et l’autorité douanière du Canada afin d’améliorer les pratiques de gestion des risques dans le domaine de la sécurité de la chaîne d’approvisionnement.</w:t>
      </w:r>
    </w:p>
    <w:p>
      <w:pPr>
        <w:spacing w:after="0"/>
        <w:rPr>
          <w:noProof/>
          <w:szCs w:val="24"/>
        </w:rPr>
      </w:pPr>
      <w:r>
        <w:rPr>
          <w:noProof/>
        </w:rPr>
        <w:t>2. Les services compétents de la Commission européenne et l’autorité douanière du Canada échangent des renseignements et communiquent entre eux dans le cadre de la présente décision, sauf décision contraire arrêtée d’un commun accord préalablement à un échange ou à une communication.</w:t>
      </w:r>
    </w:p>
    <w:p>
      <w:pPr>
        <w:spacing w:after="0"/>
        <w:rPr>
          <w:rFonts w:eastAsia="Times New Roman"/>
          <w:noProof/>
          <w:szCs w:val="24"/>
        </w:rPr>
      </w:pPr>
      <w:r>
        <w:rPr>
          <w:noProof/>
        </w:rPr>
        <w:t>3. Après avoir reçu le consentement de l’un de ses membres du programme au titre de son programme, chaque autorité douanière communique à l’autre autorité douanière les informations détaillées suivantes, et uniquement celles-ci, concernant le membre en question:</w:t>
      </w:r>
    </w:p>
    <w:p>
      <w:pPr>
        <w:spacing w:after="0"/>
        <w:ind w:left="720"/>
        <w:rPr>
          <w:rFonts w:eastAsia="Times New Roman"/>
          <w:noProof/>
          <w:szCs w:val="24"/>
        </w:rPr>
      </w:pPr>
      <w:r>
        <w:rPr>
          <w:noProof/>
        </w:rPr>
        <w:t xml:space="preserve">a) le nom; </w:t>
      </w:r>
    </w:p>
    <w:p>
      <w:pPr>
        <w:spacing w:after="0"/>
        <w:ind w:left="720"/>
        <w:rPr>
          <w:rFonts w:eastAsia="Times New Roman"/>
          <w:noProof/>
          <w:szCs w:val="24"/>
        </w:rPr>
      </w:pPr>
      <w:r>
        <w:rPr>
          <w:noProof/>
        </w:rPr>
        <w:t>b) l’adresse;</w:t>
      </w:r>
    </w:p>
    <w:p>
      <w:pPr>
        <w:spacing w:after="0"/>
        <w:ind w:left="720"/>
        <w:rPr>
          <w:rFonts w:eastAsia="Times New Roman"/>
          <w:noProof/>
          <w:szCs w:val="24"/>
        </w:rPr>
      </w:pPr>
      <w:r>
        <w:rPr>
          <w:noProof/>
        </w:rPr>
        <w:t>c) le statut de membre (agréé, suspendu, révoqué ou annulé);</w:t>
      </w:r>
    </w:p>
    <w:p>
      <w:pPr>
        <w:spacing w:after="0"/>
        <w:ind w:left="720"/>
        <w:rPr>
          <w:noProof/>
          <w:szCs w:val="24"/>
        </w:rPr>
      </w:pPr>
      <w:r>
        <w:rPr>
          <w:noProof/>
        </w:rPr>
        <w:t>d) la date de validation ou d’agrément lorsqu’elle est disponible;</w:t>
      </w:r>
    </w:p>
    <w:p>
      <w:pPr>
        <w:spacing w:after="0"/>
        <w:ind w:left="720"/>
        <w:rPr>
          <w:rFonts w:eastAsia="Times New Roman"/>
          <w:noProof/>
          <w:szCs w:val="24"/>
        </w:rPr>
      </w:pPr>
      <w:r>
        <w:rPr>
          <w:noProof/>
        </w:rPr>
        <w:t>e) le numéro d’identification unique (par exemple, les numéros PEP, EORI ou OEA); et</w:t>
      </w:r>
    </w:p>
    <w:p>
      <w:pPr>
        <w:spacing w:after="0"/>
        <w:ind w:left="720"/>
        <w:rPr>
          <w:rFonts w:eastAsia="Times New Roman"/>
          <w:noProof/>
          <w:szCs w:val="24"/>
        </w:rPr>
      </w:pPr>
      <w:r>
        <w:rPr>
          <w:noProof/>
        </w:rPr>
        <w:t>f) d’autres informations détaillées pouvant être déterminés d’un commun accord entre les autorités douanières, soumis, s’il y a lieu, aux garanties nécessaires.</w:t>
      </w:r>
    </w:p>
    <w:p>
      <w:pPr>
        <w:spacing w:after="0"/>
        <w:rPr>
          <w:rFonts w:eastAsia="Times New Roman"/>
          <w:noProof/>
          <w:szCs w:val="24"/>
        </w:rPr>
      </w:pPr>
      <w:r>
        <w:rPr>
          <w:noProof/>
        </w:rPr>
        <w:t xml:space="preserve">Il est entendu que les informations détaillées visées au point c) ne comprennent pas les motifs de la suspension, de la révocation ou de l’annulation. </w:t>
      </w:r>
    </w:p>
    <w:p>
      <w:pPr>
        <w:spacing w:after="0"/>
        <w:rPr>
          <w:rFonts w:eastAsia="Times New Roman"/>
          <w:noProof/>
          <w:szCs w:val="24"/>
        </w:rPr>
      </w:pPr>
      <w:r>
        <w:rPr>
          <w:noProof/>
        </w:rPr>
        <w:t>4. Les autorités douanières échangent les renseignements visés au paragraphe 3 systématiquement sous forme électronique.</w:t>
      </w:r>
    </w:p>
    <w:p>
      <w:pPr>
        <w:spacing w:after="0"/>
        <w:rPr>
          <w:rFonts w:eastAsia="Times New Roman"/>
          <w:b/>
          <w:i/>
          <w:noProof/>
          <w:szCs w:val="24"/>
        </w:rPr>
      </w:pPr>
      <w:r>
        <w:rPr>
          <w:b/>
          <w:i/>
          <w:noProof/>
        </w:rPr>
        <w:t>Article 6</w:t>
      </w:r>
    </w:p>
    <w:p>
      <w:pPr>
        <w:spacing w:after="0"/>
        <w:rPr>
          <w:b/>
          <w:i/>
          <w:noProof/>
        </w:rPr>
      </w:pPr>
      <w:r>
        <w:rPr>
          <w:b/>
          <w:i/>
          <w:noProof/>
        </w:rPr>
        <w:t>Traitement des renseignements</w:t>
      </w:r>
    </w:p>
    <w:p>
      <w:pPr>
        <w:spacing w:after="0"/>
        <w:rPr>
          <w:rFonts w:eastAsia="Times New Roman"/>
          <w:noProof/>
          <w:szCs w:val="24"/>
        </w:rPr>
      </w:pPr>
      <w:r>
        <w:rPr>
          <w:noProof/>
        </w:rPr>
        <w:t>1. Chaque autorité douanière:</w:t>
      </w:r>
    </w:p>
    <w:p>
      <w:pPr>
        <w:spacing w:after="0"/>
        <w:ind w:left="720"/>
        <w:rPr>
          <w:rFonts w:eastAsia="Times New Roman"/>
          <w:noProof/>
          <w:szCs w:val="24"/>
        </w:rPr>
      </w:pPr>
      <w:r>
        <w:rPr>
          <w:noProof/>
        </w:rPr>
        <w:t>a) utilise, sauf disposition contraire dans la présente décision, tout renseignement, y compris les données à caractère personnel, reçu en application de la présente décision aux seules fins de la mise en œuvre de cette dernière, y compris la surveillance et les compte rendus; et</w:t>
      </w:r>
    </w:p>
    <w:p>
      <w:pPr>
        <w:spacing w:after="0"/>
        <w:ind w:left="720"/>
        <w:rPr>
          <w:rFonts w:eastAsia="Times New Roman"/>
          <w:noProof/>
          <w:szCs w:val="24"/>
        </w:rPr>
      </w:pPr>
      <w:r>
        <w:rPr>
          <w:noProof/>
        </w:rPr>
        <w:t>b), nonobstant le point a), obtient le consentement préalable écrit de l’autorité douanière qui a transmis le renseignement pour l’utiliser à d’autres fins. Cette utilisation est alors soumise aux restrictions imposées par ladite autorité.</w:t>
      </w:r>
    </w:p>
    <w:p>
      <w:pPr>
        <w:spacing w:after="0"/>
        <w:rPr>
          <w:rFonts w:eastAsia="Times New Roman"/>
          <w:noProof/>
          <w:szCs w:val="24"/>
        </w:rPr>
      </w:pPr>
      <w:r>
        <w:rPr>
          <w:noProof/>
        </w:rPr>
        <w:t xml:space="preserve">2. Chaque autorité douanière: </w:t>
      </w:r>
    </w:p>
    <w:p>
      <w:pPr>
        <w:spacing w:after="0"/>
        <w:ind w:left="720"/>
        <w:rPr>
          <w:rFonts w:eastAsia="Times New Roman"/>
          <w:noProof/>
          <w:szCs w:val="24"/>
        </w:rPr>
      </w:pPr>
      <w:r>
        <w:rPr>
          <w:noProof/>
        </w:rPr>
        <w:t>a) traite les renseignements reçus au titre de la présente décision comme confidentiels; et</w:t>
      </w:r>
    </w:p>
    <w:p>
      <w:pPr>
        <w:spacing w:after="0"/>
        <w:ind w:left="720"/>
        <w:rPr>
          <w:rFonts w:eastAsia="Times New Roman"/>
          <w:noProof/>
          <w:szCs w:val="24"/>
        </w:rPr>
      </w:pPr>
      <w:r>
        <w:rPr>
          <w:noProof/>
        </w:rPr>
        <w:t xml:space="preserve">b) assure aux renseignements reçus au titre de la présente décision au moins le même niveau de protection que celui qui est applicable aux renseignements reçus de membres du programme au titre de son programme.  </w:t>
      </w:r>
    </w:p>
    <w:p>
      <w:pPr>
        <w:spacing w:after="0"/>
        <w:rPr>
          <w:rFonts w:eastAsia="Times New Roman"/>
          <w:noProof/>
          <w:szCs w:val="24"/>
        </w:rPr>
      </w:pPr>
      <w:r>
        <w:rPr>
          <w:noProof/>
        </w:rPr>
        <w:t>3. Nonobstant le paragraphe 1, point a), une autorité douanière peut utiliser les renseignements reçus en application de la présente décision dans le cadre de procédures judiciaires ou administratives engagées pour non-respect du droit douanier de la partie contractante dont elle relève, y compris dans ses procès-verbaux, rapports et témoignages. L’autorité douanière qui a reçu les renseignements en avise préalablement l’autorité douanière qui les a fournis.</w:t>
      </w:r>
    </w:p>
    <w:p>
      <w:pPr>
        <w:spacing w:after="0"/>
        <w:rPr>
          <w:rFonts w:eastAsia="Times New Roman"/>
          <w:noProof/>
          <w:szCs w:val="24"/>
        </w:rPr>
      </w:pPr>
      <w:r>
        <w:rPr>
          <w:noProof/>
        </w:rPr>
        <w:t>4. Chaque autorité douanière:</w:t>
      </w:r>
    </w:p>
    <w:p>
      <w:pPr>
        <w:spacing w:after="0"/>
        <w:ind w:left="720"/>
        <w:rPr>
          <w:rFonts w:eastAsia="Times New Roman"/>
          <w:noProof/>
          <w:szCs w:val="24"/>
        </w:rPr>
      </w:pPr>
      <w:r>
        <w:rPr>
          <w:noProof/>
        </w:rPr>
        <w:t>a) ne divulgue des renseignements reçus en application de la présente décision qu’aux fins pour lesquelles ils ont été reçus; et</w:t>
      </w:r>
    </w:p>
    <w:p>
      <w:pPr>
        <w:spacing w:after="0"/>
        <w:ind w:left="720"/>
        <w:rPr>
          <w:rFonts w:eastAsia="Times New Roman"/>
          <w:noProof/>
          <w:szCs w:val="24"/>
        </w:rPr>
      </w:pPr>
      <w:r>
        <w:rPr>
          <w:noProof/>
        </w:rPr>
        <w:t>b) nonobstant le point a), lorsqu’elle est tenue de divulguer des renseignements dans le cadre de procédures judiciaires ou administratives ou en vertu du droit de la partie contractante dont elle relève, informe de cette divulgation, à l’avance et par écrit, l’autorité douanière qui a fourni les renseignements, sauf si elle en est légalement empêchée ou en raison d’une enquête en cours. Dans ce cas, elle informe l’autorité douanière qui a fourni les renseignements dès que possible après la divulgation de ceux-ci.</w:t>
      </w:r>
    </w:p>
    <w:p>
      <w:pPr>
        <w:spacing w:after="0"/>
        <w:rPr>
          <w:rFonts w:eastAsia="Times New Roman"/>
          <w:noProof/>
          <w:szCs w:val="24"/>
        </w:rPr>
      </w:pPr>
      <w:r>
        <w:rPr>
          <w:noProof/>
        </w:rPr>
        <w:t>5. Chaque autorité douanière:</w:t>
      </w:r>
    </w:p>
    <w:p>
      <w:pPr>
        <w:spacing w:after="0"/>
        <w:ind w:left="720"/>
        <w:rPr>
          <w:rFonts w:eastAsia="Times New Roman"/>
          <w:noProof/>
          <w:szCs w:val="24"/>
        </w:rPr>
      </w:pPr>
      <w:r>
        <w:rPr>
          <w:noProof/>
        </w:rPr>
        <w:t>a) veille à ce que les renseignements qu’elle fournit soient exacts et régulièrement mis à jour;</w:t>
      </w:r>
    </w:p>
    <w:p>
      <w:pPr>
        <w:spacing w:after="0"/>
        <w:ind w:left="720"/>
        <w:rPr>
          <w:rFonts w:eastAsia="Times New Roman"/>
          <w:noProof/>
          <w:szCs w:val="24"/>
        </w:rPr>
      </w:pPr>
      <w:r>
        <w:rPr>
          <w:noProof/>
        </w:rPr>
        <w:t>b) adopte ou applique des procédures de suppression appropriées;</w:t>
      </w:r>
    </w:p>
    <w:p>
      <w:pPr>
        <w:spacing w:after="0"/>
        <w:ind w:left="720"/>
        <w:rPr>
          <w:rFonts w:eastAsia="Times New Roman"/>
          <w:noProof/>
          <w:szCs w:val="24"/>
        </w:rPr>
      </w:pPr>
      <w:r>
        <w:rPr>
          <w:noProof/>
        </w:rPr>
        <w:t>c) informe sans délai l’autre autorité douanière dès qu’elle se rend compte que les renseignements qu’elle a fournis à celle-ci sont inexacts, incomplets ou non fiables ou si leur réception ou utilisation ultérieure enfreint la présente décision;</w:t>
      </w:r>
    </w:p>
    <w:p>
      <w:pPr>
        <w:spacing w:after="0"/>
        <w:ind w:left="720"/>
        <w:rPr>
          <w:rFonts w:eastAsia="Times New Roman"/>
          <w:noProof/>
          <w:szCs w:val="24"/>
        </w:rPr>
      </w:pPr>
      <w:r>
        <w:rPr>
          <w:noProof/>
        </w:rPr>
        <w:t>d) prend toutes les mesures qu’elle juge appropriées, y compris le fait de compléter, de supprimer ou de corriger les renseignements visés au point c), pour éviter toute utilisation erronée de ces renseignements; et</w:t>
      </w:r>
    </w:p>
    <w:p>
      <w:pPr>
        <w:spacing w:after="0"/>
        <w:ind w:left="720"/>
        <w:rPr>
          <w:rFonts w:eastAsia="Times New Roman"/>
          <w:noProof/>
          <w:szCs w:val="24"/>
        </w:rPr>
      </w:pPr>
      <w:r>
        <w:rPr>
          <w:noProof/>
        </w:rPr>
        <w:t>e) ne conserve les renseignements reçus en application de la présente décision qu’aussi longtemps que nécessaire aux fins de la mise en œuvre de la présente décision, sauf lorsque le droit de la partie contractante dont elle relève en dispose autrement, ou aux fins de procédures judiciaires ou administratives.</w:t>
      </w:r>
    </w:p>
    <w:p>
      <w:pPr>
        <w:spacing w:after="0"/>
        <w:rPr>
          <w:rFonts w:eastAsia="Times New Roman"/>
          <w:noProof/>
          <w:szCs w:val="24"/>
        </w:rPr>
      </w:pPr>
      <w:r>
        <w:rPr>
          <w:noProof/>
        </w:rPr>
        <w:t>6. En complément des paragraphes 4 et 5, chaque autorité douanière veille en particulier à ce que:</w:t>
      </w:r>
    </w:p>
    <w:p>
      <w:pPr>
        <w:spacing w:after="0"/>
        <w:ind w:left="720"/>
        <w:rPr>
          <w:rFonts w:eastAsia="Times New Roman"/>
          <w:noProof/>
          <w:szCs w:val="24"/>
        </w:rPr>
      </w:pPr>
      <w:r>
        <w:rPr>
          <w:noProof/>
        </w:rPr>
        <w:t>a) les garanties en matière de sécurité (y compris les garanties électroniques) qui contrôlent, en fonction du «besoin de savoir», l’accès aux renseignements reçus de l’autre autorité douanière en application de la présente décision soient en place;</w:t>
      </w:r>
    </w:p>
    <w:p>
      <w:pPr>
        <w:spacing w:after="0"/>
        <w:ind w:left="720"/>
        <w:rPr>
          <w:rFonts w:eastAsia="Times New Roman"/>
          <w:noProof/>
          <w:szCs w:val="24"/>
        </w:rPr>
      </w:pPr>
      <w:r>
        <w:rPr>
          <w:noProof/>
        </w:rPr>
        <w:t>b) les renseignements reçus de l’autre autorité douanière en application de la présente décision soient protégés contre l’accès, la diffusion, la modification, la suppression ou la destruction non autorisés;</w:t>
      </w:r>
    </w:p>
    <w:p>
      <w:pPr>
        <w:spacing w:after="0"/>
        <w:ind w:left="720"/>
        <w:rPr>
          <w:rFonts w:eastAsia="Times New Roman"/>
          <w:strike/>
          <w:noProof/>
          <w:szCs w:val="24"/>
        </w:rPr>
      </w:pPr>
      <w:r>
        <w:rPr>
          <w:noProof/>
        </w:rPr>
        <w:t>c) les renseignements reçus de l’autre autorité douanière en application de la présente décision ne soient pas divulgués à une personne ou partie privée, à un État ou un organisme international qui n’est pas partie à l’AAMD ou à l’ASCA, ou à toute autre autorité publique de l’UE ou du Canada, sauf aux fins de procédures judiciaires ou administratives ou lorsque le droit de la partie contractante dont elle relève l’impose; et</w:t>
      </w:r>
    </w:p>
    <w:p>
      <w:pPr>
        <w:spacing w:after="0"/>
        <w:ind w:left="720"/>
        <w:rPr>
          <w:rFonts w:eastAsia="Times New Roman"/>
          <w:noProof/>
          <w:szCs w:val="24"/>
        </w:rPr>
      </w:pPr>
      <w:r>
        <w:rPr>
          <w:noProof/>
        </w:rPr>
        <w:t>d) les renseignements reçus de l’autre autorité douanière en application de la présente décision soient stockés en permanence dans des systèmes de stockage papier ou électroniques sécurisés, et que des registres ou une documentation soient tenus sur tous les accès, ainsi que sur la divulgation et l’utilisation des renseignements reçus de l’autre autorité douanière.</w:t>
      </w:r>
    </w:p>
    <w:p>
      <w:pPr>
        <w:spacing w:after="0"/>
        <w:rPr>
          <w:rFonts w:eastAsia="Times New Roman"/>
          <w:noProof/>
          <w:szCs w:val="24"/>
        </w:rPr>
      </w:pPr>
      <w:r>
        <w:rPr>
          <w:noProof/>
        </w:rPr>
        <w:t>7. Chaque autorité douanière:</w:t>
      </w:r>
    </w:p>
    <w:p>
      <w:pPr>
        <w:spacing w:after="0"/>
        <w:ind w:left="720"/>
        <w:rPr>
          <w:rFonts w:eastAsia="Times New Roman"/>
          <w:noProof/>
          <w:szCs w:val="24"/>
          <w:highlight w:val="yellow"/>
        </w:rPr>
      </w:pPr>
      <w:r>
        <w:rPr>
          <w:noProof/>
        </w:rPr>
        <w:t>a) veille à ce que les données à caractère personnel d’un membre du programme de l’autre autorité douanière, en ce qui concerne leur consultation, leur correction et le moment de celles-ci, ou la suspension temporaire d’utilisation, soient traitées d’une manière au moins équivalente à celle applicable aux données à caractère personnel d’un membre du programme au titre de son propre programme; et</w:t>
      </w:r>
    </w:p>
    <w:p>
      <w:pPr>
        <w:spacing w:after="0"/>
        <w:ind w:left="720"/>
        <w:rPr>
          <w:rFonts w:eastAsia="Times New Roman"/>
          <w:noProof/>
          <w:szCs w:val="24"/>
        </w:rPr>
      </w:pPr>
      <w:r>
        <w:rPr>
          <w:noProof/>
        </w:rPr>
        <w:t xml:space="preserve">b) publie des informations pour éclairer les membres du programme au titre de son propre programme sur la procédure applicable pour les demandes visées au point a) en vertu du droit de la partie contractante dont elle relève. </w:t>
      </w:r>
    </w:p>
    <w:p>
      <w:pPr>
        <w:spacing w:after="0"/>
        <w:rPr>
          <w:rFonts w:eastAsia="Times New Roman"/>
          <w:noProof/>
          <w:szCs w:val="24"/>
        </w:rPr>
      </w:pPr>
      <w:r>
        <w:rPr>
          <w:noProof/>
        </w:rPr>
        <w:t>8. Chaque autorité douanière fait en sorte que les membres du programme aient accès, en ce qui concerne leurs données à caractère personnel, à des voies de recours administratif ou judiciaire, indépendamment de leur nationalité ou pays de résidence.</w:t>
      </w:r>
    </w:p>
    <w:p>
      <w:pPr>
        <w:spacing w:after="0"/>
        <w:rPr>
          <w:rFonts w:eastAsia="Times New Roman"/>
          <w:noProof/>
          <w:szCs w:val="24"/>
        </w:rPr>
      </w:pPr>
      <w:r>
        <w:rPr>
          <w:noProof/>
        </w:rPr>
        <w:t>9. Les autorités douanières publient des informations pour informer les membres du programme quant aux voies de recours administratif ou judiciaire à leur disposition.</w:t>
      </w:r>
    </w:p>
    <w:p>
      <w:pPr>
        <w:spacing w:after="0"/>
        <w:rPr>
          <w:rFonts w:eastAsia="Times New Roman"/>
          <w:noProof/>
          <w:szCs w:val="24"/>
        </w:rPr>
      </w:pPr>
      <w:r>
        <w:rPr>
          <w:noProof/>
        </w:rPr>
        <w:t xml:space="preserve">10. Le respect des dispositions de l’article 6 par les autorités douanières est soumis au contrôle de leur autorité compétente respective, qui veille à ce que les plaintes relatives au non-respect desdites dispositions lors du traitement des renseignements soient reçues et instruites et donnent lieu à une réponse et à une réparation appropriée. Ces autorités sont les suivantes: </w:t>
      </w:r>
    </w:p>
    <w:p>
      <w:pPr>
        <w:spacing w:after="0"/>
        <w:ind w:left="720"/>
        <w:rPr>
          <w:rFonts w:eastAsia="Times New Roman"/>
          <w:noProof/>
          <w:szCs w:val="24"/>
        </w:rPr>
      </w:pPr>
      <w:r>
        <w:rPr>
          <w:noProof/>
        </w:rPr>
        <w:t xml:space="preserve">a) dans l’UE: le Contrôleur européen de la protection des données ou son successeur et les autorités chargées de la protection des données des États membres de l’Union; </w:t>
      </w:r>
    </w:p>
    <w:p>
      <w:pPr>
        <w:spacing w:after="0"/>
        <w:ind w:left="720"/>
        <w:rPr>
          <w:rFonts w:eastAsia="Times New Roman"/>
          <w:noProof/>
          <w:szCs w:val="24"/>
        </w:rPr>
      </w:pPr>
      <w:r>
        <w:rPr>
          <w:noProof/>
        </w:rPr>
        <w:t>b) au Canada: la direction des recours ou son successeur au sein de l’autorité douanière du Canada.</w:t>
      </w:r>
    </w:p>
    <w:p>
      <w:pPr>
        <w:spacing w:after="0"/>
        <w:rPr>
          <w:rFonts w:eastAsia="Times New Roman"/>
          <w:b/>
          <w:i/>
          <w:noProof/>
          <w:szCs w:val="24"/>
        </w:rPr>
      </w:pPr>
      <w:r>
        <w:rPr>
          <w:b/>
          <w:i/>
          <w:noProof/>
        </w:rPr>
        <w:t>Article 7</w:t>
      </w:r>
    </w:p>
    <w:p>
      <w:pPr>
        <w:spacing w:after="0"/>
        <w:rPr>
          <w:rFonts w:eastAsia="Times New Roman"/>
          <w:b/>
          <w:i/>
          <w:noProof/>
          <w:szCs w:val="24"/>
        </w:rPr>
      </w:pPr>
      <w:r>
        <w:rPr>
          <w:b/>
          <w:i/>
          <w:noProof/>
        </w:rPr>
        <w:t>Consultations et contrôle</w:t>
      </w:r>
    </w:p>
    <w:p>
      <w:pPr>
        <w:spacing w:after="0"/>
        <w:rPr>
          <w:rFonts w:eastAsia="Times New Roman"/>
          <w:noProof/>
          <w:szCs w:val="24"/>
        </w:rPr>
      </w:pPr>
      <w:r>
        <w:rPr>
          <w:noProof/>
        </w:rPr>
        <w:t>1. Les autorités douanières règlent toute question liée à la mise en œuvre de la présente décision au moyen de consultations menées sous les auspices du CMCD.</w:t>
      </w:r>
    </w:p>
    <w:p>
      <w:pPr>
        <w:spacing w:after="0"/>
        <w:rPr>
          <w:rFonts w:eastAsia="Times New Roman"/>
          <w:noProof/>
          <w:szCs w:val="24"/>
        </w:rPr>
      </w:pPr>
      <w:r>
        <w:rPr>
          <w:noProof/>
        </w:rPr>
        <w:t>2. Le CMCD contrôle régulièrement la mise en œuvre de la présente décision. La procédure de contrôle peut notamment comprendre:</w:t>
      </w:r>
    </w:p>
    <w:p>
      <w:pPr>
        <w:spacing w:after="0"/>
        <w:ind w:left="720"/>
        <w:rPr>
          <w:rFonts w:eastAsia="Times New Roman"/>
          <w:noProof/>
          <w:szCs w:val="24"/>
        </w:rPr>
      </w:pPr>
      <w:r>
        <w:rPr>
          <w:noProof/>
        </w:rPr>
        <w:t>a) des vérifications conjointes aux fins de recenser les points forts et les faiblesses de la reconnaissance mutuelle;</w:t>
      </w:r>
    </w:p>
    <w:p>
      <w:pPr>
        <w:spacing w:after="0"/>
        <w:ind w:left="720"/>
        <w:rPr>
          <w:rFonts w:eastAsia="Times New Roman"/>
          <w:noProof/>
          <w:szCs w:val="24"/>
        </w:rPr>
      </w:pPr>
      <w:r>
        <w:rPr>
          <w:noProof/>
        </w:rPr>
        <w:t xml:space="preserve">b) des échanges de points de vue sur les informations détaillées échangées et les avantages accordés aux membres du programme, y compris les éventuels éléments d’information et avantages futurs, conformément à l’article 4; </w:t>
      </w:r>
    </w:p>
    <w:p>
      <w:pPr>
        <w:spacing w:after="0"/>
        <w:ind w:left="720"/>
        <w:rPr>
          <w:rFonts w:eastAsia="Times New Roman"/>
          <w:noProof/>
          <w:szCs w:val="24"/>
        </w:rPr>
      </w:pPr>
      <w:r>
        <w:rPr>
          <w:noProof/>
        </w:rPr>
        <w:t>c) des échanges de points de vue sur les mesures de sécurité telles que les protocoles à appliquer pendant et après un incident de sécurité grave (reprise des activités) ou lorsque les circonstances justifient une suspension de la reconnaissance mutuelle;</w:t>
      </w:r>
    </w:p>
    <w:p>
      <w:pPr>
        <w:spacing w:after="0"/>
        <w:ind w:left="720"/>
        <w:rPr>
          <w:rFonts w:eastAsia="Times New Roman"/>
          <w:noProof/>
          <w:szCs w:val="24"/>
        </w:rPr>
      </w:pPr>
      <w:r>
        <w:rPr>
          <w:noProof/>
        </w:rPr>
        <w:t>d) l’examen de la suspension des avantages visés à l’article 4; et</w:t>
      </w:r>
    </w:p>
    <w:p>
      <w:pPr>
        <w:spacing w:after="0"/>
        <w:ind w:left="720"/>
        <w:rPr>
          <w:rFonts w:eastAsia="Times New Roman"/>
          <w:noProof/>
          <w:szCs w:val="24"/>
        </w:rPr>
      </w:pPr>
      <w:r>
        <w:rPr>
          <w:noProof/>
        </w:rPr>
        <w:t>e) le contrôle de la mise en œuvre de l’article 6.</w:t>
      </w:r>
    </w:p>
    <w:p>
      <w:pPr>
        <w:spacing w:after="0"/>
        <w:rPr>
          <w:rFonts w:eastAsia="Times New Roman"/>
          <w:b/>
          <w:i/>
          <w:noProof/>
          <w:szCs w:val="24"/>
        </w:rPr>
      </w:pPr>
      <w:r>
        <w:rPr>
          <w:b/>
          <w:i/>
          <w:noProof/>
        </w:rPr>
        <w:t>Article 8</w:t>
      </w:r>
    </w:p>
    <w:p>
      <w:pPr>
        <w:spacing w:after="0"/>
        <w:rPr>
          <w:rFonts w:eastAsia="Times New Roman"/>
          <w:b/>
          <w:i/>
          <w:noProof/>
          <w:szCs w:val="24"/>
        </w:rPr>
      </w:pPr>
      <w:r>
        <w:rPr>
          <w:b/>
          <w:i/>
          <w:noProof/>
        </w:rPr>
        <w:t>Dispositions générales</w:t>
      </w:r>
    </w:p>
    <w:p>
      <w:pPr>
        <w:spacing w:after="0"/>
        <w:rPr>
          <w:noProof/>
          <w:szCs w:val="24"/>
        </w:rPr>
      </w:pPr>
      <w:r>
        <w:rPr>
          <w:noProof/>
        </w:rPr>
        <w:t>La présente décision crée uniquement des droits et des obligations entre le Canada et l’UE en vertu du droit international public.</w:t>
      </w:r>
    </w:p>
    <w:p>
      <w:pPr>
        <w:spacing w:after="0"/>
        <w:rPr>
          <w:rFonts w:eastAsia="Times New Roman"/>
          <w:b/>
          <w:i/>
          <w:noProof/>
          <w:szCs w:val="24"/>
        </w:rPr>
      </w:pPr>
      <w:r>
        <w:rPr>
          <w:b/>
          <w:i/>
          <w:noProof/>
        </w:rPr>
        <w:t>Article 9</w:t>
      </w:r>
    </w:p>
    <w:p>
      <w:pPr>
        <w:spacing w:after="0"/>
        <w:rPr>
          <w:rFonts w:eastAsia="Times New Roman"/>
          <w:b/>
          <w:i/>
          <w:noProof/>
          <w:szCs w:val="24"/>
        </w:rPr>
      </w:pPr>
      <w:r>
        <w:rPr>
          <w:b/>
          <w:i/>
          <w:noProof/>
        </w:rPr>
        <w:t xml:space="preserve">Dispositions finales </w:t>
      </w:r>
    </w:p>
    <w:p>
      <w:pPr>
        <w:spacing w:after="0"/>
        <w:rPr>
          <w:rFonts w:eastAsia="Times New Roman"/>
          <w:noProof/>
          <w:szCs w:val="24"/>
        </w:rPr>
      </w:pPr>
      <w:r>
        <w:rPr>
          <w:noProof/>
        </w:rPr>
        <w:t>1. La présente décision entre en vigueur le premier jour du mois suivant la date à laquelle le Canada a notifié à l’UE l’accomplissement des procédures nécessaires à cet effet.</w:t>
      </w:r>
    </w:p>
    <w:p>
      <w:pPr>
        <w:spacing w:after="0"/>
        <w:rPr>
          <w:rFonts w:eastAsia="Times New Roman"/>
          <w:noProof/>
          <w:szCs w:val="24"/>
        </w:rPr>
      </w:pPr>
      <w:r>
        <w:rPr>
          <w:noProof/>
        </w:rPr>
        <w:t>2. Le CMCD peut amender la présente décision. L’amendement entre en vigueur conformément à la procédure décrite au paragraphe 1.</w:t>
      </w:r>
    </w:p>
    <w:p>
      <w:pPr>
        <w:spacing w:after="0"/>
        <w:rPr>
          <w:rFonts w:eastAsia="Times New Roman"/>
          <w:noProof/>
          <w:szCs w:val="24"/>
        </w:rPr>
      </w:pPr>
      <w:r>
        <w:rPr>
          <w:noProof/>
        </w:rPr>
        <w:t xml:space="preserve">3. Une autorité douanière peut suspendre à tout moment la coopération prévue dans le cadre de la présente décision moyennant un préavis écrit de trente (30) jours adressé à l’autre autorité douanière. Ce préavis est fourni respectivement à ou par les services compétents de la Commission européenne et l’autorité douanière du Canada. Nonobstant la suspension de la présente décision, les autorités douanières continuent de respecter les dispositions de l’article 6, paragraphes 1, 2, 4, 5 et 6 en veillant à la protection des renseignements. </w:t>
      </w:r>
    </w:p>
    <w:p>
      <w:pPr>
        <w:spacing w:after="0"/>
        <w:rPr>
          <w:rFonts w:eastAsia="Times New Roman"/>
          <w:noProof/>
          <w:szCs w:val="24"/>
        </w:rPr>
      </w:pPr>
      <w:r>
        <w:rPr>
          <w:noProof/>
        </w:rPr>
        <w:t>4. Une partie contractante peut dénoncer la présente décision à tout moment moyennant une notification adressée à l’autre partie contractante par la voie diplomatique. La décision expire trente (30) jours après que la notification écrite a été reçue par l’autre partie contractante. Nonobstant la dénonciation de la présente décision, les autorités douanières continuent de respecter les dispositions de l’article 6, paragraphes 2, 4 et 6 en veillant à la protection des renseignements.</w:t>
      </w:r>
    </w:p>
    <w:p>
      <w:pPr>
        <w:spacing w:after="0"/>
        <w:rPr>
          <w:rFonts w:eastAsia="Times New Roman"/>
          <w:noProof/>
          <w:szCs w:val="24"/>
        </w:rPr>
      </w:pPr>
    </w:p>
    <w:p>
      <w:pPr>
        <w:spacing w:after="0"/>
        <w:rPr>
          <w:rFonts w:eastAsia="Times New Roman"/>
          <w:noProof/>
          <w:szCs w:val="24"/>
        </w:rPr>
      </w:pPr>
      <w:r>
        <w:rPr>
          <w:noProof/>
        </w:rPr>
        <w:t>Fait en double exemplaire à…, le… 20…, en langues anglaise et française, chaque texte faisant également foi.</w:t>
      </w:r>
    </w:p>
    <w:p>
      <w:pPr>
        <w:rPr>
          <w:noProof/>
        </w:rPr>
      </w:pPr>
      <w:r>
        <w:rPr>
          <w:noProof/>
        </w:rPr>
        <w:t>Par le COMITÉ MIXTE DE COOPÉRATION DOUANIÈRE CANADA-UE</w:t>
      </w:r>
    </w:p>
    <w:p>
      <w:pPr>
        <w:rPr>
          <w:noProof/>
        </w:rPr>
      </w:pPr>
      <w:r>
        <w:rPr>
          <w:noProof/>
        </w:rPr>
        <w:t>Pour l’UE</w:t>
      </w:r>
      <w:r>
        <w:rPr>
          <w:noProof/>
        </w:rPr>
        <w:tab/>
      </w:r>
      <w:r>
        <w:rPr>
          <w:noProof/>
        </w:rPr>
        <w:tab/>
      </w:r>
      <w:r>
        <w:rPr>
          <w:noProof/>
        </w:rPr>
        <w:tab/>
      </w:r>
      <w:r>
        <w:rPr>
          <w:noProof/>
        </w:rPr>
        <w:tab/>
      </w:r>
      <w:r>
        <w:rPr>
          <w:noProof/>
        </w:rPr>
        <w:tab/>
      </w:r>
      <w:r>
        <w:rPr>
          <w:noProof/>
        </w:rPr>
        <w:tab/>
      </w:r>
      <w:r>
        <w:rPr>
          <w:noProof/>
        </w:rPr>
        <w:tab/>
        <w:t>Pour le Canada</w:t>
      </w:r>
    </w:p>
    <w:p>
      <w:pPr>
        <w:rPr>
          <w:noProof/>
        </w:rPr>
      </w:pPr>
      <w:r>
        <w:rPr>
          <w:noProof/>
        </w:rPr>
        <w:t>(Les coprésidents)</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2D4D4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62030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14F2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07AB2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B497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0AA17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D6343C"/>
    <w:lvl w:ilvl="0">
      <w:start w:val="1"/>
      <w:numFmt w:val="decimal"/>
      <w:pStyle w:val="ListNumber"/>
      <w:lvlText w:val="%1."/>
      <w:lvlJc w:val="left"/>
      <w:pPr>
        <w:tabs>
          <w:tab w:val="num" w:pos="360"/>
        </w:tabs>
        <w:ind w:left="360" w:hanging="360"/>
      </w:pPr>
    </w:lvl>
  </w:abstractNum>
  <w:abstractNum w:abstractNumId="7">
    <w:nsid w:val="FFFFFF89"/>
    <w:multiLevelType w:val="singleLevel"/>
    <w:tmpl w:val="779E46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oNotTrackMoves/>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R_RefLast" w:val="0"/>
    <w:docVar w:name="DQCDateTime" w:val="2020-10-19 13:26:2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6"/>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BC03D407-7FF3-499F-B727-394FDB508003"/>
    <w:docVar w:name="LW_COVERPAGE_TYPE" w:val="1"/>
    <w:docVar w:name="LW_CROSSREFERENCE" w:val="&lt;UNUSED&gt;"/>
    <w:docVar w:name="LW_DocType" w:val="ANNEX"/>
    <w:docVar w:name="LW_EMISSION" w:val="20.10.2020"/>
    <w:docVar w:name="LW_EMISSION_ISODATE" w:val="2020-10-20"/>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au sein du comité mixte de coopération douanière UE-Canada dans la perspective de l'adoption d'une décision relative à la reconnaissance mutuelle du programme &quot;Partenaires en protection&quot; du Canada et du programme relatif aux opérateurs économiques agréés de l'Union européenne"/>
    <w:docVar w:name="LW_OBJETACTEPRINCIPAL.CP" w:val="relative à la position à prendre, au nom de l'Union, au sein du comité mixte de coopération douanière UE-Canada dans la perspective de l'adoption d'une décision relative à la reconnaissance mutuelle du programme &quot;Partenaires en protection&quot; du Canada et du programme relatif aux opérateurs économiques agréés de l'Union européenne"/>
    <w:docVar w:name="LW_PART_NBR" w:val="1"/>
    <w:docVar w:name="LW_PART_NBR_TOTAL" w:val="1"/>
    <w:docVar w:name="LW_REF.INST.NEW" w:val="COM"/>
    <w:docVar w:name="LW_REF.INST.NEW_ADOPTED" w:val="final"/>
    <w:docVar w:name="LW_REF.INST.NEW_TEXT" w:val="(2020) 6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val="fr-FR"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fr-FR" w:eastAsia="en-U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954F72"/>
      <w:u w:val="single"/>
    </w:rPr>
  </w:style>
  <w:style w:type="paragraph" w:styleId="Revision">
    <w:name w:val="Revision"/>
    <w:hidden/>
    <w:uiPriority w:val="99"/>
    <w:semiHidden/>
    <w:rPr>
      <w:rFonts w:ascii="Times New Roman" w:hAnsi="Times New Roman"/>
      <w:sz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5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ANNEX.dotm</Template>
  <TotalTime>1</TotalTime>
  <Pages>8</Pages>
  <Words>2850</Words>
  <Characters>15961</Characters>
  <Application>Microsoft Office Word</Application>
  <DocSecurity>0</DocSecurity>
  <Lines>290</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18675</CharactersWithSpaces>
  <SharedDoc>false</SharedDoc>
  <HLinks>
    <vt:vector size="24" baseType="variant">
      <vt:variant>
        <vt:i4>6553723</vt:i4>
      </vt:variant>
      <vt:variant>
        <vt:i4>9</vt:i4>
      </vt:variant>
      <vt:variant>
        <vt:i4>0</vt:i4>
      </vt:variant>
      <vt:variant>
        <vt:i4>5</vt:i4>
      </vt:variant>
      <vt:variant>
        <vt:lpwstr>http://www.wcoomd.org/-/media/wco/public/fr/pdf/about-us/legal-instruments/conventions-and-agreements/nairobi/nairfr.pdf?la=fr</vt:lpwstr>
      </vt:variant>
      <vt:variant>
        <vt:lpwstr/>
      </vt:variant>
      <vt:variant>
        <vt:i4>5898252</vt:i4>
      </vt:variant>
      <vt:variant>
        <vt:i4>6</vt:i4>
      </vt:variant>
      <vt:variant>
        <vt:i4>0</vt:i4>
      </vt:variant>
      <vt:variant>
        <vt:i4>5</vt:i4>
      </vt:variant>
      <vt:variant>
        <vt:lpwstr>http://www.wcoomd.org/-/media/wco/public/global/pdf/about-us/legal-instruments/conventions-and-agreements/nairobi/naireng1.pdf?la=en</vt:lpwstr>
      </vt:variant>
      <vt:variant>
        <vt:lpwstr/>
      </vt:variant>
      <vt:variant>
        <vt:i4>589828</vt:i4>
      </vt:variant>
      <vt:variant>
        <vt:i4>3</vt:i4>
      </vt:variant>
      <vt:variant>
        <vt:i4>0</vt:i4>
      </vt:variant>
      <vt:variant>
        <vt:i4>5</vt:i4>
      </vt:variant>
      <vt:variant>
        <vt:lpwstr>https://www.btb.termiumplus.gc.ca/tpv2guides/guides/clefsfp/index-eng.html?lang=eng&amp;lettr=indx_catlog_e&amp;page=95hqB6zSz4V4.html</vt:lpwstr>
      </vt:variant>
      <vt:variant>
        <vt:lpwstr/>
      </vt:variant>
      <vt:variant>
        <vt:i4>3866664</vt:i4>
      </vt:variant>
      <vt:variant>
        <vt:i4>0</vt:i4>
      </vt:variant>
      <vt:variant>
        <vt:i4>0</vt:i4>
      </vt:variant>
      <vt:variant>
        <vt:i4>5</vt:i4>
      </vt:variant>
      <vt:variant>
        <vt:lpwstr>https://eur-lex.europa.eu/legal-content/EN-FR/TXT/?uri=CELEX:32013R0952&amp;fromTab=ALL&amp;from=EN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DUKATS Ivars (TAXUD)</dc:creator>
  <cp:keywords/>
  <dc:description/>
  <cp:lastModifiedBy>WES PDFC Administrator</cp:lastModifiedBy>
  <cp:revision>9</cp:revision>
  <cp:lastPrinted>2020-01-30T16:25:00Z</cp:lastPrinted>
  <dcterms:created xsi:type="dcterms:W3CDTF">2020-09-21T06:09:00Z</dcterms:created>
  <dcterms:modified xsi:type="dcterms:W3CDTF">2020-10-19T11:26:00Z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