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017A1F6-7754-494F-8E3B-098038493409" style="width:450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NormalCentered"/>
        <w:rPr>
          <w:b/>
          <w:noProof/>
        </w:rPr>
      </w:pPr>
      <w:bookmarkStart w:id="0" w:name="_GoBack"/>
      <w:bookmarkEnd w:id="0"/>
      <w:r>
        <w:rPr>
          <w:b/>
          <w:noProof/>
        </w:rPr>
        <w:lastRenderedPageBreak/>
        <w:t>ПРОЕКТ НА</w:t>
      </w:r>
    </w:p>
    <w:p>
      <w:pPr>
        <w:pStyle w:val="Annexetitre"/>
        <w:rPr>
          <w:noProof/>
        </w:rPr>
      </w:pPr>
      <w:r>
        <w:rPr>
          <w:noProof/>
        </w:rPr>
        <w:t>РЕШЕНИЕ № [.../2020] НА СЪВМЕСТНИЯ КОМИТЕТ ЗА МИТНИЧЕСКО СЪТРУДНИЧЕСТВО КАНАДА — ЕВРОПЕЙСКИ СЪЮЗ ОТНОСНО ВЗАИМНОТО ПРИЗНАВАНЕ НА ПРОГРАМАТА НА КАНАДА ЗА ЗАКРИЛА НА ПАРТНЬОРИТЕ И ПРОГРАМАТА ЗА ОДОБРЕНИ ИКОНОМИЧЕСКИ ОПЕРАТОРИ НА ЕВРОПЕЙСКИЯ СЪЮЗ</w:t>
      </w:r>
    </w:p>
    <w:p>
      <w:pPr>
        <w:rPr>
          <w:noProof/>
        </w:rPr>
      </w:pPr>
      <w:r>
        <w:rPr>
          <w:noProof/>
        </w:rPr>
        <w:t>СЪВМЕСТНИЯТ КОМИТЕТ ЗА МИТНИЧЕСКО СЪТРУДНИЧЕСТВО (СКМС),</w:t>
      </w:r>
    </w:p>
    <w:p>
      <w:pPr>
        <w:spacing w:after="0"/>
        <w:rPr>
          <w:rFonts w:eastAsia="Times New Roman"/>
          <w:noProof/>
          <w:szCs w:val="24"/>
        </w:rPr>
      </w:pPr>
      <w:r>
        <w:rPr>
          <w:noProof/>
        </w:rPr>
        <w:t xml:space="preserve">Като взе предвид </w:t>
      </w:r>
      <w:r>
        <w:rPr>
          <w:i/>
          <w:noProof/>
        </w:rPr>
        <w:t>Споразумението между Европейската общност и Канада относно митническо сътрудничество и взаимопомощ в митническата област, съставено в Отава на 4 декември 1997 г. (</w:t>
      </w:r>
      <w:r>
        <w:rPr>
          <w:noProof/>
        </w:rPr>
        <w:t>наричано по-нататък „СМАА“), и по-специално член 20 от него, съгласно който се създава СКМС, състоящ се от представители на митническите органи на договарящите страни по СМАА;</w:t>
      </w:r>
    </w:p>
    <w:p>
      <w:pPr>
        <w:spacing w:after="0"/>
        <w:rPr>
          <w:rFonts w:eastAsia="Times New Roman"/>
          <w:noProof/>
          <w:szCs w:val="24"/>
        </w:rPr>
      </w:pPr>
      <w:r>
        <w:rPr>
          <w:noProof/>
        </w:rPr>
        <w:t xml:space="preserve">Като взе предвид </w:t>
      </w:r>
      <w:r>
        <w:rPr>
          <w:i/>
          <w:noProof/>
        </w:rPr>
        <w:t>Споразумението между Европейския съюз и Канада относно митническо сътрудничество по въпроси, свързани със сигурността на веригата на доставка</w:t>
      </w:r>
      <w:r>
        <w:rPr>
          <w:noProof/>
        </w:rPr>
        <w:t>, съставено в Брюксел на 4 март 2013 г. (наричано по-нататък „SCSA“), и по-специално член 5 от него и разпоредбите, отнасящи се до взаимното признаване на програмите за сигурност на веригата на доставки и свързания с това обмен на информация и данни по член 4, букви в), г) и е);</w:t>
      </w:r>
    </w:p>
    <w:p>
      <w:pPr>
        <w:spacing w:after="0"/>
        <w:rPr>
          <w:rFonts w:eastAsia="Times New Roman"/>
          <w:noProof/>
          <w:szCs w:val="24"/>
        </w:rPr>
      </w:pPr>
      <w:r>
        <w:rPr>
          <w:noProof/>
        </w:rPr>
        <w:t>Като признават, че Европейският съюз (ЕС) и Канада (наричани по-нататък „договарящите страни“) поемат ангажимент за засилване на тяхното митническо сътрудничество в съответствие със СМАА и SCSA;</w:t>
      </w:r>
    </w:p>
    <w:p>
      <w:pPr>
        <w:spacing w:after="0"/>
        <w:rPr>
          <w:rFonts w:eastAsia="Times New Roman"/>
          <w:noProof/>
          <w:szCs w:val="24"/>
        </w:rPr>
      </w:pPr>
      <w:r>
        <w:rPr>
          <w:noProof/>
        </w:rPr>
        <w:t>Като потвърждават ангажимента на договарящите страни за улесняване на търговията и подобряване на сигурността на веригата на доставки посредством програми за търговско партньорство;</w:t>
      </w:r>
    </w:p>
    <w:p>
      <w:pPr>
        <w:spacing w:after="0"/>
        <w:rPr>
          <w:rFonts w:eastAsia="Times New Roman"/>
          <w:noProof/>
          <w:szCs w:val="24"/>
        </w:rPr>
      </w:pPr>
      <w:r>
        <w:rPr>
          <w:noProof/>
        </w:rPr>
        <w:t>Като потвърждават, че сигурността и безопасността, както и улесняването на международната търговска верига на доставки могат да бъдат значително подобрени чрез взаимно признаване на съответните програми за търговско партньорство, а именно програмата на Канада за закрила за партньорите (ПЗП) и програмата за одобрени икономически оператори (ОИО) в ЕС;</w:t>
      </w:r>
    </w:p>
    <w:p>
      <w:pPr>
        <w:spacing w:after="0"/>
        <w:rPr>
          <w:rFonts w:eastAsia="Times New Roman"/>
          <w:noProof/>
          <w:szCs w:val="24"/>
        </w:rPr>
      </w:pPr>
      <w:r>
        <w:rPr>
          <w:noProof/>
        </w:rPr>
        <w:t>Като потвърждават, че програмите ПЗИ и ОИО се основават на международно признати стандарти за сигурност, препоръчани от Рамката от стандарти за сигурност и улесняване на глобалната търговия (SAFE), приета от Световната митническа организация през юни 2005 г.;</w:t>
      </w:r>
    </w:p>
    <w:p>
      <w:pPr>
        <w:spacing w:after="0"/>
        <w:rPr>
          <w:rFonts w:eastAsia="Times New Roman"/>
          <w:noProof/>
          <w:szCs w:val="24"/>
        </w:rPr>
      </w:pPr>
      <w:r>
        <w:rPr>
          <w:noProof/>
        </w:rPr>
        <w:t>Като имат предвид, че при посещенията на място и съвместната оценка на програмата за ОИО в ЕС и програмата за ПЗП в Канада стана ясно, че техните изисквания по отношение на стандартите за сигурност и безопасност са съвместими и водят до равностойни резултати;</w:t>
      </w:r>
    </w:p>
    <w:p>
      <w:pPr>
        <w:spacing w:after="0"/>
        <w:rPr>
          <w:rFonts w:eastAsia="Times New Roman"/>
          <w:noProof/>
          <w:szCs w:val="24"/>
        </w:rPr>
      </w:pPr>
      <w:r>
        <w:rPr>
          <w:noProof/>
        </w:rPr>
        <w:t>Като има предвид, че взаимното признаване дава възможност договарящите страни да предоставят улеснения на икономическите оператори, които са инвестирали в спазване на сигурността на веригата на доставки и които са одобрени по съответните програми,</w:t>
      </w:r>
    </w:p>
    <w:p>
      <w:pPr>
        <w:spacing w:after="0"/>
        <w:rPr>
          <w:rFonts w:eastAsia="Times New Roman"/>
          <w:noProof/>
          <w:szCs w:val="24"/>
        </w:rPr>
      </w:pPr>
      <w:r>
        <w:rPr>
          <w:noProof/>
        </w:rPr>
        <w:t>РЕШИ:</w:t>
      </w:r>
    </w:p>
    <w:p>
      <w:pPr>
        <w:spacing w:after="0"/>
        <w:rPr>
          <w:rFonts w:eastAsia="Times New Roman"/>
          <w:b/>
          <w:i/>
          <w:noProof/>
          <w:szCs w:val="24"/>
        </w:rPr>
      </w:pPr>
      <w:r>
        <w:rPr>
          <w:b/>
          <w:i/>
          <w:noProof/>
        </w:rPr>
        <w:t>Член 1</w:t>
      </w:r>
    </w:p>
    <w:p>
      <w:pPr>
        <w:spacing w:after="0"/>
        <w:rPr>
          <w:rFonts w:eastAsia="Times New Roman"/>
          <w:b/>
          <w:i/>
          <w:noProof/>
          <w:szCs w:val="24"/>
        </w:rPr>
      </w:pPr>
      <w:r>
        <w:rPr>
          <w:b/>
          <w:i/>
          <w:noProof/>
        </w:rPr>
        <w:t>Определения</w:t>
      </w:r>
    </w:p>
    <w:p>
      <w:pPr>
        <w:spacing w:after="0"/>
        <w:rPr>
          <w:rFonts w:eastAsia="Times New Roman"/>
          <w:noProof/>
          <w:szCs w:val="24"/>
        </w:rPr>
      </w:pPr>
      <w:r>
        <w:rPr>
          <w:noProof/>
        </w:rPr>
        <w:t xml:space="preserve">По смисъла на настоящото решение: </w:t>
      </w:r>
    </w:p>
    <w:p>
      <w:pPr>
        <w:spacing w:after="0"/>
        <w:rPr>
          <w:rFonts w:eastAsia="Times New Roman"/>
          <w:noProof/>
          <w:szCs w:val="24"/>
        </w:rPr>
      </w:pPr>
      <w:r>
        <w:rPr>
          <w:noProof/>
        </w:rPr>
        <w:t>„митнически орган“ означава митнически орган съгласно определението в член 1, параграф 1 от SCSA, наричан по-долу заедно „митнически органи“ и поотделно „митнически орган“;</w:t>
      </w:r>
    </w:p>
    <w:p>
      <w:pPr>
        <w:spacing w:after="0"/>
        <w:rPr>
          <w:rFonts w:eastAsia="Times New Roman"/>
          <w:noProof/>
          <w:szCs w:val="24"/>
        </w:rPr>
      </w:pPr>
      <w:r>
        <w:rPr>
          <w:noProof/>
        </w:rPr>
        <w:t>„икономически оператор“ означава страна, участваща в международното движение на стоки;</w:t>
      </w:r>
    </w:p>
    <w:p>
      <w:pPr>
        <w:spacing w:after="0"/>
        <w:rPr>
          <w:rFonts w:eastAsia="Times New Roman"/>
          <w:noProof/>
          <w:szCs w:val="24"/>
        </w:rPr>
      </w:pPr>
      <w:r>
        <w:rPr>
          <w:noProof/>
        </w:rPr>
        <w:t>„лични данни“ означава всяка информация, отнасяща се до физическо лице, чиято самоличност е установена или може да бъде установена;</w:t>
      </w:r>
    </w:p>
    <w:p>
      <w:pPr>
        <w:spacing w:after="0"/>
        <w:rPr>
          <w:rFonts w:eastAsia="Times New Roman"/>
          <w:noProof/>
          <w:szCs w:val="24"/>
        </w:rPr>
      </w:pPr>
      <w:r>
        <w:rPr>
          <w:noProof/>
        </w:rPr>
        <w:t>„програма“ означава:</w:t>
      </w:r>
    </w:p>
    <w:p>
      <w:pPr>
        <w:spacing w:after="0"/>
        <w:ind w:left="1080"/>
        <w:rPr>
          <w:rFonts w:eastAsia="Times New Roman"/>
          <w:noProof/>
          <w:szCs w:val="24"/>
        </w:rPr>
      </w:pPr>
      <w:r>
        <w:rPr>
          <w:noProof/>
        </w:rPr>
        <w:t>а) в ЕС: програмата за ОИО, обхващаща ОИО за сигурност и безопасност (разрешение) и комбинирани ОИО за митнически опростявания/сигурност и безопасност (ОИОМО/ОИОСБ) (разрешение);</w:t>
      </w:r>
    </w:p>
    <w:p>
      <w:pPr>
        <w:spacing w:after="0"/>
        <w:ind w:left="1080"/>
        <w:rPr>
          <w:rFonts w:eastAsia="Times New Roman"/>
          <w:noProof/>
          <w:szCs w:val="24"/>
        </w:rPr>
      </w:pPr>
      <w:r>
        <w:rPr>
          <w:noProof/>
        </w:rPr>
        <w:t>б) в Канада: програмата за закрила на партньорите (ПЗП); както и</w:t>
      </w:r>
    </w:p>
    <w:p>
      <w:pPr>
        <w:spacing w:after="0"/>
        <w:rPr>
          <w:rFonts w:eastAsia="Times New Roman"/>
          <w:noProof/>
          <w:szCs w:val="24"/>
        </w:rPr>
      </w:pPr>
      <w:r>
        <w:rPr>
          <w:noProof/>
        </w:rPr>
        <w:t>„участници в програмата“ означава икономическите оператори, които имат статут на участници в програмата за ОИО в ЕС и статут на участници в програмата за закрила на партньорите в Канада, според описанието в определението за „програма“, когато са посочени заедно.</w:t>
      </w:r>
    </w:p>
    <w:p>
      <w:pPr>
        <w:spacing w:after="0"/>
        <w:rPr>
          <w:rFonts w:eastAsia="Times New Roman"/>
          <w:b/>
          <w:i/>
          <w:noProof/>
          <w:szCs w:val="24"/>
        </w:rPr>
      </w:pPr>
      <w:r>
        <w:rPr>
          <w:b/>
          <w:i/>
          <w:noProof/>
        </w:rPr>
        <w:t>Член 2</w:t>
      </w:r>
    </w:p>
    <w:p>
      <w:pPr>
        <w:spacing w:after="0"/>
        <w:rPr>
          <w:rFonts w:eastAsia="Times New Roman"/>
          <w:b/>
          <w:i/>
          <w:noProof/>
          <w:szCs w:val="24"/>
        </w:rPr>
      </w:pPr>
      <w:r>
        <w:rPr>
          <w:b/>
          <w:i/>
          <w:noProof/>
        </w:rPr>
        <w:t>Взаимно признаване и прилагане на решението</w:t>
      </w:r>
    </w:p>
    <w:p>
      <w:pPr>
        <w:spacing w:after="0"/>
        <w:rPr>
          <w:rFonts w:eastAsia="Times New Roman"/>
          <w:noProof/>
          <w:szCs w:val="24"/>
        </w:rPr>
      </w:pPr>
      <w:r>
        <w:rPr>
          <w:noProof/>
        </w:rPr>
        <w:t xml:space="preserve">1. Всяка договаряща страна чрез своя митнически орган признава програмата на другата договаряща страна като съвместима и еквивалентна на своята програма и третира участниците в програмата на другата договаряща страна по начин, съвместим с член 4. </w:t>
      </w:r>
    </w:p>
    <w:p>
      <w:pPr>
        <w:spacing w:after="0"/>
        <w:rPr>
          <w:rFonts w:eastAsia="Times New Roman"/>
          <w:noProof/>
          <w:szCs w:val="24"/>
        </w:rPr>
      </w:pPr>
      <w:r>
        <w:rPr>
          <w:noProof/>
        </w:rPr>
        <w:t>2. Договарящите страни прилагат настоящото решение чрез своите съответни митнически органи.</w:t>
      </w:r>
    </w:p>
    <w:p>
      <w:pPr>
        <w:spacing w:after="0"/>
        <w:rPr>
          <w:rFonts w:eastAsia="Times New Roman"/>
          <w:b/>
          <w:i/>
          <w:noProof/>
          <w:szCs w:val="24"/>
        </w:rPr>
      </w:pPr>
      <w:r>
        <w:rPr>
          <w:b/>
          <w:i/>
          <w:noProof/>
        </w:rPr>
        <w:t>Член 3</w:t>
      </w:r>
    </w:p>
    <w:p>
      <w:pPr>
        <w:spacing w:after="0"/>
        <w:rPr>
          <w:rFonts w:eastAsia="Times New Roman"/>
          <w:i/>
          <w:noProof/>
          <w:szCs w:val="24"/>
        </w:rPr>
      </w:pPr>
      <w:r>
        <w:rPr>
          <w:b/>
          <w:i/>
          <w:noProof/>
        </w:rPr>
        <w:t>Съвместимост</w:t>
      </w:r>
    </w:p>
    <w:p>
      <w:pPr>
        <w:spacing w:after="0"/>
        <w:rPr>
          <w:rFonts w:eastAsia="Times New Roman"/>
          <w:noProof/>
          <w:szCs w:val="24"/>
        </w:rPr>
      </w:pPr>
      <w:r>
        <w:rPr>
          <w:noProof/>
        </w:rPr>
        <w:t>Митническите органи си сътрудничат с цел запазване на съвместимостта и еквивалентността на своите програми, по-специално по отношение на следните въпроси:</w:t>
      </w:r>
    </w:p>
    <w:p>
      <w:pPr>
        <w:spacing w:after="0"/>
        <w:ind w:left="720"/>
        <w:rPr>
          <w:rFonts w:eastAsia="Times New Roman"/>
          <w:noProof/>
          <w:szCs w:val="24"/>
        </w:rPr>
      </w:pPr>
      <w:r>
        <w:rPr>
          <w:noProof/>
        </w:rPr>
        <w:t>а) процедурата за подаване на заявления за участие;</w:t>
      </w:r>
    </w:p>
    <w:p>
      <w:pPr>
        <w:spacing w:after="0"/>
        <w:ind w:left="720"/>
        <w:rPr>
          <w:rFonts w:eastAsia="Times New Roman"/>
          <w:noProof/>
          <w:szCs w:val="24"/>
        </w:rPr>
      </w:pPr>
      <w:r>
        <w:rPr>
          <w:noProof/>
        </w:rPr>
        <w:t xml:space="preserve">б) оценката на заявленията; както и </w:t>
      </w:r>
    </w:p>
    <w:p>
      <w:pPr>
        <w:spacing w:after="0"/>
        <w:ind w:left="720"/>
        <w:rPr>
          <w:rFonts w:eastAsia="Times New Roman"/>
          <w:noProof/>
          <w:szCs w:val="24"/>
        </w:rPr>
      </w:pPr>
      <w:r>
        <w:rPr>
          <w:noProof/>
        </w:rPr>
        <w:t>в) предоставянето на статут на участник и управлението на статута на участник.</w:t>
      </w:r>
    </w:p>
    <w:p>
      <w:pPr>
        <w:spacing w:after="0"/>
        <w:rPr>
          <w:rFonts w:eastAsia="Times New Roman"/>
          <w:b/>
          <w:i/>
          <w:noProof/>
          <w:szCs w:val="24"/>
        </w:rPr>
      </w:pPr>
      <w:r>
        <w:rPr>
          <w:b/>
          <w:i/>
          <w:noProof/>
        </w:rPr>
        <w:t>Член 4</w:t>
      </w:r>
    </w:p>
    <w:p>
      <w:pPr>
        <w:spacing w:after="0"/>
        <w:rPr>
          <w:rFonts w:eastAsia="Times New Roman"/>
          <w:i/>
          <w:noProof/>
          <w:szCs w:val="24"/>
        </w:rPr>
      </w:pPr>
      <w:r>
        <w:rPr>
          <w:b/>
          <w:i/>
          <w:noProof/>
        </w:rPr>
        <w:t>Предимства</w:t>
      </w:r>
    </w:p>
    <w:p>
      <w:pPr>
        <w:spacing w:after="0"/>
        <w:rPr>
          <w:rFonts w:eastAsia="Times New Roman"/>
          <w:noProof/>
          <w:szCs w:val="24"/>
        </w:rPr>
      </w:pPr>
      <w:r>
        <w:rPr>
          <w:noProof/>
        </w:rPr>
        <w:t>1. Всеки митнически орган предоставя предимства на участниците в програмата на другия митнически орган, които са сравними с предимствата, които предоставя на участниците в своята програма.</w:t>
      </w:r>
    </w:p>
    <w:p>
      <w:pPr>
        <w:spacing w:after="0"/>
        <w:rPr>
          <w:rFonts w:eastAsia="Times New Roman"/>
          <w:noProof/>
          <w:szCs w:val="24"/>
        </w:rPr>
      </w:pPr>
      <w:r>
        <w:rPr>
          <w:noProof/>
        </w:rPr>
        <w:t>2. Предимствата по параграф 1 включват:</w:t>
      </w:r>
    </w:p>
    <w:p>
      <w:pPr>
        <w:spacing w:after="0"/>
        <w:ind w:left="720"/>
        <w:rPr>
          <w:rFonts w:eastAsia="Times New Roman"/>
          <w:noProof/>
          <w:szCs w:val="24"/>
        </w:rPr>
      </w:pPr>
      <w:r>
        <w:rPr>
          <w:noProof/>
        </w:rPr>
        <w:t xml:space="preserve">а) положителен ефект от одобрения от другия митнически орган статут на участник в програмата при оценката на риска, което би могло да намали броя на инспекциите или проверките и на други свързани със сигурността и безопасността мерки, ако има такива; </w:t>
      </w:r>
    </w:p>
    <w:p>
      <w:pPr>
        <w:spacing w:after="0"/>
        <w:ind w:left="720"/>
        <w:rPr>
          <w:rFonts w:eastAsia="Times New Roman"/>
          <w:noProof/>
          <w:szCs w:val="24"/>
        </w:rPr>
      </w:pPr>
      <w:r>
        <w:rPr>
          <w:noProof/>
        </w:rPr>
        <w:t>б) положителен ефект от одобрения от другия митнически орган статут на участник в програмата, когато се оценява дали са изпълнени изискванията за бизнес партньорите, налагани по отношение на подалите заявление в рамките на собствената програма;</w:t>
      </w:r>
    </w:p>
    <w:p>
      <w:pPr>
        <w:spacing w:after="0"/>
        <w:ind w:left="720"/>
        <w:rPr>
          <w:rFonts w:eastAsia="Times New Roman"/>
          <w:noProof/>
          <w:szCs w:val="24"/>
        </w:rPr>
      </w:pPr>
      <w:r>
        <w:rPr>
          <w:noProof/>
        </w:rPr>
        <w:t>в) полагане на усилия одобреният от другия митнически орган статут на участник в програмата да бъде взет предвид при осигуряване на приоритетно третиране на участниците в програмата и на техните пратки, ако предоставящият предимствата митнически орган прецени, че е целесъобразно, което може да включва приоритетна проверка, ускорена обработка и ускорено вдигане на пратките, свързани с участници в програмата; както и</w:t>
      </w:r>
    </w:p>
    <w:p>
      <w:pPr>
        <w:spacing w:after="0"/>
        <w:ind w:left="720"/>
        <w:rPr>
          <w:rFonts w:eastAsia="Times New Roman"/>
          <w:noProof/>
          <w:szCs w:val="24"/>
        </w:rPr>
      </w:pPr>
      <w:r>
        <w:rPr>
          <w:noProof/>
        </w:rPr>
        <w:t>г) полагане на усилия за създаване на механизъм за осигуряване на непрекъснатост на дейността с цел предоставяне на по-бързо митническо освобождаване на участниците в програмата и техните пратки, ако предоставящият предимствата митнически орган прецени, че е целесъобразно, при възстановяване на услугите след прекъсване на международната търговия поради повишени нива на тревога във връзка със сигурността, затваряне на границите или природни бедствия, опасни извънредни ситуации или други сериозни инциденти.</w:t>
      </w:r>
    </w:p>
    <w:p>
      <w:pPr>
        <w:spacing w:after="0"/>
        <w:rPr>
          <w:rFonts w:eastAsia="Times New Roman"/>
          <w:noProof/>
          <w:szCs w:val="24"/>
        </w:rPr>
      </w:pPr>
      <w:r>
        <w:rPr>
          <w:noProof/>
        </w:rPr>
        <w:t xml:space="preserve">3. След процеса на преглед по член 7, параграф 2 митническите органи на всяка договаряща страна могат, в сътрудничество с други правителствени органи на нейна територия, да предоставят допълнителни улеснения, които могат да включват опростяване на процедурите и увеличаване на предвидимостта на движението на границата, доколкото това е възможно. </w:t>
      </w:r>
    </w:p>
    <w:p>
      <w:pPr>
        <w:spacing w:after="0"/>
        <w:rPr>
          <w:rFonts w:eastAsia="Times New Roman"/>
          <w:noProof/>
          <w:szCs w:val="24"/>
        </w:rPr>
      </w:pPr>
      <w:r>
        <w:rPr>
          <w:noProof/>
        </w:rPr>
        <w:t>4. Всеки митнически орган:</w:t>
      </w:r>
    </w:p>
    <w:p>
      <w:pPr>
        <w:spacing w:after="0"/>
        <w:ind w:left="720"/>
        <w:rPr>
          <w:rFonts w:eastAsia="Times New Roman"/>
          <w:noProof/>
          <w:szCs w:val="24"/>
        </w:rPr>
      </w:pPr>
      <w:r>
        <w:rPr>
          <w:noProof/>
        </w:rPr>
        <w:t>а) може временно да преустанови предимствата, с които се ползват участниците в програмата на другия митнически орган съгласно настоящото решение;</w:t>
      </w:r>
    </w:p>
    <w:p>
      <w:pPr>
        <w:spacing w:after="0"/>
        <w:ind w:left="720"/>
        <w:rPr>
          <w:rFonts w:eastAsia="Times New Roman"/>
          <w:noProof/>
          <w:szCs w:val="24"/>
        </w:rPr>
      </w:pPr>
      <w:r>
        <w:rPr>
          <w:noProof/>
        </w:rPr>
        <w:t>б) уведомява в разумен срок другия митнически орган за временното преустановяване по буква а) и причините за него; както и</w:t>
      </w:r>
    </w:p>
    <w:p>
      <w:pPr>
        <w:spacing w:after="0"/>
        <w:ind w:left="720"/>
        <w:rPr>
          <w:rFonts w:eastAsia="Times New Roman"/>
          <w:noProof/>
          <w:szCs w:val="24"/>
        </w:rPr>
      </w:pPr>
      <w:r>
        <w:rPr>
          <w:noProof/>
        </w:rPr>
        <w:t xml:space="preserve">в) може да пристъпи към временното преустановяване по буква а) единствено по причини, еквивалентни на тези, поради които би преустановил участието на участник от своята програмата. </w:t>
      </w:r>
    </w:p>
    <w:p>
      <w:pPr>
        <w:spacing w:after="0"/>
        <w:rPr>
          <w:rFonts w:eastAsia="Times New Roman"/>
          <w:noProof/>
          <w:szCs w:val="24"/>
        </w:rPr>
      </w:pPr>
      <w:r>
        <w:rPr>
          <w:noProof/>
        </w:rPr>
        <w:t>5. Всеки митнически орган уведомява, когато сметне за уместно, другия митнически орган за нередности, свързани с участници в програмата на другия митнически орган, за да може другият митнически орган незабавно да прецени дали предоставените от него предимства и статут са целесъобразни.</w:t>
      </w:r>
    </w:p>
    <w:p>
      <w:pPr>
        <w:spacing w:after="0"/>
        <w:rPr>
          <w:rFonts w:eastAsia="Times New Roman"/>
          <w:noProof/>
          <w:szCs w:val="24"/>
        </w:rPr>
      </w:pPr>
      <w:r>
        <w:rPr>
          <w:noProof/>
        </w:rPr>
        <w:t>6. От съображения за правна сигурност, настоящото решение не ограничава договаряща страна или митнически орган да изиска информация съгласно CMAA или друг приложим инструмент между договарящите страни или между митническите органи.</w:t>
      </w:r>
    </w:p>
    <w:p>
      <w:pPr>
        <w:spacing w:after="0"/>
        <w:rPr>
          <w:rFonts w:eastAsia="Times New Roman"/>
          <w:b/>
          <w:i/>
          <w:noProof/>
          <w:szCs w:val="24"/>
        </w:rPr>
      </w:pPr>
      <w:r>
        <w:rPr>
          <w:b/>
          <w:i/>
          <w:noProof/>
        </w:rPr>
        <w:t>Член 5</w:t>
      </w:r>
    </w:p>
    <w:p>
      <w:pPr>
        <w:spacing w:after="0"/>
        <w:rPr>
          <w:rFonts w:eastAsia="Times New Roman"/>
          <w:i/>
          <w:noProof/>
          <w:szCs w:val="24"/>
        </w:rPr>
      </w:pPr>
      <w:r>
        <w:rPr>
          <w:b/>
          <w:bCs/>
          <w:i/>
          <w:noProof/>
        </w:rPr>
        <w:t xml:space="preserve">Обмен на информация и комуникация </w:t>
      </w:r>
    </w:p>
    <w:p>
      <w:pPr>
        <w:spacing w:after="0"/>
        <w:rPr>
          <w:rFonts w:eastAsia="Times New Roman"/>
          <w:noProof/>
          <w:szCs w:val="24"/>
        </w:rPr>
      </w:pPr>
      <w:r>
        <w:rPr>
          <w:noProof/>
        </w:rPr>
        <w:t>1. С оглед на ефективно прилагане на настоящото решение митническите органи подобряват комуникацията помежду си, като:</w:t>
      </w:r>
    </w:p>
    <w:p>
      <w:pPr>
        <w:spacing w:after="0"/>
        <w:ind w:left="720"/>
        <w:rPr>
          <w:rFonts w:eastAsia="Times New Roman"/>
          <w:noProof/>
          <w:szCs w:val="24"/>
        </w:rPr>
      </w:pPr>
      <w:r>
        <w:rPr>
          <w:noProof/>
        </w:rPr>
        <w:t>а) взаимно си предоставят подробна информация за участниците в своята програма съгласно член 5, параграф 3;</w:t>
      </w:r>
    </w:p>
    <w:p>
      <w:pPr>
        <w:spacing w:after="0"/>
        <w:ind w:left="720"/>
        <w:rPr>
          <w:rFonts w:eastAsia="Times New Roman"/>
          <w:noProof/>
          <w:szCs w:val="24"/>
        </w:rPr>
      </w:pPr>
      <w:r>
        <w:rPr>
          <w:noProof/>
        </w:rPr>
        <w:t>б) своевременно си предоставят актуална информация за действието и измененията на програмите си;</w:t>
      </w:r>
    </w:p>
    <w:p>
      <w:pPr>
        <w:spacing w:after="0"/>
        <w:ind w:left="720"/>
        <w:rPr>
          <w:rFonts w:eastAsia="Times New Roman"/>
          <w:noProof/>
          <w:szCs w:val="24"/>
        </w:rPr>
      </w:pPr>
      <w:r>
        <w:rPr>
          <w:noProof/>
        </w:rPr>
        <w:t>в) обменят информация относно политиката си и тенденциите във връзка със сигурността на веригата на доставки; както и</w:t>
      </w:r>
    </w:p>
    <w:p>
      <w:pPr>
        <w:spacing w:after="0"/>
        <w:ind w:left="720"/>
        <w:rPr>
          <w:rFonts w:eastAsia="Times New Roman"/>
          <w:noProof/>
          <w:szCs w:val="24"/>
        </w:rPr>
      </w:pPr>
      <w:r>
        <w:rPr>
          <w:noProof/>
        </w:rPr>
        <w:t>г) осигуряват ефективна комуникация между компетентните служби на Европейската комисия и митническия орган на Канада за подобряване на практиките за управление на риска по отношение на сигурността на веригата на доставки.</w:t>
      </w:r>
    </w:p>
    <w:p>
      <w:pPr>
        <w:spacing w:after="0"/>
        <w:rPr>
          <w:noProof/>
          <w:szCs w:val="24"/>
        </w:rPr>
      </w:pPr>
      <w:r>
        <w:rPr>
          <w:noProof/>
        </w:rPr>
        <w:t>2. Обменът на информация и комуникацията съгласно настоящото решение се извършват между компетентните служби на Европейската комисия и митническия орган на Канада, освен ако е договорено друго преди обмена на информация или комуникацията.</w:t>
      </w:r>
    </w:p>
    <w:p>
      <w:pPr>
        <w:spacing w:after="0"/>
        <w:rPr>
          <w:rFonts w:eastAsia="Times New Roman"/>
          <w:noProof/>
          <w:szCs w:val="24"/>
        </w:rPr>
      </w:pPr>
      <w:r>
        <w:rPr>
          <w:noProof/>
        </w:rPr>
        <w:t>3. След получаване на съгласието на участника в своята програма всеки митнически орган изпраща на другия митнически орган конкретно следните данни за този участник в програмата:</w:t>
      </w:r>
    </w:p>
    <w:p>
      <w:pPr>
        <w:spacing w:after="0"/>
        <w:ind w:left="720"/>
        <w:rPr>
          <w:rFonts w:eastAsia="Times New Roman"/>
          <w:noProof/>
          <w:szCs w:val="24"/>
        </w:rPr>
      </w:pPr>
      <w:r>
        <w:rPr>
          <w:noProof/>
        </w:rPr>
        <w:t xml:space="preserve">а) име; </w:t>
      </w:r>
    </w:p>
    <w:p>
      <w:pPr>
        <w:spacing w:after="0"/>
        <w:ind w:left="720"/>
        <w:rPr>
          <w:rFonts w:eastAsia="Times New Roman"/>
          <w:noProof/>
          <w:szCs w:val="24"/>
        </w:rPr>
      </w:pPr>
      <w:r>
        <w:rPr>
          <w:noProof/>
        </w:rPr>
        <w:t>б) адрес;</w:t>
      </w:r>
    </w:p>
    <w:p>
      <w:pPr>
        <w:spacing w:after="0"/>
        <w:ind w:left="720"/>
        <w:rPr>
          <w:rFonts w:eastAsia="Times New Roman"/>
          <w:noProof/>
          <w:szCs w:val="24"/>
        </w:rPr>
      </w:pPr>
      <w:r>
        <w:rPr>
          <w:noProof/>
        </w:rPr>
        <w:t>в) статут на членство, а именно разрешено, временно преустановено, отменено или анулирано;</w:t>
      </w:r>
    </w:p>
    <w:p>
      <w:pPr>
        <w:spacing w:after="0"/>
        <w:ind w:left="720"/>
        <w:rPr>
          <w:noProof/>
          <w:szCs w:val="24"/>
        </w:rPr>
      </w:pPr>
      <w:r>
        <w:rPr>
          <w:noProof/>
        </w:rPr>
        <w:t>г) дата на валидиране или разрешение, когато е налична;</w:t>
      </w:r>
    </w:p>
    <w:p>
      <w:pPr>
        <w:spacing w:after="0"/>
        <w:ind w:left="720"/>
        <w:rPr>
          <w:rFonts w:eastAsia="Times New Roman"/>
          <w:noProof/>
          <w:szCs w:val="24"/>
        </w:rPr>
      </w:pPr>
      <w:r>
        <w:rPr>
          <w:noProof/>
        </w:rPr>
        <w:t>е) единен идентификационен номер (например: номер по ПЗП, EORI номер или ОИО номер); както и</w:t>
      </w:r>
    </w:p>
    <w:p>
      <w:pPr>
        <w:spacing w:after="0"/>
        <w:ind w:left="720"/>
        <w:rPr>
          <w:rFonts w:eastAsia="Times New Roman"/>
          <w:noProof/>
          <w:szCs w:val="24"/>
        </w:rPr>
      </w:pPr>
      <w:r>
        <w:rPr>
          <w:noProof/>
        </w:rPr>
        <w:t>ж) други данни по взаимна договореност между митническите органи при спазване на необходимите предпазни мерки, ако е приложимо.</w:t>
      </w:r>
    </w:p>
    <w:p>
      <w:pPr>
        <w:spacing w:after="0"/>
        <w:rPr>
          <w:rFonts w:eastAsia="Times New Roman"/>
          <w:noProof/>
          <w:szCs w:val="24"/>
        </w:rPr>
      </w:pPr>
      <w:r>
        <w:rPr>
          <w:noProof/>
        </w:rPr>
        <w:t xml:space="preserve">От съображения за правна сигурност, данните по буква в) не включват основанията за временното преустановяване, отмяната или анулирането. </w:t>
      </w:r>
    </w:p>
    <w:p>
      <w:pPr>
        <w:spacing w:after="0"/>
        <w:rPr>
          <w:rFonts w:eastAsia="Times New Roman"/>
          <w:noProof/>
          <w:szCs w:val="24"/>
        </w:rPr>
      </w:pPr>
      <w:r>
        <w:rPr>
          <w:noProof/>
        </w:rPr>
        <w:t>4.  Митническите органи системно обменят информацията по параграф 3 по електронен път.</w:t>
      </w:r>
    </w:p>
    <w:p>
      <w:pPr>
        <w:spacing w:after="0"/>
        <w:rPr>
          <w:rFonts w:eastAsia="Times New Roman"/>
          <w:b/>
          <w:i/>
          <w:noProof/>
          <w:szCs w:val="24"/>
        </w:rPr>
      </w:pPr>
      <w:r>
        <w:rPr>
          <w:b/>
          <w:i/>
          <w:noProof/>
        </w:rPr>
        <w:t>Член 6</w:t>
      </w:r>
    </w:p>
    <w:p>
      <w:pPr>
        <w:spacing w:after="0"/>
        <w:rPr>
          <w:b/>
          <w:i/>
          <w:noProof/>
        </w:rPr>
      </w:pPr>
      <w:r>
        <w:rPr>
          <w:b/>
          <w:i/>
          <w:noProof/>
        </w:rPr>
        <w:t>Третиране на информацията</w:t>
      </w:r>
    </w:p>
    <w:p>
      <w:pPr>
        <w:spacing w:after="0"/>
        <w:rPr>
          <w:rFonts w:eastAsia="Times New Roman"/>
          <w:noProof/>
          <w:szCs w:val="24"/>
        </w:rPr>
      </w:pPr>
      <w:r>
        <w:rPr>
          <w:noProof/>
        </w:rPr>
        <w:t>1. Всеки митнически орган:</w:t>
      </w:r>
    </w:p>
    <w:p>
      <w:pPr>
        <w:spacing w:after="0"/>
        <w:ind w:left="720"/>
        <w:rPr>
          <w:rFonts w:eastAsia="Times New Roman"/>
          <w:noProof/>
          <w:szCs w:val="24"/>
        </w:rPr>
      </w:pPr>
      <w:r>
        <w:rPr>
          <w:noProof/>
        </w:rPr>
        <w:t>а) използва всякаква информация, включително всякакви лични данни, получени съгласно настоящото решение, единствено за целите на неговото прилагане, включително мониторинг и докладване, освен ако в настоящото решение не е предвидено друго; както и</w:t>
      </w:r>
    </w:p>
    <w:p>
      <w:pPr>
        <w:spacing w:after="0"/>
        <w:ind w:left="720"/>
        <w:rPr>
          <w:rFonts w:eastAsia="Times New Roman"/>
          <w:noProof/>
          <w:szCs w:val="24"/>
        </w:rPr>
      </w:pPr>
      <w:r>
        <w:rPr>
          <w:noProof/>
        </w:rPr>
        <w:t>б) независимо от буква а), получава предварителното писмено одобрение от изпращащия информацията митнически орган, за да може да използва информацията за други цели. В такъв случай тази информация се използва при условията на всички ограничения, определени от този орган.</w:t>
      </w:r>
    </w:p>
    <w:p>
      <w:pPr>
        <w:spacing w:after="0"/>
        <w:rPr>
          <w:rFonts w:eastAsia="Times New Roman"/>
          <w:noProof/>
          <w:szCs w:val="24"/>
        </w:rPr>
      </w:pPr>
      <w:r>
        <w:rPr>
          <w:noProof/>
        </w:rPr>
        <w:t xml:space="preserve">2. Всеки митнически орган: </w:t>
      </w:r>
    </w:p>
    <w:p>
      <w:pPr>
        <w:spacing w:after="0"/>
        <w:ind w:left="720"/>
        <w:rPr>
          <w:rFonts w:eastAsia="Times New Roman"/>
          <w:noProof/>
          <w:szCs w:val="24"/>
        </w:rPr>
      </w:pPr>
      <w:r>
        <w:rPr>
          <w:noProof/>
        </w:rPr>
        <w:t>а) третира получената съгласно настоящото решение информация като поверителна; както и</w:t>
      </w:r>
    </w:p>
    <w:p>
      <w:pPr>
        <w:spacing w:after="0"/>
        <w:ind w:left="720"/>
        <w:rPr>
          <w:rFonts w:eastAsia="Times New Roman"/>
          <w:noProof/>
          <w:szCs w:val="24"/>
        </w:rPr>
      </w:pPr>
      <w:r>
        <w:rPr>
          <w:noProof/>
        </w:rPr>
        <w:t xml:space="preserve">б) осигурява най-малко същото ниво на защита на информацията, получавана съгласно настоящото решение, каквато предоставя на информацията, получена от участниците в своята програма.  </w:t>
      </w:r>
    </w:p>
    <w:p>
      <w:pPr>
        <w:spacing w:after="0"/>
        <w:rPr>
          <w:rFonts w:eastAsia="Times New Roman" w:cstheme="minorBidi"/>
          <w:noProof/>
          <w:szCs w:val="24"/>
        </w:rPr>
      </w:pPr>
      <w:r>
        <w:rPr>
          <w:noProof/>
        </w:rPr>
        <w:t>3. Независимо от параграф 1, буква а), митническият орган може да използва получената съгласно настоящото решение информация във връзка със съдебно или административно производство, образувано поради неспазване на митническото законодателство на неговата договаряща страна, включително като част от своите протоколи, доклади и свидетелски показания. Преди да използва тази информация, получилият информацията митнически орган уведомява за това изпращащия информацията митнически орган.</w:t>
      </w:r>
    </w:p>
    <w:p>
      <w:pPr>
        <w:spacing w:after="0"/>
        <w:rPr>
          <w:rFonts w:eastAsia="Times New Roman"/>
          <w:noProof/>
          <w:szCs w:val="24"/>
        </w:rPr>
      </w:pPr>
      <w:r>
        <w:rPr>
          <w:noProof/>
        </w:rPr>
        <w:t>4. Всеки митнически орган:</w:t>
      </w:r>
    </w:p>
    <w:p>
      <w:pPr>
        <w:spacing w:after="0"/>
        <w:ind w:left="720"/>
        <w:rPr>
          <w:rFonts w:eastAsia="Times New Roman"/>
          <w:noProof/>
          <w:szCs w:val="24"/>
        </w:rPr>
      </w:pPr>
      <w:r>
        <w:rPr>
          <w:noProof/>
        </w:rPr>
        <w:t>а) оповестява информацията, получена по силата на настоящото решение, единствено за целите, за които е била получена; както и</w:t>
      </w:r>
    </w:p>
    <w:p>
      <w:pPr>
        <w:spacing w:after="0"/>
        <w:ind w:left="720"/>
        <w:rPr>
          <w:rFonts w:eastAsia="Times New Roman"/>
          <w:noProof/>
          <w:szCs w:val="24"/>
        </w:rPr>
      </w:pPr>
      <w:r>
        <w:rPr>
          <w:noProof/>
        </w:rPr>
        <w:t>б) независимо от буква а), когато от митнически орган се изисква да оповести информация във връзка със съдебно или административно производство или когато това се изисква от действащото в неговата договаряща страна законодателство, той информира изпращащия информацията митнически орган предварително и в писмена форма за оповестяването, освен ако е възпрепятстван да го направи по силата на закон или поради текущо разследване. В този случай той информира изпращащия информацията митнически орган във възможно най-кратък срок след оповестяването.</w:t>
      </w:r>
    </w:p>
    <w:p>
      <w:pPr>
        <w:spacing w:after="0"/>
        <w:rPr>
          <w:rFonts w:eastAsia="Times New Roman"/>
          <w:noProof/>
          <w:szCs w:val="24"/>
        </w:rPr>
      </w:pPr>
      <w:r>
        <w:rPr>
          <w:noProof/>
        </w:rPr>
        <w:t>5. Всеки митнически орган:</w:t>
      </w:r>
    </w:p>
    <w:p>
      <w:pPr>
        <w:spacing w:after="0"/>
        <w:ind w:left="720"/>
        <w:rPr>
          <w:rFonts w:eastAsia="Times New Roman"/>
          <w:noProof/>
          <w:szCs w:val="24"/>
        </w:rPr>
      </w:pPr>
      <w:r>
        <w:rPr>
          <w:noProof/>
        </w:rPr>
        <w:t>а) гарантира, че изпращаната от него информация е точна и се актуализира редовно;</w:t>
      </w:r>
    </w:p>
    <w:p>
      <w:pPr>
        <w:spacing w:after="0"/>
        <w:ind w:left="720"/>
        <w:rPr>
          <w:rFonts w:eastAsia="Times New Roman"/>
          <w:noProof/>
          <w:szCs w:val="24"/>
        </w:rPr>
      </w:pPr>
      <w:r>
        <w:rPr>
          <w:noProof/>
        </w:rPr>
        <w:t>б) въвежда или поддържа подходящи процедури за заличаване;</w:t>
      </w:r>
    </w:p>
    <w:p>
      <w:pPr>
        <w:spacing w:after="0"/>
        <w:ind w:left="720"/>
        <w:rPr>
          <w:rFonts w:eastAsia="Times New Roman"/>
          <w:noProof/>
          <w:szCs w:val="24"/>
        </w:rPr>
      </w:pPr>
      <w:r>
        <w:rPr>
          <w:noProof/>
        </w:rPr>
        <w:t>в) незабавно уведомява другия митнически орган, ако установи, че информацията, която е изпратил на другия митнически орган, е неточна, непълна, ненадеждна или ако нейното получаване или по-нататъшното ѝ използване противоречи на настоящото решение;</w:t>
      </w:r>
    </w:p>
    <w:p>
      <w:pPr>
        <w:spacing w:after="0"/>
        <w:ind w:left="720"/>
        <w:rPr>
          <w:rFonts w:eastAsia="Times New Roman"/>
          <w:noProof/>
          <w:szCs w:val="24"/>
        </w:rPr>
      </w:pPr>
      <w:r>
        <w:rPr>
          <w:noProof/>
        </w:rPr>
        <w:t>г) взема всички мерки, които прецени за целесъобразни, включително допълване, заличаване или поправка на информацията, посочена в буква в), за да предотврати погрешното ѝ използване; както и</w:t>
      </w:r>
    </w:p>
    <w:p>
      <w:pPr>
        <w:spacing w:after="0"/>
        <w:ind w:left="720"/>
        <w:rPr>
          <w:rFonts w:eastAsia="Times New Roman"/>
          <w:noProof/>
          <w:szCs w:val="24"/>
        </w:rPr>
      </w:pPr>
      <w:r>
        <w:rPr>
          <w:noProof/>
        </w:rPr>
        <w:t>д) съхранява информацията, получена съгласно настоящото решение, само докато е необходимо за целите на неговото прилагане, освен ако действащото в неговата договаряща страна  законодателство предвижда друго, или за целите на съдебно или административно производство.</w:t>
      </w:r>
    </w:p>
    <w:p>
      <w:pPr>
        <w:spacing w:after="0"/>
        <w:rPr>
          <w:rFonts w:eastAsia="Times New Roman"/>
          <w:noProof/>
          <w:szCs w:val="24"/>
        </w:rPr>
      </w:pPr>
      <w:r>
        <w:rPr>
          <w:noProof/>
        </w:rPr>
        <w:t>6. В допълнение към параграфи 4 и 5 всеки митнически орган гарантира по-специално, че:</w:t>
      </w:r>
    </w:p>
    <w:p>
      <w:pPr>
        <w:spacing w:after="0"/>
        <w:ind w:left="720"/>
        <w:rPr>
          <w:rFonts w:eastAsia="Times New Roman"/>
          <w:noProof/>
          <w:szCs w:val="24"/>
        </w:rPr>
      </w:pPr>
      <w:r>
        <w:rPr>
          <w:noProof/>
        </w:rPr>
        <w:t>а) са въведени предпазни мерки по отношение на сигурността (включително електронни предпазни мерки), чрез които се контролира, на принципа „необходимост да се знае“, достъпа до информацията, получена от другия митнически орган съгласно настоящото решение;</w:t>
      </w:r>
    </w:p>
    <w:p>
      <w:pPr>
        <w:spacing w:after="0"/>
        <w:ind w:left="720"/>
        <w:rPr>
          <w:rFonts w:eastAsia="Times New Roman"/>
          <w:noProof/>
          <w:szCs w:val="24"/>
        </w:rPr>
      </w:pPr>
      <w:r>
        <w:rPr>
          <w:noProof/>
        </w:rPr>
        <w:t>б) информацията, получена от другия митнически орган съгласно настоящото решение, е защитена срещу неразрешен достъп, разпространение, промяна, заличаване или унищожаване;</w:t>
      </w:r>
    </w:p>
    <w:p>
      <w:pPr>
        <w:spacing w:after="0"/>
        <w:ind w:left="720"/>
        <w:rPr>
          <w:rFonts w:eastAsia="Times New Roman"/>
          <w:strike/>
          <w:noProof/>
          <w:szCs w:val="24"/>
        </w:rPr>
      </w:pPr>
      <w:r>
        <w:rPr>
          <w:noProof/>
        </w:rPr>
        <w:t>в) информацията, получена от другия митнически орган съгласно настоящото решение, не се оповестява на частни лица или страни, на държава или международни органи, които не са страни по CMAA или SCSA, или на който и да е друг публичен орган на ЕС или на Канада, освен когато това се изисква във връзка със съдебно или административно производство или от действащото в неговата договаряща страна законодателство; както и</w:t>
      </w:r>
    </w:p>
    <w:p>
      <w:pPr>
        <w:spacing w:after="0"/>
        <w:ind w:left="720"/>
        <w:rPr>
          <w:rFonts w:eastAsia="Times New Roman"/>
          <w:noProof/>
          <w:szCs w:val="24"/>
        </w:rPr>
      </w:pPr>
      <w:r>
        <w:rPr>
          <w:noProof/>
        </w:rPr>
        <w:t>г) информацията, получена от другия митнически орган съгласно настоящото решение, се съхранява непрекъснато в защитени системи за съхранение на електронен или хартиен носител и че всеки достъп до получената от другия митнически орган информация, нейното оповестяване и използване се записва или документира.</w:t>
      </w:r>
    </w:p>
    <w:p>
      <w:pPr>
        <w:spacing w:after="0"/>
        <w:rPr>
          <w:rFonts w:eastAsia="Times New Roman"/>
          <w:noProof/>
          <w:szCs w:val="24"/>
        </w:rPr>
      </w:pPr>
      <w:r>
        <w:rPr>
          <w:noProof/>
        </w:rPr>
        <w:t>7. Всеки митнически орган:</w:t>
      </w:r>
    </w:p>
    <w:p>
      <w:pPr>
        <w:spacing w:after="0"/>
        <w:ind w:left="720"/>
        <w:rPr>
          <w:rFonts w:eastAsia="Times New Roman"/>
          <w:noProof/>
          <w:szCs w:val="24"/>
          <w:highlight w:val="yellow"/>
        </w:rPr>
      </w:pPr>
      <w:r>
        <w:rPr>
          <w:noProof/>
        </w:rPr>
        <w:t>а) гарантира, че личните данни на участник в програмата на другия митнически орган се обработват по начин, който е поне равнопоставен на обработването на личните данни на участник в неговата програма, що се отнася до достъпа до тях, поправката им и момента, в който тя се извършва, или временното преустановяване на използването им; както и</w:t>
      </w:r>
    </w:p>
    <w:p>
      <w:pPr>
        <w:spacing w:after="0"/>
        <w:ind w:left="720"/>
        <w:rPr>
          <w:rFonts w:eastAsia="Times New Roman"/>
          <w:noProof/>
          <w:szCs w:val="24"/>
        </w:rPr>
      </w:pPr>
      <w:r>
        <w:rPr>
          <w:noProof/>
        </w:rPr>
        <w:t xml:space="preserve">б) публикува информация, с която уведомява участниците в своята програма относно приложимия процес за отправяне на искания по буква а) съгласно действащото в неговата договаряща страна законодателство. </w:t>
      </w:r>
    </w:p>
    <w:p>
      <w:pPr>
        <w:spacing w:after="0"/>
        <w:rPr>
          <w:rFonts w:eastAsia="Times New Roman"/>
          <w:noProof/>
          <w:szCs w:val="24"/>
        </w:rPr>
      </w:pPr>
      <w:r>
        <w:rPr>
          <w:noProof/>
        </w:rPr>
        <w:t>8. Всеки митнически орган гарантира, че участниците в програмата, независимо от тяхната националност или държава на пребиваване, имат достъп до административна защита или съдебно обжалване, що се отнася до техните лични данни.</w:t>
      </w:r>
    </w:p>
    <w:p>
      <w:pPr>
        <w:spacing w:after="0"/>
        <w:rPr>
          <w:rFonts w:eastAsia="Times New Roman"/>
          <w:noProof/>
          <w:szCs w:val="24"/>
        </w:rPr>
      </w:pPr>
      <w:r>
        <w:rPr>
          <w:noProof/>
        </w:rPr>
        <w:t>9. Митническите органи публикуват информация, с която уведомяват участниците в програмата за възможностите им да търсят административна защита или съдебно обжалване.</w:t>
      </w:r>
    </w:p>
    <w:p>
      <w:pPr>
        <w:spacing w:after="0"/>
        <w:rPr>
          <w:rFonts w:eastAsia="Times New Roman"/>
          <w:noProof/>
          <w:szCs w:val="24"/>
        </w:rPr>
      </w:pPr>
      <w:r>
        <w:rPr>
          <w:noProof/>
        </w:rPr>
        <w:t xml:space="preserve">10. Спазването на разпоредбите на член 6 от митническите органи подлежи на контрол от страна на съответните им компетентни органи, които гарантират, че при получаване на жалби за неспазване на изискванията за обработка на информацията те подлежат на разследване, отговор и подходяща правна защита. Тези органи са: </w:t>
      </w:r>
    </w:p>
    <w:p>
      <w:pPr>
        <w:spacing w:after="0"/>
        <w:ind w:left="720"/>
        <w:rPr>
          <w:rFonts w:eastAsia="Times New Roman"/>
          <w:noProof/>
          <w:szCs w:val="24"/>
        </w:rPr>
      </w:pPr>
      <w:r>
        <w:rPr>
          <w:noProof/>
        </w:rPr>
        <w:t xml:space="preserve">а) в ЕС: Европейският надзорен орган по защита на данните или неговият приемник и органите за защита на данните в държавите — членки на ЕС; </w:t>
      </w:r>
    </w:p>
    <w:p>
      <w:pPr>
        <w:spacing w:after="0"/>
        <w:ind w:left="720"/>
        <w:rPr>
          <w:rFonts w:eastAsia="Times New Roman"/>
          <w:noProof/>
          <w:szCs w:val="24"/>
        </w:rPr>
      </w:pPr>
      <w:r>
        <w:rPr>
          <w:noProof/>
        </w:rPr>
        <w:t>Б) в Канада: Дирекция „Жалби“ или нейният приемник в рамките на митническия орган на Канада.</w:t>
      </w:r>
    </w:p>
    <w:p>
      <w:pPr>
        <w:spacing w:after="0"/>
        <w:rPr>
          <w:rFonts w:eastAsia="Times New Roman"/>
          <w:b/>
          <w:i/>
          <w:noProof/>
          <w:szCs w:val="24"/>
        </w:rPr>
      </w:pPr>
      <w:r>
        <w:rPr>
          <w:b/>
          <w:i/>
          <w:noProof/>
        </w:rPr>
        <w:t>Член 7</w:t>
      </w:r>
    </w:p>
    <w:p>
      <w:pPr>
        <w:spacing w:after="0"/>
        <w:rPr>
          <w:rFonts w:eastAsia="Times New Roman"/>
          <w:b/>
          <w:i/>
          <w:noProof/>
          <w:szCs w:val="24"/>
        </w:rPr>
      </w:pPr>
      <w:r>
        <w:rPr>
          <w:b/>
          <w:i/>
          <w:noProof/>
        </w:rPr>
        <w:t>Консултации и преглед</w:t>
      </w:r>
    </w:p>
    <w:p>
      <w:pPr>
        <w:spacing w:after="0"/>
        <w:rPr>
          <w:rFonts w:eastAsia="Times New Roman"/>
          <w:noProof/>
          <w:szCs w:val="24"/>
        </w:rPr>
      </w:pPr>
      <w:r>
        <w:rPr>
          <w:noProof/>
        </w:rPr>
        <w:t>1. Митническите органи разрешават всякакви въпроси, свързани с прилагането на настоящото решение, чрез консултации в рамките СКМС.</w:t>
      </w:r>
    </w:p>
    <w:p>
      <w:pPr>
        <w:spacing w:after="0"/>
        <w:rPr>
          <w:rFonts w:eastAsia="Times New Roman"/>
          <w:noProof/>
          <w:szCs w:val="24"/>
        </w:rPr>
      </w:pPr>
      <w:r>
        <w:rPr>
          <w:noProof/>
        </w:rPr>
        <w:t>2. СКМС прави редовен преглед на прилагането на настоящото решение. По-специално процесът на преглед може да обхваща:</w:t>
      </w:r>
    </w:p>
    <w:p>
      <w:pPr>
        <w:spacing w:after="0"/>
        <w:ind w:left="720"/>
        <w:rPr>
          <w:rFonts w:eastAsia="Times New Roman"/>
          <w:noProof/>
          <w:szCs w:val="24"/>
        </w:rPr>
      </w:pPr>
      <w:r>
        <w:rPr>
          <w:noProof/>
        </w:rPr>
        <w:t>а) съвместни проверки с цел да се установят силните и слабите страни при прилагането на взаимното признаване;</w:t>
      </w:r>
    </w:p>
    <w:p>
      <w:pPr>
        <w:spacing w:after="0"/>
        <w:ind w:left="720"/>
        <w:rPr>
          <w:rFonts w:eastAsia="Times New Roman"/>
          <w:noProof/>
          <w:szCs w:val="24"/>
        </w:rPr>
      </w:pPr>
      <w:r>
        <w:rPr>
          <w:noProof/>
        </w:rPr>
        <w:t xml:space="preserve">б) размяна на мнения относно обменената информация и предоставените на участниците в програмата предимства, включително всякакви бъдещи данни или предимства, в съответствие с член 4; </w:t>
      </w:r>
    </w:p>
    <w:p>
      <w:pPr>
        <w:spacing w:after="0"/>
        <w:ind w:left="720"/>
        <w:rPr>
          <w:rFonts w:eastAsia="Times New Roman"/>
          <w:noProof/>
          <w:szCs w:val="24"/>
        </w:rPr>
      </w:pPr>
      <w:r>
        <w:rPr>
          <w:noProof/>
        </w:rPr>
        <w:t>в) размяна на мнения относно разпоредбите за сигурност, например протоколите, които трябва да бъдат спазвани по време на и след сериозен инцидент, свързан със сигурността (възобновяване на дейността), или при наличието на условия, оправдаващи временното преустановяване на взаимното признаване;</w:t>
      </w:r>
    </w:p>
    <w:p>
      <w:pPr>
        <w:spacing w:after="0"/>
        <w:ind w:left="720"/>
        <w:rPr>
          <w:rFonts w:eastAsia="Times New Roman"/>
          <w:noProof/>
          <w:szCs w:val="24"/>
        </w:rPr>
      </w:pPr>
      <w:r>
        <w:rPr>
          <w:noProof/>
        </w:rPr>
        <w:t>г) оценка на временното преустановяване на предимствата по член 4; както и</w:t>
      </w:r>
    </w:p>
    <w:p>
      <w:pPr>
        <w:spacing w:after="0"/>
        <w:ind w:left="720"/>
        <w:rPr>
          <w:rFonts w:eastAsia="Times New Roman"/>
          <w:noProof/>
          <w:szCs w:val="24"/>
        </w:rPr>
      </w:pPr>
      <w:r>
        <w:rPr>
          <w:noProof/>
        </w:rPr>
        <w:t>д) преглед на прилагането на член 6.</w:t>
      </w:r>
    </w:p>
    <w:p>
      <w:pPr>
        <w:spacing w:after="0"/>
        <w:rPr>
          <w:rFonts w:eastAsia="Times New Roman"/>
          <w:b/>
          <w:i/>
          <w:noProof/>
          <w:szCs w:val="24"/>
        </w:rPr>
      </w:pPr>
      <w:r>
        <w:rPr>
          <w:b/>
          <w:i/>
          <w:noProof/>
        </w:rPr>
        <w:t>Член 8</w:t>
      </w:r>
    </w:p>
    <w:p>
      <w:pPr>
        <w:spacing w:after="0"/>
        <w:rPr>
          <w:rFonts w:eastAsia="Times New Roman"/>
          <w:b/>
          <w:i/>
          <w:noProof/>
          <w:szCs w:val="24"/>
        </w:rPr>
      </w:pPr>
      <w:r>
        <w:rPr>
          <w:b/>
          <w:i/>
          <w:noProof/>
        </w:rPr>
        <w:t>Общи разпоредби</w:t>
      </w:r>
    </w:p>
    <w:p>
      <w:pPr>
        <w:spacing w:after="0"/>
        <w:rPr>
          <w:noProof/>
          <w:szCs w:val="24"/>
        </w:rPr>
      </w:pPr>
      <w:r>
        <w:rPr>
          <w:noProof/>
        </w:rPr>
        <w:t>С настоящото решение се създават права и задължения единствено за Канада и ЕС по силата на международното публично право.</w:t>
      </w:r>
    </w:p>
    <w:p>
      <w:pPr>
        <w:spacing w:after="0"/>
        <w:rPr>
          <w:rFonts w:eastAsia="Times New Roman"/>
          <w:b/>
          <w:i/>
          <w:noProof/>
          <w:szCs w:val="24"/>
        </w:rPr>
      </w:pPr>
      <w:r>
        <w:rPr>
          <w:b/>
          <w:i/>
          <w:noProof/>
        </w:rPr>
        <w:t>Член 9</w:t>
      </w:r>
    </w:p>
    <w:p>
      <w:pPr>
        <w:spacing w:after="0"/>
        <w:rPr>
          <w:rFonts w:eastAsia="Times New Roman"/>
          <w:b/>
          <w:i/>
          <w:noProof/>
          <w:szCs w:val="24"/>
        </w:rPr>
      </w:pPr>
      <w:r>
        <w:rPr>
          <w:b/>
          <w:i/>
          <w:noProof/>
        </w:rPr>
        <w:t xml:space="preserve">Окончателни разпоредби </w:t>
      </w:r>
    </w:p>
    <w:p>
      <w:pPr>
        <w:spacing w:after="0"/>
        <w:rPr>
          <w:rFonts w:eastAsia="Times New Roman"/>
          <w:noProof/>
          <w:szCs w:val="24"/>
        </w:rPr>
      </w:pPr>
      <w:r>
        <w:rPr>
          <w:noProof/>
        </w:rPr>
        <w:t>1. Настоящото решение влиза в сила на първия ден от месеца след датата, на която Канада уведоми ЕС, че процедурите, необходими за влизането му в сила, са изпълнени.</w:t>
      </w:r>
    </w:p>
    <w:p>
      <w:pPr>
        <w:spacing w:after="0"/>
        <w:rPr>
          <w:rFonts w:eastAsia="Times New Roman"/>
          <w:noProof/>
          <w:szCs w:val="24"/>
        </w:rPr>
      </w:pPr>
      <w:r>
        <w:rPr>
          <w:noProof/>
        </w:rPr>
        <w:t>2. СКМС може да изменя настоящото решение. Изменението влиза в сила в съответствие с процедурата по параграф 1.</w:t>
      </w:r>
    </w:p>
    <w:p>
      <w:pPr>
        <w:spacing w:after="0"/>
        <w:rPr>
          <w:rFonts w:eastAsia="Times New Roman"/>
          <w:noProof/>
          <w:szCs w:val="24"/>
        </w:rPr>
      </w:pPr>
      <w:r>
        <w:rPr>
          <w:noProof/>
        </w:rPr>
        <w:t xml:space="preserve">3. Митническите органи могат по всяко време да преустановят сътрудничеството съгласно настоящото решение, като предоставят на другия митнически орган тридесет (30) дневно писмено предизвестие. Предизвестието се предоставя на или от компетентните служби съответно на Европейската комисия и на митническия орган на Канада. Независимо от временното преустановяване на действието на настоящото решение, митническите органи продължават да спазват член 6, параграфи 1, 2 и 4—6, за да гарантират защитата на информацията. </w:t>
      </w:r>
    </w:p>
    <w:p>
      <w:pPr>
        <w:spacing w:after="0"/>
        <w:rPr>
          <w:rFonts w:eastAsia="Times New Roman"/>
          <w:noProof/>
          <w:szCs w:val="24"/>
        </w:rPr>
      </w:pPr>
      <w:r>
        <w:rPr>
          <w:noProof/>
        </w:rPr>
        <w:t>4. Всяка договаряща страна може да прекрати действието на настоящото решение по всяко време, като уведоми другата договаряща страна по дипломатически път. Действието на решението се прекратява тридесет (30) дни след получаване на писмено уведомление от другата договаряща страна. Независимо от прекратяването на действието на настоящото решение, митническите органи продължават да спазват член 6, параграфи 2, 4 и 6, за да гарантират защитата на информацията.</w:t>
      </w:r>
    </w:p>
    <w:p>
      <w:pPr>
        <w:spacing w:after="0"/>
        <w:rPr>
          <w:rFonts w:eastAsia="Times New Roman"/>
          <w:noProof/>
          <w:szCs w:val="24"/>
        </w:rPr>
      </w:pPr>
    </w:p>
    <w:p>
      <w:pPr>
        <w:spacing w:after="0"/>
        <w:rPr>
          <w:rFonts w:eastAsia="Times New Roman"/>
          <w:noProof/>
          <w:szCs w:val="24"/>
        </w:rPr>
      </w:pPr>
      <w:r>
        <w:rPr>
          <w:noProof/>
        </w:rPr>
        <w:t>Съставено в два екземпляра в....., на... 20.. г., на английски и френски език, като текстовете на двата езика са еднакво автентични.</w:t>
      </w:r>
    </w:p>
    <w:p>
      <w:pPr>
        <w:rPr>
          <w:noProof/>
        </w:rPr>
      </w:pPr>
      <w:r>
        <w:rPr>
          <w:noProof/>
        </w:rPr>
        <w:t>От СЪВМЕСТНИЯ КОМИТЕТ ЗА МИТНИЧЕСКО СЪТРУДНИЧЕСТВО КАНАДА — ЕС,</w:t>
      </w:r>
    </w:p>
    <w:p>
      <w:pPr>
        <w:rPr>
          <w:noProof/>
        </w:rPr>
      </w:pPr>
      <w:r>
        <w:rPr>
          <w:noProof/>
        </w:rPr>
        <w:t>От името на ЕС</w:t>
      </w:r>
      <w:r>
        <w:rPr>
          <w:noProof/>
        </w:rPr>
        <w:tab/>
      </w:r>
      <w:r>
        <w:rPr>
          <w:noProof/>
        </w:rPr>
        <w:tab/>
      </w:r>
      <w:r>
        <w:rPr>
          <w:noProof/>
        </w:rPr>
        <w:tab/>
      </w:r>
      <w:r>
        <w:rPr>
          <w:noProof/>
        </w:rPr>
        <w:tab/>
      </w:r>
      <w:r>
        <w:rPr>
          <w:noProof/>
        </w:rPr>
        <w:tab/>
      </w:r>
      <w:r>
        <w:rPr>
          <w:noProof/>
        </w:rPr>
        <w:tab/>
      </w:r>
      <w:r>
        <w:rPr>
          <w:noProof/>
        </w:rPr>
        <w:tab/>
        <w:t>От името на Канада</w:t>
      </w:r>
    </w:p>
    <w:p>
      <w:pPr>
        <w:rPr>
          <w:noProof/>
        </w:rPr>
      </w:pPr>
      <w:r>
        <w:rPr>
          <w:noProof/>
        </w:rPr>
        <w:t>(Съпредседатели)</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D4D4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2030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14F2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7AB2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B497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AA17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D6343C"/>
    <w:lvl w:ilvl="0">
      <w:start w:val="1"/>
      <w:numFmt w:val="decimal"/>
      <w:pStyle w:val="ListNumber"/>
      <w:lvlText w:val="%1."/>
      <w:lvlJc w:val="left"/>
      <w:pPr>
        <w:tabs>
          <w:tab w:val="num" w:pos="360"/>
        </w:tabs>
        <w:ind w:left="360" w:hanging="360"/>
      </w:pPr>
    </w:lvl>
  </w:abstractNum>
  <w:abstractNum w:abstractNumId="7">
    <w:nsid w:val="FFFFFF89"/>
    <w:multiLevelType w:val="singleLevel"/>
    <w:tmpl w:val="779E46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9 13:23: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017A1F6-7754-494F-8E3B-098038493409"/>
    <w:docVar w:name="LW_COVERPAGE_TYPE" w:val="1"/>
    <w:docVar w:name="LW_CROSSREFERENCE" w:val="&lt;UNUSED&gt;"/>
    <w:docVar w:name="LW_DocType" w:val="ANNEX"/>
    <w:docVar w:name="LW_EMISSION" w:val="20.10.2020"/>
    <w:docVar w:name="LW_EMISSION_ISODATE" w:val="2020-10-20"/>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79?\u1072? \u1084?\u1080?\u1090?\u1085?\u1080?\u1095?\u1077?\u1089?\u1082?\u1086? \u1089?\u1098?\u1090?\u1088?\u1091?\u1076?\u1085?\u1080?\u1095?\u1077?\u1089?\u1090?\u1074?\u1086? \u1045?\u1057?\u8212? \u1050?\u1072?\u1085?\u1072?\u1076?\u1072? \u1074?\u1098?\u1074? \u1074?\u1088?\u1098?\u1079?\u1082?\u1072? \u1089? \u1087?\u1088?\u1080?\u1077?\u1084?\u1072?\u1085?\u1077?\u1090?\u1086? \u1085?\u1072? \u1088?\u1077?\u1096?\u1077?\u1085?\u1080?\u1077?\u1090?\u1086? \u1086?\u1090?\u1085?\u1086?\u1089?\u1085?\u1086? \u1074?\u1079?\u1072?\u1080?\u1084?\u1085?\u1086?\u1090?\u1086? \u1087?\u1088?\u1080?\u1079?\u1085?\u1072?\u1074?\u1072?\u1085?\u1077? \u1085?\u1072? \u1087?\u1088?\u1086?\u1075?\u1088?\u1072?\u1084?\u1072?\u1090?\u1072? \u1085?\u1072? \u1050?\u1072?\u1085?\u1072?\u1076?\u1072? \u1079?\u1072? \u1079?\u1072?\u1082?\u1088?\u1080?\u1083?\u1072? \u1085?\u1072? \u1087?\u1072?\u1088?\u1090?\u1085?\u1100?\u1086?\u1088?\u1080?\u1090?\u1077? \u1080? \u1085?\u1072? \u1087?\u1088?\u1086?\u1075?\u1088?\u1072?\u1084?\u1072?\u1090?\u1072? \u1079?\u1072? \u1086?\u1076?\u1086?\u1073?\u1088?\u1077?\u1085?\u1080? \u1080?\u1082?\u1086?\u1085?\u1086?\u1084?\u1080?\u1095?\u1077?\u1089?\u1082?\u1080? \u1086?\u1087?\u1077?\u1088?\u1072?\u1090?\u1086?\u1088?\u1080? \u1085?\u1072? \u1045?\u1074?\u1088?\u1086?\u1087?\u1077?\u1081?\u1089?\u1082?\u1080?\u1103? \u1089?\u1098?\u1102?\u1079?&lt;/FMT&gt;_x000d__x000b_"/>
    <w:docVar w:name="LW_OBJETACTEPRINCIPAL.CP"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79?\u1072? \u1084?\u1080?\u1090?\u1085?\u1080?\u1095?\u1077?\u1089?\u1082?\u1086? \u1089?\u1098?\u1090?\u1088?\u1091?\u1076?\u1085?\u1080?\u1095?\u1077?\u1089?\u1090?\u1074?\u1086? \u1045?\u1057?\u8212? \u1050?\u1072?\u1085?\u1072?\u1076?\u1072? \u1074?\u1098?\u1074? \u1074?\u1088?\u1098?\u1079?\u1082?\u1072? \u1089? \u1087?\u1088?\u1080?\u1077?\u1084?\u1072?\u1085?\u1077?\u1090?\u1086? \u1085?\u1072? \u1088?\u1077?\u1096?\u1077?\u1085?\u1080?\u1077?\u1090?\u1086? \u1086?\u1090?\u1085?\u1086?\u1089?\u1085?\u1086? \u1074?\u1079?\u1072?\u1080?\u1084?\u1085?\u1086?\u1090?\u1086? \u1087?\u1088?\u1080?\u1079?\u1085?\u1072?\u1074?\u1072?\u1085?\u1077? \u1085?\u1072? \u1087?\u1088?\u1086?\u1075?\u1088?\u1072?\u1084?\u1072?\u1090?\u1072? \u1085?\u1072? \u1050?\u1072?\u1085?\u1072?\u1076?\u1072? \u1079?\u1072? \u1079?\u1072?\u1082?\u1088?\u1080?\u1083?\u1072? \u1085?\u1072? \u1087?\u1072?\u1088?\u1090?\u1085?\u1100?\u1086?\u1088?\u1080?\u1090?\u1077? \u1080? \u1085?\u1072? \u1087?\u1088?\u1086?\u1075?\u1088?\u1072?\u1084?\u1072?\u1090?\u1072? \u1079?\u1072? \u1086?\u1076?\u1086?\u1073?\u1088?\u1077?\u1085?\u1080? \u1080?\u1082?\u1086?\u1085?\u1086?\u1084?\u1080?\u1095?\u1077?\u1089?\u1082?\u1080? \u1086?\u1087?\u1077?\u1088?\u1072?\u1090?\u1086?\u1088?\u1080? \u1085?\u1072? \u1045?\u1074?\u1088?\u1086?\u1087?\u1077?\u1081?\u1089?\u1082?\u1080?\u1103? \u1089?\u1098?\u1102?\u1079?&lt;/FMT&gt;_x000d__x000b_"/>
    <w:docVar w:name="LW_PART_NBR" w:val="1"/>
    <w:docVar w:name="LW_PART_NBR_TOTAL" w:val="1"/>
    <w:docVar w:name="LW_REF.INST.NEW" w:val="COM"/>
    <w:docVar w:name="LW_REF.INST.NEW_ADOPTED" w:val="final"/>
    <w:docVar w:name="LW_REF.INST.NEW_TEXT" w:val="(2020) 6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8</Pages>
  <Words>2479</Words>
  <Characters>14951</Characters>
  <Application>Microsoft Office Word</Application>
  <DocSecurity>0</DocSecurity>
  <Lines>305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DUKATS Ivars (TAXUD)</dc:creator>
  <cp:keywords/>
  <dc:description/>
  <cp:lastModifiedBy>WES PDFC Administrator</cp:lastModifiedBy>
  <cp:revision>9</cp:revision>
  <cp:lastPrinted>2020-01-30T16:25:00Z</cp:lastPrinted>
  <dcterms:created xsi:type="dcterms:W3CDTF">2020-07-03T09:15:00Z</dcterms:created>
  <dcterms:modified xsi:type="dcterms:W3CDTF">2020-10-19T11:23:00Z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