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90342A7-8C4D-479E-9ADA-25B25B59DD7A" style="width:450pt;height:406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1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noProof/>
          <w:color w:val="4F81BD" w:themeColor="accent1"/>
          <w:sz w:val="32"/>
        </w:rPr>
      </w:pPr>
      <w:bookmarkStart w:id="1" w:name="_GoBack"/>
      <w:bookmarkEnd w:id="1"/>
    </w:p>
    <w:p>
      <w:pPr>
        <w:jc w:val="center"/>
        <w:rPr>
          <w:noProof/>
          <w:color w:val="4F81BD" w:themeColor="accent1"/>
          <w:sz w:val="32"/>
        </w:rPr>
      </w:pPr>
    </w:p>
    <w:p>
      <w:pPr>
        <w:jc w:val="center"/>
        <w:rPr>
          <w:b/>
          <w:bCs/>
          <w:noProof/>
          <w:sz w:val="36"/>
          <w:szCs w:val="36"/>
          <w:u w:val="single"/>
        </w:rPr>
      </w:pPr>
      <w:r>
        <w:rPr>
          <w:b/>
          <w:noProof/>
          <w:sz w:val="36"/>
          <w:u w:val="single"/>
        </w:rPr>
        <w:t>ПРИЛОЖЕНИE</w:t>
      </w:r>
      <w:r>
        <w:rPr>
          <w:noProof/>
        </w:rPr>
        <w:cr/>
      </w:r>
      <w:r>
        <w:rPr>
          <w:noProof/>
        </w:rPr>
        <w:br/>
      </w:r>
      <w:r>
        <w:rPr>
          <w:b/>
          <w:noProof/>
          <w:sz w:val="36"/>
          <w:u w:val="single"/>
        </w:rPr>
        <w:t>към ЗАКОНОДАТЕЛНАТА ФИНАНСОВА ОБОСНОВКА</w:t>
      </w:r>
    </w:p>
    <w:p>
      <w:pPr>
        <w:jc w:val="center"/>
        <w:rPr>
          <w:noProof/>
        </w:rPr>
      </w:pPr>
    </w:p>
    <w:p>
      <w:pPr>
        <w:outlineLvl w:val="0"/>
        <w:rPr>
          <w:b/>
          <w:bCs/>
          <w:noProof/>
        </w:rPr>
      </w:pPr>
    </w:p>
    <w:p>
      <w:pPr>
        <w:outlineLvl w:val="0"/>
        <w:rPr>
          <w:b/>
          <w:bCs/>
          <w:noProof/>
        </w:rPr>
      </w:pPr>
    </w:p>
    <w:p>
      <w:pPr>
        <w:outlineLvl w:val="0"/>
        <w:rPr>
          <w:b/>
          <w:bCs/>
          <w:noProof/>
        </w:rPr>
      </w:pPr>
    </w:p>
    <w:p>
      <w:pPr>
        <w:spacing w:before="240" w:after="120"/>
        <w:ind w:left="360"/>
        <w:jc w:val="center"/>
        <w:rPr>
          <w:noProof/>
        </w:rPr>
      </w:pPr>
      <w:r>
        <w:rPr>
          <w:noProof/>
        </w:rPr>
        <w:t>Наименование на предложението/инициативата:</w:t>
      </w:r>
    </w:p>
    <w:p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99"/>
        <w:spacing w:after="60"/>
        <w:jc w:val="center"/>
        <w:rPr>
          <w:noProof/>
          <w:color w:val="808080"/>
        </w:rPr>
      </w:pPr>
      <w:r>
        <w:rPr>
          <w:noProof/>
          <w:color w:val="808080"/>
        </w:rPr>
        <w:t>Съвместно предприятие EuroHPC</w:t>
      </w:r>
    </w:p>
    <w:p>
      <w:pPr>
        <w:outlineLvl w:val="0"/>
        <w:rPr>
          <w:b/>
          <w:bCs/>
          <w:noProof/>
        </w:rPr>
      </w:pPr>
    </w:p>
    <w:p>
      <w:pPr>
        <w:outlineLvl w:val="0"/>
        <w:rPr>
          <w:b/>
          <w:bCs/>
          <w:noProof/>
        </w:rPr>
      </w:pPr>
    </w:p>
    <w:p>
      <w:pPr>
        <w:outlineLvl w:val="0"/>
        <w:rPr>
          <w:b/>
          <w:bCs/>
          <w:noProof/>
        </w:rPr>
      </w:pPr>
    </w:p>
    <w:p>
      <w:pPr>
        <w:pStyle w:val="TOC1"/>
        <w:tabs>
          <w:tab w:val="left" w:pos="440"/>
          <w:tab w:val="right" w:pos="10194"/>
        </w:tabs>
        <w:rPr>
          <w:rFonts w:eastAsiaTheme="minorEastAsia"/>
          <w:noProof/>
          <w:lang w:val="de-AT" w:eastAsia="de-AT"/>
        </w:rPr>
      </w:pPr>
      <w:r>
        <w:rPr>
          <w:rFonts w:ascii="Times New Roman Bold" w:hAnsi="Times New Roman Bold"/>
          <w:noProof/>
          <w:sz w:val="32"/>
        </w:rPr>
        <w:fldChar w:fldCharType="begin"/>
      </w:r>
      <w:r>
        <w:rPr>
          <w:rFonts w:ascii="Times New Roman Bold" w:hAnsi="Times New Roman Bold"/>
          <w:noProof/>
          <w:sz w:val="32"/>
        </w:rPr>
        <w:instrText xml:space="preserve"> TOC \o "1-3" \h \z \u </w:instrText>
      </w:r>
      <w:r>
        <w:rPr>
          <w:rFonts w:ascii="Times New Roman Bold" w:hAnsi="Times New Roman Bold"/>
          <w:noProof/>
          <w:sz w:val="32"/>
        </w:rPr>
        <w:fldChar w:fldCharType="separate"/>
      </w:r>
      <w:hyperlink w:anchor="_Toc53763316" w:history="1">
        <w:r>
          <w:rPr>
            <w:rStyle w:val="Hyperlink"/>
            <w:noProof/>
          </w:rPr>
          <w:t>1.</w:t>
        </w:r>
        <w:r>
          <w:rPr>
            <w:rFonts w:eastAsiaTheme="minorEastAsia"/>
            <w:noProof/>
            <w:lang w:val="de-AT" w:eastAsia="de-AT"/>
          </w:rPr>
          <w:tab/>
        </w:r>
        <w:r>
          <w:rPr>
            <w:rStyle w:val="Hyperlink"/>
            <w:noProof/>
          </w:rPr>
          <w:t>Разходи за считаните за необходими човешки ресурси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_Toc53763316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TOC1"/>
        <w:tabs>
          <w:tab w:val="left" w:pos="440"/>
          <w:tab w:val="right" w:pos="10194"/>
        </w:tabs>
        <w:rPr>
          <w:rFonts w:eastAsiaTheme="minorEastAsia"/>
          <w:noProof/>
          <w:lang w:val="de-AT" w:eastAsia="de-AT"/>
        </w:rPr>
      </w:pPr>
      <w:hyperlink w:anchor="_Toc53763317" w:history="1">
        <w:r>
          <w:rPr>
            <w:rStyle w:val="Hyperlink"/>
            <w:noProof/>
          </w:rPr>
          <w:t>2.</w:t>
        </w:r>
        <w:r>
          <w:rPr>
            <w:rFonts w:eastAsiaTheme="minorEastAsia"/>
            <w:noProof/>
            <w:lang w:val="de-AT" w:eastAsia="de-AT"/>
          </w:rPr>
          <w:tab/>
        </w:r>
        <w:r>
          <w:rPr>
            <w:rStyle w:val="Hyperlink"/>
            <w:noProof/>
          </w:rPr>
          <w:t>Други административни разходи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_Toc53763317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TOC1"/>
        <w:tabs>
          <w:tab w:val="left" w:pos="440"/>
          <w:tab w:val="right" w:pos="10194"/>
        </w:tabs>
        <w:rPr>
          <w:rFonts w:eastAsiaTheme="minorEastAsia"/>
          <w:noProof/>
          <w:lang w:val="de-AT" w:eastAsia="de-AT"/>
        </w:rPr>
      </w:pPr>
      <w:hyperlink w:anchor="_Toc53763318" w:history="1">
        <w:r>
          <w:rPr>
            <w:rStyle w:val="Hyperlink"/>
            <w:noProof/>
          </w:rPr>
          <w:t>3.</w:t>
        </w:r>
        <w:r>
          <w:rPr>
            <w:rFonts w:eastAsiaTheme="minorEastAsia"/>
            <w:noProof/>
            <w:lang w:val="de-AT" w:eastAsia="de-AT"/>
          </w:rPr>
          <w:tab/>
        </w:r>
        <w:r>
          <w:rPr>
            <w:rStyle w:val="Hyperlink"/>
            <w:noProof/>
          </w:rPr>
          <w:t>Методи за изчисляване, използвани за оценка на разходите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_Toc53763318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TOC2"/>
        <w:tabs>
          <w:tab w:val="left" w:pos="660"/>
          <w:tab w:val="right" w:pos="10194"/>
        </w:tabs>
        <w:rPr>
          <w:rFonts w:eastAsiaTheme="minorEastAsia"/>
          <w:noProof/>
          <w:lang w:val="de-AT" w:eastAsia="de-AT"/>
        </w:rPr>
      </w:pPr>
      <w:hyperlink w:anchor="_Toc53763319" w:history="1">
        <w:r>
          <w:rPr>
            <w:rStyle w:val="Hyperlink"/>
            <w:noProof/>
          </w:rPr>
          <w:t>1.</w:t>
        </w:r>
        <w:r>
          <w:rPr>
            <w:rFonts w:eastAsiaTheme="minorEastAsia"/>
            <w:noProof/>
            <w:lang w:val="de-AT" w:eastAsia="de-AT"/>
          </w:rPr>
          <w:tab/>
        </w:r>
        <w:r>
          <w:rPr>
            <w:rStyle w:val="Hyperlink"/>
            <w:noProof/>
          </w:rPr>
          <w:t>Човешки ресурси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_Toc53763319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TOC2"/>
        <w:tabs>
          <w:tab w:val="left" w:pos="660"/>
          <w:tab w:val="right" w:pos="10194"/>
        </w:tabs>
        <w:rPr>
          <w:rFonts w:eastAsiaTheme="minorEastAsia"/>
          <w:noProof/>
          <w:lang w:val="de-AT" w:eastAsia="de-AT"/>
        </w:rPr>
      </w:pPr>
      <w:hyperlink w:anchor="_Toc53763320" w:history="1">
        <w:r>
          <w:rPr>
            <w:rStyle w:val="Hyperlink"/>
            <w:noProof/>
          </w:rPr>
          <w:t>2.</w:t>
        </w:r>
        <w:r>
          <w:rPr>
            <w:rFonts w:eastAsiaTheme="minorEastAsia"/>
            <w:noProof/>
            <w:lang w:val="de-AT" w:eastAsia="de-AT"/>
          </w:rPr>
          <w:tab/>
        </w:r>
        <w:r>
          <w:rPr>
            <w:rStyle w:val="Hyperlink"/>
            <w:noProof/>
          </w:rPr>
          <w:t>Други административни разходи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_Toc53763320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>
      <w:pPr>
        <w:rPr>
          <w:rFonts w:ascii="Times New Roman Bold" w:hAnsi="Times New Roman Bold"/>
          <w:noProof/>
          <w:sz w:val="32"/>
        </w:rPr>
      </w:pPr>
      <w:r>
        <w:rPr>
          <w:rFonts w:ascii="Times New Roman Bold" w:hAnsi="Times New Roman Bold"/>
          <w:noProof/>
          <w:sz w:val="32"/>
        </w:rPr>
        <w:fldChar w:fldCharType="end"/>
      </w:r>
    </w:p>
    <w:p>
      <w:pPr>
        <w:spacing w:before="240" w:after="240"/>
        <w:rPr>
          <w:rFonts w:ascii="Times New Roman Bold" w:hAnsi="Times New Roman Bold"/>
          <w:bCs/>
          <w:noProof/>
          <w:sz w:val="32"/>
          <w:szCs w:val="32"/>
        </w:rPr>
      </w:pP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CCFFFF" w:fill="auto"/>
        <w:jc w:val="both"/>
        <w:rPr>
          <w:noProof/>
          <w:sz w:val="16"/>
          <w:szCs w:val="16"/>
        </w:rPr>
      </w:pP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CCFFFF" w:fill="auto"/>
        <w:spacing w:before="120" w:after="120"/>
        <w:jc w:val="both"/>
        <w:rPr>
          <w:i/>
          <w:noProof/>
        </w:rPr>
      </w:pPr>
      <w:r>
        <w:rPr>
          <w:i/>
          <w:noProof/>
        </w:rPr>
        <w:t xml:space="preserve">Настоящото приложение, </w:t>
      </w:r>
      <w:r>
        <w:rPr>
          <w:b/>
          <w:i/>
          <w:noProof/>
          <w:u w:val="single"/>
        </w:rPr>
        <w:t>което се попълва от всяка генерална дирекция/служба, участваща в предложението/инициативата</w:t>
      </w:r>
      <w:r>
        <w:rPr>
          <w:i/>
          <w:noProof/>
        </w:rPr>
        <w:t>, трябва да придружава законодателната финансова обосновка, когато се провежда междуведомствената консултация.</w:t>
      </w: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CCFFFF" w:fill="auto"/>
        <w:spacing w:after="120"/>
        <w:jc w:val="both"/>
        <w:rPr>
          <w:i/>
          <w:noProof/>
        </w:rPr>
      </w:pPr>
      <w:r>
        <w:rPr>
          <w:i/>
          <w:noProof/>
        </w:rPr>
        <w:t>Данните от таблиците са ползвани като източник за таблиците в законодателната финансова обосновка. Те са само за вътрешна употреба в рамките на Комисията.</w:t>
      </w: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CCFFFF" w:fill="auto"/>
        <w:jc w:val="both"/>
        <w:rPr>
          <w:bCs/>
          <w:noProof/>
          <w:sz w:val="16"/>
          <w:szCs w:val="16"/>
        </w:rPr>
      </w:pPr>
    </w:p>
    <w:p>
      <w:pPr>
        <w:spacing w:before="120" w:after="80"/>
        <w:rPr>
          <w:b/>
          <w:bCs/>
          <w:noProof/>
        </w:rPr>
      </w:pP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902" w:right="1134" w:bottom="1247" w:left="902" w:header="709" w:footer="709" w:gutter="0"/>
          <w:pgNumType w:start="1"/>
          <w:cols w:space="720"/>
          <w:docGrid w:linePitch="360"/>
        </w:sectPr>
      </w:pPr>
    </w:p>
    <w:p>
      <w:pPr>
        <w:rPr>
          <w:noProof/>
          <w:sz w:val="16"/>
          <w:szCs w:val="16"/>
        </w:rPr>
      </w:pPr>
    </w:p>
    <w:p>
      <w:pPr>
        <w:pStyle w:val="Heading1"/>
        <w:rPr>
          <w:noProof/>
        </w:rPr>
      </w:pPr>
      <w:bookmarkStart w:id="2" w:name="_Toc53763316"/>
      <w:r>
        <w:rPr>
          <w:noProof/>
        </w:rPr>
        <w:t>Разходи за считаните за необходими човешки ресурси</w:t>
      </w:r>
      <w:bookmarkEnd w:id="2"/>
      <w:r>
        <w:rPr>
          <w:noProof/>
        </w:rPr>
        <w:tab/>
      </w:r>
    </w:p>
    <w:p>
      <w:pPr>
        <w:pStyle w:val="Point1"/>
        <w:spacing w:after="0"/>
        <w:ind w:left="2263" w:hanging="284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</w:r>
      <w:r>
        <w:rPr>
          <w:noProof/>
          <w:sz w:val="22"/>
        </w:rPr>
        <w:t>Предложението/инициативата не налага използване на човешки ресурси</w:t>
      </w:r>
    </w:p>
    <w:p>
      <w:pPr>
        <w:pStyle w:val="Text1"/>
        <w:spacing w:before="60" w:after="0"/>
        <w:ind w:left="2263" w:hanging="284"/>
        <w:rPr>
          <w:noProof/>
        </w:rPr>
      </w:pPr>
      <w:r>
        <w:rPr>
          <w:noProof/>
        </w:rPr>
        <w:sym w:font="Wingdings 2" w:char="F051"/>
      </w:r>
      <w:r>
        <w:rPr>
          <w:noProof/>
        </w:rPr>
        <w:tab/>
      </w:r>
      <w:r>
        <w:rPr>
          <w:noProof/>
          <w:sz w:val="22"/>
        </w:rPr>
        <w:t>Предложението/инициативата налага използване на човешки ресурси съгласно обяснението по-долу:</w:t>
      </w:r>
    </w:p>
    <w:p>
      <w:pPr>
        <w:jc w:val="right"/>
        <w:rPr>
          <w:rFonts w:ascii="Arial Narrow" w:hAnsi="Arial Narrow"/>
          <w:iCs/>
          <w:noProof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млн. евро (до 3-тия знак след десетичната запетая)</w:t>
      </w: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1608"/>
        <w:gridCol w:w="538"/>
        <w:gridCol w:w="574"/>
        <w:gridCol w:w="1029"/>
        <w:gridCol w:w="574"/>
        <w:gridCol w:w="1173"/>
        <w:gridCol w:w="586"/>
        <w:gridCol w:w="1146"/>
        <w:gridCol w:w="574"/>
        <w:gridCol w:w="1146"/>
        <w:gridCol w:w="574"/>
        <w:gridCol w:w="1244"/>
        <w:gridCol w:w="68"/>
        <w:gridCol w:w="506"/>
        <w:gridCol w:w="1170"/>
        <w:gridCol w:w="18"/>
        <w:gridCol w:w="556"/>
        <w:gridCol w:w="1170"/>
        <w:gridCol w:w="28"/>
        <w:gridCol w:w="546"/>
        <w:gridCol w:w="1032"/>
      </w:tblGrid>
      <w:tr>
        <w:trPr>
          <w:trHeight w:val="148"/>
          <w:jc w:val="center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0" w:color="C0C0C0" w:fill="E2E2E2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ФУНКЦИЯ 7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2021 г.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2022 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2023 г.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2024 г.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2025 г.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2026 г.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2027 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ОБЩО</w:t>
            </w:r>
          </w:p>
        </w:tc>
      </w:tr>
      <w:tr>
        <w:trPr>
          <w:trHeight w:val="300"/>
          <w:jc w:val="center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E2E2E2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</w:tr>
      <w:tr>
        <w:trPr>
          <w:trHeight w:val="148"/>
          <w:jc w:val="center"/>
        </w:trPr>
        <w:tc>
          <w:tcPr>
            <w:tcW w:w="15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CCFFD0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8000"/>
                <w:sz w:val="20"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  <w:color w:val="0080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008000"/>
              </w:rPr>
              <w:t>Длъжности в щатното разписание (длъжностни лица и срочно наети служители)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both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Централа и представителства на Комисията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AD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4,200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AST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</w:tr>
      <w:tr>
        <w:trPr>
          <w:trHeight w:val="135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both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в делегациите на Съюза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AD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AST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</w:tr>
      <w:tr>
        <w:trPr>
          <w:trHeight w:val="135"/>
          <w:jc w:val="center"/>
        </w:trPr>
        <w:tc>
          <w:tcPr>
            <w:tcW w:w="15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A1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FF6600"/>
                <w:sz w:val="20"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  <w:color w:val="FF66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FF6600"/>
              </w:rPr>
              <w:t xml:space="preserve">Външен персонал </w:t>
            </w:r>
            <w:r>
              <w:rPr>
                <w:rStyle w:val="FootnoteReference"/>
                <w:rFonts w:ascii="Arial Narrow" w:hAnsi="Arial Narrow"/>
                <w:b/>
                <w:noProof/>
              </w:rPr>
              <w:footnoteReference w:id="1"/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both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Общ финансов пакет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ДНП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0,160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1,120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КНЕ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ПНА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both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в делегациите на Съюза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ДНП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 xml:space="preserve">МП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КНЕ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ПНА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МЕД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5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Други бюджетни редове (</w:t>
            </w:r>
            <w:r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20"/>
              </w:rPr>
              <w:t>да се посочат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3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Междинен сбор за ФУНКЦИЯ 7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0,760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  <w:r>
              <w:rPr>
                <w:noProof/>
              </w:rPr>
              <w:t>5,320</w:t>
            </w:r>
          </w:p>
        </w:tc>
      </w:tr>
    </w:tbl>
    <w:p>
      <w:pPr>
        <w:pStyle w:val="Text1"/>
        <w:spacing w:before="0" w:after="0"/>
        <w:ind w:left="-540" w:right="-694"/>
        <w:rPr>
          <w:rFonts w:ascii="Arial Narrow" w:hAnsi="Arial Narrow"/>
          <w:iCs/>
          <w:noProof/>
          <w:sz w:val="6"/>
          <w:szCs w:val="6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действието и/или който е преразпределен в рамките на ГД, при необходимост заедно с всички допълнително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  <w:r>
        <w:rPr>
          <w:noProof/>
          <w:sz w:val="18"/>
        </w:rPr>
        <w:tab/>
      </w:r>
      <w:r>
        <w:rPr>
          <w:noProof/>
        </w:rPr>
        <w:br w:type="page"/>
      </w:r>
    </w:p>
    <w:tbl>
      <w:tblPr>
        <w:tblW w:w="16227" w:type="dxa"/>
        <w:jc w:val="center"/>
        <w:tblLook w:val="04A0" w:firstRow="1" w:lastRow="0" w:firstColumn="1" w:lastColumn="0" w:noHBand="0" w:noVBand="1"/>
      </w:tblPr>
      <w:tblGrid>
        <w:gridCol w:w="1224"/>
        <w:gridCol w:w="1202"/>
        <w:gridCol w:w="538"/>
        <w:gridCol w:w="574"/>
        <w:gridCol w:w="996"/>
        <w:gridCol w:w="574"/>
        <w:gridCol w:w="996"/>
        <w:gridCol w:w="574"/>
        <w:gridCol w:w="996"/>
        <w:gridCol w:w="574"/>
        <w:gridCol w:w="996"/>
        <w:gridCol w:w="574"/>
        <w:gridCol w:w="1104"/>
        <w:gridCol w:w="574"/>
        <w:gridCol w:w="1027"/>
        <w:gridCol w:w="574"/>
        <w:gridCol w:w="1027"/>
        <w:gridCol w:w="574"/>
        <w:gridCol w:w="1529"/>
      </w:tblGrid>
      <w:tr>
        <w:trPr>
          <w:trHeight w:val="330"/>
          <w:jc w:val="center"/>
        </w:trPr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0" w:color="C0C0C0" w:fill="E2E2E2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Извън ФУНКЦИЯ 7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2021 г.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2022 г.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2023 г.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2024 г.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2025 г.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2026 г.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2027 г.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ОБЩО</w:t>
            </w:r>
          </w:p>
        </w:tc>
      </w:tr>
      <w:tr>
        <w:trPr>
          <w:trHeight w:val="510"/>
          <w:jc w:val="center"/>
        </w:trPr>
        <w:tc>
          <w:tcPr>
            <w:tcW w:w="2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E2E2E2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ЕПРВ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color w:val="000000"/>
                <w:sz w:val="16"/>
                <w:szCs w:val="16"/>
              </w:rPr>
              <w:t>Бюджетни кредити</w:t>
            </w:r>
          </w:p>
        </w:tc>
      </w:tr>
      <w:tr>
        <w:trPr>
          <w:trHeight w:val="300"/>
          <w:jc w:val="center"/>
        </w:trPr>
        <w:tc>
          <w:tcPr>
            <w:tcW w:w="162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CCFFD0"/>
            <w:vAlign w:val="center"/>
            <w:hideMark/>
          </w:tcPr>
          <w:p>
            <w:pPr>
              <w:rPr>
                <w:rFonts w:ascii="Wingdings" w:hAnsi="Wingdings"/>
                <w:b/>
                <w:bCs/>
                <w:noProof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8000"/>
                <w:sz w:val="20"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  <w:color w:val="0080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008000"/>
              </w:rPr>
              <w:t>Длъжности в щатното разписание (длъжностни лица и срочно наети служители)</w:t>
            </w:r>
          </w:p>
        </w:tc>
      </w:tr>
      <w:tr>
        <w:trPr>
          <w:trHeight w:val="300"/>
          <w:jc w:val="center"/>
        </w:trPr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both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Научни изследвания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AD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AST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62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A1"/>
            <w:vAlign w:val="center"/>
            <w:hideMark/>
          </w:tcPr>
          <w:p>
            <w:pPr>
              <w:rPr>
                <w:rFonts w:ascii="Calibri" w:hAnsi="Calibri"/>
                <w:noProof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noProof/>
                <w:color w:val="FF6600"/>
                <w:sz w:val="20"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  <w:color w:val="FF66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FF6600"/>
              </w:rPr>
              <w:t xml:space="preserve">Външен персонал </w:t>
            </w:r>
            <w:r>
              <w:rPr>
                <w:rStyle w:val="FootnoteReference"/>
                <w:rFonts w:ascii="Arial Narrow" w:hAnsi="Arial Narrow"/>
                <w:b/>
                <w:noProof/>
              </w:rPr>
              <w:footnoteReference w:id="2"/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both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Външен персонал, покрит с бюджетните кредити за оперативни разходи (предишни редове „BA“).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— в централата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ДНП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1,019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1,624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1,988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2,028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2,069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2,110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2,152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12,990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КНЕ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TA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1,148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2,863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3,384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3,656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3,729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3,804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22,664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— в делегациите на Съюза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ДНП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 xml:space="preserve">МП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КНЕ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ПНА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МЕД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Научни изследвания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ДНП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КНЕ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ПНА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Други бюджетни редове (</w:t>
            </w:r>
            <w:r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20"/>
              </w:rPr>
              <w:t>да се посочат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160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Междинен сбор — извън ФУНКЦИЯ 7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2,168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4,488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5,572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5,684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5,798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5,914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6,032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CFFFF" w:fill="FCFFFF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35,654</w:t>
            </w:r>
          </w:p>
        </w:tc>
      </w:tr>
    </w:tbl>
    <w:p>
      <w:pPr>
        <w:pStyle w:val="Text1"/>
        <w:spacing w:before="0" w:after="0"/>
        <w:ind w:left="-540" w:right="-694"/>
        <w:rPr>
          <w:noProof/>
        </w:rPr>
      </w:pPr>
    </w:p>
    <w:p>
      <w:pPr>
        <w:keepNext/>
        <w:rPr>
          <w:noProof/>
          <w:sz w:val="28"/>
          <w:szCs w:val="28"/>
          <w:u w:val="single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действието и/или който е преразпределен в рамките на ГД, при необходимост заедно с всички допълнително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keepNext/>
        <w:spacing w:after="60"/>
        <w:ind w:left="540"/>
        <w:rPr>
          <w:noProof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5840" w:h="12240" w:orient="landscape" w:code="1"/>
          <w:pgMar w:top="624" w:right="902" w:bottom="624" w:left="1191" w:header="709" w:footer="567" w:gutter="0"/>
          <w:cols w:space="708"/>
          <w:docGrid w:linePitch="360"/>
        </w:sectPr>
      </w:pPr>
    </w:p>
    <w:p>
      <w:pPr>
        <w:pStyle w:val="Heading1"/>
        <w:rPr>
          <w:noProof/>
        </w:rPr>
      </w:pPr>
      <w:bookmarkStart w:id="3" w:name="_Toc53763317"/>
      <w:r>
        <w:rPr>
          <w:noProof/>
        </w:rPr>
        <w:t>Други административни разходи</w:t>
      </w:r>
      <w:bookmarkEnd w:id="3"/>
    </w:p>
    <w:p>
      <w:pPr>
        <w:pStyle w:val="Point1"/>
        <w:spacing w:after="0"/>
        <w:ind w:left="2263" w:hanging="284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не налага използване на бюджетни кредити за административни разходи</w:t>
      </w:r>
    </w:p>
    <w:p>
      <w:pPr>
        <w:pStyle w:val="Text1"/>
        <w:spacing w:before="0" w:after="0"/>
        <w:ind w:left="2263" w:hanging="284"/>
        <w:rPr>
          <w:noProof/>
        </w:rPr>
      </w:pPr>
      <w:r>
        <w:rPr>
          <w:noProof/>
        </w:rPr>
        <w:sym w:font="Wingdings 2" w:char="F051"/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tabs>
          <w:tab w:val="left" w:pos="870"/>
        </w:tabs>
        <w:rPr>
          <w:noProof/>
          <w:sz w:val="16"/>
          <w:szCs w:val="16"/>
        </w:rPr>
      </w:pPr>
    </w:p>
    <w:p>
      <w:pPr>
        <w:jc w:val="right"/>
        <w:rPr>
          <w:rFonts w:ascii="Arial Narrow" w:hAnsi="Arial Narrow"/>
          <w:i/>
          <w:noProof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млн. евро (до 3-тия знак след десетичната запетая)</w:t>
      </w:r>
    </w:p>
    <w:tbl>
      <w:tblPr>
        <w:tblW w:w="14757" w:type="dxa"/>
        <w:jc w:val="center"/>
        <w:tblLook w:val="04A0" w:firstRow="1" w:lastRow="0" w:firstColumn="1" w:lastColumn="0" w:noHBand="0" w:noVBand="1"/>
      </w:tblPr>
      <w:tblGrid>
        <w:gridCol w:w="3832"/>
        <w:gridCol w:w="1360"/>
        <w:gridCol w:w="1360"/>
        <w:gridCol w:w="1360"/>
        <w:gridCol w:w="1405"/>
        <w:gridCol w:w="1360"/>
        <w:gridCol w:w="1360"/>
        <w:gridCol w:w="1360"/>
        <w:gridCol w:w="1360"/>
      </w:tblGrid>
      <w:tr>
        <w:trPr>
          <w:trHeight w:val="97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ФУНКЦИЯ 7</w:t>
            </w:r>
          </w:p>
          <w:p>
            <w:pPr>
              <w:jc w:val="center"/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2021 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2022 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2023 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2024 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2025 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2026 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2027 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Общо</w:t>
            </w: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CFFCC" w:fill="EDFFED"/>
            <w:vAlign w:val="center"/>
            <w:hideMark/>
          </w:tcPr>
          <w:p>
            <w:pPr>
              <w:rPr>
                <w:rFonts w:ascii="Arial Narrow" w:hAnsi="Arial Narrow"/>
                <w:b/>
                <w:bCs/>
                <w:noProof/>
                <w:color w:val="008000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noProof/>
                <w:color w:val="008000"/>
                <w:sz w:val="20"/>
                <w:szCs w:val="20"/>
                <w:u w:val="single"/>
              </w:rPr>
              <w:t>В централата: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Разходи за командировки и представителни разходи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Разходи за конференции и срещи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/>
                <w:noProof/>
                <w:color w:val="0000FF"/>
                <w:u w:val="single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Комитети</w:t>
            </w:r>
            <w:r>
              <w:rPr>
                <w:rStyle w:val="FootnoteReference"/>
                <w:rFonts w:ascii="Arial Narrow" w:hAnsi="Arial Narrow"/>
                <w:noProof/>
                <w:sz w:val="20"/>
                <w:szCs w:val="20"/>
              </w:rPr>
              <w:footnoteReference w:id="3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Проучвания и консултации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Информационни системи и системи за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/>
                <w:noProof/>
                <w:color w:val="0000FF"/>
                <w:u w:val="single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ИКТ оборудване и услуги</w:t>
            </w:r>
            <w:r>
              <w:rPr>
                <w:rStyle w:val="FootnoteReference"/>
                <w:rFonts w:ascii="Arial Narrow" w:hAnsi="Arial Narrow"/>
                <w:noProof/>
                <w:sz w:val="20"/>
                <w:szCs w:val="20"/>
              </w:rPr>
              <w:footnoteReference w:id="4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Други бюджетни редове (</w:t>
            </w:r>
            <w:r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20"/>
              </w:rPr>
              <w:t>да се посочи, където е необходимо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Информация и публикуване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Придобиване, наемане и свързани с това разходи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Оборудване, обзавеждане, консумативи и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Договори с експерти и заседания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CFFCC" w:fill="EDFFED"/>
            <w:vAlign w:val="center"/>
            <w:hideMark/>
          </w:tcPr>
          <w:p>
            <w:pPr>
              <w:rPr>
                <w:rFonts w:ascii="Arial Narrow" w:hAnsi="Arial Narrow"/>
                <w:b/>
                <w:bCs/>
                <w:noProof/>
                <w:color w:val="008000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noProof/>
                <w:color w:val="008000"/>
                <w:sz w:val="20"/>
                <w:szCs w:val="20"/>
                <w:u w:val="single"/>
              </w:rPr>
              <w:t>В делегациите на Съюза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Разходи за командировки, конференции и представителни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Допълнително обучение на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30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  <w:tr>
        <w:trPr>
          <w:trHeight w:val="6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Междинен сбор за ФУНКЦИЯ 7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символичен запис</w:t>
            </w:r>
          </w:p>
        </w:tc>
      </w:tr>
      <w:tr>
        <w:trPr>
          <w:trHeight w:val="6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</w:p>
        </w:tc>
      </w:tr>
    </w:tbl>
    <w:p>
      <w:pPr>
        <w:jc w:val="right"/>
        <w:rPr>
          <w:rFonts w:ascii="Arial Narrow" w:hAnsi="Arial Narrow"/>
          <w:i/>
          <w:noProof/>
          <w:sz w:val="20"/>
          <w:szCs w:val="20"/>
        </w:rPr>
      </w:pPr>
    </w:p>
    <w:p>
      <w:pPr>
        <w:ind w:right="-496"/>
        <w:rPr>
          <w:rFonts w:ascii="Arial Narrow" w:hAnsi="Arial Narrow"/>
          <w:b/>
          <w:noProof/>
          <w:color w:val="0000FF"/>
          <w:sz w:val="20"/>
          <w:szCs w:val="20"/>
        </w:rPr>
      </w:pPr>
    </w:p>
    <w:p>
      <w:pPr>
        <w:rPr>
          <w:rFonts w:ascii="Arial Narrow" w:hAnsi="Arial Narrow"/>
          <w:b/>
          <w:noProof/>
          <w:color w:val="0000FF"/>
          <w:sz w:val="20"/>
          <w:szCs w:val="20"/>
        </w:rPr>
      </w:pPr>
      <w:r>
        <w:rPr>
          <w:noProof/>
        </w:rPr>
        <w:br w:type="page"/>
      </w:r>
    </w:p>
    <w:p>
      <w:pPr>
        <w:ind w:right="-496"/>
        <w:jc w:val="right"/>
        <w:rPr>
          <w:rFonts w:ascii="Arial Narrow" w:hAnsi="Arial Narrow"/>
          <w:i/>
          <w:iCs/>
          <w:noProof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млн. евро (до 3-тия знак след десетичната запетая)</w:t>
      </w:r>
    </w:p>
    <w:tbl>
      <w:tblPr>
        <w:tblW w:w="14670" w:type="dxa"/>
        <w:jc w:val="center"/>
        <w:tblLook w:val="04A0" w:firstRow="1" w:lastRow="0" w:firstColumn="1" w:lastColumn="0" w:noHBand="0" w:noVBand="1"/>
      </w:tblPr>
      <w:tblGrid>
        <w:gridCol w:w="4361"/>
        <w:gridCol w:w="1276"/>
        <w:gridCol w:w="1250"/>
        <w:gridCol w:w="1263"/>
        <w:gridCol w:w="1314"/>
        <w:gridCol w:w="1305"/>
        <w:gridCol w:w="1306"/>
        <w:gridCol w:w="1358"/>
        <w:gridCol w:w="1237"/>
      </w:tblGrid>
      <w:tr>
        <w:trPr>
          <w:trHeight w:val="66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Извън ФУНКЦИЯ 7</w:t>
            </w:r>
            <w:r>
              <w:rPr>
                <w:rFonts w:ascii="Arial Narrow" w:hAnsi="Arial Narrow"/>
                <w:noProof/>
                <w:color w:val="000000"/>
              </w:rPr>
              <w:t xml:space="preserve"> 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2021 г.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2022 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2023 г.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2024 г.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2025 г.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2026 г.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FF"/>
                <w:sz w:val="20"/>
                <w:szCs w:val="20"/>
              </w:rPr>
              <w:t>2027 г.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Общо</w:t>
            </w:r>
          </w:p>
        </w:tc>
      </w:tr>
      <w:tr>
        <w:trPr>
          <w:trHeight w:val="765"/>
          <w:jc w:val="center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Разходи за техническа и административна помощ (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  <w:u w:val="single"/>
              </w:rPr>
              <w:t>невключващи външен персонал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) от бюджетни кредити за оперативни разходи (предишни редове „BA“)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Chars="100" w:firstLine="200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— в централата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2,745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4,725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34,970</w:t>
            </w:r>
          </w:p>
        </w:tc>
      </w:tr>
      <w:tr>
        <w:trPr>
          <w:trHeight w:val="300"/>
          <w:jc w:val="center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Chars="100" w:firstLine="200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— в делегациите на Съюза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Други разходи за управление за изследователски дейности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  <w:jc w:val="center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Други бюджетни редове (</w:t>
            </w:r>
            <w:r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20"/>
              </w:rPr>
              <w:t>да се посочи, където е необходимо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6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</w:rPr>
              <w:t>Междинен сбор — извън ФУНКЦИЯ 7</w:t>
            </w:r>
          </w:p>
          <w:p>
            <w:pPr>
              <w:jc w:val="center"/>
              <w:rPr>
                <w:rFonts w:ascii="Arial Narrow" w:hAnsi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от многогодишната финансова рамка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2,745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4,725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5,500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34,970</w:t>
            </w:r>
          </w:p>
        </w:tc>
      </w:tr>
    </w:tbl>
    <w:p>
      <w:pPr>
        <w:ind w:right="-496"/>
        <w:rPr>
          <w:rFonts w:ascii="Arial Narrow" w:hAnsi="Arial Narrow"/>
          <w:b/>
          <w:noProof/>
          <w:color w:val="0000FF"/>
          <w:sz w:val="20"/>
          <w:szCs w:val="20"/>
        </w:rPr>
      </w:pPr>
    </w:p>
    <w:tbl>
      <w:tblPr>
        <w:tblW w:w="14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1275"/>
        <w:gridCol w:w="1276"/>
        <w:gridCol w:w="1276"/>
        <w:gridCol w:w="1276"/>
        <w:gridCol w:w="1275"/>
        <w:gridCol w:w="1418"/>
        <w:gridCol w:w="1276"/>
      </w:tblGrid>
      <w:tr>
        <w:trPr>
          <w:trHeight w:val="289"/>
          <w:jc w:val="center"/>
        </w:trPr>
        <w:tc>
          <w:tcPr>
            <w:tcW w:w="4361" w:type="dxa"/>
            <w:tcBorders>
              <w:top w:val="single" w:sz="12" w:space="0" w:color="auto"/>
            </w:tcBorders>
            <w:vAlign w:val="center"/>
          </w:tcPr>
          <w:p>
            <w:pPr>
              <w:pStyle w:val="Text1"/>
              <w:spacing w:after="0"/>
              <w:ind w:left="0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</w:rPr>
              <w:t>ОБЩО</w:t>
            </w:r>
          </w:p>
          <w:p>
            <w:pPr>
              <w:pStyle w:val="Text1"/>
              <w:spacing w:before="0"/>
              <w:ind w:left="0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</w:rPr>
              <w:t>ФУНКЦИЯ 7 и извън ФУНКЦИЯ 7</w:t>
            </w:r>
            <w:r>
              <w:rPr>
                <w:noProof/>
              </w:rPr>
              <w:cr/>
            </w:r>
            <w:r>
              <w:rPr>
                <w:noProof/>
              </w:rPr>
              <w:br/>
            </w:r>
            <w:r>
              <w:rPr>
                <w:rFonts w:ascii="Arial Narrow" w:hAnsi="Arial Narrow"/>
                <w:noProof/>
                <w:sz w:val="22"/>
              </w:rPr>
              <w:t>от многогодишната финансова рамка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5,645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9,225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11,150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11,150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11,150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11,150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11,150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70,620</w:t>
            </w:r>
          </w:p>
        </w:tc>
      </w:tr>
    </w:tbl>
    <w:p>
      <w:pPr>
        <w:ind w:right="-496"/>
        <w:jc w:val="right"/>
        <w:rPr>
          <w:rFonts w:ascii="Arial Narrow" w:hAnsi="Arial Narrow"/>
          <w:i/>
          <w:iCs/>
          <w:noProof/>
          <w:sz w:val="20"/>
          <w:szCs w:val="20"/>
        </w:rPr>
      </w:pPr>
    </w:p>
    <w:p>
      <w:pPr>
        <w:pStyle w:val="Text2"/>
        <w:spacing w:before="0" w:after="0"/>
        <w:ind w:left="0"/>
        <w:jc w:val="center"/>
        <w:rPr>
          <w:iCs/>
          <w:noProof/>
          <w:sz w:val="18"/>
          <w:szCs w:val="18"/>
        </w:rPr>
      </w:pPr>
      <w:r>
        <w:rPr>
          <w:noProof/>
          <w:sz w:val="18"/>
        </w:rPr>
        <w:t>Необходимите бюджетни кредити за административни разходи ще бъдат покрити от бюджетните кредити, които вече са разпределени за управлението на действието и/или които са преразпределени,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средства, и като се имат предвид съществуващите бюджетни ограничения.</w:t>
      </w:r>
    </w:p>
    <w:p>
      <w:pPr>
        <w:spacing w:before="60"/>
        <w:ind w:left="-360" w:firstLine="900"/>
        <w:jc w:val="both"/>
        <w:rPr>
          <w:noProof/>
          <w:sz w:val="20"/>
          <w:szCs w:val="20"/>
        </w:rPr>
      </w:pPr>
    </w:p>
    <w:p>
      <w:pPr>
        <w:keepNext/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noProof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5840" w:h="12240" w:orient="landscape" w:code="1"/>
          <w:pgMar w:top="1418" w:right="1247" w:bottom="1418" w:left="1247" w:header="709" w:footer="709" w:gutter="0"/>
          <w:cols w:space="708"/>
          <w:docGrid w:linePitch="360"/>
        </w:sectPr>
      </w:pPr>
    </w:p>
    <w:p>
      <w:pPr>
        <w:pStyle w:val="Heading1"/>
        <w:rPr>
          <w:noProof/>
        </w:rPr>
      </w:pPr>
      <w:bookmarkStart w:id="4" w:name="_Toc53763318"/>
      <w:r>
        <w:rPr>
          <w:noProof/>
        </w:rPr>
        <w:t>Методи за изчисляване, използвани за оценка на разходите</w:t>
      </w:r>
      <w:bookmarkEnd w:id="4"/>
    </w:p>
    <w:p>
      <w:pPr>
        <w:pStyle w:val="Heading2"/>
        <w:numPr>
          <w:ilvl w:val="0"/>
          <w:numId w:val="46"/>
        </w:numPr>
        <w:rPr>
          <w:noProof/>
          <w:color w:val="auto"/>
        </w:rPr>
      </w:pPr>
      <w:bookmarkStart w:id="5" w:name="_Toc53763319"/>
      <w:r>
        <w:rPr>
          <w:noProof/>
          <w:color w:val="auto"/>
        </w:rPr>
        <w:t>Човешки ресурси</w:t>
      </w:r>
      <w:bookmarkEnd w:id="5"/>
    </w:p>
    <w:p>
      <w:pPr>
        <w:ind w:left="-357" w:firstLine="902"/>
        <w:jc w:val="both"/>
        <w:rPr>
          <w:noProof/>
          <w:sz w:val="20"/>
          <w:szCs w:val="20"/>
        </w:rPr>
      </w:pPr>
    </w:p>
    <w:p>
      <w:pPr>
        <w:spacing w:after="60"/>
        <w:jc w:val="center"/>
        <w:rPr>
          <w:i/>
          <w:noProof/>
          <w:sz w:val="20"/>
          <w:szCs w:val="20"/>
        </w:rPr>
      </w:pPr>
    </w:p>
    <w:p>
      <w:pPr>
        <w:spacing w:after="60"/>
        <w:jc w:val="center"/>
        <w:rPr>
          <w:i/>
          <w:noProof/>
          <w:sz w:val="20"/>
          <w:szCs w:val="20"/>
        </w:rPr>
      </w:pPr>
      <w:r>
        <w:rPr>
          <w:i/>
          <w:noProof/>
          <w:sz w:val="20"/>
        </w:rPr>
        <w:t>В тази част се определя методът за изчисляване на считаните за необходими човешки ресурси (предположения за работно натоварване, включително специфични длъжностни характеристики (работни профили в Sysper 2), категории служители и съответните средни разходи)</w:t>
      </w:r>
    </w:p>
    <w:p>
      <w:pPr>
        <w:spacing w:after="60"/>
        <w:ind w:left="540"/>
        <w:jc w:val="center"/>
        <w:rPr>
          <w:i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>
        <w:trPr>
          <w:jc w:val="center"/>
        </w:trPr>
        <w:tc>
          <w:tcPr>
            <w:tcW w:w="12474" w:type="dxa"/>
            <w:tcBorders>
              <w:top w:val="single" w:sz="4" w:space="0" w:color="auto"/>
            </w:tcBorders>
          </w:tcPr>
          <w:p>
            <w:pPr>
              <w:pStyle w:val="Text2"/>
              <w:spacing w:before="60" w:after="60"/>
              <w:ind w:left="0"/>
              <w:jc w:val="left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ФУНКЦИЯ 7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от многогодишната финансова рамка</w:t>
            </w:r>
          </w:p>
        </w:tc>
      </w:tr>
      <w:tr>
        <w:trPr>
          <w:jc w:val="center"/>
        </w:trPr>
        <w:tc>
          <w:tcPr>
            <w:tcW w:w="12474" w:type="dxa"/>
          </w:tcPr>
          <w:p>
            <w:pPr>
              <w:pStyle w:val="Text2"/>
              <w:spacing w:before="20" w:after="20"/>
              <w:ind w:left="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u w:val="single"/>
              </w:rPr>
              <w:t>Забележка:</w:t>
            </w:r>
            <w:r>
              <w:rPr>
                <w:rFonts w:ascii="Arial Narrow" w:hAnsi="Arial Narrow"/>
                <w:noProof/>
                <w:sz w:val="18"/>
              </w:rPr>
              <w:t xml:space="preserve"> Средните разходи за всяка категория служители в централата са достъпни на уебсайта BudgWeb:</w:t>
            </w:r>
          </w:p>
          <w:p>
            <w:pPr>
              <w:pStyle w:val="Text2"/>
              <w:spacing w:before="0" w:after="20"/>
              <w:ind w:left="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hyperlink r:id="rId34" w:history="1">
              <w:r>
                <w:rPr>
                  <w:rStyle w:val="Hyperlink"/>
                  <w:rFonts w:ascii="Arial Narrow" w:hAnsi="Arial Narrow"/>
                  <w:noProof/>
                  <w:sz w:val="18"/>
                  <w:szCs w:val="18"/>
                </w:rPr>
                <w:t>https://myintracomm.ec.europa.eu/budgweb/EN/pre/legalbasis/Pages/pre-040-020_preparation.aspx</w:t>
              </w:r>
            </w:hyperlink>
          </w:p>
        </w:tc>
      </w:tr>
      <w:tr>
        <w:trPr>
          <w:jc w:val="center"/>
        </w:trPr>
        <w:tc>
          <w:tcPr>
            <w:tcW w:w="12474" w:type="dxa"/>
          </w:tcPr>
          <w:p>
            <w:pPr>
              <w:pStyle w:val="Text2"/>
              <w:spacing w:before="40" w:after="0"/>
              <w:ind w:left="0"/>
              <w:jc w:val="left"/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</w:rPr>
              <w:t>Длъжностни лица и срочно наети служители</w:t>
            </w: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Изпълнителен директор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Изпълнителен личен асистент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Началник на отдел „Изпълнение на програмите“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Началник на отдел „Администрация, финанси и поддръжка“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Старши програмен ръководител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5x програмни ръководители „Инфраструктура за ВИТ“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5x програмни ръководители „НИРД в областта на ВИТ“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5x програмни ръководители „Квантова инфраструктура“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Юридически съветник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ИТ мениджър (TA)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Ръководител „Комуникации“ (TA)</w:t>
            </w:r>
          </w:p>
          <w:p>
            <w:pPr>
              <w:pStyle w:val="Text2"/>
              <w:spacing w:before="0" w:after="0"/>
              <w:rPr>
                <w:rFonts w:ascii="Arial Narrow" w:hAnsi="Arial Narrow"/>
                <w:noProof/>
                <w:sz w:val="20"/>
                <w:szCs w:val="20"/>
                <w:lang w:val="fr-BE"/>
              </w:rPr>
            </w:pP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Изпълнителен административен асистент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Асистент „Комуникации“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Административен ръководител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Административен асистент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ИТ асистент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Ръководител „Счетоводство и бюджет“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Асистент „Счетоводство и бюджет“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Ръководител на екип „Финанси“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3x асистент „Финансово иницииране“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3x асистент „Финансова проверка“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Длъжностно лице по защита на данните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Ръководител „Човешки ресурси“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Асистент „Човешки ресурси“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Правен асистент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Ръководител „Отношения със заинтересованите страни“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Офис и местен асистент (CA)</w:t>
            </w:r>
          </w:p>
          <w:p>
            <w:pPr>
              <w:pStyle w:val="Text2"/>
              <w:numPr>
                <w:ilvl w:val="0"/>
                <w:numId w:val="43"/>
              </w:numPr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Ръководител „Вътрешен контрол и одит“ (CA)</w:t>
            </w:r>
          </w:p>
          <w:p>
            <w:pPr>
              <w:pStyle w:val="Text2"/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</w:p>
          <w:p>
            <w:pPr>
              <w:pStyle w:val="Text2"/>
              <w:spacing w:before="0" w:after="0"/>
              <w:rPr>
                <w:rFonts w:ascii="Arial Narrow" w:hAnsi="Arial Narrow"/>
                <w:noProof/>
                <w:sz w:val="20"/>
                <w:szCs w:val="20"/>
              </w:rPr>
            </w:pPr>
          </w:p>
          <w:p>
            <w:pPr>
              <w:pStyle w:val="Text2"/>
              <w:spacing w:before="60" w:after="0"/>
              <w:ind w:left="0"/>
              <w:rPr>
                <w:rFonts w:ascii="Arial Narrow" w:hAnsi="Arial Narrow"/>
                <w:noProof/>
                <w:sz w:val="18"/>
                <w:szCs w:val="18"/>
                <w:u w:val="single"/>
              </w:rPr>
            </w:pPr>
          </w:p>
        </w:tc>
      </w:tr>
      <w:tr>
        <w:trPr>
          <w:jc w:val="center"/>
        </w:trPr>
        <w:tc>
          <w:tcPr>
            <w:tcW w:w="12474" w:type="dxa"/>
            <w:tcBorders>
              <w:bottom w:val="single" w:sz="4" w:space="0" w:color="auto"/>
            </w:tcBorders>
          </w:tcPr>
          <w:p>
            <w:pPr>
              <w:pStyle w:val="Text2"/>
              <w:spacing w:before="40" w:after="0"/>
              <w:ind w:left="0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</w:rPr>
              <w:t>Външен персонал</w:t>
            </w: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60" w:after="0"/>
              <w:ind w:left="0"/>
              <w:rPr>
                <w:rFonts w:ascii="Arial Narrow" w:hAnsi="Arial Narrow"/>
                <w:noProof/>
                <w:sz w:val="18"/>
                <w:szCs w:val="18"/>
                <w:u w:val="single"/>
              </w:rPr>
            </w:pPr>
          </w:p>
        </w:tc>
      </w:tr>
    </w:tbl>
    <w:p>
      <w:pPr>
        <w:rPr>
          <w:rFonts w:ascii="Arial Narrow" w:hAnsi="Arial Narrow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>
        <w:trPr>
          <w:jc w:val="center"/>
        </w:trPr>
        <w:tc>
          <w:tcPr>
            <w:tcW w:w="12474" w:type="dxa"/>
            <w:tcBorders>
              <w:top w:val="single" w:sz="4" w:space="0" w:color="auto"/>
            </w:tcBorders>
          </w:tcPr>
          <w:p>
            <w:pPr>
              <w:pStyle w:val="Text2"/>
              <w:spacing w:before="60" w:after="60"/>
              <w:ind w:left="0"/>
              <w:jc w:val="left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Извън ФУНКЦИЯ 7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от многогодишната финансова рамка</w:t>
            </w:r>
          </w:p>
        </w:tc>
      </w:tr>
      <w:tr>
        <w:trPr>
          <w:jc w:val="center"/>
        </w:trPr>
        <w:tc>
          <w:tcPr>
            <w:tcW w:w="12474" w:type="dxa"/>
          </w:tcPr>
          <w:p>
            <w:pPr>
              <w:pStyle w:val="Text2"/>
              <w:spacing w:before="40" w:after="0"/>
              <w:ind w:left="0"/>
              <w:jc w:val="left"/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</w:rPr>
              <w:sym w:font="Wingdings" w:char="F09F"/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  <w:r>
              <w:rPr>
                <w:rFonts w:ascii="Arial Narrow" w:hAnsi="Arial Narrow"/>
                <w:noProof/>
              </w:rPr>
              <w:t>Само длъжностите, финансирани от бюджета за научни изследвания</w:t>
            </w:r>
            <w:r>
              <w:rPr>
                <w:rFonts w:ascii="Arial Narrow" w:hAnsi="Arial Narrow"/>
                <w:noProof/>
                <w:sz w:val="22"/>
              </w:rPr>
              <w:t xml:space="preserve"> </w:t>
            </w: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60" w:after="0"/>
              <w:ind w:left="0"/>
              <w:rPr>
                <w:rFonts w:ascii="Arial Narrow" w:hAnsi="Arial Narrow"/>
                <w:noProof/>
                <w:sz w:val="18"/>
                <w:szCs w:val="18"/>
                <w:u w:val="single"/>
              </w:rPr>
            </w:pPr>
          </w:p>
        </w:tc>
      </w:tr>
      <w:tr>
        <w:trPr>
          <w:jc w:val="center"/>
        </w:trPr>
        <w:tc>
          <w:tcPr>
            <w:tcW w:w="12474" w:type="dxa"/>
            <w:tcBorders>
              <w:bottom w:val="single" w:sz="4" w:space="0" w:color="auto"/>
            </w:tcBorders>
          </w:tcPr>
          <w:p>
            <w:pPr>
              <w:pStyle w:val="Text2"/>
              <w:spacing w:before="40" w:after="0"/>
              <w:ind w:left="0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</w:rPr>
              <w:t>Външен персонал</w:t>
            </w: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60" w:after="0"/>
              <w:ind w:left="0"/>
              <w:rPr>
                <w:rFonts w:ascii="Arial Narrow" w:hAnsi="Arial Narrow"/>
                <w:noProof/>
                <w:sz w:val="18"/>
                <w:szCs w:val="18"/>
                <w:u w:val="single"/>
              </w:rPr>
            </w:pPr>
          </w:p>
        </w:tc>
      </w:tr>
    </w:tbl>
    <w:p>
      <w:pPr>
        <w:spacing w:before="60"/>
        <w:ind w:left="-360" w:firstLine="900"/>
        <w:jc w:val="both"/>
        <w:rPr>
          <w:noProof/>
          <w:sz w:val="20"/>
          <w:szCs w:val="20"/>
        </w:rPr>
      </w:pPr>
    </w:p>
    <w:p>
      <w:pPr>
        <w:pStyle w:val="Heading2"/>
        <w:numPr>
          <w:ilvl w:val="0"/>
          <w:numId w:val="46"/>
        </w:numPr>
        <w:rPr>
          <w:noProof/>
          <w:color w:val="auto"/>
          <w:szCs w:val="28"/>
        </w:rPr>
      </w:pPr>
      <w:bookmarkStart w:id="6" w:name="_Toc53763320"/>
      <w:r>
        <w:rPr>
          <w:noProof/>
          <w:color w:val="auto"/>
        </w:rPr>
        <w:t>Други административни разходи</w:t>
      </w:r>
      <w:bookmarkEnd w:id="6"/>
    </w:p>
    <w:p>
      <w:pPr>
        <w:ind w:left="-357" w:firstLine="902"/>
        <w:jc w:val="both"/>
        <w:rPr>
          <w:noProof/>
          <w:sz w:val="20"/>
          <w:szCs w:val="20"/>
        </w:rPr>
      </w:pPr>
    </w:p>
    <w:p>
      <w:pPr>
        <w:spacing w:before="60"/>
        <w:ind w:left="539"/>
        <w:jc w:val="center"/>
        <w:rPr>
          <w:i/>
          <w:noProof/>
          <w:sz w:val="20"/>
          <w:szCs w:val="20"/>
        </w:rPr>
      </w:pPr>
      <w:r>
        <w:rPr>
          <w:i/>
          <w:noProof/>
          <w:sz w:val="20"/>
        </w:rPr>
        <w:t xml:space="preserve">Опишете подробно метода за изчисляване, използван за всеки бюджетен ред, </w:t>
      </w:r>
    </w:p>
    <w:p>
      <w:pPr>
        <w:spacing w:after="60"/>
        <w:ind w:left="539"/>
        <w:jc w:val="center"/>
        <w:rPr>
          <w:i/>
          <w:noProof/>
          <w:sz w:val="20"/>
          <w:szCs w:val="20"/>
        </w:rPr>
      </w:pPr>
      <w:r>
        <w:rPr>
          <w:i/>
          <w:noProof/>
          <w:sz w:val="20"/>
        </w:rPr>
        <w:t>и по-специално заложените предположения (например брой заседания на година, средни разходи и др.)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>
        <w:trPr>
          <w:jc w:val="center"/>
        </w:trPr>
        <w:tc>
          <w:tcPr>
            <w:tcW w:w="9537" w:type="dxa"/>
            <w:tcBorders>
              <w:top w:val="single" w:sz="4" w:space="0" w:color="auto"/>
            </w:tcBorders>
          </w:tcPr>
          <w:p>
            <w:pPr>
              <w:pStyle w:val="Text2"/>
              <w:spacing w:before="60" w:after="60"/>
              <w:ind w:left="0"/>
              <w:jc w:val="left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ФУНКЦИЯ 7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от многогодишната финансова рамка</w:t>
            </w:r>
          </w:p>
        </w:tc>
      </w:tr>
      <w:tr>
        <w:trPr>
          <w:jc w:val="center"/>
        </w:trPr>
        <w:tc>
          <w:tcPr>
            <w:tcW w:w="9537" w:type="dxa"/>
            <w:tcBorders>
              <w:bottom w:val="single" w:sz="4" w:space="0" w:color="auto"/>
            </w:tcBorders>
          </w:tcPr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Сгради и свързани с тях разходи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СП трябва да гарантира, че условията на труд на неговия персонал отговарят на стандартите на институциите на ЕС. Офис помещенията ще се предлагат от приемащата държава на СП. В този бюджетен кредит се включват разходите, свързани с инфраструктурата: застраховка, вода, електричество и отопление, почистване и поддръжка, охрана и наблюдение. 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Информационни технологии</w:t>
            </w:r>
          </w:p>
          <w:p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За да създаде условия на своя персонал да изпълнява работата си, съвместното предприятие е оборудвано с най-съвременното офис оборудване и мрежови съоръжения, позволяващи да се използва стандартният набор от ИТ инструменти на програмите и институциите на ЕС. Този бюджетен кредит е предназначен за покриване на закупуването на компютърно и друго подобно електронно офис оборудване и хардуер, както и монтирането, конфигурирането и поддръжката на това оборудване. Доставката и поддръжката на програмните пакети и софтуерните лицензи, необходими за нормалното функциониране на СП; разходите за договори за услуги за анализ, програмиране и техническа помощ, необходими за СП, разходите за външни договори за услуги за управление и поддържане на данните и системите, обучение и други спомагателни дейности.</w:t>
            </w:r>
          </w:p>
          <w:p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 него се покриват разходите за споразуменията за ниво на обслужване с Комисията, необходими за използването на системата ABAC за водене на счетоводство на базата на текущо начисляване (споразумение за ниво на обслужване с ГД „Бюджет“), както и за предоставянето на ИТ оборудване/услуги (споразумение за ниво на обслужване с ГД „Информатика“, Изпълнителната агенция за научни изследвания (REA), ГД „Научни изследвания и иновации“, Центъра за преводи за органите на Европейския съюз (CdT), Човешки ресурси и/или ГД „Съобщителни мрежи, съдържание и технологии“). В него се включват и специфичните разходи за нуждите на сигурното предаване на данни на СП за достъп до системата ABAC за водене на счетоводство на базата на текущо начисляване.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 xml:space="preserve">Движимо имущество </w:t>
            </w:r>
          </w:p>
          <w:p>
            <w:pPr>
              <w:pStyle w:val="NoSpacing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Това включва ресурсите, необходими за покриване на разходите за организация на офиси, архивни пространства и заседателни зали. 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Текущи административни разходи</w:t>
            </w:r>
          </w:p>
          <w:p>
            <w:pPr>
              <w:pStyle w:val="NoSpacing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Това включва разходите за офис консумативи, пропуски, канцеларски материали и други консумативи, необходими за функционирането на офиса, както и всички разходи, извършени за задължителни преводи.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Пощенски такси и телекомуникация</w:t>
            </w:r>
          </w:p>
          <w:p>
            <w:pPr>
              <w:pStyle w:val="NoSpacing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Това обхваща всички разходи за кореспонденция, пощенски такси и разходи за телекомуникация (фиксирана и мобилна телефония и оборудване/лицензи за видеоконферентна връзка) на СП.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Разходи за официални и други заседания</w:t>
            </w:r>
          </w:p>
          <w:p>
            <w:pPr>
              <w:pStyle w:val="NoSpacing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Като част от дейността на съвместното предприятие, за някои от заседанията (като заседанията на Управителния съвет и общностни семинари) се изискват големи зали, каквито не са на разположение в помещенията на СП.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Оперативни дейности</w:t>
            </w:r>
          </w:p>
          <w:p>
            <w:pPr>
              <w:pStyle w:val="NoSpacing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Одитът и правната помощ са ключови елементи, за да се гарантира, че СП е в съответствие с правната рамка. (напр. структура за вътрешен одит, външни одитори и последващи одити)</w:t>
            </w:r>
          </w:p>
          <w:p>
            <w:pPr>
              <w:pStyle w:val="NoSpacing"/>
              <w:rPr>
                <w:noProof/>
                <w:szCs w:val="24"/>
              </w:rPr>
            </w:pPr>
            <w:r>
              <w:rPr>
                <w:noProof/>
              </w:rPr>
              <w:t>Комуникационни дейности, свързани с публикуване, и по-специално комуникационните материали за конференции, информационни дни и семинари; разработване и техническо усъвършенстване на уебсайта; общи връзки с обществеността и публичност.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Информация и публикуване</w:t>
            </w:r>
          </w:p>
          <w:p>
            <w:pPr>
              <w:pStyle w:val="NoSpacing"/>
              <w:spacing w:before="120" w:after="120"/>
              <w:rPr>
                <w:noProof/>
                <w:szCs w:val="24"/>
              </w:rPr>
            </w:pPr>
            <w:r>
              <w:rPr>
                <w:noProof/>
              </w:rPr>
              <w:t>Това обхваща комуникационната политика на съвместното предприятие, за да се гарантира информираност на обществото и разбиране на обхвата. Включени са също и дейностите, свързани с изготвянето и отпечатването на годишния отчет за дейността и на други доклади.</w:t>
            </w:r>
          </w:p>
          <w:p>
            <w:pPr>
              <w:pStyle w:val="Heading4"/>
              <w:keepLines/>
              <w:numPr>
                <w:ilvl w:val="3"/>
                <w:numId w:val="45"/>
              </w:numPr>
              <w:spacing w:before="200"/>
              <w:jc w:val="left"/>
              <w:rPr>
                <w:noProof/>
              </w:rPr>
            </w:pPr>
            <w:r>
              <w:rPr>
                <w:noProof/>
              </w:rPr>
              <w:t>Договори с експерти и заседания</w:t>
            </w: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>
              <w:rPr>
                <w:noProof/>
              </w:rPr>
              <w:t>Това включва разходите, свързани с оценката, подбора и прегледа на проектите, както и разходите за оценители и проверители.</w:t>
            </w: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</w:p>
          <w:p>
            <w:pPr>
              <w:pStyle w:val="Text2"/>
              <w:spacing w:before="60" w:after="0"/>
              <w:ind w:left="0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</w:p>
        </w:tc>
      </w:tr>
    </w:tbl>
    <w:p>
      <w:pPr>
        <w:rPr>
          <w:rFonts w:ascii="Arial Narrow" w:hAnsi="Arial Narrow"/>
          <w:noProof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>
        <w:trPr>
          <w:jc w:val="center"/>
        </w:trPr>
        <w:tc>
          <w:tcPr>
            <w:tcW w:w="9295" w:type="dxa"/>
            <w:tcBorders>
              <w:top w:val="single" w:sz="4" w:space="0" w:color="auto"/>
            </w:tcBorders>
          </w:tcPr>
          <w:p>
            <w:pPr>
              <w:pStyle w:val="Text2"/>
              <w:spacing w:before="60" w:after="60"/>
              <w:ind w:left="0"/>
              <w:jc w:val="left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Извън ФУНКЦИЯ 7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от многогодишната финансова рамка</w:t>
            </w:r>
          </w:p>
        </w:tc>
      </w:tr>
      <w:tr>
        <w:trPr>
          <w:jc w:val="center"/>
        </w:trPr>
        <w:tc>
          <w:tcPr>
            <w:tcW w:w="9295" w:type="dxa"/>
            <w:tcBorders>
              <w:bottom w:val="single" w:sz="4" w:space="0" w:color="auto"/>
            </w:tcBorders>
          </w:tcPr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0" w:after="0"/>
              <w:ind w:left="0"/>
              <w:rPr>
                <w:rFonts w:ascii="Arial Narrow" w:hAnsi="Arial Narrow"/>
                <w:noProof/>
                <w:sz w:val="20"/>
                <w:szCs w:val="20"/>
                <w:u w:val="single"/>
              </w:rPr>
            </w:pPr>
          </w:p>
          <w:p>
            <w:pPr>
              <w:pStyle w:val="Text2"/>
              <w:spacing w:before="60" w:after="0"/>
              <w:ind w:left="0"/>
              <w:rPr>
                <w:rFonts w:ascii="Arial Narrow" w:hAnsi="Arial Narrow"/>
                <w:noProof/>
                <w:sz w:val="18"/>
                <w:szCs w:val="18"/>
                <w:u w:val="single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5"/>
        <w:tab w:val="clear" w:pos="9071"/>
        <w:tab w:val="clear" w:pos="9921"/>
        <w:tab w:val="center" w:pos="6521"/>
        <w:tab w:val="left" w:pos="8370"/>
      </w:tabs>
      <w:rPr>
        <w:sz w:val="16"/>
        <w:szCs w:val="16"/>
      </w:rPr>
    </w:pPr>
    <w:r>
      <w:rPr>
        <w:rStyle w:val="PageNumber"/>
        <w:sz w:val="16"/>
      </w:rPr>
      <w:t xml:space="preserve"> </w:t>
    </w:r>
    <w:r>
      <w:rPr>
        <w:rStyle w:val="PageNumber"/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8</w:t>
    </w:r>
    <w:r>
      <w:rPr>
        <w:rStyle w:val="PageNumber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5"/>
        <w:tab w:val="clear" w:pos="9071"/>
        <w:tab w:val="clear" w:pos="9921"/>
        <w:tab w:val="center" w:pos="4536"/>
        <w:tab w:val="left" w:pos="6090"/>
      </w:tabs>
      <w:rPr>
        <w:sz w:val="16"/>
        <w:szCs w:val="16"/>
      </w:rPr>
    </w:pPr>
    <w:r>
      <w:rPr>
        <w:rStyle w:val="PageNumber"/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12</w:t>
    </w:r>
    <w:r>
      <w:rPr>
        <w:rStyle w:val="PageNumber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sz w:val="16"/>
        <w:szCs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5"/>
        <w:tab w:val="clear" w:pos="9071"/>
        <w:tab w:val="clear" w:pos="9921"/>
        <w:tab w:val="center" w:pos="6521"/>
        <w:tab w:val="left" w:pos="8370"/>
      </w:tabs>
      <w:rPr>
        <w:sz w:val="16"/>
        <w:szCs w:val="16"/>
      </w:rPr>
    </w:pPr>
    <w:r>
      <w:rPr>
        <w:rStyle w:val="PageNumber"/>
        <w:sz w:val="16"/>
      </w:rPr>
      <w:t xml:space="preserve"> </w:t>
    </w:r>
    <w:r>
      <w:rPr>
        <w:rStyle w:val="PageNumber"/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    </w:t>
      </w:r>
      <w:r>
        <w:rPr>
          <w:sz w:val="18"/>
        </w:rPr>
        <w:t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</w:t>
      </w:r>
    </w:p>
  </w:footnote>
  <w:footnote w:id="2">
    <w:p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    </w:t>
      </w:r>
      <w:r>
        <w:rPr>
          <w:sz w:val="18"/>
        </w:rPr>
        <w:t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</w:r>
      <w:r>
        <w:rPr>
          <w:sz w:val="18"/>
        </w:rPr>
        <w:t>Посочва се видът на комитета и групата, към която той принадлежи.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  <w:t>ИКТ: Информационни и комуникационни технологии: необходими са консултации с ГД „Информатика“.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jc w:val="center"/>
    </w:pPr>
    <w:r>
      <w:t>Бюджетни данни с административен характер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jc w:val="center"/>
    </w:pPr>
    <w:r>
      <w:t>Бюджетни данни с административен характер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jc w:val="center"/>
    </w:pPr>
    <w:r>
      <w:t>Бюджетни данни с административен характер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1" w:color="auto"/>
      </w:pBdr>
      <w:jc w:val="center"/>
    </w:pPr>
    <w:r>
      <w:t>Бюджетни данни с административен характер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356"/>
    <w:multiLevelType w:val="multilevel"/>
    <w:tmpl w:val="DEAC049E"/>
    <w:lvl w:ilvl="0">
      <w:start w:val="8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81C18"/>
    <w:multiLevelType w:val="multilevel"/>
    <w:tmpl w:val="585058E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8318BF"/>
    <w:multiLevelType w:val="hybridMultilevel"/>
    <w:tmpl w:val="28C682D2"/>
    <w:lvl w:ilvl="0" w:tplc="EA403CE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6D2E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E7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2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E8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27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66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AD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92E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B120E"/>
    <w:multiLevelType w:val="hybridMultilevel"/>
    <w:tmpl w:val="367EE3B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A200F5"/>
    <w:multiLevelType w:val="hybridMultilevel"/>
    <w:tmpl w:val="DEAC049E"/>
    <w:lvl w:ilvl="0" w:tplc="BB2C0100">
      <w:start w:val="8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 w:tplc="AB926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B29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4F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0D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3E5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1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61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A6A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30D1B"/>
    <w:multiLevelType w:val="multilevel"/>
    <w:tmpl w:val="E5BE4E1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6">
    <w:nsid w:val="0FBB3382"/>
    <w:multiLevelType w:val="multilevel"/>
    <w:tmpl w:val="0A56FD9E"/>
    <w:lvl w:ilvl="0">
      <w:start w:val="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93A2D"/>
    <w:multiLevelType w:val="multilevel"/>
    <w:tmpl w:val="E1F4D5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1B222A58"/>
    <w:multiLevelType w:val="multilevel"/>
    <w:tmpl w:val="8A161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BC6222F"/>
    <w:multiLevelType w:val="multilevel"/>
    <w:tmpl w:val="28C682D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E41F3"/>
    <w:multiLevelType w:val="multilevel"/>
    <w:tmpl w:val="274013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0EB128B"/>
    <w:multiLevelType w:val="hybridMultilevel"/>
    <w:tmpl w:val="9048A4B2"/>
    <w:lvl w:ilvl="0" w:tplc="5DACFC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481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6A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4CA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2A2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F67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B0C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1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983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F6526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26901605"/>
    <w:multiLevelType w:val="multilevel"/>
    <w:tmpl w:val="FBE045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A0B1751"/>
    <w:multiLevelType w:val="multilevel"/>
    <w:tmpl w:val="0332F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A635D54"/>
    <w:multiLevelType w:val="multilevel"/>
    <w:tmpl w:val="1BFE4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F3F437D"/>
    <w:multiLevelType w:val="hybridMultilevel"/>
    <w:tmpl w:val="BE16F11A"/>
    <w:lvl w:ilvl="0" w:tplc="C150CE88">
      <w:start w:val="1"/>
      <w:numFmt w:val="bullet"/>
      <w:lvlText w:val=""/>
      <w:lvlJc w:val="left"/>
      <w:pPr>
        <w:tabs>
          <w:tab w:val="num" w:pos="1324"/>
        </w:tabs>
        <w:ind w:left="1324" w:hanging="680"/>
      </w:pPr>
      <w:rPr>
        <w:rFonts w:ascii="Symbol" w:hAnsi="Symbol" w:hint="default"/>
        <w:color w:val="auto"/>
      </w:rPr>
    </w:lvl>
    <w:lvl w:ilvl="1" w:tplc="BE9E27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F2EC3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7CDC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645A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F9C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0887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2CE6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9A54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33D6DA9"/>
    <w:multiLevelType w:val="multilevel"/>
    <w:tmpl w:val="B0E499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hanging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3BD273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805536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395E0EA9"/>
    <w:multiLevelType w:val="multilevel"/>
    <w:tmpl w:val="1BFE4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42376CAE"/>
    <w:multiLevelType w:val="hybridMultilevel"/>
    <w:tmpl w:val="4D205BBC"/>
    <w:lvl w:ilvl="0" w:tplc="5D36647C">
      <w:start w:val="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7612F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AA7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4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A1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1A5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81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E1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6EE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16954"/>
    <w:multiLevelType w:val="hybridMultilevel"/>
    <w:tmpl w:val="0A56FD9E"/>
    <w:lvl w:ilvl="0" w:tplc="A7366A42">
      <w:start w:val="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FCA04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41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06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829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88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29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CA5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836C98"/>
    <w:multiLevelType w:val="multilevel"/>
    <w:tmpl w:val="F0FEC5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4A4048E0"/>
    <w:multiLevelType w:val="hybridMultilevel"/>
    <w:tmpl w:val="EA50C2A4"/>
    <w:lvl w:ilvl="0" w:tplc="CED8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9547B"/>
    <w:multiLevelType w:val="multilevel"/>
    <w:tmpl w:val="E1F4D5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AE0440A"/>
    <w:multiLevelType w:val="hybridMultilevel"/>
    <w:tmpl w:val="FF1C7502"/>
    <w:lvl w:ilvl="0" w:tplc="B6D6B21A">
      <w:start w:val="1"/>
      <w:numFmt w:val="bullet"/>
      <w:lvlText w:val=""/>
      <w:lvlJc w:val="left"/>
      <w:pPr>
        <w:tabs>
          <w:tab w:val="num" w:pos="1324"/>
        </w:tabs>
        <w:ind w:left="1324" w:hanging="680"/>
      </w:pPr>
      <w:rPr>
        <w:rFonts w:ascii="Symbol" w:hAnsi="Symbol" w:hint="default"/>
        <w:color w:val="auto"/>
      </w:rPr>
    </w:lvl>
    <w:lvl w:ilvl="1" w:tplc="3D7ADF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79CCC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C6EC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A84F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ADC53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DEE7E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2A39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EBA0F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5165EB"/>
    <w:multiLevelType w:val="hybridMultilevel"/>
    <w:tmpl w:val="44C0DE34"/>
    <w:lvl w:ilvl="0" w:tplc="9BCC75E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7B04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EC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68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CC0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8C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E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365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13B49"/>
    <w:multiLevelType w:val="multilevel"/>
    <w:tmpl w:val="216A2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55CD5877"/>
    <w:multiLevelType w:val="multilevel"/>
    <w:tmpl w:val="E5BE4E1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30">
    <w:nsid w:val="59031C16"/>
    <w:multiLevelType w:val="hybridMultilevel"/>
    <w:tmpl w:val="3B36D5DE"/>
    <w:lvl w:ilvl="0" w:tplc="D138D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BC6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164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F26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DE3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C62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241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E4A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D772F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DCD4E08"/>
    <w:multiLevelType w:val="hybridMultilevel"/>
    <w:tmpl w:val="80EC5C02"/>
    <w:lvl w:ilvl="0" w:tplc="F3662D6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4E547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929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7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A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8AF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EF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D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6EA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10F6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616D66D6"/>
    <w:multiLevelType w:val="multilevel"/>
    <w:tmpl w:val="0D2E0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633372D0"/>
    <w:multiLevelType w:val="multilevel"/>
    <w:tmpl w:val="5A8C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A12FA4"/>
    <w:multiLevelType w:val="multilevel"/>
    <w:tmpl w:val="E96C5168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4BF4267"/>
    <w:multiLevelType w:val="multilevel"/>
    <w:tmpl w:val="2170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68E6080D"/>
    <w:multiLevelType w:val="multilevel"/>
    <w:tmpl w:val="F52405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AA33A80"/>
    <w:multiLevelType w:val="multilevel"/>
    <w:tmpl w:val="CA3E53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381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6B0444FA"/>
    <w:multiLevelType w:val="hybridMultilevel"/>
    <w:tmpl w:val="3C5281BA"/>
    <w:lvl w:ilvl="0" w:tplc="B038019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1BF00DC4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581A7444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27AC058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852C91F0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261AF6FC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CADE3794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8C341080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64CC7F4A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1">
    <w:nsid w:val="727E24E1"/>
    <w:multiLevelType w:val="multilevel"/>
    <w:tmpl w:val="4DAE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72B83C0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8BE6473"/>
    <w:multiLevelType w:val="multilevel"/>
    <w:tmpl w:val="0D3AD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44">
    <w:nsid w:val="7CFB7F39"/>
    <w:multiLevelType w:val="hybridMultilevel"/>
    <w:tmpl w:val="0A8C2070"/>
    <w:lvl w:ilvl="0" w:tplc="D1BE0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3445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8F9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F68D2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B3A74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9B826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AAC30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14061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ED492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E4D1FDA"/>
    <w:multiLevelType w:val="hybridMultilevel"/>
    <w:tmpl w:val="4D74AC60"/>
    <w:lvl w:ilvl="0" w:tplc="A644F35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20C9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CA5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DAE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A8E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0E0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FA8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0E1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D02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5"/>
  </w:num>
  <w:num w:numId="3">
    <w:abstractNumId w:val="33"/>
  </w:num>
  <w:num w:numId="4">
    <w:abstractNumId w:val="40"/>
  </w:num>
  <w:num w:numId="5">
    <w:abstractNumId w:val="18"/>
  </w:num>
  <w:num w:numId="6">
    <w:abstractNumId w:val="44"/>
  </w:num>
  <w:num w:numId="7">
    <w:abstractNumId w:val="30"/>
  </w:num>
  <w:num w:numId="8">
    <w:abstractNumId w:val="11"/>
  </w:num>
  <w:num w:numId="9">
    <w:abstractNumId w:val="28"/>
  </w:num>
  <w:num w:numId="10">
    <w:abstractNumId w:val="10"/>
  </w:num>
  <w:num w:numId="11">
    <w:abstractNumId w:val="45"/>
  </w:num>
  <w:num w:numId="12">
    <w:abstractNumId w:val="7"/>
  </w:num>
  <w:num w:numId="13">
    <w:abstractNumId w:val="31"/>
  </w:num>
  <w:num w:numId="14">
    <w:abstractNumId w:val="19"/>
  </w:num>
  <w:num w:numId="15">
    <w:abstractNumId w:val="32"/>
  </w:num>
  <w:num w:numId="16">
    <w:abstractNumId w:val="25"/>
  </w:num>
  <w:num w:numId="17">
    <w:abstractNumId w:val="23"/>
  </w:num>
  <w:num w:numId="18">
    <w:abstractNumId w:val="38"/>
  </w:num>
  <w:num w:numId="19">
    <w:abstractNumId w:val="13"/>
  </w:num>
  <w:num w:numId="20">
    <w:abstractNumId w:val="17"/>
  </w:num>
  <w:num w:numId="21">
    <w:abstractNumId w:val="14"/>
  </w:num>
  <w:num w:numId="22">
    <w:abstractNumId w:val="39"/>
  </w:num>
  <w:num w:numId="23">
    <w:abstractNumId w:val="42"/>
  </w:num>
  <w:num w:numId="24">
    <w:abstractNumId w:val="5"/>
  </w:num>
  <w:num w:numId="25">
    <w:abstractNumId w:val="34"/>
  </w:num>
  <w:num w:numId="26">
    <w:abstractNumId w:val="15"/>
  </w:num>
  <w:num w:numId="27">
    <w:abstractNumId w:val="8"/>
  </w:num>
  <w:num w:numId="28">
    <w:abstractNumId w:val="26"/>
  </w:num>
  <w:num w:numId="29">
    <w:abstractNumId w:val="16"/>
  </w:num>
  <w:num w:numId="30">
    <w:abstractNumId w:val="12"/>
  </w:num>
  <w:num w:numId="31">
    <w:abstractNumId w:val="41"/>
  </w:num>
  <w:num w:numId="32">
    <w:abstractNumId w:val="27"/>
  </w:num>
  <w:num w:numId="33">
    <w:abstractNumId w:val="2"/>
  </w:num>
  <w:num w:numId="34">
    <w:abstractNumId w:val="9"/>
  </w:num>
  <w:num w:numId="35">
    <w:abstractNumId w:val="4"/>
  </w:num>
  <w:num w:numId="36">
    <w:abstractNumId w:val="0"/>
  </w:num>
  <w:num w:numId="37">
    <w:abstractNumId w:val="22"/>
  </w:num>
  <w:num w:numId="38">
    <w:abstractNumId w:val="6"/>
  </w:num>
  <w:num w:numId="39">
    <w:abstractNumId w:val="21"/>
  </w:num>
  <w:num w:numId="40">
    <w:abstractNumId w:val="20"/>
  </w:num>
  <w:num w:numId="41">
    <w:abstractNumId w:val="43"/>
  </w:num>
  <w:num w:numId="42">
    <w:abstractNumId w:val="29"/>
  </w:num>
  <w:num w:numId="43">
    <w:abstractNumId w:val="24"/>
  </w:num>
  <w:num w:numId="44">
    <w:abstractNumId w:val="36"/>
  </w:num>
  <w:num w:numId="45">
    <w:abstractNumId w:val="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090342A7-8C4D-479E-9ADA-25B25B59DD7A"/>
    <w:docVar w:name="LW_COVERPAGE_TYPE" w:val="1"/>
    <w:docVar w:name="LW_CROSSREFERENCE" w:val="{SWD(2020) 179 final}"/>
    <w:docVar w:name="LW_DocType" w:val="NORMAL"/>
    <w:docVar w:name="LW_EMISSION" w:val="18.9.2020"/>
    <w:docVar w:name="LW_EMISSION_ISODATE" w:val="2020-09-18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98?\u1079?\u1076?\u1072?\u1074?\u1072?\u1085?\u1077? \u1085?\u1072? \u1057?\u1098?\u1074?\u1084?\u1077?\u1089?\u1090?\u1085?\u1086? \u1087?\u1088?\u1077?\u1076?\u1087?\u1088?\u1080?\u1103?\u1090?\u1080?\u1077? \u1079?\u1072? \u1077?\u1074?\u1088?\u1086?\u1087?\u1077?\u1081?\u1089?\u1082?\u1080? \u1074?\u1080?\u1089?\u1086?\u1082?\u1086?\u1087?\u1088?\u1086?\u1080?\u1079?\u1074?\u1086?\u1076?\u1080?\u1090?\u1077?\u1083?\u1085?\u1080? \u1080?\u1079?\u1095?\u1080?\u1089?\u1083?\u1080?\u1090?\u1077?\u1083?\u1085?\u1080? \u1090?\u1077?\u1093?\u1085?\u1086?\u1083?\u1086?\u1075?\u1080?\u1080?"/>
    <w:docVar w:name="LW_PART_NBR" w:val="2"/>
    <w:docVar w:name="LW_PART_NBR_TOTAL" w:val="2"/>
    <w:docVar w:name="LW_REF.INST.NEW" w:val="COM"/>
    <w:docVar w:name="LW_REF.INST.NEW_ADOPTED" w:val="final"/>
    <w:docVar w:name="LW_REF.INST.NEW_TEXT" w:val="(2020) 5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56?\u1045?\u1044?\u1051?\u1054?\u1046?\u1045?\u1053?\u1048?\u1045? \u1047?\u1040? \u1056?\u1045?\u1043?\u1051?\u1040?\u1052?\u1045?\u1053?\u105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4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Text1"/>
    <w:link w:val="Heading4Char"/>
    <w:uiPriority w:val="9"/>
    <w:unhideWhenUsed/>
    <w:qFormat/>
    <w:pPr>
      <w:keepNext/>
      <w:numPr>
        <w:ilvl w:val="3"/>
        <w:numId w:val="44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1">
    <w:name w:val="Text 1"/>
    <w:basedOn w:val="Normal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2">
    <w:name w:val="Text 2"/>
    <w:basedOn w:val="Normal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rPr>
      <w:rFonts w:cs="Times New Roman"/>
      <w:color w:val="0000FF"/>
      <w:lang w:val="bg-BG" w:eastAsia="en-GB"/>
    </w:rPr>
  </w:style>
  <w:style w:type="paragraph" w:customStyle="1" w:styleId="Point1">
    <w:name w:val="Point 1"/>
    <w:basedOn w:val="Normal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Pr>
      <w:rFonts w:cs="Times New Roman"/>
      <w:vertAlign w:val="superscript"/>
      <w:lang w:val="bg-BG" w:eastAsia="en-GB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styleId="PageNumber">
    <w:name w:val="page number"/>
    <w:rPr>
      <w:rFonts w:cs="Times New Roman"/>
      <w:lang w:val="bg-BG" w:eastAsia="en-GB"/>
    </w:r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  <w:lang w:val="bg-BG" w:eastAsia="en-GB"/>
    </w:rPr>
  </w:style>
  <w:style w:type="character" w:customStyle="1" w:styleId="tw4winError">
    <w:name w:val="tw4winError"/>
    <w:rPr>
      <w:color w:val="00FF00"/>
      <w:sz w:val="40"/>
      <w:lang w:val="bg-BG" w:eastAsia="en-GB"/>
    </w:rPr>
  </w:style>
  <w:style w:type="character" w:customStyle="1" w:styleId="tw4winTerm">
    <w:name w:val="tw4winTerm"/>
    <w:rPr>
      <w:color w:val="0000FF"/>
      <w:lang w:val="bg-BG" w:eastAsia="en-GB"/>
    </w:rPr>
  </w:style>
  <w:style w:type="character" w:customStyle="1" w:styleId="tw4winPopup">
    <w:name w:val="tw4winPopup"/>
    <w:rPr>
      <w:noProof/>
      <w:color w:val="008000"/>
      <w:lang w:val="bg-BG" w:eastAsia="en-GB"/>
    </w:rPr>
  </w:style>
  <w:style w:type="character" w:customStyle="1" w:styleId="tw4winJump">
    <w:name w:val="tw4winJump"/>
    <w:rPr>
      <w:noProof/>
      <w:color w:val="008080"/>
      <w:lang w:val="bg-BG" w:eastAsia="en-GB"/>
    </w:rPr>
  </w:style>
  <w:style w:type="character" w:customStyle="1" w:styleId="tw4winExternal">
    <w:name w:val="tw4winExternal"/>
    <w:rPr>
      <w:noProof/>
      <w:color w:val="808080"/>
      <w:lang w:val="bg-BG" w:eastAsia="en-GB"/>
    </w:rPr>
  </w:style>
  <w:style w:type="character" w:customStyle="1" w:styleId="tw4winInternal">
    <w:name w:val="tw4winInternal"/>
    <w:rPr>
      <w:noProof/>
      <w:color w:val="FF0000"/>
      <w:lang w:val="bg-BG" w:eastAsia="en-GB"/>
    </w:rPr>
  </w:style>
  <w:style w:type="character" w:customStyle="1" w:styleId="DONOTTRANSLATE">
    <w:name w:val="DO_NOT_TRANSLATE"/>
    <w:rPr>
      <w:noProof/>
      <w:color w:val="800000"/>
      <w:lang w:val="bg-BG"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bg-BG" w:eastAsia="en-GB"/>
    </w:rPr>
  </w:style>
  <w:style w:type="character" w:styleId="CommentReference">
    <w:name w:val="annotation reference"/>
    <w:semiHidden/>
    <w:rPr>
      <w:rFonts w:cs="Times New Roman"/>
      <w:sz w:val="16"/>
      <w:szCs w:val="16"/>
      <w:lang w:val="bg-BG" w:eastAsia="en-GB"/>
    </w:rPr>
  </w:style>
  <w:style w:type="paragraph" w:styleId="CommentText">
    <w:name w:val="annotation text"/>
    <w:basedOn w:val="Normal"/>
    <w:link w:val="Comment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Cs/>
      <w:iCs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before="120"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4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Text1"/>
    <w:link w:val="Heading4Char"/>
    <w:uiPriority w:val="9"/>
    <w:unhideWhenUsed/>
    <w:qFormat/>
    <w:pPr>
      <w:keepNext/>
      <w:numPr>
        <w:ilvl w:val="3"/>
        <w:numId w:val="44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1">
    <w:name w:val="Text 1"/>
    <w:basedOn w:val="Normal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2">
    <w:name w:val="Text 2"/>
    <w:basedOn w:val="Normal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rPr>
      <w:rFonts w:cs="Times New Roman"/>
      <w:color w:val="0000FF"/>
      <w:lang w:val="bg-BG" w:eastAsia="en-GB"/>
    </w:rPr>
  </w:style>
  <w:style w:type="paragraph" w:customStyle="1" w:styleId="Point1">
    <w:name w:val="Point 1"/>
    <w:basedOn w:val="Normal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Pr>
      <w:rFonts w:cs="Times New Roman"/>
      <w:vertAlign w:val="superscript"/>
      <w:lang w:val="bg-BG" w:eastAsia="en-GB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styleId="PageNumber">
    <w:name w:val="page number"/>
    <w:rPr>
      <w:rFonts w:cs="Times New Roman"/>
      <w:lang w:val="bg-BG" w:eastAsia="en-GB"/>
    </w:r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  <w:lang w:val="bg-BG" w:eastAsia="en-GB"/>
    </w:rPr>
  </w:style>
  <w:style w:type="character" w:customStyle="1" w:styleId="tw4winError">
    <w:name w:val="tw4winError"/>
    <w:rPr>
      <w:color w:val="00FF00"/>
      <w:sz w:val="40"/>
      <w:lang w:val="bg-BG" w:eastAsia="en-GB"/>
    </w:rPr>
  </w:style>
  <w:style w:type="character" w:customStyle="1" w:styleId="tw4winTerm">
    <w:name w:val="tw4winTerm"/>
    <w:rPr>
      <w:color w:val="0000FF"/>
      <w:lang w:val="bg-BG" w:eastAsia="en-GB"/>
    </w:rPr>
  </w:style>
  <w:style w:type="character" w:customStyle="1" w:styleId="tw4winPopup">
    <w:name w:val="tw4winPopup"/>
    <w:rPr>
      <w:noProof/>
      <w:color w:val="008000"/>
      <w:lang w:val="bg-BG" w:eastAsia="en-GB"/>
    </w:rPr>
  </w:style>
  <w:style w:type="character" w:customStyle="1" w:styleId="tw4winJump">
    <w:name w:val="tw4winJump"/>
    <w:rPr>
      <w:noProof/>
      <w:color w:val="008080"/>
      <w:lang w:val="bg-BG" w:eastAsia="en-GB"/>
    </w:rPr>
  </w:style>
  <w:style w:type="character" w:customStyle="1" w:styleId="tw4winExternal">
    <w:name w:val="tw4winExternal"/>
    <w:rPr>
      <w:noProof/>
      <w:color w:val="808080"/>
      <w:lang w:val="bg-BG" w:eastAsia="en-GB"/>
    </w:rPr>
  </w:style>
  <w:style w:type="character" w:customStyle="1" w:styleId="tw4winInternal">
    <w:name w:val="tw4winInternal"/>
    <w:rPr>
      <w:noProof/>
      <w:color w:val="FF0000"/>
      <w:lang w:val="bg-BG" w:eastAsia="en-GB"/>
    </w:rPr>
  </w:style>
  <w:style w:type="character" w:customStyle="1" w:styleId="DONOTTRANSLATE">
    <w:name w:val="DO_NOT_TRANSLATE"/>
    <w:rPr>
      <w:noProof/>
      <w:color w:val="800000"/>
      <w:lang w:val="bg-BG"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bg-BG" w:eastAsia="en-GB"/>
    </w:rPr>
  </w:style>
  <w:style w:type="character" w:styleId="CommentReference">
    <w:name w:val="annotation reference"/>
    <w:semiHidden/>
    <w:rPr>
      <w:rFonts w:cs="Times New Roman"/>
      <w:sz w:val="16"/>
      <w:szCs w:val="16"/>
      <w:lang w:val="bg-BG" w:eastAsia="en-GB"/>
    </w:rPr>
  </w:style>
  <w:style w:type="paragraph" w:styleId="CommentText">
    <w:name w:val="annotation text"/>
    <w:basedOn w:val="Normal"/>
    <w:link w:val="Comment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="Times New Roman"/>
      <w:bCs/>
      <w:iCs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before="120"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yperlink" Target="https://myintracomm.ec.europa.eu/budgweb/EN/pre/legalbasis/Pages/pre-040-020_preparation.aspx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C96DEB-3915-4DE5-BD5A-4B337D09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1874</Words>
  <Characters>11154</Characters>
  <Application>Microsoft Office Word</Application>
  <DocSecurity>0</DocSecurity>
  <Lines>1394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WES PDFC Administrator</cp:lastModifiedBy>
  <cp:revision>12</cp:revision>
  <dcterms:created xsi:type="dcterms:W3CDTF">2020-09-09T11:13:00Z</dcterms:created>
  <dcterms:modified xsi:type="dcterms:W3CDTF">2020-10-20T11:17:00Z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2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2</vt:lpwstr>
  </property>
  <property fmtid="{D5CDD505-2E9C-101B-9397-08002B2CF9AE}" pid="7" name="Total parts">
    <vt:lpwstr>2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