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C0B19103-1D2A-4A66-8505-BA4EB6702C4B" style="width:450.75pt;height:379.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40" w:code="9"/>
          <w:pgMar w:top="1134" w:right="1417" w:bottom="1134" w:left="1417" w:header="709" w:footer="709" w:gutter="0"/>
          <w:pgNumType w:start="1"/>
          <w:cols w:space="720"/>
          <w:docGrid w:linePitch="360"/>
        </w:sectPr>
      </w:pPr>
    </w:p>
    <w:p>
      <w:pPr>
        <w:jc w:val="center"/>
        <w:rPr>
          <w:noProof/>
          <w:color w:val="4F81BD" w:themeColor="accent1"/>
        </w:rPr>
      </w:pPr>
      <w:bookmarkStart w:id="1" w:name="_GoBack"/>
      <w:bookmarkEnd w:id="1"/>
    </w:p>
    <w:p>
      <w:pPr>
        <w:pStyle w:val="TOCHeading"/>
        <w:rPr>
          <w:noProof/>
        </w:rPr>
      </w:pPr>
      <w:r>
        <w:rPr>
          <w:noProof/>
        </w:rPr>
        <w:t>FICHE FINANCIÈRE LÉGISLATIVE</w:t>
      </w:r>
    </w:p>
    <w:p>
      <w:pPr>
        <w:spacing w:before="0" w:after="200" w:line="276" w:lineRule="auto"/>
        <w:jc w:val="left"/>
        <w:rPr>
          <w:b/>
          <w:noProof/>
          <w:sz w:val="28"/>
        </w:rPr>
      </w:pPr>
      <w:r>
        <w:rPr>
          <w:noProof/>
        </w:rPr>
        <w:br w:type="page"/>
      </w:r>
    </w:p>
    <w:bookmarkStart w:id="2" w:name="_Toc514941970" w:displacedByCustomXml="next"/>
    <w:sdt>
      <w:sdtPr>
        <w:rPr>
          <w:b w:val="0"/>
          <w:noProof/>
          <w:sz w:val="24"/>
        </w:rPr>
        <w:id w:val="-1693053952"/>
        <w:docPartObj>
          <w:docPartGallery w:val="Table of Contents"/>
          <w:docPartUnique/>
        </w:docPartObj>
      </w:sdtPr>
      <w:sdtEndPr>
        <w:rPr>
          <w:bCs/>
        </w:rPr>
      </w:sdtEndPr>
      <w:sdtContent>
        <w:p>
          <w:pPr>
            <w:pStyle w:val="TOCHeading"/>
            <w:rPr>
              <w:noProof/>
            </w:rPr>
          </w:pPr>
          <w:r>
            <w:rPr>
              <w:noProof/>
            </w:rPr>
            <w:t>Contenu</w:t>
          </w:r>
        </w:p>
        <w:p>
          <w:pPr>
            <w:pStyle w:val="TOC1"/>
            <w:rPr>
              <w:rFonts w:asciiTheme="minorHAnsi" w:eastAsiaTheme="minorEastAsia" w:hAnsiTheme="minorHAnsi" w:cstheme="minorBidi"/>
              <w:noProof/>
              <w:sz w:val="22"/>
              <w:lang w:val="en-GB" w:eastAsia="en-GB"/>
            </w:rPr>
          </w:pPr>
          <w:r>
            <w:rPr>
              <w:b/>
              <w:bCs/>
              <w:noProof/>
            </w:rPr>
            <w:fldChar w:fldCharType="begin"/>
          </w:r>
          <w:r>
            <w:rPr>
              <w:b/>
              <w:bCs/>
              <w:noProof/>
            </w:rPr>
            <w:instrText xml:space="preserve"> TOC \o "1-3" \h \z \u </w:instrText>
          </w:r>
          <w:r>
            <w:rPr>
              <w:b/>
              <w:bCs/>
              <w:noProof/>
            </w:rPr>
            <w:fldChar w:fldCharType="separate"/>
          </w:r>
          <w:hyperlink w:anchor="_Toc54019275" w:history="1">
            <w:r>
              <w:rPr>
                <w:rStyle w:val="Hyperlink"/>
                <w:noProof/>
              </w:rPr>
              <w:t>1.</w:t>
            </w:r>
            <w:r>
              <w:rPr>
                <w:rFonts w:asciiTheme="minorHAnsi" w:eastAsiaTheme="minorEastAsia" w:hAnsiTheme="minorHAnsi" w:cstheme="minorBidi"/>
                <w:noProof/>
                <w:sz w:val="22"/>
                <w:lang w:val="en-GB" w:eastAsia="en-GB"/>
              </w:rPr>
              <w:tab/>
            </w:r>
            <w:r>
              <w:rPr>
                <w:rStyle w:val="Hyperlink"/>
                <w:noProof/>
              </w:rPr>
              <w:t>CADRE DE LA PROPOSITION/DE L’INITIATIVE</w:t>
            </w:r>
            <w:r>
              <w:rPr>
                <w:noProof/>
                <w:webHidden/>
              </w:rPr>
              <w:tab/>
            </w:r>
            <w:r>
              <w:rPr>
                <w:noProof/>
                <w:webHidden/>
              </w:rPr>
              <w:fldChar w:fldCharType="begin"/>
            </w:r>
            <w:r>
              <w:rPr>
                <w:noProof/>
                <w:webHidden/>
              </w:rPr>
              <w:instrText xml:space="preserve"> PAGEREF _Toc54019275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GB" w:eastAsia="en-GB"/>
            </w:rPr>
          </w:pPr>
          <w:hyperlink w:anchor="_Toc54019276" w:history="1">
            <w:r>
              <w:rPr>
                <w:rStyle w:val="Hyperlink"/>
                <w:noProof/>
              </w:rPr>
              <w:t>1.1.</w:t>
            </w:r>
            <w:r>
              <w:rPr>
                <w:rFonts w:asciiTheme="minorHAnsi" w:eastAsiaTheme="minorEastAsia" w:hAnsiTheme="minorHAnsi" w:cstheme="minorBidi"/>
                <w:noProof/>
                <w:sz w:val="22"/>
                <w:lang w:val="en-GB" w:eastAsia="en-GB"/>
              </w:rPr>
              <w:tab/>
            </w:r>
            <w:r>
              <w:rPr>
                <w:rStyle w:val="Hyperlink"/>
                <w:noProof/>
              </w:rPr>
              <w:t>Dénomination de la proposition/de l'initiative</w:t>
            </w:r>
            <w:r>
              <w:rPr>
                <w:noProof/>
                <w:webHidden/>
              </w:rPr>
              <w:tab/>
            </w:r>
            <w:r>
              <w:rPr>
                <w:noProof/>
                <w:webHidden/>
              </w:rPr>
              <w:fldChar w:fldCharType="begin"/>
            </w:r>
            <w:r>
              <w:rPr>
                <w:noProof/>
                <w:webHidden/>
              </w:rPr>
              <w:instrText xml:space="preserve"> PAGEREF _Toc54019276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GB" w:eastAsia="en-GB"/>
            </w:rPr>
          </w:pPr>
          <w:hyperlink w:anchor="_Toc54019277" w:history="1">
            <w:r>
              <w:rPr>
                <w:rStyle w:val="Hyperlink"/>
                <w:noProof/>
              </w:rPr>
              <w:t>1.2.</w:t>
            </w:r>
            <w:r>
              <w:rPr>
                <w:rFonts w:asciiTheme="minorHAnsi" w:eastAsiaTheme="minorEastAsia" w:hAnsiTheme="minorHAnsi" w:cstheme="minorBidi"/>
                <w:noProof/>
                <w:sz w:val="22"/>
                <w:lang w:val="en-GB" w:eastAsia="en-GB"/>
              </w:rPr>
              <w:tab/>
            </w:r>
            <w:r>
              <w:rPr>
                <w:rStyle w:val="Hyperlink"/>
                <w:noProof/>
              </w:rPr>
              <w:t xml:space="preserve">Domaine(s) politique(s) concerné(s) </w:t>
            </w:r>
            <w:r>
              <w:rPr>
                <w:rStyle w:val="Hyperlink"/>
                <w:i/>
                <w:noProof/>
              </w:rPr>
              <w:t>(groupe de programmes)</w:t>
            </w:r>
            <w:r>
              <w:rPr>
                <w:noProof/>
                <w:webHidden/>
              </w:rPr>
              <w:tab/>
            </w:r>
            <w:r>
              <w:rPr>
                <w:noProof/>
                <w:webHidden/>
              </w:rPr>
              <w:fldChar w:fldCharType="begin"/>
            </w:r>
            <w:r>
              <w:rPr>
                <w:noProof/>
                <w:webHidden/>
              </w:rPr>
              <w:instrText xml:space="preserve"> PAGEREF _Toc54019277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GB" w:eastAsia="en-GB"/>
            </w:rPr>
          </w:pPr>
          <w:hyperlink w:anchor="_Toc54019278" w:history="1">
            <w:r>
              <w:rPr>
                <w:rStyle w:val="Hyperlink"/>
                <w:noProof/>
              </w:rPr>
              <w:t>1.3.</w:t>
            </w:r>
            <w:r>
              <w:rPr>
                <w:rFonts w:asciiTheme="minorHAnsi" w:eastAsiaTheme="minorEastAsia" w:hAnsiTheme="minorHAnsi" w:cstheme="minorBidi"/>
                <w:noProof/>
                <w:sz w:val="22"/>
                <w:lang w:val="en-GB" w:eastAsia="en-GB"/>
              </w:rPr>
              <w:tab/>
            </w:r>
            <w:r>
              <w:rPr>
                <w:rStyle w:val="Hyperlink"/>
                <w:noProof/>
              </w:rPr>
              <w:t>La proposition/l’initiative porte sur :</w:t>
            </w:r>
            <w:r>
              <w:rPr>
                <w:noProof/>
                <w:webHidden/>
              </w:rPr>
              <w:tab/>
            </w:r>
            <w:r>
              <w:rPr>
                <w:noProof/>
                <w:webHidden/>
              </w:rPr>
              <w:fldChar w:fldCharType="begin"/>
            </w:r>
            <w:r>
              <w:rPr>
                <w:noProof/>
                <w:webHidden/>
              </w:rPr>
              <w:instrText xml:space="preserve"> PAGEREF _Toc54019278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GB" w:eastAsia="en-GB"/>
            </w:rPr>
          </w:pPr>
          <w:hyperlink w:anchor="_Toc54019279" w:history="1">
            <w:r>
              <w:rPr>
                <w:rStyle w:val="Hyperlink"/>
                <w:noProof/>
              </w:rPr>
              <w:t>1.4.</w:t>
            </w:r>
            <w:r>
              <w:rPr>
                <w:rFonts w:asciiTheme="minorHAnsi" w:eastAsiaTheme="minorEastAsia" w:hAnsiTheme="minorHAnsi" w:cstheme="minorBidi"/>
                <w:noProof/>
                <w:sz w:val="22"/>
                <w:lang w:val="en-GB" w:eastAsia="en-GB"/>
              </w:rPr>
              <w:tab/>
            </w:r>
            <w:r>
              <w:rPr>
                <w:rStyle w:val="Hyperlink"/>
                <w:noProof/>
              </w:rPr>
              <w:t>Justification(s) de la proposition/de l'initiative</w:t>
            </w:r>
            <w:r>
              <w:rPr>
                <w:noProof/>
                <w:webHidden/>
              </w:rPr>
              <w:tab/>
            </w:r>
            <w:r>
              <w:rPr>
                <w:noProof/>
                <w:webHidden/>
              </w:rPr>
              <w:fldChar w:fldCharType="begin"/>
            </w:r>
            <w:r>
              <w:rPr>
                <w:noProof/>
                <w:webHidden/>
              </w:rPr>
              <w:instrText xml:space="preserve"> PAGEREF _Toc54019279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val="en-GB" w:eastAsia="en-GB"/>
            </w:rPr>
          </w:pPr>
          <w:hyperlink w:anchor="_Toc54019280" w:history="1">
            <w:r>
              <w:rPr>
                <w:rStyle w:val="Hyperlink"/>
                <w:noProof/>
              </w:rPr>
              <w:t>1.4.1.</w:t>
            </w:r>
            <w:r>
              <w:rPr>
                <w:rFonts w:asciiTheme="minorHAnsi" w:eastAsiaTheme="minorEastAsia" w:hAnsiTheme="minorHAnsi" w:cstheme="minorBidi"/>
                <w:noProof/>
                <w:sz w:val="22"/>
                <w:lang w:val="en-GB" w:eastAsia="en-GB"/>
              </w:rPr>
              <w:tab/>
            </w:r>
            <w:r>
              <w:rPr>
                <w:rStyle w:val="Hyperlink"/>
                <w:noProof/>
              </w:rPr>
              <w:t>Besoin(s) à satisfaire à court ou à long terme, assorti(s) d’un calendrier détaillé pour la mise en œuvre de l’initiative</w:t>
            </w:r>
            <w:r>
              <w:rPr>
                <w:noProof/>
                <w:webHidden/>
              </w:rPr>
              <w:tab/>
            </w:r>
            <w:r>
              <w:rPr>
                <w:noProof/>
                <w:webHidden/>
              </w:rPr>
              <w:fldChar w:fldCharType="begin"/>
            </w:r>
            <w:r>
              <w:rPr>
                <w:noProof/>
                <w:webHidden/>
              </w:rPr>
              <w:instrText xml:space="preserve"> PAGEREF _Toc54019280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val="en-GB" w:eastAsia="en-GB"/>
            </w:rPr>
          </w:pPr>
          <w:hyperlink w:anchor="_Toc54019281" w:history="1">
            <w:r>
              <w:rPr>
                <w:rStyle w:val="Hyperlink"/>
                <w:noProof/>
              </w:rPr>
              <w:t>1.4.2.</w:t>
            </w:r>
            <w:r>
              <w:rPr>
                <w:rFonts w:asciiTheme="minorHAnsi" w:eastAsiaTheme="minorEastAsia" w:hAnsiTheme="minorHAnsi" w:cstheme="minorBidi"/>
                <w:noProof/>
                <w:sz w:val="22"/>
                <w:lang w:val="en-GB" w:eastAsia="en-GB"/>
              </w:rPr>
              <w:tab/>
            </w:r>
            <w:r>
              <w:rPr>
                <w:rStyle w:val="Hyperlink"/>
                <w:noProof/>
              </w:rPr>
              <w:t>Valeur ajoutée de l’intervention de l’Union</w:t>
            </w:r>
            <w:r>
              <w:rPr>
                <w:noProof/>
                <w:webHidden/>
              </w:rPr>
              <w:tab/>
            </w:r>
            <w:r>
              <w:rPr>
                <w:noProof/>
                <w:webHidden/>
              </w:rPr>
              <w:fldChar w:fldCharType="begin"/>
            </w:r>
            <w:r>
              <w:rPr>
                <w:noProof/>
                <w:webHidden/>
              </w:rPr>
              <w:instrText xml:space="preserve"> PAGEREF _Toc54019281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val="en-GB" w:eastAsia="en-GB"/>
            </w:rPr>
          </w:pPr>
          <w:hyperlink w:anchor="_Toc54019282" w:history="1">
            <w:r>
              <w:rPr>
                <w:rStyle w:val="Hyperlink"/>
                <w:noProof/>
              </w:rPr>
              <w:t>1.4.3.</w:t>
            </w:r>
            <w:r>
              <w:rPr>
                <w:rFonts w:asciiTheme="minorHAnsi" w:eastAsiaTheme="minorEastAsia" w:hAnsiTheme="minorHAnsi" w:cstheme="minorBidi"/>
                <w:noProof/>
                <w:sz w:val="22"/>
                <w:lang w:val="en-GB" w:eastAsia="en-GB"/>
              </w:rPr>
              <w:tab/>
            </w:r>
            <w:r>
              <w:rPr>
                <w:rStyle w:val="Hyperlink"/>
                <w:noProof/>
              </w:rPr>
              <w:t>Leçons tirées d'expériences similaires</w:t>
            </w:r>
            <w:r>
              <w:rPr>
                <w:noProof/>
                <w:webHidden/>
              </w:rPr>
              <w:tab/>
            </w:r>
            <w:r>
              <w:rPr>
                <w:noProof/>
                <w:webHidden/>
              </w:rPr>
              <w:fldChar w:fldCharType="begin"/>
            </w:r>
            <w:r>
              <w:rPr>
                <w:noProof/>
                <w:webHidden/>
              </w:rPr>
              <w:instrText xml:space="preserve"> PAGEREF _Toc54019282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lang w:val="en-GB" w:eastAsia="en-GB"/>
            </w:rPr>
          </w:pPr>
          <w:hyperlink w:anchor="_Toc54019283" w:history="1">
            <w:r>
              <w:rPr>
                <w:rStyle w:val="Hyperlink"/>
                <w:noProof/>
              </w:rPr>
              <w:t>1.4.4.</w:t>
            </w:r>
            <w:r>
              <w:rPr>
                <w:rFonts w:asciiTheme="minorHAnsi" w:eastAsiaTheme="minorEastAsia" w:hAnsiTheme="minorHAnsi" w:cstheme="minorBidi"/>
                <w:noProof/>
                <w:sz w:val="22"/>
                <w:lang w:val="en-GB" w:eastAsia="en-GB"/>
              </w:rPr>
              <w:tab/>
            </w:r>
            <w:r>
              <w:rPr>
                <w:rStyle w:val="Hyperlink"/>
                <w:noProof/>
              </w:rPr>
              <w:t>Compatibilité et synergie éventuelle avec d'autres instruments appropriés</w:t>
            </w:r>
            <w:r>
              <w:rPr>
                <w:noProof/>
                <w:webHidden/>
              </w:rPr>
              <w:tab/>
            </w:r>
            <w:r>
              <w:rPr>
                <w:noProof/>
                <w:webHidden/>
              </w:rPr>
              <w:fldChar w:fldCharType="begin"/>
            </w:r>
            <w:r>
              <w:rPr>
                <w:noProof/>
                <w:webHidden/>
              </w:rPr>
              <w:instrText xml:space="preserve"> PAGEREF _Toc54019283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en-GB" w:eastAsia="en-GB"/>
            </w:rPr>
          </w:pPr>
          <w:hyperlink w:anchor="_Toc54019284" w:history="1">
            <w:r>
              <w:rPr>
                <w:rStyle w:val="Hyperlink"/>
                <w:noProof/>
              </w:rPr>
              <w:t>1.5.</w:t>
            </w:r>
            <w:r>
              <w:rPr>
                <w:rFonts w:asciiTheme="minorHAnsi" w:eastAsiaTheme="minorEastAsia" w:hAnsiTheme="minorHAnsi" w:cstheme="minorBidi"/>
                <w:noProof/>
                <w:sz w:val="22"/>
                <w:lang w:val="en-GB" w:eastAsia="en-GB"/>
              </w:rPr>
              <w:tab/>
            </w:r>
            <w:r>
              <w:rPr>
                <w:rStyle w:val="Hyperlink"/>
                <w:noProof/>
              </w:rPr>
              <w:t>Durée et incidence financière</w:t>
            </w:r>
            <w:r>
              <w:rPr>
                <w:noProof/>
                <w:webHidden/>
              </w:rPr>
              <w:tab/>
            </w:r>
            <w:r>
              <w:rPr>
                <w:noProof/>
                <w:webHidden/>
              </w:rPr>
              <w:fldChar w:fldCharType="begin"/>
            </w:r>
            <w:r>
              <w:rPr>
                <w:noProof/>
                <w:webHidden/>
              </w:rPr>
              <w:instrText xml:space="preserve"> PAGEREF _Toc54019284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GB" w:eastAsia="en-GB"/>
            </w:rPr>
          </w:pPr>
          <w:hyperlink w:anchor="_Toc54019285" w:history="1">
            <w:r>
              <w:rPr>
                <w:rStyle w:val="Hyperlink"/>
                <w:noProof/>
              </w:rPr>
              <w:t>1.6.</w:t>
            </w:r>
            <w:r>
              <w:rPr>
                <w:rFonts w:asciiTheme="minorHAnsi" w:eastAsiaTheme="minorEastAsia" w:hAnsiTheme="minorHAnsi" w:cstheme="minorBidi"/>
                <w:noProof/>
                <w:sz w:val="22"/>
                <w:lang w:val="en-GB" w:eastAsia="en-GB"/>
              </w:rPr>
              <w:tab/>
            </w:r>
            <w:r>
              <w:rPr>
                <w:rStyle w:val="Hyperlink"/>
                <w:noProof/>
              </w:rPr>
              <w:t>Mode(s) de gestion prévu(s)</w:t>
            </w:r>
            <w:r>
              <w:rPr>
                <w:noProof/>
                <w:webHidden/>
              </w:rPr>
              <w:tab/>
            </w:r>
            <w:r>
              <w:rPr>
                <w:noProof/>
                <w:webHidden/>
              </w:rPr>
              <w:fldChar w:fldCharType="begin"/>
            </w:r>
            <w:r>
              <w:rPr>
                <w:noProof/>
                <w:webHidden/>
              </w:rPr>
              <w:instrText xml:space="preserve"> PAGEREF _Toc54019285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lang w:val="en-GB" w:eastAsia="en-GB"/>
            </w:rPr>
          </w:pPr>
          <w:hyperlink w:anchor="_Toc54019286" w:history="1">
            <w:r>
              <w:rPr>
                <w:rStyle w:val="Hyperlink"/>
                <w:noProof/>
              </w:rPr>
              <w:t>2.</w:t>
            </w:r>
            <w:r>
              <w:rPr>
                <w:rFonts w:asciiTheme="minorHAnsi" w:eastAsiaTheme="minorEastAsia" w:hAnsiTheme="minorHAnsi" w:cstheme="minorBidi"/>
                <w:noProof/>
                <w:sz w:val="22"/>
                <w:lang w:val="en-GB" w:eastAsia="en-GB"/>
              </w:rPr>
              <w:tab/>
            </w:r>
            <w:r>
              <w:rPr>
                <w:rStyle w:val="Hyperlink"/>
                <w:noProof/>
              </w:rPr>
              <w:t>MESURES DE GESTION</w:t>
            </w:r>
            <w:r>
              <w:rPr>
                <w:noProof/>
                <w:webHidden/>
              </w:rPr>
              <w:tab/>
            </w:r>
            <w:r>
              <w:rPr>
                <w:noProof/>
                <w:webHidden/>
              </w:rPr>
              <w:fldChar w:fldCharType="begin"/>
            </w:r>
            <w:r>
              <w:rPr>
                <w:noProof/>
                <w:webHidden/>
              </w:rPr>
              <w:instrText xml:space="preserve"> PAGEREF _Toc54019286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val="en-GB" w:eastAsia="en-GB"/>
            </w:rPr>
          </w:pPr>
          <w:hyperlink w:anchor="_Toc54019287" w:history="1">
            <w:r>
              <w:rPr>
                <w:rStyle w:val="Hyperlink"/>
                <w:noProof/>
              </w:rPr>
              <w:t>2.1.</w:t>
            </w:r>
            <w:r>
              <w:rPr>
                <w:rFonts w:asciiTheme="minorHAnsi" w:eastAsiaTheme="minorEastAsia" w:hAnsiTheme="minorHAnsi" w:cstheme="minorBidi"/>
                <w:noProof/>
                <w:sz w:val="22"/>
                <w:lang w:val="en-GB" w:eastAsia="en-GB"/>
              </w:rPr>
              <w:tab/>
            </w:r>
            <w:r>
              <w:rPr>
                <w:rStyle w:val="Hyperlink"/>
                <w:noProof/>
              </w:rPr>
              <w:t>Dispositions en matière de suivi et de compte rendu</w:t>
            </w:r>
            <w:r>
              <w:rPr>
                <w:noProof/>
                <w:webHidden/>
              </w:rPr>
              <w:tab/>
            </w:r>
            <w:r>
              <w:rPr>
                <w:noProof/>
                <w:webHidden/>
              </w:rPr>
              <w:fldChar w:fldCharType="begin"/>
            </w:r>
            <w:r>
              <w:rPr>
                <w:noProof/>
                <w:webHidden/>
              </w:rPr>
              <w:instrText xml:space="preserve"> PAGEREF _Toc54019287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val="en-GB" w:eastAsia="en-GB"/>
            </w:rPr>
          </w:pPr>
          <w:hyperlink w:anchor="_Toc54019288" w:history="1">
            <w:r>
              <w:rPr>
                <w:rStyle w:val="Hyperlink"/>
                <w:noProof/>
              </w:rPr>
              <w:t>2.2.</w:t>
            </w:r>
            <w:r>
              <w:rPr>
                <w:rFonts w:asciiTheme="minorHAnsi" w:eastAsiaTheme="minorEastAsia" w:hAnsiTheme="minorHAnsi" w:cstheme="minorBidi"/>
                <w:noProof/>
                <w:sz w:val="22"/>
                <w:lang w:val="en-GB" w:eastAsia="en-GB"/>
              </w:rPr>
              <w:tab/>
            </w:r>
            <w:r>
              <w:rPr>
                <w:rStyle w:val="Hyperlink"/>
                <w:noProof/>
              </w:rPr>
              <w:t>Système(s) de gestion et de contrôle</w:t>
            </w:r>
            <w:r>
              <w:rPr>
                <w:noProof/>
                <w:webHidden/>
              </w:rPr>
              <w:tab/>
            </w:r>
            <w:r>
              <w:rPr>
                <w:noProof/>
                <w:webHidden/>
              </w:rPr>
              <w:fldChar w:fldCharType="begin"/>
            </w:r>
            <w:r>
              <w:rPr>
                <w:noProof/>
                <w:webHidden/>
              </w:rPr>
              <w:instrText xml:space="preserve"> PAGEREF _Toc54019288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lang w:val="en-GB" w:eastAsia="en-GB"/>
            </w:rPr>
          </w:pPr>
          <w:hyperlink w:anchor="_Toc54019289" w:history="1">
            <w:r>
              <w:rPr>
                <w:rStyle w:val="Hyperlink"/>
                <w:noProof/>
              </w:rPr>
              <w:t>2.2.1.</w:t>
            </w:r>
            <w:r>
              <w:rPr>
                <w:rFonts w:asciiTheme="minorHAnsi" w:eastAsiaTheme="minorEastAsia" w:hAnsiTheme="minorHAnsi" w:cstheme="minorBidi"/>
                <w:noProof/>
                <w:sz w:val="22"/>
                <w:lang w:val="en-GB" w:eastAsia="en-GB"/>
              </w:rPr>
              <w:tab/>
            </w:r>
            <w:r>
              <w:rPr>
                <w:rStyle w:val="Hyperlink"/>
                <w:noProof/>
              </w:rPr>
              <w:t>Justification du (des) mode(s) de gestion, du (des) mécanisme(s) de mise en œuvre du financement, des modalités de paiement et de la stratégie de contrôle proposée</w:t>
            </w:r>
            <w:r>
              <w:rPr>
                <w:noProof/>
                <w:webHidden/>
              </w:rPr>
              <w:tab/>
            </w:r>
            <w:r>
              <w:rPr>
                <w:noProof/>
                <w:webHidden/>
              </w:rPr>
              <w:fldChar w:fldCharType="begin"/>
            </w:r>
            <w:r>
              <w:rPr>
                <w:noProof/>
                <w:webHidden/>
              </w:rPr>
              <w:instrText xml:space="preserve"> PAGEREF _Toc54019289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lang w:val="en-GB" w:eastAsia="en-GB"/>
            </w:rPr>
          </w:pPr>
          <w:hyperlink w:anchor="_Toc54019290" w:history="1">
            <w:r>
              <w:rPr>
                <w:rStyle w:val="Hyperlink"/>
                <w:noProof/>
              </w:rPr>
              <w:t>2.2.2.</w:t>
            </w:r>
            <w:r>
              <w:rPr>
                <w:rFonts w:asciiTheme="minorHAnsi" w:eastAsiaTheme="minorEastAsia" w:hAnsiTheme="minorHAnsi" w:cstheme="minorBidi"/>
                <w:noProof/>
                <w:sz w:val="22"/>
                <w:lang w:val="en-GB" w:eastAsia="en-GB"/>
              </w:rPr>
              <w:tab/>
            </w:r>
            <w:r>
              <w:rPr>
                <w:rStyle w:val="Hyperlink"/>
                <w:noProof/>
              </w:rPr>
              <w:t>Informations sur les risques recensés et sur le(s) système(s) de contrôle interne mis en place pour les atténuer</w:t>
            </w:r>
            <w:r>
              <w:rPr>
                <w:noProof/>
                <w:webHidden/>
              </w:rPr>
              <w:tab/>
            </w:r>
            <w:r>
              <w:rPr>
                <w:noProof/>
                <w:webHidden/>
              </w:rPr>
              <w:fldChar w:fldCharType="begin"/>
            </w:r>
            <w:r>
              <w:rPr>
                <w:noProof/>
                <w:webHidden/>
              </w:rPr>
              <w:instrText xml:space="preserve"> PAGEREF _Toc54019290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lang w:val="en-GB" w:eastAsia="en-GB"/>
            </w:rPr>
          </w:pPr>
          <w:hyperlink w:anchor="_Toc54019291" w:history="1">
            <w:r>
              <w:rPr>
                <w:rStyle w:val="Hyperlink"/>
                <w:noProof/>
              </w:rPr>
              <w:t>2.2.3.</w:t>
            </w:r>
            <w:r>
              <w:rPr>
                <w:rFonts w:asciiTheme="minorHAnsi" w:eastAsiaTheme="minorEastAsia" w:hAnsiTheme="minorHAnsi" w:cstheme="minorBidi"/>
                <w:noProof/>
                <w:sz w:val="22"/>
                <w:lang w:val="en-GB" w:eastAsia="en-GB"/>
              </w:rPr>
              <w:tab/>
            </w:r>
            <w:r>
              <w:rPr>
                <w:rStyle w:val="Hyperlink"/>
                <w:noProof/>
              </w:rPr>
              <w:t>Estimation et justification du rapport coût-efficacité des contrôles (rapport «coûts du contrôle ÷ valeur des fonds concernés gérés»), et évaluation du niveau attendu de risque d’erreur (lors du paiement et lors de la clôture)</w:t>
            </w:r>
            <w:r>
              <w:rPr>
                <w:noProof/>
                <w:webHidden/>
              </w:rPr>
              <w:tab/>
            </w:r>
            <w:r>
              <w:rPr>
                <w:noProof/>
                <w:webHidden/>
              </w:rPr>
              <w:fldChar w:fldCharType="begin"/>
            </w:r>
            <w:r>
              <w:rPr>
                <w:noProof/>
                <w:webHidden/>
              </w:rPr>
              <w:instrText xml:space="preserve"> PAGEREF _Toc54019291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lang w:val="en-GB" w:eastAsia="en-GB"/>
            </w:rPr>
          </w:pPr>
          <w:hyperlink w:anchor="_Toc54019292" w:history="1">
            <w:r>
              <w:rPr>
                <w:rStyle w:val="Hyperlink"/>
                <w:noProof/>
              </w:rPr>
              <w:t>2.3.</w:t>
            </w:r>
            <w:r>
              <w:rPr>
                <w:rFonts w:asciiTheme="minorHAnsi" w:eastAsiaTheme="minorEastAsia" w:hAnsiTheme="minorHAnsi" w:cstheme="minorBidi"/>
                <w:noProof/>
                <w:sz w:val="22"/>
                <w:lang w:val="en-GB" w:eastAsia="en-GB"/>
              </w:rPr>
              <w:tab/>
            </w:r>
            <w:r>
              <w:rPr>
                <w:rStyle w:val="Hyperlink"/>
                <w:noProof/>
              </w:rPr>
              <w:t>Mesures de prévention des fraudes et irrégularités</w:t>
            </w:r>
            <w:r>
              <w:rPr>
                <w:noProof/>
                <w:webHidden/>
              </w:rPr>
              <w:tab/>
            </w:r>
            <w:r>
              <w:rPr>
                <w:noProof/>
                <w:webHidden/>
              </w:rPr>
              <w:fldChar w:fldCharType="begin"/>
            </w:r>
            <w:r>
              <w:rPr>
                <w:noProof/>
                <w:webHidden/>
              </w:rPr>
              <w:instrText xml:space="preserve"> PAGEREF _Toc54019292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lang w:val="en-GB" w:eastAsia="en-GB"/>
            </w:rPr>
          </w:pPr>
          <w:hyperlink w:anchor="_Toc54019293" w:history="1">
            <w:r>
              <w:rPr>
                <w:rStyle w:val="Hyperlink"/>
                <w:noProof/>
              </w:rPr>
              <w:t>3.</w:t>
            </w:r>
            <w:r>
              <w:rPr>
                <w:rFonts w:asciiTheme="minorHAnsi" w:eastAsiaTheme="minorEastAsia" w:hAnsiTheme="minorHAnsi" w:cstheme="minorBidi"/>
                <w:noProof/>
                <w:sz w:val="22"/>
                <w:lang w:val="en-GB" w:eastAsia="en-GB"/>
              </w:rPr>
              <w:tab/>
            </w:r>
            <w:r>
              <w:rPr>
                <w:rStyle w:val="Hyperlink"/>
                <w:noProof/>
              </w:rPr>
              <w:t>INCIDENCE FINANCIÈRE ESTIMÉE DE LA PROPOSITION/DE L'INITIATIVE</w:t>
            </w:r>
            <w:r>
              <w:rPr>
                <w:noProof/>
                <w:webHidden/>
              </w:rPr>
              <w:tab/>
            </w:r>
            <w:r>
              <w:rPr>
                <w:noProof/>
                <w:webHidden/>
              </w:rPr>
              <w:fldChar w:fldCharType="begin"/>
            </w:r>
            <w:r>
              <w:rPr>
                <w:noProof/>
                <w:webHidden/>
              </w:rPr>
              <w:instrText xml:space="preserve"> PAGEREF _Toc54019293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lang w:val="en-GB" w:eastAsia="en-GB"/>
            </w:rPr>
          </w:pPr>
          <w:hyperlink w:anchor="_Toc54019294" w:history="1">
            <w:r>
              <w:rPr>
                <w:rStyle w:val="Hyperlink"/>
                <w:noProof/>
              </w:rPr>
              <w:t>3.1.</w:t>
            </w:r>
            <w:r>
              <w:rPr>
                <w:rFonts w:asciiTheme="minorHAnsi" w:eastAsiaTheme="minorEastAsia" w:hAnsiTheme="minorHAnsi" w:cstheme="minorBidi"/>
                <w:noProof/>
                <w:sz w:val="22"/>
                <w:lang w:val="en-GB" w:eastAsia="en-GB"/>
              </w:rPr>
              <w:tab/>
            </w:r>
            <w:r>
              <w:rPr>
                <w:rStyle w:val="Hyperlink"/>
                <w:noProof/>
              </w:rPr>
              <w:t>Rubrique du cadre financier pluriannuel et nouvelle(s) ligne(s) budgétaire(s) de dépenses proposée(s)</w:t>
            </w:r>
            <w:r>
              <w:rPr>
                <w:noProof/>
                <w:webHidden/>
              </w:rPr>
              <w:tab/>
            </w:r>
            <w:r>
              <w:rPr>
                <w:noProof/>
                <w:webHidden/>
              </w:rPr>
              <w:fldChar w:fldCharType="begin"/>
            </w:r>
            <w:r>
              <w:rPr>
                <w:noProof/>
                <w:webHidden/>
              </w:rPr>
              <w:instrText xml:space="preserve"> PAGEREF _Toc54019294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lang w:val="en-GB" w:eastAsia="en-GB"/>
            </w:rPr>
          </w:pPr>
          <w:hyperlink w:anchor="_Toc54019295" w:history="1">
            <w:r>
              <w:rPr>
                <w:rStyle w:val="Hyperlink"/>
                <w:noProof/>
              </w:rPr>
              <w:t>3.2.</w:t>
            </w:r>
            <w:r>
              <w:rPr>
                <w:rFonts w:asciiTheme="minorHAnsi" w:eastAsiaTheme="minorEastAsia" w:hAnsiTheme="minorHAnsi" w:cstheme="minorBidi"/>
                <w:noProof/>
                <w:sz w:val="22"/>
                <w:lang w:val="en-GB" w:eastAsia="en-GB"/>
              </w:rPr>
              <w:tab/>
            </w:r>
            <w:r>
              <w:rPr>
                <w:rStyle w:val="Hyperlink"/>
                <w:noProof/>
              </w:rPr>
              <w:t>Incidence estimée sur les dépenses</w:t>
            </w:r>
            <w:r>
              <w:rPr>
                <w:noProof/>
                <w:webHidden/>
              </w:rPr>
              <w:tab/>
            </w:r>
            <w:r>
              <w:rPr>
                <w:noProof/>
                <w:webHidden/>
              </w:rPr>
              <w:fldChar w:fldCharType="begin"/>
            </w:r>
            <w:r>
              <w:rPr>
                <w:noProof/>
                <w:webHidden/>
              </w:rPr>
              <w:instrText xml:space="preserve"> PAGEREF _Toc54019295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lang w:val="en-GB" w:eastAsia="en-GB"/>
            </w:rPr>
          </w:pPr>
          <w:hyperlink w:anchor="_Toc54019296" w:history="1">
            <w:r>
              <w:rPr>
                <w:rStyle w:val="Hyperlink"/>
                <w:noProof/>
              </w:rPr>
              <w:t>3.2.1.</w:t>
            </w:r>
            <w:r>
              <w:rPr>
                <w:rFonts w:asciiTheme="minorHAnsi" w:eastAsiaTheme="minorEastAsia" w:hAnsiTheme="minorHAnsi" w:cstheme="minorBidi"/>
                <w:noProof/>
                <w:sz w:val="22"/>
                <w:lang w:val="en-GB" w:eastAsia="en-GB"/>
              </w:rPr>
              <w:tab/>
            </w:r>
            <w:r>
              <w:rPr>
                <w:rStyle w:val="Hyperlink"/>
                <w:noProof/>
              </w:rPr>
              <w:t>Synthèse de l'incidence estimée sur les dépenses</w:t>
            </w:r>
            <w:r>
              <w:rPr>
                <w:noProof/>
                <w:webHidden/>
              </w:rPr>
              <w:tab/>
            </w:r>
            <w:r>
              <w:rPr>
                <w:noProof/>
                <w:webHidden/>
              </w:rPr>
              <w:fldChar w:fldCharType="begin"/>
            </w:r>
            <w:r>
              <w:rPr>
                <w:noProof/>
                <w:webHidden/>
              </w:rPr>
              <w:instrText xml:space="preserve"> PAGEREF _Toc54019296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lang w:val="en-GB" w:eastAsia="en-GB"/>
            </w:rPr>
          </w:pPr>
          <w:hyperlink w:anchor="_Toc54019297" w:history="1">
            <w:r>
              <w:rPr>
                <w:rStyle w:val="Hyperlink"/>
                <w:noProof/>
              </w:rPr>
              <w:t>3.2.2.</w:t>
            </w:r>
            <w:r>
              <w:rPr>
                <w:rFonts w:asciiTheme="minorHAnsi" w:eastAsiaTheme="minorEastAsia" w:hAnsiTheme="minorHAnsi" w:cstheme="minorBidi"/>
                <w:noProof/>
                <w:sz w:val="22"/>
                <w:lang w:val="en-GB" w:eastAsia="en-GB"/>
              </w:rPr>
              <w:tab/>
            </w:r>
            <w:r>
              <w:rPr>
                <w:rStyle w:val="Hyperlink"/>
                <w:noProof/>
              </w:rPr>
              <w:t>Incidence estimée sur les ressources humaines de l’entreprise commune</w:t>
            </w:r>
            <w:r>
              <w:rPr>
                <w:noProof/>
                <w:webHidden/>
              </w:rPr>
              <w:tab/>
            </w:r>
            <w:r>
              <w:rPr>
                <w:noProof/>
                <w:webHidden/>
              </w:rPr>
              <w:fldChar w:fldCharType="begin"/>
            </w:r>
            <w:r>
              <w:rPr>
                <w:noProof/>
                <w:webHidden/>
              </w:rPr>
              <w:instrText xml:space="preserve"> PAGEREF _Toc54019297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eastAsiaTheme="minorEastAsia" w:hAnsiTheme="minorHAnsi" w:cstheme="minorBidi"/>
              <w:noProof/>
              <w:sz w:val="22"/>
              <w:lang w:val="en-GB" w:eastAsia="en-GB"/>
            </w:rPr>
          </w:pPr>
          <w:hyperlink w:anchor="_Toc54019298" w:history="1">
            <w:r>
              <w:rPr>
                <w:rStyle w:val="Hyperlink"/>
                <w:noProof/>
              </w:rPr>
              <w:t>3.2.3.</w:t>
            </w:r>
            <w:r>
              <w:rPr>
                <w:rFonts w:asciiTheme="minorHAnsi" w:eastAsiaTheme="minorEastAsia" w:hAnsiTheme="minorHAnsi" w:cstheme="minorBidi"/>
                <w:noProof/>
                <w:sz w:val="22"/>
                <w:lang w:val="en-GB" w:eastAsia="en-GB"/>
              </w:rPr>
              <w:tab/>
            </w:r>
            <w:r>
              <w:rPr>
                <w:rStyle w:val="Hyperlink"/>
                <w:noProof/>
              </w:rPr>
              <w:t>Estimation des besoins en ressources humaines de la Commission</w:t>
            </w:r>
            <w:r>
              <w:rPr>
                <w:noProof/>
                <w:webHidden/>
              </w:rPr>
              <w:tab/>
            </w:r>
            <w:r>
              <w:rPr>
                <w:noProof/>
                <w:webHidden/>
              </w:rPr>
              <w:fldChar w:fldCharType="begin"/>
            </w:r>
            <w:r>
              <w:rPr>
                <w:noProof/>
                <w:webHidden/>
              </w:rPr>
              <w:instrText xml:space="preserve"> PAGEREF _Toc54019298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sz w:val="22"/>
              <w:lang w:val="en-GB" w:eastAsia="en-GB"/>
            </w:rPr>
          </w:pPr>
          <w:hyperlink w:anchor="_Toc54019299" w:history="1">
            <w:r>
              <w:rPr>
                <w:rStyle w:val="Hyperlink"/>
                <w:noProof/>
              </w:rPr>
              <w:t>3.2.4.</w:t>
            </w:r>
            <w:r>
              <w:rPr>
                <w:rFonts w:asciiTheme="minorHAnsi" w:eastAsiaTheme="minorEastAsia" w:hAnsiTheme="minorHAnsi" w:cstheme="minorBidi"/>
                <w:noProof/>
                <w:sz w:val="22"/>
                <w:lang w:val="en-GB" w:eastAsia="en-GB"/>
              </w:rPr>
              <w:tab/>
            </w:r>
            <w:r>
              <w:rPr>
                <w:rStyle w:val="Hyperlink"/>
                <w:noProof/>
              </w:rPr>
              <w:t>Participation de tiers au financement</w:t>
            </w:r>
            <w:r>
              <w:rPr>
                <w:noProof/>
                <w:webHidden/>
              </w:rPr>
              <w:tab/>
            </w:r>
            <w:r>
              <w:rPr>
                <w:noProof/>
                <w:webHidden/>
              </w:rPr>
              <w:fldChar w:fldCharType="begin"/>
            </w:r>
            <w:r>
              <w:rPr>
                <w:noProof/>
                <w:webHidden/>
              </w:rPr>
              <w:instrText xml:space="preserve"> PAGEREF _Toc54019299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lang w:val="en-GB" w:eastAsia="en-GB"/>
            </w:rPr>
          </w:pPr>
          <w:hyperlink w:anchor="_Toc54019300" w:history="1">
            <w:r>
              <w:rPr>
                <w:rStyle w:val="Hyperlink"/>
                <w:noProof/>
              </w:rPr>
              <w:t>3.3.</w:t>
            </w:r>
            <w:r>
              <w:rPr>
                <w:rFonts w:asciiTheme="minorHAnsi" w:eastAsiaTheme="minorEastAsia" w:hAnsiTheme="minorHAnsi" w:cstheme="minorBidi"/>
                <w:noProof/>
                <w:sz w:val="22"/>
                <w:lang w:val="en-GB" w:eastAsia="en-GB"/>
              </w:rPr>
              <w:tab/>
            </w:r>
            <w:r>
              <w:rPr>
                <w:rStyle w:val="Hyperlink"/>
                <w:noProof/>
              </w:rPr>
              <w:t>Incidence estimée sur les recettes</w:t>
            </w:r>
            <w:r>
              <w:rPr>
                <w:noProof/>
                <w:webHidden/>
              </w:rPr>
              <w:tab/>
            </w:r>
            <w:r>
              <w:rPr>
                <w:noProof/>
                <w:webHidden/>
              </w:rPr>
              <w:fldChar w:fldCharType="begin"/>
            </w:r>
            <w:r>
              <w:rPr>
                <w:noProof/>
                <w:webHidden/>
              </w:rPr>
              <w:instrText xml:space="preserve"> PAGEREF _Toc54019300 \h </w:instrText>
            </w:r>
            <w:r>
              <w:rPr>
                <w:noProof/>
                <w:webHidden/>
              </w:rPr>
            </w:r>
            <w:r>
              <w:rPr>
                <w:noProof/>
                <w:webHidden/>
              </w:rPr>
              <w:fldChar w:fldCharType="separate"/>
            </w:r>
            <w:r>
              <w:rPr>
                <w:noProof/>
                <w:webHidden/>
              </w:rPr>
              <w:t>19</w:t>
            </w:r>
            <w:r>
              <w:rPr>
                <w:noProof/>
                <w:webHidden/>
              </w:rPr>
              <w:fldChar w:fldCharType="end"/>
            </w:r>
          </w:hyperlink>
        </w:p>
        <w:p>
          <w:pPr>
            <w:rPr>
              <w:noProof/>
            </w:rPr>
          </w:pPr>
          <w:r>
            <w:rPr>
              <w:b/>
              <w:bCs/>
              <w:noProof/>
            </w:rPr>
            <w:fldChar w:fldCharType="end"/>
          </w:r>
        </w:p>
      </w:sdtContent>
    </w:sdt>
    <w:p>
      <w:pPr>
        <w:rPr>
          <w:noProof/>
        </w:rPr>
        <w:sectPr>
          <w:headerReference w:type="even" r:id="rId19"/>
          <w:headerReference w:type="default" r:id="rId20"/>
          <w:footerReference w:type="even" r:id="rId21"/>
          <w:footerReference w:type="default" r:id="rId22"/>
          <w:headerReference w:type="first" r:id="rId23"/>
          <w:footerReference w:type="first" r:id="rId24"/>
          <w:pgSz w:w="11907" w:h="16840" w:code="9"/>
          <w:pgMar w:top="1134" w:right="1418" w:bottom="1134" w:left="1418" w:header="709" w:footer="709" w:gutter="0"/>
          <w:pgNumType w:start="1"/>
          <w:cols w:space="720"/>
          <w:docGrid w:linePitch="360"/>
        </w:sectPr>
      </w:pPr>
    </w:p>
    <w:p>
      <w:pPr>
        <w:pStyle w:val="Annexetitre"/>
        <w:rPr>
          <w:noProof/>
        </w:rPr>
      </w:pPr>
      <w:r>
        <w:rPr>
          <w:noProof/>
        </w:rPr>
        <w:t>FICHE FINANCIÈRE LÉGISLATIVE</w:t>
      </w:r>
      <w:bookmarkEnd w:id="2"/>
    </w:p>
    <w:p>
      <w:pPr>
        <w:pStyle w:val="Heading1"/>
        <w:rPr>
          <w:noProof/>
        </w:rPr>
      </w:pPr>
      <w:bookmarkStart w:id="3" w:name="_Toc514941971"/>
      <w:bookmarkStart w:id="4" w:name="_Toc54019275"/>
      <w:r>
        <w:rPr>
          <w:noProof/>
        </w:rPr>
        <w:t>CADRE DE LA PROPOSITION/DE L’INITIATIVE</w:t>
      </w:r>
      <w:bookmarkEnd w:id="3"/>
      <w:bookmarkEnd w:id="4"/>
      <w:r>
        <w:rPr>
          <w:noProof/>
        </w:rPr>
        <w:t xml:space="preserve"> </w:t>
      </w:r>
    </w:p>
    <w:p>
      <w:pPr>
        <w:pStyle w:val="Heading2"/>
        <w:numPr>
          <w:ilvl w:val="1"/>
          <w:numId w:val="5"/>
        </w:numPr>
        <w:rPr>
          <w:noProof/>
        </w:rPr>
      </w:pPr>
      <w:bookmarkStart w:id="5" w:name="_Toc514941972"/>
      <w:bookmarkStart w:id="6" w:name="_Toc54019276"/>
      <w:r>
        <w:rPr>
          <w:noProof/>
        </w:rPr>
        <w:t>Dénomination de la proposition/de l'initiative</w:t>
      </w:r>
      <w:bookmarkEnd w:id="5"/>
      <w:bookmarkEnd w:id="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7" w:name="_Toc514941973"/>
      <w:r>
        <w:rPr>
          <w:rStyle w:val="Marker"/>
          <w:noProof/>
          <w:color w:val="auto"/>
        </w:rPr>
        <w:t>Règlement du Conseil établissant l’entreprise commune pour le calcul à haute performance européen</w:t>
      </w:r>
    </w:p>
    <w:p>
      <w:pPr>
        <w:pStyle w:val="Text1"/>
        <w:pBdr>
          <w:top w:val="single" w:sz="4" w:space="1" w:color="auto"/>
          <w:left w:val="single" w:sz="4" w:space="4" w:color="auto"/>
          <w:bottom w:val="single" w:sz="4" w:space="1" w:color="auto"/>
          <w:right w:val="single" w:sz="4" w:space="4" w:color="auto"/>
        </w:pBdr>
        <w:rPr>
          <w:noProof/>
        </w:rPr>
      </w:pPr>
    </w:p>
    <w:p>
      <w:pPr>
        <w:pStyle w:val="Heading2"/>
        <w:numPr>
          <w:ilvl w:val="1"/>
          <w:numId w:val="5"/>
        </w:numPr>
        <w:rPr>
          <w:i/>
          <w:noProof/>
        </w:rPr>
      </w:pPr>
      <w:bookmarkStart w:id="8" w:name="_Toc54019277"/>
      <w:r>
        <w:rPr>
          <w:noProof/>
        </w:rPr>
        <w:t xml:space="preserve">Domaine(s) politique(s) concerné(s) </w:t>
      </w:r>
      <w:r>
        <w:rPr>
          <w:i/>
          <w:noProof/>
        </w:rPr>
        <w:t>(groupe de programmes)</w:t>
      </w:r>
      <w:bookmarkEnd w:id="7"/>
      <w:bookmarkEnd w:id="8"/>
    </w:p>
    <w:p>
      <w:pPr>
        <w:pStyle w:val="Text1"/>
        <w:pBdr>
          <w:top w:val="single" w:sz="4" w:space="1" w:color="auto"/>
          <w:left w:val="single" w:sz="4" w:space="4" w:color="auto"/>
          <w:bottom w:val="single" w:sz="4" w:space="1" w:color="auto"/>
          <w:right w:val="single" w:sz="4" w:space="4" w:color="auto"/>
        </w:pBdr>
        <w:rPr>
          <w:rStyle w:val="Marker"/>
          <w:noProof/>
          <w:color w:val="auto"/>
        </w:rPr>
      </w:pPr>
      <w:bookmarkStart w:id="9" w:name="_Toc514941974"/>
      <w:r>
        <w:rPr>
          <w:rStyle w:val="Marker"/>
          <w:noProof/>
          <w:color w:val="auto"/>
        </w:rPr>
        <w:t>Recherche et innovation &amp; investissements stratégiques européens</w:t>
      </w:r>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(Calcul avancé – Horizon Europe groupe 4: numérique, industrie et espace</w:t>
      </w:r>
      <w:r>
        <w:rPr>
          <w:noProof/>
        </w:rPr>
        <w:t xml:space="preserve"> </w:t>
      </w:r>
      <w:r>
        <w:rPr>
          <w:noProof/>
        </w:rPr>
        <w:br/>
      </w:r>
      <w:r>
        <w:rPr>
          <w:rStyle w:val="Marker"/>
          <w:noProof/>
          <w:color w:val="auto"/>
        </w:rPr>
        <w:t>Calcul à haute performance – Objectif stratégique nº 1 du programme pour une Europe numérique)</w:t>
      </w:r>
    </w:p>
    <w:p>
      <w:pPr>
        <w:pStyle w:val="Heading2"/>
        <w:numPr>
          <w:ilvl w:val="1"/>
          <w:numId w:val="5"/>
        </w:numPr>
        <w:rPr>
          <w:bCs w:val="0"/>
          <w:noProof/>
          <w:szCs w:val="24"/>
        </w:rPr>
      </w:pPr>
      <w:bookmarkStart w:id="10" w:name="_Toc54019278"/>
      <w:r>
        <w:rPr>
          <w:noProof/>
        </w:rPr>
        <w:t>La proposition/l’initiative porte sur :</w:t>
      </w:r>
      <w:bookmarkEnd w:id="9"/>
      <w:bookmarkEnd w:id="10"/>
      <w:r>
        <w:rPr>
          <w:noProof/>
        </w:rPr>
        <w:t xml:space="preserve"> </w:t>
      </w:r>
    </w:p>
    <w:p>
      <w:pPr>
        <w:pStyle w:val="Text1"/>
        <w:rPr>
          <w:b/>
          <w:noProof/>
          <w:sz w:val="22"/>
        </w:rPr>
      </w:pPr>
      <w:r>
        <w:rPr>
          <w:noProof/>
          <w:sz w:val="22"/>
        </w:rPr>
        <w:sym w:font="Wingdings" w:char="F0A8"/>
      </w:r>
      <w:r>
        <w:rPr>
          <w:b/>
          <w:i/>
          <w:noProof/>
          <w:sz w:val="22"/>
        </w:rPr>
        <w:t xml:space="preserve">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b/>
          <w:noProof/>
        </w:rPr>
        <w:footnoteReference w:id="1"/>
      </w:r>
      <w:r>
        <w:rPr>
          <w:noProof/>
          <w:sz w:val="22"/>
        </w:rPr>
        <w:t xml:space="preserve"> </w:t>
      </w:r>
    </w:p>
    <w:p>
      <w:pPr>
        <w:pStyle w:val="Text1"/>
        <w:rPr>
          <w:noProof/>
          <w:sz w:val="22"/>
        </w:rPr>
      </w:pPr>
      <w:r>
        <w:rPr>
          <w:noProof/>
          <w:sz w:val="22"/>
        </w:rPr>
        <w:sym w:font="Wingdings" w:char="F0FE"/>
      </w:r>
      <w:r>
        <w:rPr>
          <w:i/>
          <w:noProof/>
          <w:sz w:val="22"/>
        </w:rPr>
        <w:t xml:space="preserve">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pStyle w:val="Heading2"/>
        <w:numPr>
          <w:ilvl w:val="1"/>
          <w:numId w:val="5"/>
        </w:numPr>
        <w:rPr>
          <w:bCs w:val="0"/>
          <w:noProof/>
          <w:szCs w:val="24"/>
        </w:rPr>
      </w:pPr>
      <w:bookmarkStart w:id="11" w:name="_Toc514941975"/>
      <w:bookmarkStart w:id="12" w:name="_Toc54019279"/>
      <w:r>
        <w:rPr>
          <w:noProof/>
        </w:rPr>
        <w:t>Justification(s) de la proposition/de l'initiative</w:t>
      </w:r>
      <w:bookmarkEnd w:id="11"/>
      <w:bookmarkEnd w:id="12"/>
      <w:r>
        <w:rPr>
          <w:noProof/>
        </w:rPr>
        <w:t xml:space="preserve"> </w:t>
      </w:r>
    </w:p>
    <w:p>
      <w:pPr>
        <w:pStyle w:val="Heading3"/>
        <w:numPr>
          <w:ilvl w:val="2"/>
          <w:numId w:val="5"/>
        </w:numPr>
        <w:rPr>
          <w:noProof/>
        </w:rPr>
      </w:pPr>
      <w:bookmarkStart w:id="13" w:name="_Toc514941976"/>
      <w:bookmarkStart w:id="14" w:name="_Toc54019280"/>
      <w:r>
        <w:rPr>
          <w:noProof/>
        </w:rPr>
        <w:t>Besoin(s) à satisfaire à court ou à long terme, assorti(s) d’un calendrier détaillé pour la mise en œuvre de l’initiative</w:t>
      </w:r>
      <w:bookmarkEnd w:id="13"/>
      <w:bookmarkEnd w:id="14"/>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L’entreprise commune EuroHPC a pour objectifs de créer, de déployer, d’étendre et de conserver dans l’Union un écosystème de services et d’infrastructures de données pour le supercalcul et l’informatique quantique fédérés, sécurisés, hyperconnectés et de classe mondiale; de soutenir la production de systèmes de supercalcul innovants et compétitifs fondés au moyen d’une chaîne d’approvisionnement la plus autonome possible en composants, technologies et connaissances, limitant ainsi le risque de perturbations, et de développer un large éventail d’applications optimisées pour ces systèmes; et d’élargir l’utilisation de cette infrastructure de supercalcul à un grand nombre d’utilisateurs publics et privés, et de soutenir le développement de compétences clés pour la science et l’industrie européennes.</w:t>
      </w:r>
    </w:p>
    <w:p>
      <w:pPr>
        <w:pStyle w:val="Text1"/>
        <w:pBdr>
          <w:top w:val="single" w:sz="4" w:space="1" w:color="auto"/>
          <w:left w:val="single" w:sz="4" w:space="4" w:color="auto"/>
          <w:bottom w:val="single" w:sz="4" w:space="1" w:color="auto"/>
          <w:right w:val="single" w:sz="4" w:space="4" w:color="auto"/>
        </w:pBdr>
        <w:rPr>
          <w:noProof/>
        </w:rPr>
      </w:pPr>
    </w:p>
    <w:p>
      <w:pPr>
        <w:pStyle w:val="Heading3"/>
        <w:numPr>
          <w:ilvl w:val="2"/>
          <w:numId w:val="5"/>
        </w:numPr>
        <w:rPr>
          <w:noProof/>
        </w:rPr>
      </w:pPr>
      <w:bookmarkStart w:id="15" w:name="_Toc54019281"/>
      <w:bookmarkStart w:id="16" w:name="_Toc514941977"/>
      <w:r>
        <w:rPr>
          <w:noProof/>
        </w:rPr>
        <w:t>Valeur ajoutée de l’intervention de l’Union</w:t>
      </w:r>
      <w:bookmarkEnd w:id="15"/>
      <w:r>
        <w:rPr>
          <w:noProof/>
        </w:rPr>
        <w:t xml:space="preserve"> </w:t>
      </w:r>
    </w:p>
    <w:bookmarkEnd w:id="16"/>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 xml:space="preserve">La valeur ajoutée de l’intervention de l’Union se situe notamment: </w:t>
      </w:r>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 xml:space="preserve">- dans l’augmentation du niveau de financement du CHP au niveau européen dans le cadre d’une initiative unique et coordonnée avec les États membres/participants; </w:t>
      </w:r>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 dans l’amélioration de la coordination et de la mise en commun des investissements de l’UE et des États membres (sur la base du SRIA);</w:t>
      </w:r>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 xml:space="preserve">- dans la mise en œuvre rationalisée des investissements et des programmes des pays et de l’UE, qui contribue à la hausse générale des investissements dans le CHP européen; </w:t>
      </w:r>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 dans le fait de doter l’UE des meilleurs supercalculateurs au monde, qui ne pourraient être acquis par les seuls États participants;</w:t>
      </w:r>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 xml:space="preserve">- dans l’accès plus facile pour les institutions/utilisateurs européens aux meilleures ressources de supercalcul en Europe. </w:t>
      </w:r>
    </w:p>
    <w:p>
      <w:pPr>
        <w:pStyle w:val="Text1"/>
        <w:pBdr>
          <w:top w:val="single" w:sz="4" w:space="1" w:color="auto"/>
          <w:left w:val="single" w:sz="4" w:space="4" w:color="auto"/>
          <w:bottom w:val="single" w:sz="4" w:space="1" w:color="auto"/>
          <w:right w:val="single" w:sz="4" w:space="4" w:color="auto"/>
        </w:pBdr>
        <w:rPr>
          <w:noProof/>
        </w:rPr>
      </w:pPr>
      <w:r>
        <w:rPr>
          <w:rStyle w:val="Marker"/>
          <w:noProof/>
          <w:color w:val="auto"/>
        </w:rPr>
        <w:t>EuroHPC augmentera considérablement la dotation en puissance de calcul des utilisateurs de l’UE, contribuera à fournir une source européenne indépendante de technologies clés modifiant le paysage de l’écosystème d’approvisionnement européen, et favorisera et étendra l’utilisation du CHP dans l’ensemble de l’UE.</w:t>
      </w:r>
    </w:p>
    <w:p>
      <w:pPr>
        <w:pStyle w:val="Heading3"/>
        <w:numPr>
          <w:ilvl w:val="2"/>
          <w:numId w:val="5"/>
        </w:numPr>
        <w:rPr>
          <w:noProof/>
        </w:rPr>
      </w:pPr>
      <w:bookmarkStart w:id="17" w:name="_Toc514941978"/>
      <w:bookmarkStart w:id="18" w:name="_Toc54019282"/>
      <w:r>
        <w:rPr>
          <w:noProof/>
        </w:rPr>
        <w:t>Leçons tirées d'expériences similaires</w:t>
      </w:r>
      <w:bookmarkEnd w:id="17"/>
      <w:bookmarkEnd w:id="18"/>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L’actuelle entreprise commune EuroHPC a déjà acquis une solide expérience de travail, avec des discussions approfondies entre les parties prenantes sur la gouvernance, l’administration et d’autres aspects opérationnels et de mise en œuvre, dont les principaux enseignements tirés jusqu’à présent peuvent être résumés comme suit:</w:t>
      </w:r>
    </w:p>
    <w:p>
      <w:pPr>
        <w:pStyle w:val="Text1"/>
        <w:pBdr>
          <w:top w:val="single" w:sz="4" w:space="1" w:color="auto"/>
          <w:left w:val="single" w:sz="4" w:space="4" w:color="auto"/>
          <w:bottom w:val="single" w:sz="4" w:space="1" w:color="auto"/>
          <w:right w:val="single" w:sz="4" w:space="4" w:color="auto"/>
        </w:pBdr>
        <w:ind w:left="1435" w:hanging="585"/>
        <w:rPr>
          <w:rStyle w:val="Marker"/>
          <w:noProof/>
          <w:color w:val="auto"/>
        </w:rPr>
      </w:pPr>
      <w:r>
        <w:rPr>
          <w:rStyle w:val="Marker"/>
          <w:noProof/>
          <w:color w:val="auto"/>
        </w:rPr>
        <w:t>•</w:t>
      </w:r>
      <w:r>
        <w:rPr>
          <w:noProof/>
        </w:rPr>
        <w:tab/>
      </w:r>
      <w:r>
        <w:rPr>
          <w:rStyle w:val="Marker"/>
          <w:noProof/>
          <w:color w:val="auto"/>
        </w:rPr>
        <w:t xml:space="preserve">simplification du régime de cofinancement: la combinaison des fonds de l’UE et des fonds nationaux dans les différentes activités EuroHPC doit être simplifiée et optimisée; </w:t>
      </w:r>
    </w:p>
    <w:p>
      <w:pPr>
        <w:pStyle w:val="Text1"/>
        <w:pBdr>
          <w:top w:val="single" w:sz="4" w:space="1" w:color="auto"/>
          <w:left w:val="single" w:sz="4" w:space="4" w:color="auto"/>
          <w:bottom w:val="single" w:sz="4" w:space="1" w:color="auto"/>
          <w:right w:val="single" w:sz="4" w:space="4" w:color="auto"/>
        </w:pBdr>
        <w:ind w:left="1435" w:hanging="585"/>
        <w:rPr>
          <w:rStyle w:val="Marker"/>
          <w:noProof/>
          <w:color w:val="auto"/>
        </w:rPr>
      </w:pPr>
      <w:r>
        <w:rPr>
          <w:rStyle w:val="Marker"/>
          <w:noProof/>
          <w:color w:val="auto"/>
        </w:rPr>
        <w:t>•</w:t>
      </w:r>
      <w:r>
        <w:rPr>
          <w:noProof/>
        </w:rPr>
        <w:tab/>
      </w:r>
      <w:r>
        <w:rPr>
          <w:rStyle w:val="Marker"/>
          <w:noProof/>
          <w:color w:val="auto"/>
        </w:rPr>
        <w:t>une plus grande flexibilité dans la définition du temps d’acquisition et de la technologie des nouveaux systèmes de supercalcul;</w:t>
      </w:r>
    </w:p>
    <w:p>
      <w:pPr>
        <w:pStyle w:val="Text1"/>
        <w:pBdr>
          <w:top w:val="single" w:sz="4" w:space="1" w:color="auto"/>
          <w:left w:val="single" w:sz="4" w:space="4" w:color="auto"/>
          <w:bottom w:val="single" w:sz="4" w:space="1" w:color="auto"/>
          <w:right w:val="single" w:sz="4" w:space="4" w:color="auto"/>
        </w:pBdr>
        <w:ind w:left="1435" w:hanging="585"/>
        <w:rPr>
          <w:rStyle w:val="Marker"/>
          <w:noProof/>
          <w:color w:val="auto"/>
        </w:rPr>
      </w:pPr>
      <w:r>
        <w:rPr>
          <w:rStyle w:val="Marker"/>
          <w:noProof/>
          <w:color w:val="auto"/>
        </w:rPr>
        <w:t>•</w:t>
      </w:r>
      <w:r>
        <w:rPr>
          <w:noProof/>
        </w:rPr>
        <w:tab/>
      </w:r>
      <w:r>
        <w:rPr>
          <w:rStyle w:val="Marker"/>
          <w:noProof/>
          <w:color w:val="auto"/>
        </w:rPr>
        <w:t xml:space="preserve">une plus grande flexibilité dans l’allocation des ressources des systèmes EuroHPC; </w:t>
      </w:r>
    </w:p>
    <w:p>
      <w:pPr>
        <w:pStyle w:val="Text1"/>
        <w:pBdr>
          <w:top w:val="single" w:sz="4" w:space="1" w:color="auto"/>
          <w:left w:val="single" w:sz="4" w:space="4" w:color="auto"/>
          <w:bottom w:val="single" w:sz="4" w:space="1" w:color="auto"/>
          <w:right w:val="single" w:sz="4" w:space="4" w:color="auto"/>
        </w:pBdr>
        <w:ind w:left="1435" w:hanging="585"/>
        <w:rPr>
          <w:rStyle w:val="Marker"/>
          <w:noProof/>
          <w:color w:val="auto"/>
        </w:rPr>
      </w:pPr>
      <w:r>
        <w:rPr>
          <w:rStyle w:val="Marker"/>
          <w:noProof/>
          <w:color w:val="auto"/>
        </w:rPr>
        <w:t>•</w:t>
      </w:r>
      <w:r>
        <w:rPr>
          <w:noProof/>
        </w:rPr>
        <w:tab/>
      </w:r>
      <w:r>
        <w:rPr>
          <w:rStyle w:val="Marker"/>
          <w:noProof/>
          <w:color w:val="auto"/>
        </w:rPr>
        <w:t>des politiques d’accès bien définies pour l’utilisation industrielle/commerciale de l’infrastructure EuroHPC, qui permettraient d’exploiter pleinement les capacités d’EuroHPC moyennant soit un accès à la recherche préconcurrentielle, soit des conditions d’utilisation commerciales;</w:t>
      </w:r>
    </w:p>
    <w:p>
      <w:pPr>
        <w:pStyle w:val="Text1"/>
        <w:pBdr>
          <w:top w:val="single" w:sz="4" w:space="1" w:color="auto"/>
          <w:left w:val="single" w:sz="4" w:space="4" w:color="auto"/>
          <w:bottom w:val="single" w:sz="4" w:space="1" w:color="auto"/>
          <w:right w:val="single" w:sz="4" w:space="4" w:color="auto"/>
        </w:pBdr>
        <w:ind w:left="1435" w:hanging="585"/>
        <w:rPr>
          <w:rStyle w:val="Marker"/>
          <w:noProof/>
          <w:color w:val="auto"/>
        </w:rPr>
      </w:pPr>
      <w:r>
        <w:rPr>
          <w:rStyle w:val="Marker"/>
          <w:noProof/>
          <w:color w:val="auto"/>
        </w:rPr>
        <w:t>•</w:t>
      </w:r>
      <w:r>
        <w:rPr>
          <w:noProof/>
        </w:rPr>
        <w:tab/>
      </w:r>
      <w:r>
        <w:rPr>
          <w:rStyle w:val="Marker"/>
          <w:noProof/>
          <w:color w:val="auto"/>
        </w:rPr>
        <w:t xml:space="preserve">un cadre plus clair pour la collaboration avec les parties intéressées: PRACE et GEANT. Il pourrait être nécessaire d’établir des arrangements spécifiques avec PRACE pour les tâches liées à l’attribution du temps d’accès aux systèmes de l’entreprise commune, et avec GEANT pour l’acquisition d’une connectivité spécifique pour les supercalculateurs EuroHPC; </w:t>
      </w:r>
    </w:p>
    <w:p>
      <w:pPr>
        <w:pStyle w:val="Text1"/>
        <w:pBdr>
          <w:top w:val="single" w:sz="4" w:space="1" w:color="auto"/>
          <w:left w:val="single" w:sz="4" w:space="4" w:color="auto"/>
          <w:bottom w:val="single" w:sz="4" w:space="1" w:color="auto"/>
          <w:right w:val="single" w:sz="4" w:space="4" w:color="auto"/>
        </w:pBdr>
        <w:ind w:left="1435" w:hanging="585"/>
        <w:rPr>
          <w:rStyle w:val="Marker"/>
          <w:noProof/>
          <w:color w:val="auto"/>
        </w:rPr>
      </w:pPr>
      <w:r>
        <w:rPr>
          <w:rStyle w:val="Marker"/>
          <w:noProof/>
          <w:color w:val="auto"/>
        </w:rPr>
        <w:t>•</w:t>
      </w:r>
      <w:r>
        <w:rPr>
          <w:noProof/>
        </w:rPr>
        <w:tab/>
      </w:r>
      <w:r>
        <w:rPr>
          <w:rStyle w:val="Marker"/>
          <w:noProof/>
          <w:color w:val="auto"/>
        </w:rPr>
        <w:t>une meilleure définition des différentes contributions aux activités d’EuroHPC. Par exemple, il est nécessaire de définir plus précisément les contributions en nature des États participants et des membres privés à l’entreprise commune EuroHPC, et de mieux définir les coûts qu’EuroHPC peut/ne peut supporter pour l’acquisition et l’exploitation de supercalculateurs;</w:t>
      </w:r>
    </w:p>
    <w:p>
      <w:pPr>
        <w:pStyle w:val="Text1"/>
        <w:pBdr>
          <w:top w:val="single" w:sz="4" w:space="1" w:color="auto"/>
          <w:left w:val="single" w:sz="4" w:space="4" w:color="auto"/>
          <w:bottom w:val="single" w:sz="4" w:space="1" w:color="auto"/>
          <w:right w:val="single" w:sz="4" w:space="4" w:color="auto"/>
        </w:pBdr>
        <w:ind w:left="1435" w:hanging="585"/>
        <w:rPr>
          <w:noProof/>
        </w:rPr>
      </w:pPr>
      <w:r>
        <w:rPr>
          <w:rStyle w:val="Marker"/>
          <w:noProof/>
          <w:color w:val="auto"/>
        </w:rPr>
        <w:t>•</w:t>
      </w:r>
      <w:r>
        <w:rPr>
          <w:noProof/>
        </w:rPr>
        <w:tab/>
      </w:r>
      <w:r>
        <w:rPr>
          <w:rStyle w:val="Marker"/>
          <w:noProof/>
          <w:color w:val="auto"/>
        </w:rPr>
        <w:t xml:space="preserve">une plus grande flexibilité dans la contribution des membres privés et des autres acteurs privés aux activités de l’entreprise commune EuroHPC. </w:t>
      </w:r>
    </w:p>
    <w:p>
      <w:pPr>
        <w:pStyle w:val="Text1"/>
        <w:pBdr>
          <w:top w:val="single" w:sz="4" w:space="1" w:color="auto"/>
          <w:left w:val="single" w:sz="4" w:space="4" w:color="auto"/>
          <w:bottom w:val="single" w:sz="4" w:space="1" w:color="auto"/>
          <w:right w:val="single" w:sz="4" w:space="4" w:color="auto"/>
        </w:pBdr>
        <w:rPr>
          <w:noProof/>
        </w:rPr>
      </w:pPr>
    </w:p>
    <w:p>
      <w:pPr>
        <w:pStyle w:val="Heading3"/>
        <w:numPr>
          <w:ilvl w:val="2"/>
          <w:numId w:val="5"/>
        </w:numPr>
        <w:rPr>
          <w:noProof/>
        </w:rPr>
      </w:pPr>
      <w:bookmarkStart w:id="19" w:name="_Toc514941979"/>
      <w:bookmarkStart w:id="20" w:name="_Toc54019283"/>
      <w:r>
        <w:rPr>
          <w:noProof/>
        </w:rPr>
        <w:t>Compatibilité et synergie éventuelle avec d'autres instruments appropriés</w:t>
      </w:r>
      <w:bookmarkEnd w:id="19"/>
      <w:bookmarkEnd w:id="20"/>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Synergies dans Horizon Europe (HE)</w:t>
      </w:r>
    </w:p>
    <w:p>
      <w:pPr>
        <w:pStyle w:val="Text1"/>
        <w:pBdr>
          <w:top w:val="single" w:sz="4" w:space="1" w:color="auto"/>
          <w:left w:val="single" w:sz="4" w:space="4" w:color="auto"/>
          <w:bottom w:val="single" w:sz="4" w:space="1" w:color="auto"/>
          <w:right w:val="single" w:sz="4" w:space="4" w:color="auto"/>
        </w:pBdr>
        <w:jc w:val="left"/>
        <w:rPr>
          <w:noProof/>
        </w:rPr>
      </w:pPr>
      <w:r>
        <w:rPr>
          <w:noProof/>
        </w:rPr>
        <w:t xml:space="preserve">Successeur de l’entreprise commune ECSEL </w:t>
      </w:r>
      <w:r>
        <w:rPr>
          <w:noProof/>
        </w:rPr>
        <w:br/>
        <w:t xml:space="preserve">Mégadonnées, robotique et IA </w:t>
      </w:r>
      <w:r>
        <w:rPr>
          <w:noProof/>
        </w:rPr>
        <w:br/>
        <w:t xml:space="preserve">Technologies quantiques futures et émergentes </w:t>
      </w:r>
      <w:r>
        <w:rPr>
          <w:noProof/>
        </w:rPr>
        <w:br/>
        <w:t xml:space="preserve">Nuage européen pour la science ouverte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Synergies dans le programme pour une Europe numérique</w:t>
      </w:r>
    </w:p>
    <w:p>
      <w:pPr>
        <w:pStyle w:val="Text1"/>
        <w:pBdr>
          <w:top w:val="single" w:sz="4" w:space="1" w:color="auto"/>
          <w:left w:val="single" w:sz="4" w:space="4" w:color="auto"/>
          <w:bottom w:val="single" w:sz="4" w:space="1" w:color="auto"/>
          <w:right w:val="single" w:sz="4" w:space="4" w:color="auto"/>
        </w:pBdr>
        <w:rPr>
          <w:noProof/>
        </w:rPr>
      </w:pPr>
      <w:r>
        <w:rPr>
          <w:noProof/>
        </w:rPr>
        <w:t xml:space="preserve">IA </w:t>
      </w:r>
      <w:r>
        <w:rPr>
          <w:noProof/>
        </w:rPr>
        <w:br/>
        <w:t xml:space="preserve">Cybersécurité </w:t>
      </w:r>
      <w:r>
        <w:rPr>
          <w:noProof/>
        </w:rPr>
        <w:br/>
        <w:t>Compétences numériques avancées</w:t>
      </w:r>
    </w:p>
    <w:p>
      <w:pPr>
        <w:pStyle w:val="Heading2"/>
        <w:numPr>
          <w:ilvl w:val="1"/>
          <w:numId w:val="5"/>
        </w:numPr>
        <w:rPr>
          <w:bCs w:val="0"/>
          <w:noProof/>
          <w:szCs w:val="24"/>
        </w:rPr>
      </w:pPr>
      <w:bookmarkStart w:id="21" w:name="_Toc514941980"/>
      <w:bookmarkStart w:id="22" w:name="_Toc54019284"/>
      <w:r>
        <w:rPr>
          <w:noProof/>
        </w:rPr>
        <w:t>Durée et incidence financière</w:t>
      </w:r>
      <w:bookmarkEnd w:id="21"/>
      <w:bookmarkEnd w:id="22"/>
      <w:r>
        <w:rPr>
          <w:noProof/>
        </w:rPr>
        <w:t xml:space="preserve"> </w:t>
      </w:r>
    </w:p>
    <w:p>
      <w:pPr>
        <w:pStyle w:val="Text1"/>
        <w:rPr>
          <w:noProof/>
        </w:rPr>
      </w:pPr>
      <w:r>
        <w:rPr>
          <w:noProof/>
        </w:rPr>
        <w:sym w:font="Wingdings" w:char="F0FE"/>
      </w:r>
      <w:r>
        <w:rPr>
          <w:b/>
          <w:i/>
          <w:noProof/>
        </w:rPr>
        <w:t xml:space="preserve"> </w:t>
      </w:r>
      <w:r>
        <w:rPr>
          <w:b/>
          <w:noProof/>
        </w:rPr>
        <w:t xml:space="preserve">durée limitée </w:t>
      </w:r>
    </w:p>
    <w:p>
      <w:pPr>
        <w:pStyle w:val="ListDash2"/>
        <w:rPr>
          <w:noProof/>
        </w:rPr>
      </w:pPr>
      <w:r>
        <w:rPr>
          <w:noProof/>
        </w:rPr>
        <w:sym w:font="Wingdings" w:char="F0FE"/>
      </w:r>
      <w:r>
        <w:rPr>
          <w:noProof/>
        </w:rPr>
        <w:tab/>
        <w:t xml:space="preserve">En vigueur du 1/1/2021 au 31/12/2033 </w:t>
      </w:r>
    </w:p>
    <w:p>
      <w:pPr>
        <w:pStyle w:val="ListDash2"/>
        <w:rPr>
          <w:noProof/>
        </w:rPr>
      </w:pPr>
      <w:r>
        <w:rPr>
          <w:noProof/>
        </w:rPr>
        <w:sym w:font="Wingdings" w:char="F0FE"/>
      </w:r>
      <w:r>
        <w:rPr>
          <w:noProof/>
        </w:rPr>
        <w:tab/>
        <w:t xml:space="preserve">Incidence financière de 2021 à 2027 pour les crédits d’engagement et de 2021 à 2033 pour les crédits de paiement. </w:t>
      </w:r>
    </w:p>
    <w:p>
      <w:pPr>
        <w:pStyle w:val="Text1"/>
        <w:rPr>
          <w:noProof/>
        </w:rPr>
      </w:pPr>
      <w:r>
        <w:rPr>
          <w:noProof/>
        </w:rPr>
        <w:sym w:font="Wingdings" w:char="F0A8"/>
      </w:r>
      <w:r>
        <w:rPr>
          <w:b/>
          <w:i/>
          <w:noProof/>
        </w:rPr>
        <w:t xml:space="preserve">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Heading2"/>
        <w:numPr>
          <w:ilvl w:val="1"/>
          <w:numId w:val="5"/>
        </w:numPr>
        <w:rPr>
          <w:bCs w:val="0"/>
          <w:noProof/>
          <w:szCs w:val="24"/>
        </w:rPr>
      </w:pPr>
      <w:bookmarkStart w:id="23" w:name="_Toc54019285"/>
      <w:bookmarkStart w:id="24" w:name="_Toc514941981"/>
      <w:r>
        <w:rPr>
          <w:noProof/>
        </w:rPr>
        <w:t>Mode(s) de gestion prévu(s)</w:t>
      </w:r>
      <w:r>
        <w:rPr>
          <w:rStyle w:val="FootnoteReference"/>
          <w:bCs w:val="0"/>
          <w:noProof/>
        </w:rPr>
        <w:footnoteReference w:id="2"/>
      </w:r>
      <w:bookmarkEnd w:id="23"/>
      <w:r>
        <w:rPr>
          <w:rStyle w:val="FootnoteReference"/>
          <w:noProof/>
        </w:rPr>
        <w:t xml:space="preserve"> </w:t>
      </w:r>
      <w:bookmarkEnd w:id="24"/>
      <w:r>
        <w:rPr>
          <w:rStyle w:val="FootnoteReference"/>
          <w:noProof/>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ab/>
        <w:t xml:space="preserve">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FE"/>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ab/>
        <w:t>à des pays tiers ou aux organismes qu'ils ont désignés;</w:t>
      </w:r>
    </w:p>
    <w:p>
      <w:pPr>
        <w:pStyle w:val="ListDash2"/>
        <w:rPr>
          <w:noProof/>
        </w:rPr>
      </w:pPr>
      <w:r>
        <w:rPr>
          <w:noProof/>
        </w:rPr>
        <w:sym w:font="Wingdings" w:char="F0A8"/>
      </w:r>
      <w:r>
        <w:rPr>
          <w:noProof/>
        </w:rPr>
        <w:tab/>
        <w:t>à des organisations internationales et à leurs agences (à préciser);</w:t>
      </w:r>
    </w:p>
    <w:p>
      <w:pPr>
        <w:pStyle w:val="ListDash2"/>
        <w:rPr>
          <w:noProof/>
        </w:rPr>
      </w:pPr>
      <w:r>
        <w:rPr>
          <w:noProof/>
        </w:rPr>
        <w:sym w:font="Wingdings" w:char="F0A8"/>
      </w:r>
      <w:r>
        <w:rPr>
          <w:noProof/>
        </w:rPr>
        <w:tab/>
        <w:t>à la BEI et au Fonds européen d'investissement;</w:t>
      </w:r>
    </w:p>
    <w:p>
      <w:pPr>
        <w:pStyle w:val="ListDash2"/>
        <w:rPr>
          <w:noProof/>
        </w:rPr>
      </w:pPr>
      <w:r>
        <w:rPr>
          <w:noProof/>
        </w:rPr>
        <w:sym w:font="Wingdings" w:char="F0FE"/>
      </w:r>
      <w:r>
        <w:rPr>
          <w:noProof/>
        </w:rPr>
        <w:tab/>
        <w:t>aux organismes visés aux articles 70 et 71 du règlement financier;</w:t>
      </w:r>
    </w:p>
    <w:p>
      <w:pPr>
        <w:pStyle w:val="ListDash2"/>
        <w:rPr>
          <w:noProof/>
        </w:rPr>
      </w:pPr>
      <w:r>
        <w:rPr>
          <w:noProof/>
        </w:rPr>
        <w:sym w:font="Wingdings" w:char="F0A8"/>
      </w:r>
      <w:r>
        <w:rPr>
          <w:noProof/>
        </w:rPr>
        <w:tab/>
        <w:t>à des organismes de droit public;</w:t>
      </w:r>
    </w:p>
    <w:p>
      <w:pPr>
        <w:pStyle w:val="ListDash2"/>
        <w:rPr>
          <w:noProof/>
        </w:rPr>
      </w:pPr>
      <w:r>
        <w:rPr>
          <w:noProof/>
        </w:rPr>
        <w:sym w:font="Wingdings" w:char="F0A8"/>
      </w:r>
      <w:r>
        <w:rPr>
          <w:noProof/>
        </w:rPr>
        <w:tab/>
        <w:t>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ab/>
        <w:t>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ab/>
        <w:t>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pPr>
      <w:r>
        <w:rPr>
          <w:noProof/>
        </w:rPr>
        <w:t xml:space="preserve"> </w:t>
      </w:r>
    </w:p>
    <w:p>
      <w:pPr>
        <w:rPr>
          <w:noProof/>
        </w:rPr>
        <w:sectPr>
          <w:headerReference w:type="even" r:id="rId25"/>
          <w:headerReference w:type="default" r:id="rId26"/>
          <w:footerReference w:type="even" r:id="rId27"/>
          <w:footerReference w:type="default" r:id="rId28"/>
          <w:headerReference w:type="first" r:id="rId29"/>
          <w:footerReference w:type="first" r:id="rId30"/>
          <w:pgSz w:w="11907" w:h="16840" w:code="9"/>
          <w:pgMar w:top="1134" w:right="1418" w:bottom="1134" w:left="1418" w:header="709" w:footer="709" w:gutter="0"/>
          <w:cols w:space="708"/>
          <w:docGrid w:linePitch="360"/>
        </w:sectPr>
      </w:pPr>
    </w:p>
    <w:p>
      <w:pPr>
        <w:pStyle w:val="Heading1"/>
        <w:numPr>
          <w:ilvl w:val="0"/>
          <w:numId w:val="5"/>
        </w:numPr>
        <w:rPr>
          <w:bCs w:val="0"/>
          <w:noProof/>
          <w:szCs w:val="24"/>
        </w:rPr>
      </w:pPr>
      <w:bookmarkStart w:id="25" w:name="_Toc514941982"/>
      <w:bookmarkStart w:id="26" w:name="_Toc54019286"/>
      <w:r>
        <w:rPr>
          <w:noProof/>
        </w:rPr>
        <w:t>MESURES DE GESTION</w:t>
      </w:r>
      <w:bookmarkEnd w:id="25"/>
      <w:bookmarkEnd w:id="26"/>
      <w:r>
        <w:rPr>
          <w:noProof/>
        </w:rPr>
        <w:t xml:space="preserve"> </w:t>
      </w:r>
    </w:p>
    <w:p>
      <w:pPr>
        <w:pStyle w:val="Heading2"/>
        <w:numPr>
          <w:ilvl w:val="1"/>
          <w:numId w:val="5"/>
        </w:numPr>
        <w:rPr>
          <w:noProof/>
        </w:rPr>
      </w:pPr>
      <w:bookmarkStart w:id="27" w:name="_Toc514941983"/>
      <w:bookmarkStart w:id="28" w:name="_Toc54019287"/>
      <w:r>
        <w:rPr>
          <w:noProof/>
        </w:rPr>
        <w:t>Dispositions en matière de suivi et de compte rendu</w:t>
      </w:r>
      <w:bookmarkEnd w:id="27"/>
      <w:bookmarkEnd w:id="28"/>
      <w:r>
        <w:rPr>
          <w:noProof/>
        </w:rPr>
        <w:t xml:space="preserve"> </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Les activités de l’entreprise commune feront l’objet d’un suivi continu et d’examens périodiques conformément à ses règles financières, dans le but de garantir le plus haut degré d’incidence et d’excellence possible, ainsi que l’utilisation la plus efficace possible des ressources. Les résultats du suivi et des examens périodiques alimentent les évaluations de l’entreprise commune menées dans le cadre des évaluations d’Horizon Europe prévues à l’article 47 du règlement établissant Horizon Europe.</w:t>
      </w:r>
    </w:p>
    <w:p>
      <w:pPr>
        <w:pStyle w:val="Text1"/>
        <w:pBdr>
          <w:top w:val="single" w:sz="4" w:space="1" w:color="auto"/>
          <w:left w:val="single" w:sz="4" w:space="4" w:color="auto"/>
          <w:bottom w:val="single" w:sz="4" w:space="1" w:color="auto"/>
          <w:right w:val="single" w:sz="4" w:space="4" w:color="auto"/>
        </w:pBdr>
        <w:rPr>
          <w:noProof/>
        </w:rPr>
      </w:pPr>
      <w:r>
        <w:rPr>
          <w:noProof/>
        </w:rPr>
        <w:t>En outre, la Commission procédera à une évaluation intermédiaire avec l’assistance d’experts indépendants, sur la base d’un processus transparent, au plus tard quatre ans après le début de la mise en œuvre d’Horizon Europe. L’évaluation portera sur la manière dont l’entreprise commune remplit sa mission au regard de ses objectifs économiques, technologiques, scientifiques, sociétaux et politiques, et sur l’efficacité, l’efficience, la pertinence, la cohérence et la valeur ajoutée au niveau de l’Union de ses activités menées dans le cadre d’Horizon Europe, ainsi que sur ses synergies et complémentarités avec les initiatives pertinentes aux niveaux européen, national et, le cas échéant, régional, y compris ses synergies avec d’autres volets d’Horizon Europe (telles que des missions, des groupes ou des programmes thématiques/spécifiques). Une attention particulière est accordée aux effets produits au niveau de l’Union et au niveau national, en tenant compte des effets de synergie et de la mise à niveau des politiques.</w:t>
      </w:r>
    </w:p>
    <w:p>
      <w:pPr>
        <w:pStyle w:val="Text1"/>
        <w:pBdr>
          <w:top w:val="single" w:sz="4" w:space="1" w:color="auto"/>
          <w:left w:val="single" w:sz="4" w:space="4" w:color="auto"/>
          <w:bottom w:val="single" w:sz="4" w:space="1" w:color="auto"/>
          <w:right w:val="single" w:sz="4" w:space="4" w:color="auto"/>
        </w:pBdr>
        <w:rPr>
          <w:noProof/>
        </w:rPr>
      </w:pPr>
      <w:r>
        <w:rPr>
          <w:noProof/>
        </w:rPr>
        <w:t>Les évaluations comprendront également une appréciation de l’incidence à long terme de l’entreprise commune sur les plans scientifique, sociétal, économique et stratégique, ainsi qu’un avis sur le mode d’intervention politique le plus efficace pour les actions futures, et sur la place qu’occuperait le renouvellement éventuel de l’entreprise commune dans le paysage global des partenariats européens et de leurs priorités politiques.</w:t>
      </w:r>
    </w:p>
    <w:p>
      <w:pPr>
        <w:pStyle w:val="Heading2"/>
        <w:numPr>
          <w:ilvl w:val="1"/>
          <w:numId w:val="5"/>
        </w:numPr>
        <w:rPr>
          <w:bCs w:val="0"/>
          <w:noProof/>
          <w:szCs w:val="24"/>
        </w:rPr>
      </w:pPr>
      <w:r>
        <w:rPr>
          <w:noProof/>
        </w:rPr>
        <w:t xml:space="preserve"> </w:t>
      </w:r>
      <w:bookmarkStart w:id="29" w:name="_Toc514941984"/>
      <w:bookmarkStart w:id="30" w:name="_Toc54019288"/>
      <w:r>
        <w:rPr>
          <w:noProof/>
        </w:rPr>
        <w:t>Système(s) de gestion et de contrôle</w:t>
      </w:r>
      <w:bookmarkEnd w:id="29"/>
      <w:bookmarkEnd w:id="30"/>
      <w:r>
        <w:rPr>
          <w:noProof/>
        </w:rPr>
        <w:t xml:space="preserve"> </w:t>
      </w:r>
    </w:p>
    <w:p>
      <w:pPr>
        <w:pStyle w:val="Heading3"/>
        <w:numPr>
          <w:ilvl w:val="2"/>
          <w:numId w:val="5"/>
        </w:numPr>
        <w:rPr>
          <w:noProof/>
        </w:rPr>
      </w:pPr>
      <w:bookmarkStart w:id="31" w:name="_Toc514941985"/>
      <w:bookmarkStart w:id="32" w:name="_Toc54019289"/>
      <w:r>
        <w:rPr>
          <w:noProof/>
        </w:rPr>
        <w:t>Justification du (des) mode(s) de gestion, du (des) mécanisme(s) de mise en œuvre du financement, des modalités de paiement et de la stratégie de contrôle proposée</w:t>
      </w:r>
      <w:bookmarkEnd w:id="31"/>
      <w:bookmarkEnd w:id="32"/>
    </w:p>
    <w:p>
      <w:pPr>
        <w:pStyle w:val="Text1"/>
        <w:pBdr>
          <w:top w:val="single" w:sz="4" w:space="1" w:color="auto"/>
          <w:left w:val="single" w:sz="4" w:space="4" w:color="auto"/>
          <w:bottom w:val="single" w:sz="4" w:space="1" w:color="auto"/>
          <w:right w:val="single" w:sz="4" w:space="4" w:color="auto"/>
        </w:pBdr>
        <w:rPr>
          <w:noProof/>
        </w:rPr>
      </w:pPr>
      <w:r>
        <w:rPr>
          <w:noProof/>
        </w:rPr>
        <w:t xml:space="preserve">L'auditeur interne de la Commission exerce à l'égard de l'entreprise commune les mêmes compétences que celles qui lui sont attribuées à l'égard des services de la Commission. En outre, le comité directeur peut assurer, le cas échéant, la mise en place d'une capacité d’audit interne de l’entreprise commune. </w:t>
      </w:r>
    </w:p>
    <w:p>
      <w:pPr>
        <w:pStyle w:val="Text1"/>
        <w:pBdr>
          <w:top w:val="single" w:sz="4" w:space="1" w:color="auto"/>
          <w:left w:val="single" w:sz="4" w:space="4" w:color="auto"/>
          <w:bottom w:val="single" w:sz="4" w:space="1" w:color="auto"/>
          <w:right w:val="single" w:sz="4" w:space="4" w:color="auto"/>
        </w:pBdr>
        <w:rPr>
          <w:noProof/>
        </w:rPr>
      </w:pPr>
      <w:r>
        <w:rPr>
          <w:noProof/>
        </w:rPr>
        <w:t>Conformément à l'article 154 du règlement (UE, Euratom) nº 1046/2018, l'entreprise commune respecte les principes de bonne gestion financière, de transparence et de non-discrimination et garantit un niveau de protection des intérêts financiers de ses membres équivalent à celui prévu par le présent règlement.</w:t>
      </w:r>
    </w:p>
    <w:p>
      <w:pPr>
        <w:pStyle w:val="Text1"/>
        <w:pBdr>
          <w:top w:val="single" w:sz="4" w:space="1" w:color="auto"/>
          <w:left w:val="single" w:sz="4" w:space="4" w:color="auto"/>
          <w:bottom w:val="single" w:sz="4" w:space="1" w:color="auto"/>
          <w:right w:val="single" w:sz="4" w:space="4" w:color="auto"/>
        </w:pBdr>
        <w:rPr>
          <w:noProof/>
        </w:rPr>
      </w:pPr>
      <w:r>
        <w:rPr>
          <w:noProof/>
        </w:rPr>
        <w:t>Des audits ex post des dépenses relatives aux actions indirectes seront effectués conformément au programme-cadre Horizon Europe au titre des actions indirectes du programme-cadre Horizon Europe.</w:t>
      </w:r>
    </w:p>
    <w:p>
      <w:pPr>
        <w:pStyle w:val="Text1"/>
        <w:pBdr>
          <w:top w:val="single" w:sz="4" w:space="1" w:color="auto"/>
          <w:left w:val="single" w:sz="4" w:space="4" w:color="auto"/>
          <w:bottom w:val="single" w:sz="4" w:space="1" w:color="auto"/>
          <w:right w:val="single" w:sz="4" w:space="4" w:color="auto"/>
        </w:pBdr>
        <w:rPr>
          <w:noProof/>
        </w:rPr>
      </w:pPr>
      <w:r>
        <w:rPr>
          <w:noProof/>
        </w:rPr>
        <w:t>Afin de protéger les intérêts financiers de l'Union, la Commission supervisera, conformément au règlement financier, les activités de l’entreprise commune, notamment en effectuant des audits et des évaluations dans le cadre de la mise en œuvre du programme, appliquera les procédures d’examen et d’approbation des comptes et exclura du financement de l’Union les dépenses engagées en violation de la réglementation applicable. Elle peut également suspendre et interrompre les paiements si elle constate des irrégularités financières ou administratives.</w:t>
      </w:r>
    </w:p>
    <w:p>
      <w:pPr>
        <w:pStyle w:val="Heading3"/>
        <w:numPr>
          <w:ilvl w:val="2"/>
          <w:numId w:val="5"/>
        </w:numPr>
        <w:rPr>
          <w:noProof/>
        </w:rPr>
      </w:pPr>
      <w:bookmarkStart w:id="33" w:name="_Toc514941986"/>
      <w:bookmarkStart w:id="34" w:name="_Toc54019290"/>
      <w:r>
        <w:rPr>
          <w:noProof/>
        </w:rPr>
        <w:t>Informations sur les risques recensés et sur le(s) système(s) de contrôle interne mis en place pour les atténuer</w:t>
      </w:r>
      <w:bookmarkEnd w:id="33"/>
      <w:bookmarkEnd w:id="34"/>
    </w:p>
    <w:p>
      <w:pPr>
        <w:pStyle w:val="Text1"/>
        <w:pBdr>
          <w:top w:val="single" w:sz="4" w:space="1" w:color="auto"/>
          <w:left w:val="single" w:sz="4" w:space="4" w:color="auto"/>
          <w:bottom w:val="single" w:sz="4" w:space="1" w:color="auto"/>
          <w:right w:val="single" w:sz="4" w:space="4" w:color="auto"/>
        </w:pBdr>
        <w:rPr>
          <w:noProof/>
        </w:rPr>
      </w:pPr>
      <w:r>
        <w:rPr>
          <w:noProof/>
        </w:rPr>
        <w:t xml:space="preserve">Les principaux risques mis en évidence sont le paiement indu de dépenses aux participants aux actions indirectes et la mise en œuvre incorrecte des passations de marché pour les supercalculateurs EuroHPC. La gestion financière suivra le règlement financier de l’entreprise commune en mettant en œuvre les procédures administratives et financières des programmes de financement respectifs (Horizon Europe, programme pour une Europe numérique, mécanisme pour l’interconnexion en Europe-2), y compris en utilisant les outils informatiques communs. </w:t>
      </w:r>
    </w:p>
    <w:p>
      <w:pPr>
        <w:pStyle w:val="Text1"/>
        <w:pBdr>
          <w:top w:val="single" w:sz="4" w:space="1" w:color="auto"/>
          <w:left w:val="single" w:sz="4" w:space="4" w:color="auto"/>
          <w:bottom w:val="single" w:sz="4" w:space="1" w:color="auto"/>
          <w:right w:val="single" w:sz="4" w:space="4" w:color="auto"/>
        </w:pBdr>
        <w:rPr>
          <w:noProof/>
        </w:rPr>
      </w:pPr>
      <w:r>
        <w:rPr>
          <w:noProof/>
        </w:rPr>
        <w:t>Le risque spécifique de conflits d’intérêts inhérents à un partenariat public-privé est pris en compte par une séparation claire des pouvoirs de décision du comité directeur, qui fixe la stratégie et les plans de travail, détermine les conditions des appels à propositions et des appels d’offres et arrête l’attribution des fonds publics.</w:t>
      </w:r>
    </w:p>
    <w:p>
      <w:pPr>
        <w:pStyle w:val="Text1"/>
        <w:pBdr>
          <w:top w:val="single" w:sz="4" w:space="1" w:color="auto"/>
          <w:left w:val="single" w:sz="4" w:space="4" w:color="auto"/>
          <w:bottom w:val="single" w:sz="4" w:space="1" w:color="auto"/>
          <w:right w:val="single" w:sz="4" w:space="4" w:color="auto"/>
        </w:pBdr>
        <w:rPr>
          <w:noProof/>
        </w:rPr>
      </w:pPr>
      <w:r>
        <w:rPr>
          <w:noProof/>
        </w:rPr>
        <w:t>Des contributions insuffisantes des États participants remettent en cause l’acquisition ou l’exploitation des supercalculateurs pré-exaflopiques, soit parce qu’elles ne permettent pas d’acquérir ces machines et de les exploiter pendant toute leur durée de vie utile, soit parce qu’elles sont insuffisantes pour acquérir des machines d’un niveau de performance les classant parmi les trois meilleures au plan mondial. Une passation de marché ne sera lancée par l’entreprise commune EuroHPC qu’après réception d’un engagement ferme des États participants dans le cadre des critères d’éligibilité de l’appel à manifestation d’intérêt pour l’hébergement d’un supercalculateur EuroHPC, couvrant le coût total de propriété.</w:t>
      </w:r>
    </w:p>
    <w:p>
      <w:pPr>
        <w:pStyle w:val="Text1"/>
        <w:pBdr>
          <w:top w:val="single" w:sz="4" w:space="1" w:color="auto"/>
          <w:left w:val="single" w:sz="4" w:space="4" w:color="auto"/>
          <w:bottom w:val="single" w:sz="4" w:space="1" w:color="auto"/>
          <w:right w:val="single" w:sz="4" w:space="4" w:color="auto"/>
        </w:pBdr>
        <w:rPr>
          <w:noProof/>
        </w:rPr>
      </w:pPr>
      <w:r>
        <w:rPr>
          <w:noProof/>
        </w:rPr>
        <w:t>Conformément au règlement établissant Horizon Europe, les États participants devraient confier à l’entreprise commune la mise en œuvre de leur contribution à leurs bénéficiaires nationaux participant à des actions indirectes. Afin de préserver les intérêts de l’Union, les États participants et l’entreprise commune devraient conclure des accords juridiquement contraignants engageant les États participants à verser la totalité de leur contribution aux actions indirectes tout au long de la durée de vie de l’initiative. Ces accords devraient être conclus dans le contexte de la procédure budgétaire et de la programmation annuelles de l’entreprise commune. Ce n’est qu’après cela et conformément aux règles financières de l’entreprise commune que l’ordonnateur devrait procéder aux engagements budgétaires et juridiques pour ces actions indirectes.</w:t>
      </w:r>
    </w:p>
    <w:p>
      <w:pPr>
        <w:pStyle w:val="Heading3"/>
        <w:numPr>
          <w:ilvl w:val="2"/>
          <w:numId w:val="5"/>
        </w:numPr>
        <w:rPr>
          <w:noProof/>
        </w:rPr>
      </w:pPr>
      <w:bookmarkStart w:id="35" w:name="_Toc514941987"/>
      <w:bookmarkStart w:id="36" w:name="_Toc54019291"/>
      <w:r>
        <w:rPr>
          <w:noProof/>
        </w:rPr>
        <w:t>Estimation et justification du rapport coût-efficacité des contrôles (rapport «coûts du contrôle ÷ valeur des fonds concernés gérés»), et évaluation du niveau attendu de risque d’erreur (lors du paiement et lors de la clôture)</w:t>
      </w:r>
      <w:bookmarkEnd w:id="35"/>
      <w:bookmarkEnd w:id="3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Dans le cadre des entreprises communes créées au titre d’Horizon Europe, l’entreprise commune EuroHPC fera partie de la stratégie d’audit de la Commission. En particulier, les actions indirectes mises en œuvre par l’entreprise commune seront contrôlées par le CIC afin de garantir un taux d’erreur au même niveau que celui des autres actions financées au titre d’Horizon Europe.</w:t>
      </w:r>
    </w:p>
    <w:p>
      <w:pPr>
        <w:pStyle w:val="Heading2"/>
        <w:numPr>
          <w:ilvl w:val="1"/>
          <w:numId w:val="5"/>
        </w:numPr>
        <w:rPr>
          <w:bCs w:val="0"/>
          <w:noProof/>
          <w:szCs w:val="24"/>
        </w:rPr>
      </w:pPr>
      <w:bookmarkStart w:id="37" w:name="_Toc514941988"/>
      <w:bookmarkStart w:id="38" w:name="_Toc54019292"/>
      <w:r>
        <w:rPr>
          <w:noProof/>
        </w:rPr>
        <w:t>Mesures de prévention des fraudes et irrégularités</w:t>
      </w:r>
      <w:bookmarkEnd w:id="37"/>
      <w:bookmarkEnd w:id="38"/>
      <w:r>
        <w:rPr>
          <w:noProof/>
        </w:rPr>
        <w:t xml:space="preserve"> </w:t>
      </w:r>
    </w:p>
    <w:p>
      <w:pPr>
        <w:pStyle w:val="Text1"/>
        <w:rPr>
          <w:i/>
          <w:noProof/>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rPr>
      </w:pPr>
      <w:r>
        <w:rPr>
          <w:noProof/>
        </w:rPr>
        <w:t>La Commission ou ses représentants et la Cour des comptes disposent d'un pouvoir d'audit, sur pièces et sur place, à l'égard de tous les bénéficiaires de subventions, contractants et sous-traitants qui reçoivent des fonds de l'Union.</w:t>
      </w:r>
    </w:p>
    <w:p>
      <w:pPr>
        <w:pStyle w:val="Text1"/>
        <w:pBdr>
          <w:top w:val="single" w:sz="4" w:space="1" w:color="auto"/>
          <w:left w:val="single" w:sz="4" w:space="4" w:color="auto"/>
          <w:bottom w:val="single" w:sz="4" w:space="1" w:color="auto"/>
          <w:right w:val="single" w:sz="4" w:space="4" w:color="auto"/>
        </w:pBdr>
        <w:rPr>
          <w:noProof/>
        </w:rPr>
      </w:pPr>
      <w:r>
        <w:rPr>
          <w:noProof/>
        </w:rPr>
        <w:t>L’Office européen de lutte antifraude (OLAF) et le Parquet européen peuvent mener des enquêtes, y compris des contrôles et vérifications sur place, conformément aux dispositions et procédures prévues par le règlement (Euratom, CE) nº 2185/96 du Conseil</w:t>
      </w:r>
      <w:r>
        <w:rPr>
          <w:rStyle w:val="FootnoteReference"/>
          <w:noProof/>
        </w:rPr>
        <w:footnoteReference w:id="3"/>
      </w:r>
      <w:r>
        <w:rPr>
          <w:noProof/>
        </w:rPr>
        <w:t xml:space="preserve"> et le règlement (UE, Euratom) nº 883/2013 du Parlement européen et du Conseil</w:t>
      </w:r>
      <w:r>
        <w:rPr>
          <w:rStyle w:val="FootnoteReference"/>
          <w:noProof/>
        </w:rPr>
        <w:footnoteReference w:id="4"/>
      </w:r>
      <w:r>
        <w:rPr>
          <w:noProof/>
        </w:rPr>
        <w:t xml:space="preserve"> en vue d’établir l’existence éventuelle d’une fraude, d’un acte de corruption ou de toute autre activité illégale portant atteinte aux intérêts financiers de l’Union, en rapport avec une convention de subvention ou un contrat concernant un financement de l’UE.</w:t>
      </w:r>
    </w:p>
    <w:p>
      <w:pPr>
        <w:pStyle w:val="Text1"/>
        <w:pBdr>
          <w:top w:val="single" w:sz="4" w:space="1" w:color="auto"/>
          <w:left w:val="single" w:sz="4" w:space="4" w:color="auto"/>
          <w:bottom w:val="single" w:sz="4" w:space="1" w:color="auto"/>
          <w:right w:val="single" w:sz="4" w:space="4" w:color="auto"/>
        </w:pBdr>
        <w:rPr>
          <w:noProof/>
        </w:rPr>
      </w:pPr>
      <w:r>
        <w:rPr>
          <w:noProof/>
        </w:rPr>
        <w:t>Sans préjudice des paragraphes ci-dessus, les conventions de subvention et contrats résultant de la mise en œuvre du présent règlement autorisent expressément la Commission, y compris l’OLAF, et la Cour de comptes à mener à bien de tels audits, contrôles et vérifications sur place.</w:t>
      </w:r>
    </w:p>
    <w:p>
      <w:pPr>
        <w:pStyle w:val="Heading1"/>
        <w:numPr>
          <w:ilvl w:val="0"/>
          <w:numId w:val="5"/>
        </w:numPr>
        <w:rPr>
          <w:bCs w:val="0"/>
          <w:noProof/>
          <w:szCs w:val="24"/>
        </w:rPr>
      </w:pPr>
      <w:bookmarkStart w:id="39" w:name="_Toc514941989"/>
      <w:bookmarkStart w:id="40" w:name="_Toc54019293"/>
      <w:r>
        <w:rPr>
          <w:noProof/>
        </w:rPr>
        <w:t>INCIDENCE FINANCIÈRE ESTIMÉE DE LA PROPOSITION/DE L'INITIATIVE</w:t>
      </w:r>
      <w:bookmarkEnd w:id="39"/>
      <w:bookmarkEnd w:id="40"/>
      <w:r>
        <w:rPr>
          <w:noProof/>
        </w:rPr>
        <w:t xml:space="preserve"> </w:t>
      </w:r>
    </w:p>
    <w:p>
      <w:pPr>
        <w:pStyle w:val="Heading2"/>
        <w:numPr>
          <w:ilvl w:val="1"/>
          <w:numId w:val="5"/>
        </w:numPr>
        <w:rPr>
          <w:noProof/>
        </w:rPr>
      </w:pPr>
      <w:bookmarkStart w:id="41" w:name="_Toc514941990"/>
      <w:bookmarkStart w:id="42" w:name="_Toc54019294"/>
      <w:r>
        <w:rPr>
          <w:noProof/>
        </w:rPr>
        <w:t>Rubrique du cadre financier pluriannuel et nouvelle(s) ligne(s) budgétaire(s) de dépenses proposée(s)</w:t>
      </w:r>
      <w:bookmarkEnd w:id="41"/>
      <w:bookmarkEnd w:id="42"/>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993"/>
        <w:gridCol w:w="955"/>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la </w:t>
            </w:r>
            <w:r>
              <w:rPr>
                <w:noProof/>
              </w:rPr>
              <w:t xml:space="preserve"> </w:t>
            </w:r>
            <w:r>
              <w:rPr>
                <w:noProof/>
              </w:rPr>
              <w:br/>
            </w:r>
            <w:r>
              <w:rPr>
                <w:noProof/>
                <w:sz w:val="18"/>
              </w:rPr>
              <w:t>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rStyle w:val="Marker"/>
                <w:b/>
                <w:noProof/>
                <w:sz w:val="22"/>
              </w:rPr>
            </w:pPr>
            <w:r>
              <w:rPr>
                <w:b/>
                <w:noProof/>
                <w:sz w:val="20"/>
              </w:rPr>
              <w:t>Rubrique 1</w:t>
            </w:r>
          </w:p>
          <w:p>
            <w:pPr>
              <w:spacing w:before="60" w:after="60"/>
              <w:rPr>
                <w:b/>
                <w:noProof/>
              </w:rPr>
            </w:pPr>
            <w:r>
              <w:rPr>
                <w:b/>
                <w:noProof/>
                <w:sz w:val="20"/>
                <w:szCs w:val="20"/>
              </w:rPr>
              <w:t>Marché unique, innovation et numérique – Horizon Europe</w:t>
            </w:r>
          </w:p>
        </w:tc>
        <w:tc>
          <w:tcPr>
            <w:tcW w:w="1080" w:type="dxa"/>
            <w:vAlign w:val="center"/>
          </w:tcPr>
          <w:p>
            <w:pPr>
              <w:jc w:val="center"/>
              <w:rPr>
                <w:noProof/>
              </w:rPr>
            </w:pPr>
            <w:r>
              <w:rPr>
                <w:noProof/>
                <w:sz w:val="18"/>
              </w:rPr>
              <w:t>Diff./Non diff</w:t>
            </w:r>
            <w:r>
              <w:rPr>
                <w:rStyle w:val="FootnoteReference"/>
                <w:noProof/>
                <w:sz w:val="18"/>
              </w:rPr>
              <w:footnoteReference w:id="5"/>
            </w:r>
            <w:r>
              <w:rPr>
                <w:noProof/>
              </w:rPr>
              <w:t>.</w:t>
            </w:r>
          </w:p>
        </w:tc>
        <w:tc>
          <w:tcPr>
            <w:tcW w:w="1044" w:type="dxa"/>
            <w:vAlign w:val="center"/>
          </w:tcPr>
          <w:p>
            <w:pPr>
              <w:jc w:val="center"/>
              <w:rPr>
                <w:noProof/>
              </w:rPr>
            </w:pPr>
            <w:r>
              <w:rPr>
                <w:noProof/>
                <w:sz w:val="18"/>
              </w:rPr>
              <w:t>de pays AELE</w:t>
            </w:r>
            <w:r>
              <w:rPr>
                <w:rStyle w:val="FootnoteReference"/>
                <w:noProof/>
                <w:sz w:val="18"/>
              </w:rPr>
              <w:footnoteReference w:id="6"/>
            </w:r>
          </w:p>
          <w:p>
            <w:pPr>
              <w:spacing w:before="0" w:after="0"/>
              <w:jc w:val="center"/>
              <w:rPr>
                <w:b/>
                <w:noProof/>
                <w:sz w:val="18"/>
              </w:rPr>
            </w:pPr>
          </w:p>
        </w:tc>
        <w:tc>
          <w:tcPr>
            <w:tcW w:w="993" w:type="dxa"/>
            <w:vAlign w:val="center"/>
          </w:tcPr>
          <w:p>
            <w:pPr>
              <w:jc w:val="center"/>
              <w:rPr>
                <w:noProof/>
              </w:rPr>
            </w:pPr>
            <w:r>
              <w:rPr>
                <w:noProof/>
                <w:sz w:val="18"/>
              </w:rPr>
              <w:t>de pays candidats</w:t>
            </w:r>
            <w:r>
              <w:rPr>
                <w:rStyle w:val="FootnoteReference"/>
                <w:noProof/>
                <w:sz w:val="18"/>
              </w:rPr>
              <w:footnoteReference w:id="7"/>
            </w:r>
          </w:p>
          <w:p>
            <w:pPr>
              <w:spacing w:before="0" w:after="0"/>
              <w:jc w:val="center"/>
              <w:rPr>
                <w:noProof/>
                <w:sz w:val="18"/>
              </w:rPr>
            </w:pPr>
          </w:p>
        </w:tc>
        <w:tc>
          <w:tcPr>
            <w:tcW w:w="955"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r>
              <w:rPr>
                <w:rFonts w:ascii="Tahoma" w:hAnsi="Tahoma"/>
                <w:noProof/>
                <w:color w:val="000000"/>
                <w:sz w:val="17"/>
                <w:szCs w:val="17"/>
              </w:rPr>
              <w:t>1 – Marché unique, innovation et numérique</w:t>
            </w:r>
          </w:p>
        </w:tc>
        <w:tc>
          <w:tcPr>
            <w:tcW w:w="3960" w:type="dxa"/>
            <w:vAlign w:val="center"/>
          </w:tcPr>
          <w:p>
            <w:pPr>
              <w:spacing w:before="60"/>
              <w:jc w:val="left"/>
              <w:rPr>
                <w:rStyle w:val="Marker"/>
                <w:noProof/>
                <w:color w:val="auto"/>
                <w:sz w:val="22"/>
              </w:rPr>
            </w:pPr>
            <w:r>
              <w:rPr>
                <w:rStyle w:val="Marker"/>
                <w:noProof/>
                <w:color w:val="auto"/>
                <w:sz w:val="22"/>
              </w:rPr>
              <w:t xml:space="preserve">01 02 02 42 01 – HE - Groupe numérique, industrie et espace – Entreprise commune pour le calcul à haute performance (EuroHPC) – Dépenses d’appui </w:t>
            </w:r>
          </w:p>
          <w:p>
            <w:pPr>
              <w:spacing w:before="60"/>
              <w:jc w:val="left"/>
              <w:rPr>
                <w:rStyle w:val="Marker"/>
                <w:noProof/>
                <w:color w:val="auto"/>
                <w:sz w:val="22"/>
              </w:rPr>
            </w:pPr>
            <w:r>
              <w:rPr>
                <w:rStyle w:val="Marker"/>
                <w:noProof/>
                <w:color w:val="auto"/>
                <w:sz w:val="22"/>
              </w:rPr>
              <w:t xml:space="preserve">01 02 02 42 02 – HE - Groupe numérique, industrie et espace – Entreprise commune pour le calcul à haute performance (EuroHPC) – Dépenses opérationnelles </w:t>
            </w:r>
          </w:p>
          <w:p>
            <w:pPr>
              <w:spacing w:before="60"/>
              <w:jc w:val="left"/>
              <w:rPr>
                <w:rStyle w:val="Marker"/>
                <w:noProof/>
                <w:color w:val="auto"/>
                <w:sz w:val="22"/>
              </w:rPr>
            </w:pPr>
            <w:r>
              <w:rPr>
                <w:rStyle w:val="Marker"/>
                <w:noProof/>
                <w:color w:val="auto"/>
                <w:sz w:val="22"/>
              </w:rPr>
              <w:t xml:space="preserve">02 04 02 11 01 – DEP – Entreprise commune pour le calcul à haute performance (EuroHPC) – Dépenses d’appui </w:t>
            </w:r>
          </w:p>
          <w:p>
            <w:pPr>
              <w:spacing w:before="60"/>
              <w:jc w:val="left"/>
              <w:rPr>
                <w:rStyle w:val="Marker"/>
                <w:noProof/>
                <w:color w:val="auto"/>
                <w:sz w:val="22"/>
              </w:rPr>
            </w:pPr>
            <w:r>
              <w:rPr>
                <w:rStyle w:val="Marker"/>
                <w:noProof/>
                <w:color w:val="auto"/>
                <w:sz w:val="22"/>
              </w:rPr>
              <w:t xml:space="preserve">02 04 02 11 02 – DEP – Entreprise commune pour le calcul à haute performance (EuroHPC) – Dépenses opérationnelles </w:t>
            </w:r>
          </w:p>
          <w:p>
            <w:pPr>
              <w:spacing w:after="60"/>
              <w:rPr>
                <w:noProof/>
              </w:rPr>
            </w:pPr>
            <w:r>
              <w:rPr>
                <w:noProof/>
                <w:sz w:val="22"/>
              </w:rPr>
              <w:t xml:space="preserve">02 03 03 - </w:t>
            </w:r>
            <w:r>
              <w:rPr>
                <w:rStyle w:val="Marker"/>
                <w:noProof/>
                <w:color w:val="auto"/>
                <w:sz w:val="22"/>
              </w:rPr>
              <w:t xml:space="preserve">Volet numérique du MIE </w:t>
            </w:r>
          </w:p>
        </w:tc>
        <w:tc>
          <w:tcPr>
            <w:tcW w:w="1080" w:type="dxa"/>
            <w:vAlign w:val="center"/>
          </w:tcPr>
          <w:p>
            <w:pPr>
              <w:jc w:val="center"/>
              <w:rPr>
                <w:noProof/>
                <w:color w:val="0000FF"/>
              </w:rPr>
            </w:pPr>
            <w:r>
              <w:rPr>
                <w:noProof/>
                <w:sz w:val="22"/>
              </w:rPr>
              <w:t>Diss.</w:t>
            </w:r>
          </w:p>
        </w:tc>
        <w:tc>
          <w:tcPr>
            <w:tcW w:w="1044" w:type="dxa"/>
            <w:vAlign w:val="center"/>
          </w:tcPr>
          <w:p>
            <w:pPr>
              <w:jc w:val="center"/>
              <w:rPr>
                <w:noProof/>
              </w:rPr>
            </w:pPr>
            <w:r>
              <w:rPr>
                <w:noProof/>
                <w:sz w:val="22"/>
              </w:rPr>
              <w:t>OUI</w:t>
            </w:r>
          </w:p>
        </w:tc>
        <w:tc>
          <w:tcPr>
            <w:tcW w:w="993" w:type="dxa"/>
            <w:vAlign w:val="center"/>
          </w:tcPr>
          <w:p>
            <w:pPr>
              <w:jc w:val="center"/>
              <w:rPr>
                <w:noProof/>
              </w:rPr>
            </w:pPr>
            <w:r>
              <w:rPr>
                <w:noProof/>
                <w:sz w:val="22"/>
              </w:rPr>
              <w:t>OUI</w:t>
            </w:r>
          </w:p>
        </w:tc>
        <w:tc>
          <w:tcPr>
            <w:tcW w:w="955" w:type="dxa"/>
            <w:vAlign w:val="center"/>
          </w:tcPr>
          <w:p>
            <w:pPr>
              <w:jc w:val="center"/>
              <w:rPr>
                <w:noProof/>
              </w:rPr>
            </w:pPr>
            <w:r>
              <w:rPr>
                <w:noProof/>
                <w:sz w:val="22"/>
              </w:rPr>
              <w:t>OUI</w:t>
            </w:r>
          </w:p>
        </w:tc>
        <w:tc>
          <w:tcPr>
            <w:tcW w:w="1448" w:type="dxa"/>
            <w:vAlign w:val="center"/>
          </w:tcPr>
          <w:p>
            <w:pPr>
              <w:jc w:val="center"/>
              <w:rPr>
                <w:noProof/>
              </w:rPr>
            </w:pPr>
            <w:r>
              <w:rPr>
                <w:noProof/>
                <w:sz w:val="22"/>
              </w:rPr>
              <w:t>OUI</w:t>
            </w:r>
          </w:p>
        </w:tc>
      </w:tr>
    </w:tbl>
    <w:p>
      <w:pPr>
        <w:rPr>
          <w:noProof/>
        </w:rPr>
        <w:sectPr>
          <w:headerReference w:type="even" r:id="rId31"/>
          <w:headerReference w:type="default" r:id="rId32"/>
          <w:footerReference w:type="even" r:id="rId33"/>
          <w:footerReference w:type="default" r:id="rId34"/>
          <w:headerReference w:type="first" r:id="rId35"/>
          <w:footerReference w:type="first" r:id="rId36"/>
          <w:pgSz w:w="11907" w:h="16840" w:code="1"/>
          <w:pgMar w:top="1134" w:right="1418" w:bottom="1134" w:left="1418" w:header="709" w:footer="709" w:gutter="0"/>
          <w:cols w:space="708"/>
          <w:docGrid w:linePitch="360"/>
        </w:sectPr>
      </w:pPr>
    </w:p>
    <w:tbl>
      <w:tblPr>
        <w:tblW w:w="11280" w:type="dxa"/>
        <w:tblInd w:w="108" w:type="dxa"/>
        <w:tblLook w:val="04A0" w:firstRow="1" w:lastRow="0" w:firstColumn="1" w:lastColumn="0" w:noHBand="0" w:noVBand="1"/>
      </w:tblPr>
      <w:tblGrid>
        <w:gridCol w:w="3090"/>
        <w:gridCol w:w="866"/>
        <w:gridCol w:w="956"/>
        <w:gridCol w:w="944"/>
        <w:gridCol w:w="939"/>
        <w:gridCol w:w="930"/>
        <w:gridCol w:w="896"/>
        <w:gridCol w:w="883"/>
        <w:gridCol w:w="728"/>
        <w:gridCol w:w="653"/>
        <w:gridCol w:w="395"/>
      </w:tblGrid>
      <w:tr>
        <w:trPr>
          <w:gridAfter w:val="1"/>
          <w:wAfter w:w="424" w:type="dxa"/>
          <w:trHeight w:val="300"/>
        </w:trPr>
        <w:tc>
          <w:tcPr>
            <w:tcW w:w="10856" w:type="dxa"/>
            <w:gridSpan w:val="10"/>
            <w:tcBorders>
              <w:top w:val="nil"/>
              <w:left w:val="nil"/>
              <w:right w:val="nil"/>
            </w:tcBorders>
            <w:shd w:val="clear" w:color="auto" w:fill="auto"/>
            <w:noWrap/>
            <w:vAlign w:val="bottom"/>
            <w:hideMark/>
          </w:tcPr>
          <w:p>
            <w:pPr>
              <w:jc w:val="right"/>
              <w:rPr>
                <w:noProof/>
                <w:sz w:val="20"/>
              </w:rPr>
            </w:pPr>
            <w:bookmarkStart w:id="43" w:name="_Toc514941991"/>
            <w:r>
              <w:rPr>
                <w:noProof/>
                <w:sz w:val="20"/>
              </w:rPr>
              <w:t>Crédits d’engagement en Mio EUR (à la 3</w:t>
            </w:r>
            <w:r>
              <w:rPr>
                <w:noProof/>
                <w:sz w:val="20"/>
                <w:vertAlign w:val="superscript"/>
              </w:rPr>
              <w:t>e</w:t>
            </w:r>
            <w:r>
              <w:rPr>
                <w:noProof/>
                <w:sz w:val="20"/>
              </w:rPr>
              <w:t> décimale)</w:t>
            </w:r>
          </w:p>
        </w:tc>
      </w:tr>
      <w:tr>
        <w:trPr>
          <w:trHeight w:val="315"/>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noProof/>
              </w:rPr>
              <w:br w:type="page"/>
            </w:r>
            <w:r>
              <w:rPr>
                <w:b/>
                <w:bCs/>
                <w:noProof/>
                <w:color w:val="000000"/>
                <w:sz w:val="20"/>
                <w:szCs w:val="20"/>
              </w:rPr>
              <w:t>ligne budgétaire</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Année 2021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Année 2022</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Année 2023</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Année 2024</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Année 2025</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Année 2026</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Année 2027</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Après 2027</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TOTAL</w:t>
            </w:r>
          </w:p>
        </w:tc>
      </w:tr>
      <w:tr>
        <w:trPr>
          <w:trHeight w:val="1448"/>
        </w:trPr>
        <w:tc>
          <w:tcPr>
            <w:tcW w:w="3090" w:type="dxa"/>
            <w:tcBorders>
              <w:top w:val="single" w:sz="4"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noProof/>
                <w:color w:val="0000FF"/>
                <w:sz w:val="22"/>
              </w:rPr>
            </w:pPr>
            <w:r>
              <w:rPr>
                <w:noProof/>
                <w:color w:val="0000FF"/>
                <w:sz w:val="22"/>
              </w:rPr>
              <w:t>01 02 02 42 01 – HE - Groupe numérique, industrie et espace – Entreprise commune pour le calcul à haute performance (EuroHPC) – Dépenses d’appui</w:t>
            </w:r>
            <w:r>
              <w:rPr>
                <w:rStyle w:val="FootnoteReference"/>
                <w:rFonts w:eastAsia="Times New Roman"/>
                <w:noProof/>
                <w:color w:val="0000FF"/>
                <w:sz w:val="22"/>
                <w:lang w:eastAsia="en-GB"/>
              </w:rPr>
              <w:footnoteReference w:id="8"/>
            </w:r>
          </w:p>
        </w:tc>
        <w:tc>
          <w:tcPr>
            <w:tcW w:w="866"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p.m.</w:t>
            </w:r>
          </w:p>
        </w:tc>
        <w:tc>
          <w:tcPr>
            <w:tcW w:w="956"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p.m.</w:t>
            </w:r>
          </w:p>
        </w:tc>
        <w:tc>
          <w:tcPr>
            <w:tcW w:w="944"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p.m.</w:t>
            </w:r>
          </w:p>
        </w:tc>
        <w:tc>
          <w:tcPr>
            <w:tcW w:w="939"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p.m.</w:t>
            </w:r>
          </w:p>
        </w:tc>
        <w:tc>
          <w:tcPr>
            <w:tcW w:w="930"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p.m.</w:t>
            </w:r>
          </w:p>
        </w:tc>
        <w:tc>
          <w:tcPr>
            <w:tcW w:w="896"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p.m.</w:t>
            </w:r>
          </w:p>
        </w:tc>
        <w:tc>
          <w:tcPr>
            <w:tcW w:w="883"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p.m.</w:t>
            </w:r>
          </w:p>
        </w:tc>
        <w:tc>
          <w:tcPr>
            <w:tcW w:w="699" w:type="dxa"/>
            <w:tcBorders>
              <w:top w:val="single" w:sz="4" w:space="0" w:color="auto"/>
              <w:left w:val="nil"/>
              <w:bottom w:val="single" w:sz="8" w:space="0" w:color="auto"/>
              <w:right w:val="single" w:sz="8" w:space="0" w:color="auto"/>
            </w:tcBorders>
            <w:shd w:val="clear" w:color="auto" w:fill="auto"/>
            <w:vAlign w:val="center"/>
            <w:hideMark/>
          </w:tcPr>
          <w:p>
            <w:pPr>
              <w:spacing w:before="0" w:after="0"/>
              <w:rPr>
                <w:rFonts w:eastAsia="Times New Roman"/>
                <w:noProof/>
                <w:color w:val="000000"/>
                <w:sz w:val="20"/>
                <w:szCs w:val="20"/>
                <w:lang w:eastAsia="en-GB"/>
              </w:rPr>
            </w:pPr>
          </w:p>
        </w:tc>
        <w:tc>
          <w:tcPr>
            <w:tcW w:w="1077" w:type="dxa"/>
            <w:gridSpan w:val="2"/>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p.m.</w:t>
            </w:r>
          </w:p>
        </w:tc>
      </w:tr>
      <w:tr>
        <w:trPr>
          <w:trHeight w:val="1402"/>
        </w:trPr>
        <w:tc>
          <w:tcPr>
            <w:tcW w:w="309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noProof/>
                <w:color w:val="0000FF"/>
                <w:sz w:val="22"/>
              </w:rPr>
            </w:pPr>
            <w:r>
              <w:rPr>
                <w:noProof/>
                <w:color w:val="0000FF"/>
                <w:sz w:val="22"/>
              </w:rPr>
              <w:t xml:space="preserve">01 02 02 42 02 – HE - Groupe numérique, industrie et espace – Entreprise commune pour le calcul à haute performance (EuroHPC) – Dépenses opérationnelles </w:t>
            </w:r>
          </w:p>
        </w:tc>
        <w:tc>
          <w:tcPr>
            <w:tcW w:w="86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p.m.</w:t>
            </w:r>
          </w:p>
        </w:tc>
        <w:tc>
          <w:tcPr>
            <w:tcW w:w="95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p.m.</w:t>
            </w:r>
          </w:p>
        </w:tc>
        <w:tc>
          <w:tcPr>
            <w:tcW w:w="94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p.m.</w:t>
            </w:r>
          </w:p>
        </w:tc>
        <w:tc>
          <w:tcPr>
            <w:tcW w:w="93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p.m.</w:t>
            </w:r>
          </w:p>
        </w:tc>
        <w:tc>
          <w:tcPr>
            <w:tcW w:w="93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p.m.</w:t>
            </w:r>
          </w:p>
        </w:tc>
        <w:tc>
          <w:tcPr>
            <w:tcW w:w="89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p.m.</w:t>
            </w:r>
          </w:p>
        </w:tc>
        <w:tc>
          <w:tcPr>
            <w:tcW w:w="88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p.m.</w:t>
            </w:r>
          </w:p>
        </w:tc>
        <w:tc>
          <w:tcPr>
            <w:tcW w:w="699" w:type="dxa"/>
            <w:tcBorders>
              <w:top w:val="nil"/>
              <w:left w:val="nil"/>
              <w:bottom w:val="single" w:sz="8" w:space="0" w:color="auto"/>
              <w:right w:val="single" w:sz="8" w:space="0" w:color="auto"/>
            </w:tcBorders>
            <w:shd w:val="clear" w:color="auto" w:fill="auto"/>
            <w:vAlign w:val="center"/>
            <w:hideMark/>
          </w:tcPr>
          <w:p>
            <w:pPr>
              <w:spacing w:before="0" w:after="0"/>
              <w:rPr>
                <w:rFonts w:eastAsia="Times New Roman"/>
                <w:noProof/>
                <w:color w:val="000000"/>
                <w:sz w:val="20"/>
                <w:szCs w:val="20"/>
                <w:lang w:eastAsia="en-GB"/>
              </w:rPr>
            </w:pPr>
          </w:p>
        </w:tc>
        <w:tc>
          <w:tcPr>
            <w:tcW w:w="1077"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20"/>
                <w:szCs w:val="20"/>
              </w:rPr>
            </w:pPr>
            <w:r>
              <w:rPr>
                <w:b/>
                <w:bCs/>
                <w:noProof/>
                <w:color w:val="000000"/>
                <w:sz w:val="20"/>
                <w:szCs w:val="20"/>
              </w:rPr>
              <w:t>p.m.</w:t>
            </w:r>
          </w:p>
        </w:tc>
      </w:tr>
      <w:tr>
        <w:trPr>
          <w:trHeight w:val="1251"/>
        </w:trPr>
        <w:tc>
          <w:tcPr>
            <w:tcW w:w="309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noProof/>
                <w:color w:val="0000FF"/>
                <w:sz w:val="22"/>
              </w:rPr>
            </w:pPr>
            <w:r>
              <w:rPr>
                <w:noProof/>
                <w:color w:val="0000FF"/>
                <w:sz w:val="22"/>
              </w:rPr>
              <w:t xml:space="preserve">02 04 02 11 01 – DEP – Entreprise commune pour le calcul à haute performance (EuroHPC) – Dépenses d’appui </w:t>
            </w:r>
          </w:p>
        </w:tc>
        <w:tc>
          <w:tcPr>
            <w:tcW w:w="866"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2,017</w:t>
            </w:r>
          </w:p>
        </w:tc>
        <w:tc>
          <w:tcPr>
            <w:tcW w:w="956"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noProof/>
                <w:color w:val="000000"/>
                <w:sz w:val="20"/>
                <w:szCs w:val="20"/>
              </w:rPr>
            </w:pPr>
            <w:r>
              <w:rPr>
                <w:noProof/>
                <w:color w:val="000000"/>
                <w:sz w:val="20"/>
                <w:szCs w:val="20"/>
              </w:rPr>
              <w:t>3,149</w:t>
            </w:r>
          </w:p>
        </w:tc>
        <w:tc>
          <w:tcPr>
            <w:tcW w:w="944"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noProof/>
                <w:color w:val="000000"/>
                <w:sz w:val="20"/>
                <w:szCs w:val="20"/>
              </w:rPr>
            </w:pPr>
            <w:r>
              <w:rPr>
                <w:noProof/>
                <w:color w:val="000000"/>
                <w:sz w:val="20"/>
                <w:szCs w:val="20"/>
              </w:rPr>
              <w:t>3,660</w:t>
            </w:r>
          </w:p>
        </w:tc>
        <w:tc>
          <w:tcPr>
            <w:tcW w:w="939"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noProof/>
                <w:color w:val="000000"/>
                <w:sz w:val="20"/>
                <w:szCs w:val="20"/>
              </w:rPr>
            </w:pPr>
            <w:r>
              <w:rPr>
                <w:noProof/>
                <w:color w:val="000000"/>
                <w:sz w:val="20"/>
                <w:szCs w:val="20"/>
              </w:rPr>
              <w:t>3,733</w:t>
            </w:r>
          </w:p>
        </w:tc>
        <w:tc>
          <w:tcPr>
            <w:tcW w:w="930"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noProof/>
                <w:color w:val="000000"/>
                <w:sz w:val="20"/>
                <w:szCs w:val="20"/>
              </w:rPr>
            </w:pPr>
            <w:r>
              <w:rPr>
                <w:noProof/>
                <w:color w:val="000000"/>
                <w:sz w:val="20"/>
                <w:szCs w:val="20"/>
              </w:rPr>
              <w:t>3,808</w:t>
            </w:r>
          </w:p>
        </w:tc>
        <w:tc>
          <w:tcPr>
            <w:tcW w:w="896"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noProof/>
                <w:color w:val="000000"/>
                <w:sz w:val="20"/>
                <w:szCs w:val="20"/>
              </w:rPr>
            </w:pPr>
            <w:r>
              <w:rPr>
                <w:noProof/>
                <w:color w:val="000000"/>
                <w:sz w:val="20"/>
                <w:szCs w:val="20"/>
              </w:rPr>
              <w:t>3,884</w:t>
            </w:r>
          </w:p>
        </w:tc>
        <w:tc>
          <w:tcPr>
            <w:tcW w:w="883"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noProof/>
                <w:color w:val="000000"/>
                <w:sz w:val="20"/>
                <w:szCs w:val="20"/>
              </w:rPr>
            </w:pPr>
            <w:r>
              <w:rPr>
                <w:noProof/>
                <w:color w:val="000000"/>
                <w:sz w:val="20"/>
                <w:szCs w:val="20"/>
              </w:rPr>
              <w:t>9,748</w:t>
            </w:r>
          </w:p>
        </w:tc>
        <w:tc>
          <w:tcPr>
            <w:tcW w:w="699" w:type="dxa"/>
            <w:tcBorders>
              <w:top w:val="nil"/>
              <w:left w:val="nil"/>
              <w:bottom w:val="single" w:sz="8" w:space="0" w:color="auto"/>
              <w:right w:val="single" w:sz="8" w:space="0" w:color="auto"/>
            </w:tcBorders>
            <w:shd w:val="clear" w:color="auto" w:fill="auto"/>
            <w:vAlign w:val="center"/>
            <w:hideMark/>
          </w:tcPr>
          <w:p>
            <w:pPr>
              <w:spacing w:before="0" w:after="0"/>
              <w:rPr>
                <w:rFonts w:eastAsia="Times New Roman"/>
                <w:noProof/>
                <w:color w:val="000000"/>
                <w:sz w:val="20"/>
                <w:szCs w:val="20"/>
              </w:rPr>
            </w:pPr>
            <w:r>
              <w:rPr>
                <w:noProof/>
                <w:color w:val="000000"/>
                <w:sz w:val="20"/>
                <w:szCs w:val="20"/>
              </w:rPr>
              <w:t xml:space="preserve"> </w:t>
            </w:r>
          </w:p>
        </w:tc>
        <w:tc>
          <w:tcPr>
            <w:tcW w:w="1077" w:type="dxa"/>
            <w:gridSpan w:val="2"/>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color w:val="000000"/>
                <w:sz w:val="20"/>
                <w:szCs w:val="20"/>
              </w:rPr>
            </w:pPr>
            <w:r>
              <w:rPr>
                <w:b/>
                <w:bCs/>
                <w:noProof/>
                <w:color w:val="000000"/>
                <w:sz w:val="20"/>
                <w:szCs w:val="20"/>
              </w:rPr>
              <w:t>30,000</w:t>
            </w:r>
          </w:p>
        </w:tc>
      </w:tr>
      <w:tr>
        <w:trPr>
          <w:trHeight w:val="1185"/>
        </w:trPr>
        <w:tc>
          <w:tcPr>
            <w:tcW w:w="3090"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FF"/>
                <w:sz w:val="22"/>
              </w:rPr>
            </w:pPr>
            <w:r>
              <w:rPr>
                <w:noProof/>
                <w:color w:val="0000FF"/>
                <w:sz w:val="22"/>
              </w:rPr>
              <w:t xml:space="preserve">02 04 02 11 02 – DEP – Entreprise commune pour le calcul à haute performance (EuroHPC) – Dépenses opérationnelles </w:t>
            </w:r>
          </w:p>
        </w:tc>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397,983</w:t>
            </w:r>
          </w:p>
        </w:tc>
        <w:tc>
          <w:tcPr>
            <w:tcW w:w="95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386,851</w:t>
            </w:r>
          </w:p>
        </w:tc>
        <w:tc>
          <w:tcPr>
            <w:tcW w:w="944"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396,340</w:t>
            </w:r>
          </w:p>
        </w:tc>
        <w:tc>
          <w:tcPr>
            <w:tcW w:w="939"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146,267</w:t>
            </w:r>
          </w:p>
        </w:tc>
        <w:tc>
          <w:tcPr>
            <w:tcW w:w="930"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296,192</w:t>
            </w:r>
          </w:p>
        </w:tc>
        <w:tc>
          <w:tcPr>
            <w:tcW w:w="89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346,116</w:t>
            </w:r>
          </w:p>
        </w:tc>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400,251</w:t>
            </w:r>
          </w:p>
        </w:tc>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rPr>
                <w:rFonts w:eastAsia="Times New Roman"/>
                <w:noProof/>
                <w:color w:val="000000"/>
                <w:sz w:val="20"/>
                <w:szCs w:val="20"/>
              </w:rPr>
            </w:pPr>
            <w:r>
              <w:rPr>
                <w:noProof/>
                <w:color w:val="000000"/>
                <w:sz w:val="20"/>
                <w:szCs w:val="20"/>
              </w:rPr>
              <w:t xml:space="preserve"> </w:t>
            </w:r>
          </w:p>
        </w:tc>
        <w:tc>
          <w:tcPr>
            <w:tcW w:w="107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b/>
                <w:bCs/>
                <w:noProof/>
                <w:color w:val="000000"/>
                <w:sz w:val="20"/>
                <w:szCs w:val="20"/>
              </w:rPr>
            </w:pPr>
            <w:r>
              <w:rPr>
                <w:b/>
                <w:bCs/>
                <w:noProof/>
                <w:color w:val="000000"/>
                <w:sz w:val="20"/>
                <w:szCs w:val="20"/>
              </w:rPr>
              <w:t>2.370,000</w:t>
            </w:r>
          </w:p>
        </w:tc>
      </w:tr>
      <w:tr>
        <w:trPr>
          <w:trHeight w:val="253"/>
        </w:trPr>
        <w:tc>
          <w:tcPr>
            <w:tcW w:w="3090"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FF"/>
                <w:sz w:val="22"/>
                <w:lang w:eastAsia="en-GB"/>
              </w:rPr>
            </w:pPr>
          </w:p>
        </w:tc>
        <w:tc>
          <w:tcPr>
            <w:tcW w:w="866"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956"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944"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939"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930"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896"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883"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699"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1077" w:type="dxa"/>
            <w:gridSpan w:val="2"/>
            <w:vMerge/>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eastAsia="Times New Roman"/>
                <w:b/>
                <w:bCs/>
                <w:noProof/>
                <w:color w:val="000000"/>
                <w:sz w:val="20"/>
                <w:szCs w:val="20"/>
                <w:lang w:eastAsia="en-GB"/>
              </w:rPr>
            </w:pPr>
          </w:p>
        </w:tc>
      </w:tr>
      <w:tr>
        <w:trPr>
          <w:trHeight w:val="315"/>
        </w:trPr>
        <w:tc>
          <w:tcPr>
            <w:tcW w:w="309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noProof/>
                <w:color w:val="000000"/>
                <w:sz w:val="22"/>
              </w:rPr>
            </w:pPr>
            <w:r>
              <w:rPr>
                <w:noProof/>
                <w:color w:val="000000"/>
                <w:sz w:val="22"/>
              </w:rPr>
              <w:t xml:space="preserve">02 03 03 - </w:t>
            </w:r>
            <w:r>
              <w:rPr>
                <w:noProof/>
                <w:color w:val="0000FF"/>
                <w:sz w:val="22"/>
              </w:rPr>
              <w:t>Volet numérique du MIE</w:t>
            </w:r>
          </w:p>
        </w:tc>
        <w:tc>
          <w:tcPr>
            <w:tcW w:w="866"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 xml:space="preserve">       10,000 </w:t>
            </w:r>
          </w:p>
        </w:tc>
        <w:tc>
          <w:tcPr>
            <w:tcW w:w="956"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 xml:space="preserve">       20,000 </w:t>
            </w:r>
          </w:p>
        </w:tc>
        <w:tc>
          <w:tcPr>
            <w:tcW w:w="944"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 xml:space="preserve">       40,000 </w:t>
            </w:r>
          </w:p>
        </w:tc>
        <w:tc>
          <w:tcPr>
            <w:tcW w:w="93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 xml:space="preserve">       70,000 </w:t>
            </w:r>
          </w:p>
        </w:tc>
        <w:tc>
          <w:tcPr>
            <w:tcW w:w="930"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 xml:space="preserve">       20,000 </w:t>
            </w:r>
          </w:p>
        </w:tc>
        <w:tc>
          <w:tcPr>
            <w:tcW w:w="896"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 xml:space="preserve">       20,000 </w:t>
            </w:r>
          </w:p>
        </w:tc>
        <w:tc>
          <w:tcPr>
            <w:tcW w:w="883"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 xml:space="preserve">       20,000 </w:t>
            </w:r>
          </w:p>
        </w:tc>
        <w:tc>
          <w:tcPr>
            <w:tcW w:w="699" w:type="dxa"/>
            <w:tcBorders>
              <w:top w:val="nil"/>
              <w:left w:val="nil"/>
              <w:bottom w:val="single" w:sz="8"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szCs w:val="20"/>
              </w:rPr>
              <w:t xml:space="preserve"> </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right"/>
              <w:rPr>
                <w:rFonts w:eastAsia="Times New Roman"/>
                <w:b/>
                <w:bCs/>
                <w:noProof/>
                <w:color w:val="000000"/>
                <w:sz w:val="20"/>
                <w:szCs w:val="20"/>
              </w:rPr>
            </w:pPr>
            <w:r>
              <w:rPr>
                <w:b/>
                <w:bCs/>
                <w:noProof/>
                <w:color w:val="000000"/>
                <w:sz w:val="20"/>
                <w:szCs w:val="20"/>
              </w:rPr>
              <w:t xml:space="preserve">       200,000 </w:t>
            </w:r>
          </w:p>
        </w:tc>
      </w:tr>
      <w:tr>
        <w:trPr>
          <w:trHeight w:val="315"/>
        </w:trPr>
        <w:tc>
          <w:tcPr>
            <w:tcW w:w="309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b/>
                <w:bCs/>
                <w:noProof/>
                <w:color w:val="000000"/>
                <w:sz w:val="20"/>
                <w:szCs w:val="20"/>
              </w:rPr>
            </w:pPr>
            <w:r>
              <w:rPr>
                <w:b/>
                <w:bCs/>
                <w:noProof/>
                <w:color w:val="000000"/>
                <w:sz w:val="20"/>
                <w:szCs w:val="20"/>
              </w:rPr>
              <w:t>Montant total des dépenses</w:t>
            </w:r>
          </w:p>
        </w:tc>
        <w:tc>
          <w:tcPr>
            <w:tcW w:w="866" w:type="dxa"/>
            <w:tcBorders>
              <w:top w:val="nil"/>
              <w:left w:val="nil"/>
              <w:bottom w:val="single" w:sz="8" w:space="0" w:color="auto"/>
              <w:right w:val="single" w:sz="8" w:space="0" w:color="auto"/>
            </w:tcBorders>
            <w:shd w:val="clear" w:color="auto" w:fill="auto"/>
            <w:vAlign w:val="center"/>
          </w:tcPr>
          <w:p>
            <w:pPr>
              <w:spacing w:before="0" w:after="0"/>
              <w:rPr>
                <w:rFonts w:eastAsia="Times New Roman"/>
                <w:b/>
                <w:bCs/>
                <w:noProof/>
                <w:color w:val="000000"/>
                <w:sz w:val="20"/>
                <w:szCs w:val="20"/>
              </w:rPr>
            </w:pPr>
            <w:r>
              <w:rPr>
                <w:b/>
                <w:bCs/>
                <w:noProof/>
                <w:color w:val="000000"/>
                <w:sz w:val="20"/>
                <w:szCs w:val="20"/>
              </w:rPr>
              <w:t>410,000</w:t>
            </w:r>
          </w:p>
        </w:tc>
        <w:tc>
          <w:tcPr>
            <w:tcW w:w="956"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b/>
                <w:bCs/>
                <w:noProof/>
                <w:color w:val="000000"/>
                <w:sz w:val="20"/>
                <w:szCs w:val="20"/>
              </w:rPr>
            </w:pPr>
            <w:r>
              <w:rPr>
                <w:b/>
                <w:bCs/>
                <w:noProof/>
                <w:color w:val="000000"/>
                <w:sz w:val="20"/>
                <w:szCs w:val="20"/>
              </w:rPr>
              <w:t>410,000</w:t>
            </w:r>
          </w:p>
        </w:tc>
        <w:tc>
          <w:tcPr>
            <w:tcW w:w="944"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b/>
                <w:bCs/>
                <w:noProof/>
                <w:color w:val="000000"/>
                <w:sz w:val="20"/>
                <w:szCs w:val="20"/>
              </w:rPr>
            </w:pPr>
            <w:r>
              <w:rPr>
                <w:b/>
                <w:bCs/>
                <w:noProof/>
                <w:color w:val="000000"/>
                <w:sz w:val="20"/>
                <w:szCs w:val="20"/>
              </w:rPr>
              <w:t>440,000</w:t>
            </w:r>
          </w:p>
        </w:tc>
        <w:tc>
          <w:tcPr>
            <w:tcW w:w="939"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b/>
                <w:bCs/>
                <w:noProof/>
                <w:color w:val="000000"/>
                <w:sz w:val="20"/>
                <w:szCs w:val="20"/>
              </w:rPr>
            </w:pPr>
            <w:r>
              <w:rPr>
                <w:b/>
                <w:bCs/>
                <w:noProof/>
                <w:color w:val="000000"/>
                <w:sz w:val="20"/>
                <w:szCs w:val="20"/>
              </w:rPr>
              <w:t>220,000</w:t>
            </w:r>
          </w:p>
        </w:tc>
        <w:tc>
          <w:tcPr>
            <w:tcW w:w="930"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b/>
                <w:bCs/>
                <w:noProof/>
                <w:color w:val="000000"/>
                <w:sz w:val="20"/>
                <w:szCs w:val="20"/>
              </w:rPr>
            </w:pPr>
            <w:r>
              <w:rPr>
                <w:b/>
                <w:bCs/>
                <w:noProof/>
                <w:color w:val="000000"/>
                <w:sz w:val="20"/>
                <w:szCs w:val="20"/>
              </w:rPr>
              <w:t>320,000</w:t>
            </w:r>
          </w:p>
        </w:tc>
        <w:tc>
          <w:tcPr>
            <w:tcW w:w="896" w:type="dxa"/>
            <w:tcBorders>
              <w:top w:val="nil"/>
              <w:left w:val="nil"/>
              <w:bottom w:val="single" w:sz="8" w:space="0" w:color="auto"/>
              <w:right w:val="single" w:sz="8" w:space="0" w:color="auto"/>
            </w:tcBorders>
            <w:shd w:val="clear" w:color="auto" w:fill="auto"/>
            <w:vAlign w:val="center"/>
          </w:tcPr>
          <w:p>
            <w:pPr>
              <w:spacing w:before="0" w:after="0"/>
              <w:rPr>
                <w:rFonts w:eastAsia="Times New Roman"/>
                <w:b/>
                <w:bCs/>
                <w:noProof/>
                <w:color w:val="000000"/>
                <w:sz w:val="20"/>
                <w:szCs w:val="20"/>
              </w:rPr>
            </w:pPr>
            <w:r>
              <w:rPr>
                <w:b/>
                <w:bCs/>
                <w:noProof/>
                <w:color w:val="000000"/>
                <w:sz w:val="20"/>
                <w:szCs w:val="20"/>
              </w:rPr>
              <w:t>370,000</w:t>
            </w:r>
          </w:p>
        </w:tc>
        <w:tc>
          <w:tcPr>
            <w:tcW w:w="883" w:type="dxa"/>
            <w:tcBorders>
              <w:top w:val="nil"/>
              <w:left w:val="nil"/>
              <w:bottom w:val="single" w:sz="8" w:space="0" w:color="auto"/>
              <w:right w:val="single" w:sz="8" w:space="0" w:color="auto"/>
            </w:tcBorders>
            <w:shd w:val="clear" w:color="auto" w:fill="auto"/>
            <w:vAlign w:val="center"/>
          </w:tcPr>
          <w:p>
            <w:pPr>
              <w:spacing w:before="0" w:after="0"/>
              <w:rPr>
                <w:rFonts w:eastAsia="Times New Roman"/>
                <w:b/>
                <w:bCs/>
                <w:noProof/>
                <w:color w:val="000000"/>
                <w:sz w:val="20"/>
                <w:szCs w:val="20"/>
              </w:rPr>
            </w:pPr>
            <w:r>
              <w:rPr>
                <w:b/>
                <w:bCs/>
                <w:noProof/>
                <w:color w:val="000000"/>
                <w:sz w:val="20"/>
                <w:szCs w:val="20"/>
              </w:rPr>
              <w:t>430,000</w:t>
            </w:r>
          </w:p>
        </w:tc>
        <w:tc>
          <w:tcPr>
            <w:tcW w:w="69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color w:val="000000"/>
                <w:sz w:val="20"/>
                <w:szCs w:val="20"/>
              </w:rPr>
            </w:pPr>
            <w:r>
              <w:rPr>
                <w:b/>
                <w:bCs/>
                <w:noProof/>
                <w:color w:val="000000"/>
                <w:sz w:val="20"/>
                <w:szCs w:val="20"/>
              </w:rPr>
              <w:t xml:space="preserve"> </w:t>
            </w:r>
          </w:p>
        </w:tc>
        <w:tc>
          <w:tcPr>
            <w:tcW w:w="1077" w:type="dxa"/>
            <w:gridSpan w:val="2"/>
            <w:tcBorders>
              <w:top w:val="single" w:sz="4" w:space="0" w:color="auto"/>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color w:val="000000"/>
                <w:sz w:val="20"/>
                <w:szCs w:val="20"/>
              </w:rPr>
            </w:pPr>
            <w:r>
              <w:rPr>
                <w:b/>
                <w:bCs/>
                <w:noProof/>
                <w:color w:val="000000"/>
                <w:sz w:val="20"/>
                <w:szCs w:val="20"/>
              </w:rPr>
              <w:t xml:space="preserve"> 2.600,000 </w:t>
            </w:r>
          </w:p>
        </w:tc>
      </w:tr>
    </w:tbl>
    <w:p>
      <w:pPr>
        <w:spacing w:before="0" w:after="200" w:line="276" w:lineRule="auto"/>
        <w:jc w:val="left"/>
        <w:rPr>
          <w:bCs/>
          <w:noProof/>
          <w:szCs w:val="24"/>
        </w:rPr>
      </w:pPr>
    </w:p>
    <w:p>
      <w:pPr>
        <w:spacing w:before="0" w:after="200" w:line="276" w:lineRule="auto"/>
        <w:jc w:val="left"/>
        <w:rPr>
          <w:rFonts w:eastAsiaTheme="majorEastAsia"/>
          <w:b/>
          <w:bCs/>
          <w:noProof/>
          <w:szCs w:val="26"/>
        </w:rPr>
      </w:pPr>
      <w:bookmarkStart w:id="44" w:name="_Toc514941992"/>
      <w:bookmarkEnd w:id="43"/>
      <w:r>
        <w:rPr>
          <w:noProof/>
        </w:rPr>
        <w:br w:type="page"/>
      </w:r>
    </w:p>
    <w:p>
      <w:pPr>
        <w:pStyle w:val="Heading2"/>
        <w:numPr>
          <w:ilvl w:val="1"/>
          <w:numId w:val="5"/>
        </w:numPr>
        <w:rPr>
          <w:noProof/>
        </w:rPr>
      </w:pPr>
      <w:bookmarkStart w:id="45" w:name="_Toc54019295"/>
      <w:r>
        <w:rPr>
          <w:noProof/>
        </w:rPr>
        <w:t>Incidence estimée sur les dépenses</w:t>
      </w:r>
      <w:bookmarkEnd w:id="44"/>
      <w:bookmarkEnd w:id="45"/>
      <w:r>
        <w:rPr>
          <w:noProof/>
        </w:rPr>
        <w:t xml:space="preserve"> </w:t>
      </w:r>
    </w:p>
    <w:p>
      <w:pPr>
        <w:pStyle w:val="Heading3"/>
        <w:rPr>
          <w:noProof/>
        </w:rPr>
      </w:pPr>
      <w:bookmarkStart w:id="46" w:name="_Toc54019296"/>
      <w:r>
        <w:rPr>
          <w:noProof/>
        </w:rPr>
        <w:t>Synthèse de l'incidence estimée sur les dépenses</w:t>
      </w:r>
      <w:bookmarkEnd w:id="46"/>
      <w:r>
        <w:rPr>
          <w:noProof/>
        </w:rPr>
        <w:t xml:space="preserve"> </w:t>
      </w:r>
    </w:p>
    <w:p>
      <w:pPr>
        <w:jc w:val="right"/>
        <w:rPr>
          <w:noProof/>
          <w:sz w:val="20"/>
        </w:rPr>
      </w:pPr>
      <w:r>
        <w:rPr>
          <w:noProof/>
          <w:sz w:val="20"/>
        </w:rPr>
        <w:t>En Mio EUR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pluriannuel </w:t>
            </w:r>
          </w:p>
        </w:tc>
        <w:tc>
          <w:tcPr>
            <w:tcW w:w="1080" w:type="dxa"/>
            <w:vAlign w:val="center"/>
          </w:tcPr>
          <w:p>
            <w:pPr>
              <w:spacing w:before="60" w:after="60"/>
              <w:jc w:val="center"/>
              <w:rPr>
                <w:noProof/>
              </w:rPr>
            </w:pPr>
            <w:r>
              <w:rPr>
                <w:b/>
                <w:noProof/>
                <w:sz w:val="22"/>
              </w:rPr>
              <w:t>1</w:t>
            </w:r>
          </w:p>
        </w:tc>
        <w:tc>
          <w:tcPr>
            <w:tcW w:w="7817" w:type="dxa"/>
            <w:vAlign w:val="center"/>
          </w:tcPr>
          <w:p>
            <w:pPr>
              <w:spacing w:before="60" w:after="60"/>
              <w:rPr>
                <w:noProof/>
              </w:rPr>
            </w:pPr>
            <w:r>
              <w:rPr>
                <w:rStyle w:val="Marker"/>
                <w:noProof/>
                <w:color w:val="auto"/>
                <w:sz w:val="22"/>
              </w:rPr>
              <w:t>1 – Marché unique, innovation et numérique</w:t>
            </w:r>
          </w:p>
        </w:tc>
      </w:tr>
    </w:tbl>
    <w:p>
      <w:pPr>
        <w:tabs>
          <w:tab w:val="left" w:pos="1200"/>
        </w:tabs>
        <w:rPr>
          <w:noProof/>
          <w:sz w:val="16"/>
        </w:rPr>
      </w:pPr>
      <w:r>
        <w:rPr>
          <w:noProof/>
        </w:rPr>
        <w:tab/>
      </w:r>
    </w:p>
    <w:p>
      <w:pPr>
        <w:tabs>
          <w:tab w:val="left" w:pos="1200"/>
        </w:tabs>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single" w:sz="4" w:space="0" w:color="auto"/>
              <w:left w:val="single" w:sz="4" w:space="0" w:color="auto"/>
              <w:bottom w:val="nil"/>
              <w:right w:val="single" w:sz="4" w:space="0" w:color="auto"/>
            </w:tcBorders>
            <w:vAlign w:val="center"/>
          </w:tcPr>
          <w:p>
            <w:pPr>
              <w:jc w:val="center"/>
              <w:rPr>
                <w:b/>
                <w:noProof/>
                <w:sz w:val="20"/>
              </w:rPr>
            </w:pPr>
            <w:r>
              <w:rPr>
                <w:b/>
                <w:noProof/>
                <w:sz w:val="20"/>
              </w:rPr>
              <w:t>Entreprise commune</w:t>
            </w:r>
            <w:r>
              <w:rPr>
                <w:rStyle w:val="FootnoteReference"/>
                <w:b/>
                <w:noProof/>
                <w:sz w:val="20"/>
              </w:rPr>
              <w:footnoteReference w:id="9"/>
            </w:r>
            <w:r>
              <w:rPr>
                <w:rStyle w:val="FootnoteReference"/>
                <w:b/>
                <w:noProof/>
                <w:sz w:val="20"/>
              </w:rPr>
              <w:footnoteReference w:id="10"/>
            </w:r>
            <w:r>
              <w:rPr>
                <w:rStyle w:val="FootnoteReference"/>
                <w:b/>
                <w:noProof/>
                <w:sz w:val="20"/>
              </w:rPr>
              <w:footnoteReference w:id="11"/>
            </w: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r>
              <w:rPr>
                <w:rStyle w:val="FootnoteReference"/>
                <w:b/>
                <w:noProof/>
                <w:sz w:val="18"/>
              </w:rPr>
              <w:footnoteReference w:id="12"/>
            </w:r>
          </w:p>
        </w:tc>
        <w:tc>
          <w:tcPr>
            <w:tcW w:w="909" w:type="dxa"/>
            <w:tcBorders>
              <w:bottom w:val="single" w:sz="4" w:space="0" w:color="auto"/>
            </w:tcBorders>
          </w:tcPr>
          <w:p>
            <w:pPr>
              <w:jc w:val="center"/>
              <w:rPr>
                <w:b/>
                <w:i/>
                <w:noProof/>
                <w:sz w:val="20"/>
              </w:rPr>
            </w:pPr>
            <w:r>
              <w:rPr>
                <w:b/>
                <w:i/>
                <w:noProof/>
                <w:sz w:val="20"/>
              </w:rPr>
              <w:t>Après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 xml:space="preserve">Titre 1 </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color w:val="000000"/>
                <w:sz w:val="14"/>
              </w:rPr>
              <w:t>(1)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0,402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1,434</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1,911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1,949</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1,988</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2,028</w:t>
            </w:r>
          </w:p>
        </w:tc>
        <w:tc>
          <w:tcPr>
            <w:tcW w:w="868" w:type="dxa"/>
            <w:tcBorders>
              <w:top w:val="single" w:sz="8" w:space="0" w:color="auto"/>
              <w:left w:val="single" w:sz="8" w:space="0" w:color="auto"/>
              <w:bottom w:val="single" w:sz="8" w:space="0" w:color="000000"/>
              <w:right w:val="single" w:sz="4" w:space="0" w:color="auto"/>
            </w:tcBorders>
            <w:shd w:val="clear" w:color="auto" w:fill="auto"/>
            <w:vAlign w:val="center"/>
          </w:tcPr>
          <w:p>
            <w:pPr>
              <w:spacing w:before="20" w:after="20"/>
              <w:jc w:val="right"/>
              <w:rPr>
                <w:noProof/>
                <w:sz w:val="20"/>
              </w:rPr>
            </w:pPr>
            <w:r>
              <w:rPr>
                <w:noProof/>
                <w:sz w:val="20"/>
              </w:rPr>
              <w:t>6,205</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jc w:val="right"/>
              <w:rPr>
                <w:b/>
                <w:noProof/>
                <w:sz w:val="20"/>
              </w:rPr>
            </w:pPr>
            <w:r>
              <w:rPr>
                <w:noProof/>
                <w:color w:val="000000"/>
                <w:sz w:val="20"/>
              </w:rPr>
              <w:t xml:space="preserve"> </w:t>
            </w:r>
          </w:p>
        </w:tc>
        <w:tc>
          <w:tcPr>
            <w:tcW w:w="1289" w:type="dxa"/>
            <w:tcBorders>
              <w:top w:val="single" w:sz="8" w:space="0" w:color="auto"/>
              <w:left w:val="single" w:sz="4" w:space="0" w:color="auto"/>
              <w:bottom w:val="single" w:sz="8" w:space="0" w:color="000000"/>
              <w:right w:val="single" w:sz="8" w:space="0" w:color="auto"/>
            </w:tcBorders>
            <w:shd w:val="clear" w:color="auto" w:fill="auto"/>
            <w:vAlign w:val="center"/>
          </w:tcPr>
          <w:p>
            <w:pPr>
              <w:spacing w:before="20" w:after="20"/>
              <w:jc w:val="right"/>
              <w:rPr>
                <w:b/>
                <w:bCs/>
                <w:noProof/>
                <w:color w:val="000000"/>
                <w:sz w:val="20"/>
              </w:rPr>
            </w:pPr>
            <w:r>
              <w:rPr>
                <w:b/>
                <w:bCs/>
                <w:noProof/>
                <w:color w:val="000000"/>
                <w:sz w:val="20"/>
              </w:rPr>
              <w:t xml:space="preserve">15,917 </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color w:val="000000"/>
                <w:sz w:val="14"/>
              </w:rPr>
              <w:t>(2)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0,402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1,434</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1,911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1,949</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1,988</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2,028</w:t>
            </w:r>
          </w:p>
        </w:tc>
        <w:tc>
          <w:tcPr>
            <w:tcW w:w="868" w:type="dxa"/>
            <w:tcBorders>
              <w:top w:val="single" w:sz="8" w:space="0" w:color="auto"/>
              <w:left w:val="single" w:sz="8" w:space="0" w:color="auto"/>
              <w:bottom w:val="single" w:sz="8" w:space="0" w:color="000000"/>
              <w:right w:val="single" w:sz="4" w:space="0" w:color="auto"/>
            </w:tcBorders>
            <w:shd w:val="clear" w:color="auto" w:fill="auto"/>
            <w:vAlign w:val="center"/>
          </w:tcPr>
          <w:p>
            <w:pPr>
              <w:spacing w:before="20" w:after="20"/>
              <w:jc w:val="right"/>
              <w:rPr>
                <w:b/>
                <w:noProof/>
                <w:sz w:val="20"/>
              </w:rPr>
            </w:pPr>
            <w:r>
              <w:rPr>
                <w:noProof/>
                <w:sz w:val="20"/>
              </w:rPr>
              <w:t>2,068</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jc w:val="right"/>
              <w:rPr>
                <w:b/>
                <w:noProof/>
                <w:sz w:val="20"/>
              </w:rPr>
            </w:pPr>
            <w:r>
              <w:rPr>
                <w:noProof/>
                <w:color w:val="000000"/>
                <w:sz w:val="20"/>
              </w:rPr>
              <w:t>4,137</w:t>
            </w:r>
          </w:p>
        </w:tc>
        <w:tc>
          <w:tcPr>
            <w:tcW w:w="1289" w:type="dxa"/>
            <w:tcBorders>
              <w:top w:val="single" w:sz="8" w:space="0" w:color="auto"/>
              <w:left w:val="single" w:sz="4" w:space="0" w:color="auto"/>
              <w:bottom w:val="single" w:sz="8" w:space="0" w:color="000000"/>
              <w:right w:val="single" w:sz="8" w:space="0" w:color="auto"/>
            </w:tcBorders>
            <w:shd w:val="clear" w:color="auto" w:fill="auto"/>
            <w:vAlign w:val="center"/>
          </w:tcPr>
          <w:p>
            <w:pPr>
              <w:spacing w:before="20" w:after="20"/>
              <w:jc w:val="right"/>
              <w:rPr>
                <w:b/>
                <w:noProof/>
                <w:sz w:val="20"/>
              </w:rPr>
            </w:pPr>
            <w:r>
              <w:rPr>
                <w:b/>
                <w:bCs/>
                <w:noProof/>
                <w:color w:val="000000"/>
                <w:sz w:val="20"/>
              </w:rPr>
              <w:t xml:space="preserve">15,917 </w:t>
            </w:r>
          </w:p>
        </w:tc>
      </w:tr>
      <w:tr>
        <w:trPr>
          <w:trHeight w:val="319"/>
          <w:jc w:val="center"/>
        </w:trPr>
        <w:tc>
          <w:tcPr>
            <w:tcW w:w="4103" w:type="dxa"/>
            <w:vMerge w:val="restart"/>
            <w:vAlign w:val="center"/>
          </w:tcPr>
          <w:p>
            <w:pPr>
              <w:spacing w:before="20" w:after="20"/>
              <w:jc w:val="left"/>
              <w:rPr>
                <w:noProof/>
              </w:rPr>
            </w:pPr>
            <w:r>
              <w:rPr>
                <w:noProof/>
                <w:sz w:val="20"/>
              </w:rPr>
              <w:t>Titre 2</w:t>
            </w:r>
          </w:p>
        </w:tc>
        <w:tc>
          <w:tcPr>
            <w:tcW w:w="1440" w:type="dxa"/>
            <w:vAlign w:val="center"/>
          </w:tcPr>
          <w:p>
            <w:pPr>
              <w:spacing w:before="40" w:after="40"/>
              <w:jc w:val="left"/>
              <w:rPr>
                <w:noProof/>
                <w:sz w:val="18"/>
              </w:rPr>
            </w:pPr>
            <w:r>
              <w:rPr>
                <w:noProof/>
                <w:sz w:val="18"/>
              </w:rPr>
              <w:t>Engagements</w:t>
            </w:r>
          </w:p>
        </w:tc>
        <w:tc>
          <w:tcPr>
            <w:tcW w:w="654" w:type="dxa"/>
            <w:vAlign w:val="center"/>
          </w:tcPr>
          <w:p>
            <w:pPr>
              <w:spacing w:before="40" w:after="40"/>
              <w:jc w:val="center"/>
              <w:rPr>
                <w:noProof/>
                <w:sz w:val="14"/>
              </w:rPr>
            </w:pPr>
            <w:r>
              <w:rPr>
                <w:noProof/>
                <w:color w:val="000000"/>
                <w:sz w:val="14"/>
              </w:rPr>
              <w:t>(1a)</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1,615</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1,715</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1,749</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1,784</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1,820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1,856</w:t>
            </w:r>
          </w:p>
        </w:tc>
        <w:tc>
          <w:tcPr>
            <w:tcW w:w="868" w:type="dxa"/>
            <w:tcBorders>
              <w:top w:val="nil"/>
              <w:left w:val="nil"/>
              <w:bottom w:val="single" w:sz="8" w:space="0" w:color="auto"/>
              <w:right w:val="single" w:sz="4" w:space="0" w:color="auto"/>
            </w:tcBorders>
            <w:shd w:val="clear" w:color="auto" w:fill="auto"/>
            <w:vAlign w:val="center"/>
          </w:tcPr>
          <w:p>
            <w:pPr>
              <w:spacing w:before="40" w:after="40"/>
              <w:jc w:val="right"/>
              <w:rPr>
                <w:noProof/>
                <w:sz w:val="20"/>
              </w:rPr>
            </w:pPr>
            <w:r>
              <w:rPr>
                <w:noProof/>
                <w:sz w:val="20"/>
              </w:rPr>
              <w:t>3,544</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jc w:val="right"/>
              <w:rPr>
                <w:noProof/>
                <w:sz w:val="20"/>
              </w:rPr>
            </w:pPr>
          </w:p>
        </w:tc>
        <w:tc>
          <w:tcPr>
            <w:tcW w:w="1289" w:type="dxa"/>
            <w:tcBorders>
              <w:top w:val="nil"/>
              <w:left w:val="single" w:sz="4" w:space="0" w:color="auto"/>
              <w:bottom w:val="single" w:sz="8" w:space="0" w:color="auto"/>
              <w:right w:val="single" w:sz="8" w:space="0" w:color="auto"/>
            </w:tcBorders>
            <w:shd w:val="clear" w:color="auto" w:fill="auto"/>
            <w:vAlign w:val="center"/>
          </w:tcPr>
          <w:p>
            <w:pPr>
              <w:spacing w:before="40" w:after="40"/>
              <w:jc w:val="right"/>
              <w:rPr>
                <w:b/>
                <w:noProof/>
                <w:sz w:val="20"/>
              </w:rPr>
            </w:pPr>
            <w:r>
              <w:rPr>
                <w:b/>
                <w:noProof/>
                <w:sz w:val="20"/>
              </w:rPr>
              <w:t>14,083</w:t>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Paiements</w:t>
            </w:r>
          </w:p>
        </w:tc>
        <w:tc>
          <w:tcPr>
            <w:tcW w:w="654" w:type="dxa"/>
            <w:vAlign w:val="center"/>
          </w:tcPr>
          <w:p>
            <w:pPr>
              <w:spacing w:before="40" w:after="40"/>
              <w:jc w:val="center"/>
              <w:rPr>
                <w:noProof/>
                <w:sz w:val="14"/>
              </w:rPr>
            </w:pPr>
            <w:r>
              <w:rPr>
                <w:noProof/>
                <w:color w:val="000000"/>
                <w:sz w:val="14"/>
              </w:rPr>
              <w:t>(2 a)</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1,615</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1,715</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1,749</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1,784</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1,820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1,856</w:t>
            </w:r>
          </w:p>
        </w:tc>
        <w:tc>
          <w:tcPr>
            <w:tcW w:w="868" w:type="dxa"/>
            <w:tcBorders>
              <w:top w:val="nil"/>
              <w:left w:val="nil"/>
              <w:bottom w:val="single" w:sz="8" w:space="0" w:color="auto"/>
              <w:right w:val="single" w:sz="4" w:space="0" w:color="auto"/>
            </w:tcBorders>
            <w:shd w:val="clear" w:color="auto" w:fill="auto"/>
            <w:vAlign w:val="center"/>
          </w:tcPr>
          <w:p>
            <w:pPr>
              <w:spacing w:before="40" w:after="40"/>
              <w:jc w:val="right"/>
              <w:rPr>
                <w:noProof/>
                <w:sz w:val="20"/>
              </w:rPr>
            </w:pPr>
            <w:r>
              <w:rPr>
                <w:noProof/>
                <w:sz w:val="20"/>
              </w:rPr>
              <w:t>1,894</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jc w:val="right"/>
              <w:rPr>
                <w:noProof/>
                <w:sz w:val="20"/>
              </w:rPr>
            </w:pPr>
            <w:r>
              <w:rPr>
                <w:noProof/>
                <w:sz w:val="20"/>
              </w:rPr>
              <w:t>1,650</w:t>
            </w:r>
          </w:p>
        </w:tc>
        <w:tc>
          <w:tcPr>
            <w:tcW w:w="1289" w:type="dxa"/>
            <w:tcBorders>
              <w:top w:val="nil"/>
              <w:left w:val="single" w:sz="4" w:space="0" w:color="auto"/>
              <w:bottom w:val="single" w:sz="8" w:space="0" w:color="auto"/>
              <w:right w:val="single" w:sz="8" w:space="0" w:color="auto"/>
            </w:tcBorders>
            <w:shd w:val="clear" w:color="auto" w:fill="auto"/>
            <w:vAlign w:val="center"/>
          </w:tcPr>
          <w:p>
            <w:pPr>
              <w:spacing w:before="40" w:after="40"/>
              <w:jc w:val="right"/>
              <w:rPr>
                <w:b/>
                <w:noProof/>
                <w:sz w:val="20"/>
              </w:rPr>
            </w:pPr>
            <w:r>
              <w:rPr>
                <w:b/>
                <w:noProof/>
                <w:sz w:val="20"/>
              </w:rPr>
              <w:t>14.083</w:t>
            </w:r>
          </w:p>
        </w:tc>
      </w:tr>
      <w:tr>
        <w:trPr>
          <w:trHeight w:val="319"/>
          <w:jc w:val="center"/>
        </w:trPr>
        <w:tc>
          <w:tcPr>
            <w:tcW w:w="4103" w:type="dxa"/>
            <w:vMerge w:val="restart"/>
            <w:vAlign w:val="center"/>
          </w:tcPr>
          <w:p>
            <w:pPr>
              <w:spacing w:before="20" w:after="20"/>
              <w:jc w:val="left"/>
              <w:rPr>
                <w:noProof/>
                <w:sz w:val="20"/>
              </w:rPr>
            </w:pPr>
            <w:r>
              <w:rPr>
                <w:noProof/>
                <w:sz w:val="20"/>
              </w:rPr>
              <w:t>Titre 3</w:t>
            </w:r>
          </w:p>
        </w:tc>
        <w:tc>
          <w:tcPr>
            <w:tcW w:w="1440" w:type="dxa"/>
            <w:vAlign w:val="center"/>
          </w:tcPr>
          <w:p>
            <w:pPr>
              <w:spacing w:before="40" w:after="40"/>
              <w:jc w:val="left"/>
              <w:rPr>
                <w:noProof/>
                <w:sz w:val="18"/>
              </w:rPr>
            </w:pPr>
            <w:r>
              <w:rPr>
                <w:noProof/>
                <w:sz w:val="18"/>
              </w:rPr>
              <w:t>Engagements</w:t>
            </w:r>
          </w:p>
        </w:tc>
        <w:tc>
          <w:tcPr>
            <w:tcW w:w="654" w:type="dxa"/>
            <w:vAlign w:val="center"/>
          </w:tcPr>
          <w:p>
            <w:pPr>
              <w:spacing w:before="40" w:after="40"/>
              <w:jc w:val="center"/>
              <w:rPr>
                <w:noProof/>
                <w:sz w:val="14"/>
              </w:rPr>
            </w:pPr>
            <w:r>
              <w:rPr>
                <w:noProof/>
                <w:color w:val="000000"/>
                <w:sz w:val="14"/>
              </w:rPr>
              <w:t>(3 a)</w:t>
            </w:r>
          </w:p>
        </w:tc>
        <w:tc>
          <w:tcPr>
            <w:tcW w:w="868" w:type="dxa"/>
            <w:tcBorders>
              <w:top w:val="nil"/>
              <w:left w:val="nil"/>
              <w:bottom w:val="single" w:sz="8" w:space="0" w:color="auto"/>
              <w:right w:val="single" w:sz="8" w:space="0" w:color="auto"/>
            </w:tcBorders>
            <w:shd w:val="clear" w:color="auto" w:fill="auto"/>
            <w:vAlign w:val="center"/>
          </w:tcPr>
          <w:p>
            <w:pPr>
              <w:spacing w:before="40" w:after="40"/>
              <w:rPr>
                <w:noProof/>
                <w:sz w:val="20"/>
              </w:rPr>
            </w:pPr>
            <w:r>
              <w:rPr>
                <w:noProof/>
                <w:sz w:val="20"/>
              </w:rPr>
              <w:t>407,983</w:t>
            </w:r>
            <w:r>
              <w:rPr>
                <w:noProof/>
                <w:color w:val="000000"/>
                <w:sz w:val="20"/>
              </w:rPr>
              <w:t xml:space="preserve">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406,851</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436,340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216,267</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316,192</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366,116</w:t>
            </w:r>
          </w:p>
        </w:tc>
        <w:tc>
          <w:tcPr>
            <w:tcW w:w="868" w:type="dxa"/>
            <w:tcBorders>
              <w:top w:val="nil"/>
              <w:left w:val="nil"/>
              <w:bottom w:val="single" w:sz="8" w:space="0" w:color="auto"/>
              <w:right w:val="single" w:sz="4" w:space="0" w:color="auto"/>
            </w:tcBorders>
            <w:shd w:val="clear" w:color="auto" w:fill="auto"/>
            <w:vAlign w:val="center"/>
          </w:tcPr>
          <w:p>
            <w:pPr>
              <w:spacing w:before="40" w:after="40"/>
              <w:jc w:val="right"/>
              <w:rPr>
                <w:noProof/>
                <w:sz w:val="20"/>
              </w:rPr>
            </w:pPr>
            <w:r>
              <w:rPr>
                <w:noProof/>
                <w:sz w:val="20"/>
              </w:rPr>
              <w:t>420,251</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jc w:val="right"/>
              <w:rPr>
                <w:b/>
                <w:noProof/>
                <w:sz w:val="20"/>
              </w:rPr>
            </w:pPr>
            <w:r>
              <w:rPr>
                <w:b/>
                <w:bCs/>
                <w:noProof/>
                <w:color w:val="000000"/>
                <w:sz w:val="20"/>
              </w:rPr>
              <w:t xml:space="preserve"> </w:t>
            </w:r>
          </w:p>
        </w:tc>
        <w:tc>
          <w:tcPr>
            <w:tcW w:w="1289" w:type="dxa"/>
            <w:tcBorders>
              <w:top w:val="nil"/>
              <w:left w:val="single" w:sz="4" w:space="0" w:color="auto"/>
              <w:bottom w:val="single" w:sz="8" w:space="0" w:color="auto"/>
              <w:right w:val="single" w:sz="8" w:space="0" w:color="auto"/>
            </w:tcBorders>
            <w:shd w:val="clear" w:color="auto" w:fill="auto"/>
            <w:vAlign w:val="center"/>
          </w:tcPr>
          <w:p>
            <w:pPr>
              <w:spacing w:before="40" w:after="40"/>
              <w:jc w:val="right"/>
              <w:rPr>
                <w:b/>
                <w:noProof/>
                <w:sz w:val="20"/>
              </w:rPr>
            </w:pPr>
            <w:r>
              <w:rPr>
                <w:b/>
                <w:bCs/>
                <w:noProof/>
                <w:color w:val="000000"/>
                <w:sz w:val="20"/>
              </w:rPr>
              <w:t xml:space="preserve">   2.570,000 </w:t>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Paiements</w:t>
            </w:r>
          </w:p>
        </w:tc>
        <w:tc>
          <w:tcPr>
            <w:tcW w:w="654" w:type="dxa"/>
            <w:vAlign w:val="center"/>
          </w:tcPr>
          <w:p>
            <w:pPr>
              <w:spacing w:before="40" w:after="40"/>
              <w:jc w:val="center"/>
              <w:rPr>
                <w:noProof/>
                <w:sz w:val="14"/>
              </w:rPr>
            </w:pPr>
            <w:r>
              <w:rPr>
                <w:noProof/>
                <w:color w:val="000000"/>
                <w:sz w:val="14"/>
              </w:rPr>
              <w:t>(3b)</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122,000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225,000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350,000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185,000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290,000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345,000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400,000 </w:t>
            </w:r>
          </w:p>
        </w:tc>
        <w:tc>
          <w:tcPr>
            <w:tcW w:w="909" w:type="dxa"/>
            <w:tcBorders>
              <w:top w:val="single" w:sz="4" w:space="0" w:color="auto"/>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653,000 </w:t>
            </w:r>
          </w:p>
        </w:tc>
        <w:tc>
          <w:tcPr>
            <w:tcW w:w="1289"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20"/>
              </w:rPr>
            </w:pPr>
            <w:r>
              <w:rPr>
                <w:b/>
                <w:bCs/>
                <w:noProof/>
                <w:color w:val="000000"/>
                <w:sz w:val="20"/>
              </w:rPr>
              <w:t xml:space="preserve">   2.570,000 </w:t>
            </w:r>
          </w:p>
        </w:tc>
      </w:tr>
      <w:tr>
        <w:trPr>
          <w:jc w:val="center"/>
        </w:trPr>
        <w:tc>
          <w:tcPr>
            <w:tcW w:w="4103" w:type="dxa"/>
            <w:vMerge w:val="restart"/>
            <w:vAlign w:val="center"/>
          </w:tcPr>
          <w:p>
            <w:pPr>
              <w:jc w:val="left"/>
              <w:rPr>
                <w:b/>
                <w:noProof/>
              </w:rPr>
            </w:pPr>
            <w:r>
              <w:rPr>
                <w:b/>
                <w:noProof/>
                <w:sz w:val="22"/>
              </w:rPr>
              <w:t>TOTAL des crédits pour l’entreprise commune</w:t>
            </w:r>
          </w:p>
        </w:tc>
        <w:tc>
          <w:tcPr>
            <w:tcW w:w="1440" w:type="dxa"/>
            <w:vAlign w:val="center"/>
          </w:tcPr>
          <w:p>
            <w:pPr>
              <w:jc w:val="left"/>
              <w:rPr>
                <w:noProof/>
                <w:sz w:val="18"/>
              </w:rPr>
            </w:pPr>
            <w:r>
              <w:rPr>
                <w:noProof/>
                <w:sz w:val="18"/>
              </w:rPr>
              <w:t>Engagements</w:t>
            </w:r>
          </w:p>
        </w:tc>
        <w:tc>
          <w:tcPr>
            <w:tcW w:w="654" w:type="dxa"/>
            <w:vAlign w:val="center"/>
          </w:tcPr>
          <w:p>
            <w:pPr>
              <w:jc w:val="center"/>
              <w:rPr>
                <w:noProof/>
                <w:sz w:val="14"/>
              </w:rPr>
            </w:pPr>
            <w:r>
              <w:rPr>
                <w:noProof/>
                <w:color w:val="000000"/>
                <w:sz w:val="14"/>
              </w:rPr>
              <w:t>=1+1a +3a</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410,000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410,000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440,000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220,000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320,000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370,000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430,000</w:t>
            </w:r>
          </w:p>
        </w:tc>
        <w:tc>
          <w:tcPr>
            <w:tcW w:w="909"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 </w:t>
            </w:r>
          </w:p>
        </w:tc>
        <w:tc>
          <w:tcPr>
            <w:tcW w:w="1289" w:type="dxa"/>
            <w:tcBorders>
              <w:top w:val="nil"/>
              <w:left w:val="nil"/>
              <w:bottom w:val="single" w:sz="8" w:space="0" w:color="auto"/>
              <w:right w:val="single" w:sz="8" w:space="0" w:color="auto"/>
            </w:tcBorders>
            <w:shd w:val="clear" w:color="auto" w:fill="auto"/>
            <w:vAlign w:val="center"/>
          </w:tcPr>
          <w:p>
            <w:pPr>
              <w:spacing w:before="20" w:after="20"/>
              <w:jc w:val="right"/>
              <w:rPr>
                <w:b/>
                <w:noProof/>
                <w:sz w:val="20"/>
              </w:rPr>
            </w:pPr>
            <w:r>
              <w:rPr>
                <w:b/>
                <w:bCs/>
                <w:noProof/>
                <w:color w:val="000000"/>
                <w:sz w:val="20"/>
              </w:rPr>
              <w:t xml:space="preserve">   2.600,000 </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Paiements</w:t>
            </w:r>
          </w:p>
        </w:tc>
        <w:tc>
          <w:tcPr>
            <w:tcW w:w="654" w:type="dxa"/>
            <w:vAlign w:val="center"/>
          </w:tcPr>
          <w:p>
            <w:pPr>
              <w:jc w:val="center"/>
              <w:rPr>
                <w:noProof/>
                <w:sz w:val="14"/>
              </w:rPr>
            </w:pPr>
            <w:r>
              <w:rPr>
                <w:noProof/>
                <w:color w:val="000000"/>
                <w:sz w:val="14"/>
              </w:rPr>
              <w:t>=2+2a+3b</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124,017</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228,149</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353,660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188,733</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293,808</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348,884</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403,962</w:t>
            </w:r>
          </w:p>
        </w:tc>
        <w:tc>
          <w:tcPr>
            <w:tcW w:w="909"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658,787</w:t>
            </w:r>
          </w:p>
        </w:tc>
        <w:tc>
          <w:tcPr>
            <w:tcW w:w="1289" w:type="dxa"/>
            <w:tcBorders>
              <w:top w:val="nil"/>
              <w:left w:val="nil"/>
              <w:bottom w:val="single" w:sz="8" w:space="0" w:color="auto"/>
              <w:right w:val="single" w:sz="8" w:space="0" w:color="auto"/>
            </w:tcBorders>
            <w:shd w:val="clear" w:color="auto" w:fill="auto"/>
            <w:vAlign w:val="center"/>
          </w:tcPr>
          <w:p>
            <w:pPr>
              <w:spacing w:before="20" w:after="20"/>
              <w:jc w:val="right"/>
              <w:rPr>
                <w:b/>
                <w:noProof/>
                <w:sz w:val="20"/>
              </w:rPr>
            </w:pPr>
            <w:r>
              <w:rPr>
                <w:b/>
                <w:bCs/>
                <w:noProof/>
                <w:color w:val="000000"/>
                <w:sz w:val="20"/>
              </w:rPr>
              <w:t xml:space="preserve">   2.600,000 </w:t>
            </w:r>
          </w:p>
        </w:tc>
      </w:tr>
    </w:tbl>
    <w:p>
      <w:pPr>
        <w:rPr>
          <w:noProof/>
          <w:sz w:val="16"/>
        </w:rPr>
      </w:pPr>
    </w:p>
    <w:p>
      <w:pPr>
        <w:rPr>
          <w:noProof/>
          <w:sz w:val="16"/>
        </w:rPr>
      </w:pPr>
    </w:p>
    <w:p>
      <w:pPr>
        <w:rPr>
          <w:noProof/>
          <w:sz w:val="16"/>
        </w:rPr>
      </w:pPr>
    </w:p>
    <w:tbl>
      <w:tblPr>
        <w:tblW w:w="12955" w:type="dxa"/>
        <w:tblInd w:w="-318" w:type="dxa"/>
        <w:tblLayout w:type="fixed"/>
        <w:tblCellMar>
          <w:left w:w="0" w:type="dxa"/>
          <w:right w:w="0" w:type="dxa"/>
        </w:tblCellMar>
        <w:tblLook w:val="04A0" w:firstRow="1" w:lastRow="0" w:firstColumn="1" w:lastColumn="0" w:noHBand="0" w:noVBand="1"/>
      </w:tblPr>
      <w:tblGrid>
        <w:gridCol w:w="1588"/>
        <w:gridCol w:w="1460"/>
        <w:gridCol w:w="1150"/>
        <w:gridCol w:w="1169"/>
        <w:gridCol w:w="1195"/>
        <w:gridCol w:w="1180"/>
        <w:gridCol w:w="1011"/>
        <w:gridCol w:w="1007"/>
        <w:gridCol w:w="1006"/>
        <w:gridCol w:w="1008"/>
        <w:gridCol w:w="1181"/>
      </w:tblGrid>
      <w:tr>
        <w:trPr>
          <w:trHeight w:val="300"/>
        </w:trPr>
        <w:tc>
          <w:tcPr>
            <w:tcW w:w="12955" w:type="dxa"/>
            <w:gridSpan w:val="11"/>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pPr>
              <w:jc w:val="right"/>
              <w:rPr>
                <w:noProof/>
                <w:color w:val="000000"/>
                <w:sz w:val="20"/>
                <w:szCs w:val="20"/>
              </w:rPr>
            </w:pPr>
            <w:r>
              <w:rPr>
                <w:noProof/>
                <w:color w:val="000000"/>
                <w:sz w:val="20"/>
                <w:szCs w:val="20"/>
              </w:rPr>
              <w:t>En Mio EUR (à la 3e décimale)</w:t>
            </w:r>
          </w:p>
        </w:tc>
      </w:tr>
      <w:tr>
        <w:trPr>
          <w:trHeight w:val="885"/>
        </w:trPr>
        <w:tc>
          <w:tcPr>
            <w:tcW w:w="3048"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noProof/>
                <w:color w:val="000000"/>
                <w:sz w:val="20"/>
                <w:szCs w:val="20"/>
              </w:rPr>
            </w:pPr>
          </w:p>
          <w:p>
            <w:pPr>
              <w:jc w:val="center"/>
              <w:rPr>
                <w:b/>
                <w:noProof/>
                <w:color w:val="000000"/>
                <w:sz w:val="20"/>
                <w:szCs w:val="20"/>
              </w:rPr>
            </w:pP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2021</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2022</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2023</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2024</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2025</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2026</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2027</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pPr>
              <w:jc w:val="center"/>
              <w:rPr>
                <w:b/>
                <w:i/>
                <w:noProof/>
                <w:sz w:val="20"/>
              </w:rPr>
            </w:pPr>
            <w:r>
              <w:rPr>
                <w:b/>
                <w:i/>
                <w:noProof/>
                <w:sz w:val="20"/>
              </w:rPr>
              <w:t xml:space="preserve">Post- </w:t>
            </w:r>
          </w:p>
          <w:p>
            <w:pPr>
              <w:jc w:val="center"/>
              <w:rPr>
                <w:noProof/>
                <w:color w:val="000000"/>
                <w:sz w:val="20"/>
                <w:szCs w:val="20"/>
              </w:rPr>
            </w:pPr>
            <w:r>
              <w:rPr>
                <w:b/>
                <w:i/>
                <w:noProof/>
                <w:sz w:val="20"/>
              </w:rPr>
              <w:t>2027</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color w:val="000000"/>
                <w:sz w:val="20"/>
                <w:szCs w:val="20"/>
              </w:rPr>
            </w:pPr>
            <w:r>
              <w:rPr>
                <w:b/>
                <w:noProof/>
                <w:sz w:val="20"/>
              </w:rPr>
              <w:t>TOTAL</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 xml:space="preserve">Ressources humaines </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20"/>
                <w:szCs w:val="20"/>
              </w:rPr>
            </w:pPr>
            <w:r>
              <w:rPr>
                <w:noProof/>
                <w:color w:val="000000"/>
                <w:sz w:val="20"/>
                <w:szCs w:val="20"/>
              </w:rPr>
              <w:t>p.m.</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b/>
                <w:bCs/>
                <w:noProof/>
                <w:color w:val="000000"/>
                <w:sz w:val="20"/>
                <w:szCs w:val="20"/>
              </w:rPr>
            </w:pPr>
            <w:r>
              <w:rPr>
                <w:noProof/>
                <w:color w:val="000000"/>
                <w:sz w:val="20"/>
                <w:szCs w:val="20"/>
              </w:rPr>
              <w:t>p.m.</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Autres dépenses administratives</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20"/>
                <w:szCs w:val="20"/>
              </w:rPr>
            </w:pPr>
            <w:r>
              <w:rPr>
                <w:noProof/>
                <w:color w:val="000000"/>
                <w:sz w:val="20"/>
                <w:szCs w:val="20"/>
              </w:rPr>
              <w:t>p.m.</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r>
      <w:tr>
        <w:trPr>
          <w:trHeight w:val="300"/>
        </w:trPr>
        <w:tc>
          <w:tcPr>
            <w:tcW w:w="15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sz w:val="22"/>
              </w:rPr>
            </w:pPr>
            <w:r>
              <w:rPr>
                <w:b/>
                <w:bCs/>
                <w:noProof/>
                <w:sz w:val="22"/>
              </w:rPr>
              <w:t xml:space="preserve">TOTAL DG </w:t>
            </w:r>
          </w:p>
        </w:tc>
        <w:tc>
          <w:tcPr>
            <w:tcW w:w="146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pPr>
              <w:jc w:val="center"/>
              <w:rPr>
                <w:noProof/>
                <w:color w:val="000000"/>
                <w:sz w:val="18"/>
                <w:szCs w:val="18"/>
              </w:rPr>
            </w:pPr>
            <w:r>
              <w:rPr>
                <w:noProof/>
                <w:color w:val="000000"/>
                <w:sz w:val="18"/>
              </w:rPr>
              <w:t xml:space="preserve">Crédits </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r>
    </w:tbl>
    <w:p>
      <w:pPr>
        <w:rPr>
          <w:noProof/>
        </w:rPr>
      </w:pPr>
      <w:r>
        <w:rPr>
          <w:noProof/>
        </w:rPr>
        <w:t xml:space="preserve"> </w:t>
      </w:r>
    </w:p>
    <w:p>
      <w:pPr>
        <w:jc w:val="right"/>
        <w:rPr>
          <w:noProof/>
          <w:sz w:val="20"/>
        </w:rPr>
      </w:pPr>
      <w:r>
        <w:rPr>
          <w:noProof/>
          <w:sz w:val="20"/>
        </w:rPr>
        <w:t>En Mio EUR (à la 3e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294"/>
        <w:gridCol w:w="110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294" w:type="dxa"/>
            <w:tcBorders>
              <w:top w:val="nil"/>
              <w:left w:val="nil"/>
            </w:tcBorders>
          </w:tcPr>
          <w:p>
            <w:pPr>
              <w:jc w:val="center"/>
              <w:rPr>
                <w:noProof/>
                <w:sz w:val="20"/>
              </w:rPr>
            </w:pPr>
          </w:p>
        </w:tc>
        <w:tc>
          <w:tcPr>
            <w:tcW w:w="110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Après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sz w:val="22"/>
              </w:rPr>
            </w:pPr>
            <w:r>
              <w:rPr>
                <w:b/>
                <w:noProof/>
                <w:sz w:val="22"/>
              </w:rPr>
              <w:t xml:space="preserve">TOTAL des crédits pour l’enveloppe du programme - Rubrique 1 </w:t>
            </w:r>
            <w:r>
              <w:rPr>
                <w:rStyle w:val="FootnoteReference"/>
                <w:b/>
                <w:noProof/>
                <w:sz w:val="22"/>
              </w:rPr>
              <w:footnoteReference w:id="13"/>
            </w:r>
          </w:p>
          <w:p>
            <w:pPr>
              <w:jc w:val="center"/>
              <w:rPr>
                <w:b/>
                <w:noProof/>
              </w:rPr>
            </w:pPr>
            <w:r>
              <w:rPr>
                <w:noProof/>
                <w:sz w:val="22"/>
              </w:rPr>
              <w:t>du cadre financier pluriannuel</w:t>
            </w:r>
            <w:r>
              <w:rPr>
                <w:b/>
                <w:noProof/>
                <w:sz w:val="22"/>
              </w:rPr>
              <w:t xml:space="preserve"> </w:t>
            </w:r>
          </w:p>
        </w:tc>
        <w:tc>
          <w:tcPr>
            <w:tcW w:w="1854" w:type="dxa"/>
            <w:gridSpan w:val="2"/>
            <w:vAlign w:val="center"/>
          </w:tcPr>
          <w:p>
            <w:pPr>
              <w:rPr>
                <w:noProof/>
                <w:sz w:val="14"/>
              </w:rPr>
            </w:pPr>
            <w:r>
              <w:rPr>
                <w:noProof/>
                <w:sz w:val="18"/>
              </w:rPr>
              <w:t>Engagements</w:t>
            </w:r>
          </w:p>
        </w:tc>
        <w:tc>
          <w:tcPr>
            <w:tcW w:w="110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410,000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410,000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440,000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220,000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320,000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370,000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430,000</w:t>
            </w:r>
          </w:p>
        </w:tc>
        <w:tc>
          <w:tcPr>
            <w:tcW w:w="877"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color w:val="000000"/>
                <w:sz w:val="20"/>
              </w:rPr>
              <w:t xml:space="preserve"> - </w:t>
            </w:r>
          </w:p>
        </w:tc>
        <w:tc>
          <w:tcPr>
            <w:tcW w:w="1292" w:type="dxa"/>
            <w:tcBorders>
              <w:top w:val="nil"/>
              <w:left w:val="nil"/>
              <w:bottom w:val="single" w:sz="8" w:space="0" w:color="auto"/>
              <w:right w:val="single" w:sz="8" w:space="0" w:color="auto"/>
            </w:tcBorders>
            <w:shd w:val="clear" w:color="auto" w:fill="auto"/>
            <w:vAlign w:val="center"/>
          </w:tcPr>
          <w:p>
            <w:pPr>
              <w:spacing w:before="60" w:after="60"/>
              <w:jc w:val="right"/>
              <w:rPr>
                <w:b/>
                <w:noProof/>
                <w:sz w:val="20"/>
              </w:rPr>
            </w:pPr>
            <w:r>
              <w:rPr>
                <w:b/>
                <w:bCs/>
                <w:noProof/>
                <w:color w:val="000000"/>
                <w:sz w:val="20"/>
              </w:rPr>
              <w:t xml:space="preserve">   2 600,000 </w:t>
            </w:r>
          </w:p>
        </w:tc>
      </w:tr>
      <w:tr>
        <w:trPr>
          <w:jc w:val="center"/>
        </w:trPr>
        <w:tc>
          <w:tcPr>
            <w:tcW w:w="4173" w:type="dxa"/>
            <w:vMerge/>
            <w:shd w:val="clear" w:color="auto" w:fill="C0C0C0"/>
          </w:tcPr>
          <w:p>
            <w:pPr>
              <w:rPr>
                <w:noProof/>
                <w:sz w:val="20"/>
              </w:rPr>
            </w:pPr>
          </w:p>
        </w:tc>
        <w:tc>
          <w:tcPr>
            <w:tcW w:w="1854" w:type="dxa"/>
            <w:gridSpan w:val="2"/>
            <w:vAlign w:val="center"/>
          </w:tcPr>
          <w:p>
            <w:pPr>
              <w:rPr>
                <w:noProof/>
                <w:sz w:val="14"/>
              </w:rPr>
            </w:pPr>
            <w:r>
              <w:rPr>
                <w:noProof/>
                <w:sz w:val="18"/>
              </w:rPr>
              <w:t>Paiements</w:t>
            </w:r>
          </w:p>
        </w:tc>
        <w:tc>
          <w:tcPr>
            <w:tcW w:w="110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124,017</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228,149</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353,660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188,733</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293,808</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348,884</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403,962</w:t>
            </w:r>
          </w:p>
        </w:tc>
        <w:tc>
          <w:tcPr>
            <w:tcW w:w="877"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658,787</w:t>
            </w:r>
          </w:p>
        </w:tc>
        <w:tc>
          <w:tcPr>
            <w:tcW w:w="1292" w:type="dxa"/>
            <w:tcBorders>
              <w:top w:val="nil"/>
              <w:left w:val="nil"/>
              <w:bottom w:val="single" w:sz="8" w:space="0" w:color="auto"/>
              <w:right w:val="single" w:sz="8" w:space="0" w:color="auto"/>
            </w:tcBorders>
            <w:shd w:val="clear" w:color="auto" w:fill="auto"/>
            <w:vAlign w:val="center"/>
          </w:tcPr>
          <w:p>
            <w:pPr>
              <w:spacing w:before="60" w:after="60"/>
              <w:jc w:val="right"/>
              <w:rPr>
                <w:b/>
                <w:noProof/>
                <w:sz w:val="20"/>
              </w:rPr>
            </w:pPr>
            <w:r>
              <w:rPr>
                <w:b/>
                <w:bCs/>
                <w:noProof/>
                <w:color w:val="000000"/>
                <w:sz w:val="20"/>
              </w:rPr>
              <w:t xml:space="preserve">   2 600,000 </w:t>
            </w:r>
          </w:p>
        </w:tc>
      </w:tr>
    </w:tbl>
    <w:p>
      <w:pPr>
        <w:rPr>
          <w:noProof/>
        </w:rPr>
      </w:pPr>
    </w:p>
    <w:p>
      <w:pPr>
        <w:rPr>
          <w:noProof/>
        </w:rPr>
      </w:pPr>
    </w:p>
    <w:tbl>
      <w:tblPr>
        <w:tblW w:w="13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pluriannuel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«Dépenses administratives»</w:t>
            </w:r>
          </w:p>
        </w:tc>
      </w:tr>
    </w:tbl>
    <w:p>
      <w:pPr>
        <w:rPr>
          <w:noProof/>
        </w:rPr>
        <w:sectPr>
          <w:headerReference w:type="even" r:id="rId37"/>
          <w:headerReference w:type="default" r:id="rId38"/>
          <w:footerReference w:type="even" r:id="rId39"/>
          <w:footerReference w:type="default" r:id="rId40"/>
          <w:headerReference w:type="first" r:id="rId41"/>
          <w:footerReference w:type="first" r:id="rId42"/>
          <w:pgSz w:w="15840" w:h="12240" w:orient="landscape"/>
          <w:pgMar w:top="1134" w:right="1077" w:bottom="902" w:left="1247" w:header="709" w:footer="510" w:gutter="0"/>
          <w:cols w:space="720"/>
          <w:docGrid w:linePitch="326"/>
        </w:sectPr>
      </w:pPr>
    </w:p>
    <w:p>
      <w:pPr>
        <w:jc w:val="right"/>
        <w:rPr>
          <w:noProof/>
          <w:sz w:val="20"/>
        </w:rPr>
      </w:pPr>
      <w:r>
        <w:rPr>
          <w:noProof/>
          <w:sz w:val="20"/>
        </w:rPr>
        <w:t>En Mio EUR (à la 3e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lang w:val="en-US"/>
              </w:rPr>
            </w:pPr>
            <w:r>
              <w:rPr>
                <w:b/>
                <w:noProof/>
                <w:color w:val="000000"/>
                <w:sz w:val="20"/>
                <w:szCs w:val="20"/>
                <w:lang w:val="en-US"/>
              </w:rPr>
              <w:t>DG CNECT (4 ETP AD STATUTAIRES, 2 ETP AC)</w:t>
            </w: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Après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Ressources humaines</w:t>
            </w:r>
            <w:r>
              <w:rPr>
                <w:rStyle w:val="FootnoteReference"/>
                <w:noProof/>
                <w:color w:val="000000"/>
                <w:sz w:val="20"/>
                <w:szCs w:val="20"/>
              </w:rPr>
              <w:footnoteReference w:id="14"/>
            </w:r>
          </w:p>
        </w:tc>
        <w:tc>
          <w:tcPr>
            <w:tcW w:w="868" w:type="dxa"/>
            <w:vAlign w:val="center"/>
          </w:tcPr>
          <w:p>
            <w:pPr>
              <w:spacing w:before="20" w:after="20"/>
              <w:jc w:val="right"/>
              <w:rPr>
                <w:noProof/>
                <w:sz w:val="20"/>
              </w:rPr>
            </w:pPr>
            <w:r>
              <w:rPr>
                <w:noProof/>
                <w:color w:val="000000"/>
                <w:sz w:val="20"/>
                <w:szCs w:val="20"/>
              </w:rPr>
              <w:t>0,760</w:t>
            </w:r>
          </w:p>
        </w:tc>
        <w:tc>
          <w:tcPr>
            <w:tcW w:w="868" w:type="dxa"/>
            <w:vAlign w:val="center"/>
          </w:tcPr>
          <w:p>
            <w:pPr>
              <w:spacing w:before="20" w:after="20"/>
              <w:jc w:val="right"/>
              <w:rPr>
                <w:noProof/>
                <w:sz w:val="20"/>
              </w:rPr>
            </w:pPr>
            <w:r>
              <w:rPr>
                <w:noProof/>
                <w:color w:val="000000"/>
                <w:sz w:val="20"/>
                <w:szCs w:val="20"/>
              </w:rPr>
              <w:t>0,760</w:t>
            </w:r>
          </w:p>
        </w:tc>
        <w:tc>
          <w:tcPr>
            <w:tcW w:w="868" w:type="dxa"/>
            <w:vAlign w:val="center"/>
          </w:tcPr>
          <w:p>
            <w:pPr>
              <w:spacing w:before="20" w:after="20"/>
              <w:jc w:val="right"/>
              <w:rPr>
                <w:noProof/>
                <w:sz w:val="20"/>
              </w:rPr>
            </w:pPr>
            <w:r>
              <w:rPr>
                <w:noProof/>
                <w:color w:val="000000"/>
                <w:sz w:val="20"/>
                <w:szCs w:val="20"/>
              </w:rPr>
              <w:t>0,760</w:t>
            </w:r>
          </w:p>
        </w:tc>
        <w:tc>
          <w:tcPr>
            <w:tcW w:w="868" w:type="dxa"/>
            <w:vAlign w:val="center"/>
          </w:tcPr>
          <w:p>
            <w:pPr>
              <w:spacing w:before="20" w:after="20"/>
              <w:jc w:val="right"/>
              <w:rPr>
                <w:noProof/>
                <w:sz w:val="20"/>
              </w:rPr>
            </w:pPr>
            <w:r>
              <w:rPr>
                <w:noProof/>
                <w:color w:val="000000"/>
                <w:sz w:val="20"/>
                <w:szCs w:val="20"/>
              </w:rPr>
              <w:t>0,760</w:t>
            </w:r>
          </w:p>
        </w:tc>
        <w:tc>
          <w:tcPr>
            <w:tcW w:w="868" w:type="dxa"/>
          </w:tcPr>
          <w:p>
            <w:pPr>
              <w:spacing w:before="20" w:after="20"/>
              <w:jc w:val="right"/>
              <w:rPr>
                <w:noProof/>
                <w:sz w:val="20"/>
              </w:rPr>
            </w:pPr>
            <w:r>
              <w:rPr>
                <w:noProof/>
                <w:color w:val="000000"/>
                <w:sz w:val="20"/>
                <w:szCs w:val="20"/>
              </w:rPr>
              <w:t>0,760</w:t>
            </w:r>
          </w:p>
        </w:tc>
        <w:tc>
          <w:tcPr>
            <w:tcW w:w="868" w:type="dxa"/>
          </w:tcPr>
          <w:p>
            <w:pPr>
              <w:spacing w:before="20" w:after="20"/>
              <w:jc w:val="right"/>
              <w:rPr>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87" w:type="dxa"/>
            <w:shd w:val="clear" w:color="auto" w:fill="A6A6A6"/>
            <w:vAlign w:val="center"/>
          </w:tcPr>
          <w:p>
            <w:pPr>
              <w:spacing w:before="20" w:after="20"/>
              <w:jc w:val="right"/>
              <w:rPr>
                <w:b/>
                <w:noProof/>
                <w:sz w:val="20"/>
              </w:rPr>
            </w:pPr>
            <w:r>
              <w:rPr>
                <w:noProof/>
                <w:color w:val="000000"/>
                <w:sz w:val="20"/>
                <w:szCs w:val="20"/>
              </w:rPr>
              <w:t>p.m.</w:t>
            </w:r>
          </w:p>
        </w:tc>
        <w:tc>
          <w:tcPr>
            <w:tcW w:w="1291" w:type="dxa"/>
            <w:vAlign w:val="center"/>
          </w:tcPr>
          <w:p>
            <w:pPr>
              <w:spacing w:before="20" w:after="20"/>
              <w:jc w:val="right"/>
              <w:rPr>
                <w:b/>
                <w:noProof/>
                <w:sz w:val="20"/>
              </w:rPr>
            </w:pPr>
            <w:r>
              <w:rPr>
                <w:b/>
                <w:bCs/>
                <w:noProof/>
                <w:color w:val="000000"/>
                <w:sz w:val="20"/>
                <w:szCs w:val="20"/>
              </w:rPr>
              <w:t>5,320</w:t>
            </w: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vAlign w:val="center"/>
          </w:tcPr>
          <w:p>
            <w:pPr>
              <w:spacing w:before="20" w:after="20"/>
              <w:jc w:val="right"/>
              <w:rPr>
                <w:b/>
                <w:noProof/>
                <w:sz w:val="20"/>
              </w:rPr>
            </w:pPr>
            <w:r>
              <w:rPr>
                <w:noProof/>
                <w:color w:val="000000"/>
                <w:sz w:val="20"/>
                <w:szCs w:val="20"/>
              </w:rPr>
              <w:t>p.m.</w:t>
            </w:r>
          </w:p>
        </w:tc>
        <w:tc>
          <w:tcPr>
            <w:tcW w:w="868" w:type="dxa"/>
          </w:tcPr>
          <w:p>
            <w:pPr>
              <w:spacing w:before="20" w:after="20"/>
              <w:jc w:val="right"/>
              <w:rPr>
                <w:b/>
                <w:noProof/>
                <w:sz w:val="20"/>
              </w:rPr>
            </w:pPr>
            <w:r>
              <w:rPr>
                <w:noProof/>
                <w:color w:val="000000"/>
                <w:sz w:val="20"/>
                <w:szCs w:val="20"/>
              </w:rPr>
              <w:t>p.m.</w:t>
            </w:r>
          </w:p>
        </w:tc>
        <w:tc>
          <w:tcPr>
            <w:tcW w:w="868" w:type="dxa"/>
          </w:tcPr>
          <w:p>
            <w:pPr>
              <w:spacing w:before="20" w:after="20"/>
              <w:jc w:val="right"/>
              <w:rPr>
                <w:b/>
                <w:noProof/>
                <w:sz w:val="20"/>
              </w:rPr>
            </w:pPr>
            <w:r>
              <w:rPr>
                <w:noProof/>
                <w:color w:val="000000"/>
                <w:sz w:val="20"/>
                <w:szCs w:val="20"/>
              </w:rPr>
              <w:t>p.m.</w:t>
            </w:r>
          </w:p>
        </w:tc>
        <w:tc>
          <w:tcPr>
            <w:tcW w:w="868" w:type="dxa"/>
          </w:tcPr>
          <w:p>
            <w:pPr>
              <w:spacing w:before="20" w:after="20"/>
              <w:jc w:val="right"/>
              <w:rPr>
                <w:b/>
                <w:noProof/>
                <w:sz w:val="20"/>
              </w:rPr>
            </w:pPr>
            <w:r>
              <w:rPr>
                <w:noProof/>
                <w:color w:val="000000"/>
                <w:sz w:val="20"/>
                <w:szCs w:val="20"/>
              </w:rPr>
              <w:t>p.m.</w:t>
            </w:r>
          </w:p>
        </w:tc>
        <w:tc>
          <w:tcPr>
            <w:tcW w:w="868" w:type="dxa"/>
          </w:tcPr>
          <w:p>
            <w:pPr>
              <w:spacing w:before="20" w:after="20"/>
              <w:jc w:val="right"/>
              <w:rPr>
                <w:b/>
                <w:noProof/>
                <w:sz w:val="20"/>
              </w:rPr>
            </w:pPr>
            <w:r>
              <w:rPr>
                <w:noProof/>
                <w:color w:val="000000"/>
                <w:sz w:val="20"/>
                <w:szCs w:val="20"/>
              </w:rPr>
              <w:t>p.m.</w:t>
            </w:r>
          </w:p>
        </w:tc>
        <w:tc>
          <w:tcPr>
            <w:tcW w:w="868" w:type="dxa"/>
          </w:tcPr>
          <w:p>
            <w:pPr>
              <w:spacing w:before="20" w:after="20"/>
              <w:jc w:val="right"/>
              <w:rPr>
                <w:b/>
                <w:noProof/>
                <w:sz w:val="20"/>
              </w:rPr>
            </w:pPr>
            <w:r>
              <w:rPr>
                <w:noProof/>
                <w:color w:val="000000"/>
                <w:sz w:val="20"/>
                <w:szCs w:val="20"/>
              </w:rPr>
              <w:t>p.m.</w:t>
            </w:r>
          </w:p>
        </w:tc>
        <w:tc>
          <w:tcPr>
            <w:tcW w:w="868" w:type="dxa"/>
          </w:tcPr>
          <w:p>
            <w:pPr>
              <w:spacing w:before="20" w:after="20"/>
              <w:jc w:val="right"/>
              <w:rPr>
                <w:b/>
                <w:noProof/>
                <w:sz w:val="20"/>
              </w:rPr>
            </w:pPr>
            <w:r>
              <w:rPr>
                <w:noProof/>
                <w:color w:val="000000"/>
                <w:sz w:val="20"/>
                <w:szCs w:val="20"/>
              </w:rPr>
              <w:t>p.m.</w:t>
            </w:r>
          </w:p>
        </w:tc>
        <w:tc>
          <w:tcPr>
            <w:tcW w:w="887" w:type="dxa"/>
            <w:shd w:val="clear" w:color="auto" w:fill="A6A6A6"/>
          </w:tcPr>
          <w:p>
            <w:pPr>
              <w:spacing w:before="20" w:after="20"/>
              <w:jc w:val="right"/>
              <w:rPr>
                <w:b/>
                <w:noProof/>
                <w:sz w:val="20"/>
              </w:rPr>
            </w:pPr>
            <w:r>
              <w:rPr>
                <w:noProof/>
                <w:color w:val="000000"/>
                <w:sz w:val="20"/>
                <w:szCs w:val="20"/>
              </w:rPr>
              <w:t>p.m.</w:t>
            </w:r>
          </w:p>
        </w:tc>
        <w:tc>
          <w:tcPr>
            <w:tcW w:w="1291" w:type="dxa"/>
          </w:tcPr>
          <w:p>
            <w:pPr>
              <w:spacing w:before="20" w:after="20"/>
              <w:jc w:val="right"/>
              <w:rPr>
                <w:b/>
                <w:noProof/>
                <w:sz w:val="20"/>
              </w:rPr>
            </w:pPr>
            <w:r>
              <w:rPr>
                <w:noProof/>
                <w:color w:val="000000"/>
                <w:sz w:val="20"/>
                <w:szCs w:val="20"/>
              </w:rPr>
              <w:t>p.m.</w:t>
            </w:r>
          </w:p>
        </w:tc>
      </w:tr>
      <w:tr>
        <w:trPr>
          <w:trHeight w:val="351"/>
          <w:jc w:val="center"/>
        </w:trPr>
        <w:tc>
          <w:tcPr>
            <w:tcW w:w="4199" w:type="dxa"/>
            <w:vAlign w:val="center"/>
          </w:tcPr>
          <w:p>
            <w:pPr>
              <w:spacing w:before="20" w:after="20"/>
              <w:jc w:val="left"/>
              <w:rPr>
                <w:b/>
                <w:noProof/>
                <w:sz w:val="22"/>
              </w:rPr>
            </w:pPr>
            <w:r>
              <w:rPr>
                <w:b/>
                <w:noProof/>
                <w:sz w:val="22"/>
              </w:rPr>
              <w:t>TOTAL des crédits pour la RUBRIQUE 7 du cadre financier pluriannuel</w:t>
            </w:r>
          </w:p>
        </w:tc>
        <w:tc>
          <w:tcPr>
            <w:tcW w:w="2046" w:type="dxa"/>
            <w:vAlign w:val="center"/>
          </w:tcPr>
          <w:p>
            <w:pPr>
              <w:spacing w:before="20" w:after="20"/>
              <w:rPr>
                <w:noProof/>
                <w:sz w:val="22"/>
              </w:rPr>
            </w:pPr>
            <w:r>
              <w:rPr>
                <w:noProof/>
                <w:sz w:val="18"/>
              </w:rPr>
              <w:t>(Total engagements = Total paiements)</w:t>
            </w:r>
          </w:p>
        </w:tc>
        <w:tc>
          <w:tcPr>
            <w:tcW w:w="868" w:type="dxa"/>
          </w:tcPr>
          <w:p>
            <w:pPr>
              <w:spacing w:before="20" w:after="20"/>
              <w:jc w:val="right"/>
              <w:rPr>
                <w:b/>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87" w:type="dxa"/>
            <w:shd w:val="clear" w:color="auto" w:fill="A6A6A6"/>
            <w:vAlign w:val="center"/>
          </w:tcPr>
          <w:p>
            <w:pPr>
              <w:spacing w:before="20" w:after="20"/>
              <w:jc w:val="right"/>
              <w:rPr>
                <w:b/>
                <w:noProof/>
                <w:sz w:val="20"/>
              </w:rPr>
            </w:pPr>
            <w:r>
              <w:rPr>
                <w:noProof/>
                <w:color w:val="000000"/>
                <w:sz w:val="20"/>
                <w:szCs w:val="20"/>
              </w:rPr>
              <w:t>p.m.</w:t>
            </w:r>
          </w:p>
        </w:tc>
        <w:tc>
          <w:tcPr>
            <w:tcW w:w="1291" w:type="dxa"/>
            <w:vAlign w:val="center"/>
          </w:tcPr>
          <w:p>
            <w:pPr>
              <w:spacing w:before="20" w:after="20"/>
              <w:jc w:val="right"/>
              <w:rPr>
                <w:b/>
                <w:noProof/>
                <w:sz w:val="20"/>
              </w:rPr>
            </w:pPr>
            <w:r>
              <w:rPr>
                <w:b/>
                <w:bCs/>
                <w:noProof/>
                <w:color w:val="000000"/>
                <w:sz w:val="20"/>
                <w:szCs w:val="20"/>
              </w:rPr>
              <w:t>5,320</w:t>
            </w:r>
          </w:p>
        </w:tc>
      </w:tr>
    </w:tbl>
    <w:p>
      <w:pPr>
        <w:jc w:val="right"/>
        <w:rPr>
          <w:noProof/>
          <w:sz w:val="20"/>
        </w:rPr>
      </w:pPr>
    </w:p>
    <w:p>
      <w:pPr>
        <w:jc w:val="right"/>
        <w:rPr>
          <w:noProof/>
          <w:sz w:val="20"/>
        </w:rPr>
      </w:pPr>
    </w:p>
    <w:p>
      <w:pPr>
        <w:jc w:val="right"/>
        <w:rPr>
          <w:noProof/>
          <w:sz w:val="20"/>
        </w:rPr>
      </w:pPr>
      <w:r>
        <w:rPr>
          <w:noProof/>
          <w:sz w:val="20"/>
        </w:rPr>
        <w:t>En Mio EUR (à la 3e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Après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des crédits </w:t>
            </w:r>
            <w:r>
              <w:rPr>
                <w:noProof/>
              </w:rPr>
              <w:t xml:space="preserve"> </w:t>
            </w:r>
            <w:r>
              <w:rPr>
                <w:noProof/>
              </w:rPr>
              <w:br/>
            </w:r>
            <w:r>
              <w:rPr>
                <w:b/>
                <w:noProof/>
                <w:sz w:val="22"/>
              </w:rPr>
              <w:t xml:space="preserve">des diverses RUBRIQUES </w:t>
            </w:r>
            <w:r>
              <w:rPr>
                <w:noProof/>
              </w:rPr>
              <w:t xml:space="preserve"> </w:t>
            </w:r>
            <w:r>
              <w:rPr>
                <w:noProof/>
              </w:rPr>
              <w:br/>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noProof/>
                <w:sz w:val="20"/>
              </w:rPr>
            </w:pPr>
            <w:r>
              <w:rPr>
                <w:noProof/>
                <w:sz w:val="20"/>
              </w:rPr>
              <w:t>410,760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noProof/>
                <w:sz w:val="20"/>
              </w:rPr>
            </w:pPr>
            <w:r>
              <w:rPr>
                <w:noProof/>
                <w:sz w:val="20"/>
              </w:rPr>
              <w:t>410,760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noProof/>
                <w:sz w:val="20"/>
              </w:rPr>
            </w:pPr>
            <w:r>
              <w:rPr>
                <w:noProof/>
                <w:sz w:val="20"/>
              </w:rPr>
              <w:t>440,760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noProof/>
                <w:sz w:val="20"/>
              </w:rPr>
            </w:pPr>
            <w:r>
              <w:rPr>
                <w:noProof/>
                <w:sz w:val="20"/>
              </w:rPr>
              <w:t>220,760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noProof/>
                <w:sz w:val="20"/>
              </w:rPr>
            </w:pPr>
            <w:r>
              <w:rPr>
                <w:noProof/>
                <w:sz w:val="20"/>
              </w:rPr>
              <w:t>320,760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noProof/>
                <w:sz w:val="20"/>
              </w:rPr>
            </w:pPr>
            <w:r>
              <w:rPr>
                <w:noProof/>
                <w:sz w:val="20"/>
              </w:rPr>
              <w:t>370,760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b/>
                <w:noProof/>
                <w:sz w:val="20"/>
              </w:rPr>
            </w:pPr>
            <w:r>
              <w:rPr>
                <w:b/>
                <w:noProof/>
                <w:sz w:val="20"/>
              </w:rPr>
              <w:t>430,760</w:t>
            </w:r>
          </w:p>
        </w:tc>
        <w:tc>
          <w:tcPr>
            <w:tcW w:w="877"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b/>
                <w:noProof/>
                <w:sz w:val="20"/>
              </w:rPr>
            </w:pPr>
          </w:p>
        </w:tc>
        <w:tc>
          <w:tcPr>
            <w:tcW w:w="1292"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b/>
                <w:noProof/>
                <w:sz w:val="20"/>
              </w:rPr>
            </w:pPr>
            <w:r>
              <w:rPr>
                <w:b/>
                <w:noProof/>
                <w:sz w:val="20"/>
              </w:rPr>
              <w:t>2 605,320</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124,777</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228,909</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354,420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189,420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294,568</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349,644</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b/>
                <w:noProof/>
                <w:sz w:val="20"/>
              </w:rPr>
            </w:pPr>
            <w:r>
              <w:rPr>
                <w:b/>
                <w:noProof/>
                <w:sz w:val="20"/>
              </w:rPr>
              <w:t>404,722</w:t>
            </w:r>
          </w:p>
        </w:tc>
        <w:tc>
          <w:tcPr>
            <w:tcW w:w="877" w:type="dxa"/>
            <w:tcBorders>
              <w:top w:val="nil"/>
              <w:left w:val="nil"/>
              <w:bottom w:val="single" w:sz="8" w:space="0" w:color="auto"/>
              <w:right w:val="single" w:sz="8" w:space="0" w:color="auto"/>
            </w:tcBorders>
            <w:shd w:val="clear" w:color="auto" w:fill="auto"/>
            <w:vAlign w:val="center"/>
          </w:tcPr>
          <w:p>
            <w:pPr>
              <w:spacing w:before="60" w:after="60"/>
              <w:jc w:val="right"/>
              <w:rPr>
                <w:b/>
                <w:noProof/>
                <w:sz w:val="20"/>
              </w:rPr>
            </w:pPr>
            <w:r>
              <w:rPr>
                <w:b/>
                <w:noProof/>
                <w:sz w:val="20"/>
              </w:rPr>
              <w:t>658,787</w:t>
            </w:r>
          </w:p>
        </w:tc>
        <w:tc>
          <w:tcPr>
            <w:tcW w:w="1292" w:type="dxa"/>
            <w:tcBorders>
              <w:top w:val="nil"/>
              <w:left w:val="nil"/>
              <w:bottom w:val="single" w:sz="8" w:space="0" w:color="auto"/>
              <w:right w:val="single" w:sz="8" w:space="0" w:color="auto"/>
            </w:tcBorders>
            <w:shd w:val="clear" w:color="auto" w:fill="auto"/>
            <w:vAlign w:val="center"/>
          </w:tcPr>
          <w:p>
            <w:pPr>
              <w:spacing w:before="60" w:after="60"/>
              <w:jc w:val="right"/>
              <w:rPr>
                <w:b/>
                <w:noProof/>
                <w:sz w:val="20"/>
              </w:rPr>
            </w:pPr>
            <w:r>
              <w:rPr>
                <w:b/>
                <w:noProof/>
                <w:sz w:val="20"/>
              </w:rPr>
              <w:t>2 605,320</w:t>
            </w:r>
          </w:p>
        </w:tc>
      </w:tr>
    </w:tbl>
    <w:p>
      <w:pPr>
        <w:pStyle w:val="ManualHeading3"/>
        <w:rPr>
          <w:rFonts w:eastAsiaTheme="majorEastAsia"/>
          <w:b/>
          <w:bCs/>
          <w:i w:val="0"/>
          <w:noProof/>
          <w:szCs w:val="26"/>
        </w:rPr>
      </w:pPr>
    </w:p>
    <w:p>
      <w:pPr>
        <w:rPr>
          <w:noProof/>
        </w:rPr>
      </w:pPr>
      <w:r>
        <w:rPr>
          <w:noProof/>
        </w:rPr>
        <w:br w:type="page"/>
      </w:r>
    </w:p>
    <w:p>
      <w:pPr>
        <w:pStyle w:val="ManualHeading3"/>
        <w:rPr>
          <w:rFonts w:eastAsiaTheme="majorEastAsia"/>
          <w:b/>
          <w:bCs/>
          <w:i w:val="0"/>
          <w:noProof/>
          <w:szCs w:val="26"/>
        </w:rPr>
      </w:pPr>
    </w:p>
    <w:p>
      <w:pPr>
        <w:pStyle w:val="Heading3"/>
        <w:rPr>
          <w:noProof/>
        </w:rPr>
      </w:pPr>
      <w:bookmarkStart w:id="47" w:name="_Toc54019297"/>
      <w:r>
        <w:rPr>
          <w:noProof/>
        </w:rPr>
        <w:t>Incidence estimée sur les ressources humaines de l’entreprise commune</w:t>
      </w:r>
      <w:bookmarkEnd w:id="47"/>
      <w:r>
        <w:rPr>
          <w:noProof/>
        </w:rPr>
        <w:t xml:space="preserve"> </w:t>
      </w:r>
    </w:p>
    <w:p>
      <w:pPr>
        <w:pStyle w:val="ListDash1"/>
        <w:numPr>
          <w:ilvl w:val="0"/>
          <w:numId w:val="9"/>
        </w:numPr>
        <w:rPr>
          <w:noProof/>
        </w:rPr>
      </w:pPr>
      <w:r>
        <w:rPr>
          <w:noProof/>
        </w:rPr>
        <w:sym w:font="Wingdings" w:char="F0A8"/>
      </w:r>
      <w:r>
        <w:rPr>
          <w:noProof/>
        </w:rPr>
        <w:tab/>
        <w:t xml:space="preserve">La proposition/l'initiative n'engendre pas l'utilisation de crédits de nature administrative. </w:t>
      </w:r>
    </w:p>
    <w:p>
      <w:pPr>
        <w:pStyle w:val="ListDash1"/>
        <w:numPr>
          <w:ilvl w:val="0"/>
          <w:numId w:val="9"/>
        </w:numPr>
        <w:rPr>
          <w:noProof/>
        </w:rPr>
      </w:pPr>
      <w:r>
        <w:rPr>
          <w:noProof/>
        </w:rPr>
        <w:sym w:font="Wingdings" w:char="F0FE"/>
      </w:r>
      <w:r>
        <w:rPr>
          <w:noProof/>
        </w:rPr>
        <w:tab/>
        <w:t>La proposition/l'initiative engendre l'utilisation de crédits de nature administrative, comme expliqué ci-après:</w:t>
      </w:r>
    </w:p>
    <w:tbl>
      <w:tblPr>
        <w:tblW w:w="13047" w:type="dxa"/>
        <w:tblLook w:val="04A0" w:firstRow="1" w:lastRow="0" w:firstColumn="1" w:lastColumn="0" w:noHBand="0" w:noVBand="1"/>
      </w:tblPr>
      <w:tblGrid>
        <w:gridCol w:w="2803"/>
        <w:gridCol w:w="1370"/>
        <w:gridCol w:w="1141"/>
        <w:gridCol w:w="1141"/>
        <w:gridCol w:w="1141"/>
        <w:gridCol w:w="1141"/>
        <w:gridCol w:w="1141"/>
        <w:gridCol w:w="1141"/>
        <w:gridCol w:w="1111"/>
        <w:gridCol w:w="917"/>
      </w:tblGrid>
      <w:tr>
        <w:trPr>
          <w:trHeight w:val="300"/>
        </w:trPr>
        <w:tc>
          <w:tcPr>
            <w:tcW w:w="0" w:type="auto"/>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Effectifs (exprimés en personnes physiques/ETP)</w:t>
            </w: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w:t>
            </w:r>
            <w:r>
              <w:rPr>
                <w:noProof/>
                <w:color w:val="000000"/>
                <w:sz w:val="18"/>
                <w:szCs w:val="18"/>
              </w:rPr>
              <w:t xml:space="preserve"> </w:t>
            </w:r>
            <w:r>
              <w:rPr>
                <w:noProof/>
                <w:color w:val="000000"/>
                <w:sz w:val="20"/>
                <w:szCs w:val="20"/>
              </w:rPr>
              <w:t>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w:t>
            </w:r>
            <w:r>
              <w:rPr>
                <w:noProof/>
                <w:color w:val="000000"/>
                <w:sz w:val="18"/>
                <w:szCs w:val="18"/>
              </w:rPr>
              <w:t xml:space="preserve"> </w:t>
            </w:r>
            <w:r>
              <w:rPr>
                <w:noProof/>
                <w:color w:val="000000"/>
                <w:sz w:val="20"/>
                <w:szCs w:val="20"/>
              </w:rPr>
              <w:t>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w:t>
            </w:r>
            <w:r>
              <w:rPr>
                <w:noProof/>
                <w:color w:val="000000"/>
                <w:sz w:val="18"/>
                <w:szCs w:val="18"/>
              </w:rPr>
              <w:t xml:space="preserve"> </w:t>
            </w:r>
            <w:r>
              <w:rPr>
                <w:noProof/>
                <w:color w:val="000000"/>
                <w:sz w:val="20"/>
                <w:szCs w:val="20"/>
              </w:rPr>
              <w:t>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Après 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Fonctionnaires (grades AD)</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Fonctionnaires (grades AST)</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Agents contractuels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 xml:space="preserve">Agents temporaires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14</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Experts nationaux détachés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15"/>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before="0" w:after="0"/>
              <w:jc w:val="left"/>
              <w:rPr>
                <w:b/>
                <w:bCs/>
                <w:noProof/>
                <w:color w:val="000000"/>
                <w:sz w:val="20"/>
                <w:szCs w:val="20"/>
              </w:rPr>
            </w:pPr>
            <w:r>
              <w:rPr>
                <w:b/>
                <w:bCs/>
                <w:noProof/>
                <w:color w:val="000000"/>
                <w:sz w:val="20"/>
                <w:szCs w:val="20"/>
              </w:rPr>
              <w:t>TOTAL</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34</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47</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57</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57</w:t>
            </w:r>
          </w:p>
        </w:tc>
        <w:tc>
          <w:tcPr>
            <w:tcW w:w="0" w:type="auto"/>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2"/>
              </w:rPr>
            </w:pPr>
            <w:r>
              <w:rPr>
                <w:noProof/>
                <w:color w:val="000000"/>
                <w:sz w:val="22"/>
              </w:rPr>
              <w:t>57</w:t>
            </w:r>
          </w:p>
        </w:tc>
        <w:tc>
          <w:tcPr>
            <w:tcW w:w="0" w:type="auto"/>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2"/>
              </w:rPr>
            </w:pPr>
            <w:r>
              <w:rPr>
                <w:noProof/>
                <w:color w:val="000000"/>
                <w:sz w:val="22"/>
              </w:rPr>
              <w:t>57</w:t>
            </w:r>
          </w:p>
        </w:tc>
        <w:tc>
          <w:tcPr>
            <w:tcW w:w="0" w:type="auto"/>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2"/>
              </w:rPr>
            </w:pPr>
            <w:r>
              <w:rPr>
                <w:noProof/>
                <w:color w:val="000000"/>
                <w:sz w:val="22"/>
              </w:rPr>
              <w:t>57</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8" w:space="0" w:color="auto"/>
              <w:left w:val="nil"/>
              <w:bottom w:val="single" w:sz="8" w:space="0" w:color="auto"/>
              <w:right w:val="single" w:sz="8"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En Mio EUR (à la 3e décimale)</w:t>
            </w: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Année 2021</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Année 2022</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Année 2023</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Année 2024</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Année 2025</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Année 2026</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Année 2027</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Après 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Fonctionnaires (grades AD)</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Fonctionnaires (grades AST)</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Agents contractuels</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1,019</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1,624</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1,988</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2,028</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2,069</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2,110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2,152</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4,304</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17,294</w:t>
            </w: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 xml:space="preserve">Agents temporaires </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1,148</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2,863</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3,584</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3,656</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3,729</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3,804</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3,880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7,759</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30,423</w:t>
            </w: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Experts nationaux détachés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15"/>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r>
      <w:tr>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before="0" w:after="0"/>
              <w:jc w:val="left"/>
              <w:rPr>
                <w:b/>
                <w:bCs/>
                <w:noProof/>
                <w:color w:val="000000"/>
                <w:sz w:val="20"/>
                <w:szCs w:val="20"/>
              </w:rPr>
            </w:pPr>
            <w:r>
              <w:rPr>
                <w:b/>
                <w:bCs/>
                <w:noProof/>
                <w:color w:val="000000"/>
                <w:sz w:val="20"/>
                <w:szCs w:val="20"/>
              </w:rPr>
              <w:t>TOTAL</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2,168</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4,488</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5,572</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5,684</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5,798</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5,914</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6,032</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12,063</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47,717</w:t>
            </w:r>
          </w:p>
        </w:tc>
      </w:tr>
    </w:tbl>
    <w:p>
      <w:pPr>
        <w:rPr>
          <w:noProof/>
          <w:sz w:val="20"/>
        </w:rPr>
      </w:pPr>
    </w:p>
    <w:p>
      <w:pPr>
        <w:rPr>
          <w:noProof/>
        </w:rPr>
        <w:sectPr>
          <w:headerReference w:type="even" r:id="rId43"/>
          <w:headerReference w:type="default" r:id="rId44"/>
          <w:footerReference w:type="even" r:id="rId45"/>
          <w:footerReference w:type="default" r:id="rId46"/>
          <w:headerReference w:type="first" r:id="rId47"/>
          <w:footerReference w:type="first" r:id="rId48"/>
          <w:pgSz w:w="15840" w:h="12240" w:orient="landscape"/>
          <w:pgMar w:top="1418" w:right="902" w:bottom="902" w:left="567" w:header="709" w:footer="709" w:gutter="0"/>
          <w:cols w:space="720"/>
          <w:docGrid w:linePitch="326"/>
        </w:sectPr>
      </w:pPr>
    </w:p>
    <w:p>
      <w:pPr>
        <w:rPr>
          <w:noProof/>
          <w:u w:val="single"/>
        </w:rPr>
      </w:pPr>
      <w:r>
        <w:rPr>
          <w:noProof/>
          <w:u w:val="single"/>
        </w:rPr>
        <w:t>Incidence estimée sur le personnel (ETP supplémentaires) – Tableau des effectifs</w:t>
      </w:r>
      <w:r>
        <w:rPr>
          <w:rStyle w:val="FootnoteReference"/>
          <w:noProof/>
          <w:u w:val="single"/>
        </w:rPr>
        <w:footnoteReference w:id="15"/>
      </w:r>
    </w:p>
    <w:tbl>
      <w:tblPr>
        <w:tblW w:w="9938" w:type="dxa"/>
        <w:tblInd w:w="93" w:type="dxa"/>
        <w:tblLayout w:type="fixed"/>
        <w:tblLook w:val="04A0" w:firstRow="1" w:lastRow="0" w:firstColumn="1" w:lastColumn="0" w:noHBand="0" w:noVBand="1"/>
      </w:tblPr>
      <w:tblGrid>
        <w:gridCol w:w="1598"/>
        <w:gridCol w:w="685"/>
        <w:gridCol w:w="686"/>
        <w:gridCol w:w="685"/>
        <w:gridCol w:w="685"/>
        <w:gridCol w:w="684"/>
        <w:gridCol w:w="684"/>
        <w:gridCol w:w="684"/>
        <w:gridCol w:w="712"/>
        <w:gridCol w:w="709"/>
        <w:gridCol w:w="708"/>
        <w:gridCol w:w="709"/>
        <w:gridCol w:w="709"/>
      </w:tblGrid>
      <w:tr>
        <w:trPr>
          <w:trHeight w:val="300"/>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szCs w:val="20"/>
              </w:rPr>
              <w:t>Groupe de fonctions et grade</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2021</w:t>
            </w:r>
          </w:p>
        </w:tc>
        <w:tc>
          <w:tcPr>
            <w:tcW w:w="68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2024</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w:t>
            </w:r>
            <w:r>
              <w:rPr>
                <w:noProof/>
                <w:color w:val="000000"/>
                <w:sz w:val="18"/>
                <w:szCs w:val="18"/>
              </w:rPr>
              <w:t xml:space="preserve"> </w:t>
            </w:r>
            <w:r>
              <w:rPr>
                <w:noProof/>
                <w:color w:val="000000"/>
                <w:sz w:val="20"/>
                <w:szCs w:val="20"/>
              </w:rPr>
              <w:t>2025</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w:t>
            </w:r>
            <w:r>
              <w:rPr>
                <w:noProof/>
                <w:color w:val="000000"/>
                <w:sz w:val="18"/>
                <w:szCs w:val="18"/>
              </w:rPr>
              <w:t xml:space="preserve"> </w:t>
            </w:r>
            <w:r>
              <w:rPr>
                <w:noProof/>
                <w:color w:val="000000"/>
                <w:sz w:val="20"/>
                <w:szCs w:val="20"/>
              </w:rPr>
              <w:t>2026</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w:t>
            </w:r>
            <w:r>
              <w:rPr>
                <w:noProof/>
                <w:color w:val="000000"/>
                <w:sz w:val="18"/>
                <w:szCs w:val="18"/>
              </w:rPr>
              <w:t xml:space="preserve"> </w:t>
            </w:r>
            <w:r>
              <w:rPr>
                <w:noProof/>
                <w:color w:val="000000"/>
                <w:sz w:val="20"/>
                <w:szCs w:val="20"/>
              </w:rPr>
              <w:t>2027</w:t>
            </w:r>
          </w:p>
        </w:tc>
        <w:tc>
          <w:tcPr>
            <w:tcW w:w="712" w:type="dxa"/>
            <w:tcBorders>
              <w:top w:val="single" w:sz="4" w:space="0" w:color="auto"/>
              <w:left w:val="nil"/>
              <w:bottom w:val="single" w:sz="4" w:space="0" w:color="auto"/>
              <w:right w:val="single" w:sz="4" w:space="0" w:color="auto"/>
            </w:tcBorders>
            <w:shd w:val="clear" w:color="auto" w:fill="auto"/>
            <w:vAlign w:val="center"/>
            <w:hideMark/>
          </w:tcPr>
          <w:p>
            <w:pPr>
              <w:spacing w:before="0" w:after="0"/>
              <w:rPr>
                <w:noProof/>
                <w:color w:val="000000"/>
                <w:sz w:val="20"/>
                <w:szCs w:val="20"/>
              </w:rPr>
            </w:pPr>
            <w:r>
              <w:rPr>
                <w:noProof/>
                <w:color w:val="000000"/>
                <w:sz w:val="20"/>
                <w:szCs w:val="20"/>
              </w:rPr>
              <w:t>Année</w:t>
            </w:r>
            <w:r>
              <w:rPr>
                <w:noProof/>
                <w:color w:val="000000"/>
                <w:sz w:val="18"/>
                <w:szCs w:val="18"/>
              </w:rPr>
              <w:t xml:space="preserve"> </w:t>
            </w:r>
            <w:r>
              <w:rPr>
                <w:noProof/>
                <w:color w:val="000000"/>
                <w:sz w:val="20"/>
                <w:szCs w:val="20"/>
              </w:rPr>
              <w:t>2028</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Année 2029</w:t>
            </w:r>
          </w:p>
        </w:tc>
        <w:tc>
          <w:tcPr>
            <w:tcW w:w="70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Année 2030</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Année 2031</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Après 2031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AD11</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AD10</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AD9</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AD8</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AD7</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AD5</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Total AD</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14</w:t>
            </w: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22</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27</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rPr>
                <w:noProof/>
                <w:color w:val="000000"/>
                <w:sz w:val="22"/>
              </w:rPr>
            </w:pPr>
            <w:r>
              <w:rPr>
                <w:noProof/>
                <w:color w:val="000000"/>
                <w:sz w:val="22"/>
              </w:rPr>
              <w:t>27</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27</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27</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27</w:t>
            </w: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AST11</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AST10</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AST9</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AST8</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AST7</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Total AST</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 xml:space="preserve">AST/SC 6 </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1</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Total AST/SC</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bl>
    <w:p>
      <w:pPr>
        <w:rPr>
          <w:noProof/>
        </w:rPr>
      </w:pPr>
    </w:p>
    <w:p>
      <w:pPr>
        <w:rPr>
          <w:noProof/>
          <w:u w:val="single"/>
        </w:rPr>
      </w:pPr>
      <w:r>
        <w:rPr>
          <w:noProof/>
          <w:u w:val="single"/>
        </w:rPr>
        <w:t>Incidence estimée sur le personnel (supplémentaire) – Personnel externe</w:t>
      </w:r>
    </w:p>
    <w:tbl>
      <w:tblPr>
        <w:tblW w:w="9686" w:type="dxa"/>
        <w:tblInd w:w="93" w:type="dxa"/>
        <w:tblLook w:val="04A0" w:firstRow="1" w:lastRow="0" w:firstColumn="1" w:lastColumn="0" w:noHBand="0" w:noVBand="1"/>
      </w:tblPr>
      <w:tblGrid>
        <w:gridCol w:w="2300"/>
        <w:gridCol w:w="738"/>
        <w:gridCol w:w="738"/>
        <w:gridCol w:w="738"/>
        <w:gridCol w:w="738"/>
        <w:gridCol w:w="738"/>
        <w:gridCol w:w="738"/>
        <w:gridCol w:w="844"/>
        <w:gridCol w:w="738"/>
        <w:gridCol w:w="738"/>
        <w:gridCol w:w="738"/>
        <w:gridCol w:w="738"/>
        <w:gridCol w:w="694"/>
      </w:tblGrid>
      <w:tr>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Agents contractuels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w:t>
            </w:r>
            <w:r>
              <w:rPr>
                <w:noProof/>
                <w:color w:val="000000"/>
                <w:sz w:val="18"/>
                <w:szCs w:val="18"/>
              </w:rPr>
              <w:t xml:space="preserve"> </w:t>
            </w:r>
            <w:r>
              <w:rPr>
                <w:noProof/>
                <w:color w:val="000000"/>
                <w:sz w:val="20"/>
                <w:szCs w:val="20"/>
              </w:rPr>
              <w:t>2025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w:t>
            </w:r>
            <w:r>
              <w:rPr>
                <w:noProof/>
                <w:color w:val="000000"/>
                <w:sz w:val="18"/>
                <w:szCs w:val="18"/>
              </w:rPr>
              <w:t xml:space="preserve"> </w:t>
            </w:r>
            <w:r>
              <w:rPr>
                <w:noProof/>
                <w:color w:val="000000"/>
                <w:sz w:val="20"/>
                <w:szCs w:val="20"/>
              </w:rPr>
              <w:t>2026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w:t>
            </w:r>
            <w:r>
              <w:rPr>
                <w:noProof/>
                <w:color w:val="000000"/>
                <w:sz w:val="18"/>
                <w:szCs w:val="18"/>
              </w:rPr>
              <w:t xml:space="preserve"> </w:t>
            </w:r>
            <w:r>
              <w:rPr>
                <w:noProof/>
                <w:color w:val="000000"/>
                <w:sz w:val="20"/>
                <w:szCs w:val="20"/>
              </w:rPr>
              <w:t>2027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2028</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Année 2029</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Année 2030</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Année 2031</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Après 2031</w:t>
            </w: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Groupe de fonctions IV</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639"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Groupe de fonctions III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639"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Groupe de fonctions II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639"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Groupe de fonctions 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639"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r>
      <w:tr>
        <w:trPr>
          <w:trHeight w:val="30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25</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30</w:t>
            </w:r>
          </w:p>
        </w:tc>
        <w:tc>
          <w:tcPr>
            <w:tcW w:w="84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30</w:t>
            </w:r>
          </w:p>
        </w:tc>
        <w:tc>
          <w:tcPr>
            <w:tcW w:w="709"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63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p>
        </w:tc>
        <w:tc>
          <w:tcPr>
            <w:tcW w:w="64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p>
        </w:tc>
        <w:tc>
          <w:tcPr>
            <w:tcW w:w="64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p>
        </w:tc>
        <w:tc>
          <w:tcPr>
            <w:tcW w:w="64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p>
        </w:tc>
      </w:tr>
    </w:tbl>
    <w:p>
      <w:pPr>
        <w:rPr>
          <w:noProof/>
        </w:rPr>
      </w:pPr>
    </w:p>
    <w:tbl>
      <w:tblPr>
        <w:tblW w:w="9996" w:type="dxa"/>
        <w:jc w:val="center"/>
        <w:tblLayout w:type="fixed"/>
        <w:tblLook w:val="04A0" w:firstRow="1" w:lastRow="0" w:firstColumn="1" w:lastColumn="0" w:noHBand="0" w:noVBand="1"/>
      </w:tblPr>
      <w:tblGrid>
        <w:gridCol w:w="1185"/>
        <w:gridCol w:w="734"/>
        <w:gridCol w:w="734"/>
        <w:gridCol w:w="735"/>
        <w:gridCol w:w="728"/>
        <w:gridCol w:w="735"/>
        <w:gridCol w:w="735"/>
        <w:gridCol w:w="735"/>
        <w:gridCol w:w="735"/>
        <w:gridCol w:w="735"/>
        <w:gridCol w:w="735"/>
        <w:gridCol w:w="735"/>
        <w:gridCol w:w="735"/>
      </w:tblGrid>
      <w:tr>
        <w:trPr>
          <w:trHeight w:val="30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Experts nationaux détachés</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2021</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2022</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2023</w:t>
            </w:r>
          </w:p>
        </w:tc>
        <w:tc>
          <w:tcPr>
            <w:tcW w:w="7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w:t>
            </w:r>
            <w:r>
              <w:rPr>
                <w:noProof/>
                <w:color w:val="000000"/>
                <w:sz w:val="18"/>
                <w:szCs w:val="18"/>
              </w:rPr>
              <w:t xml:space="preserve"> </w:t>
            </w:r>
            <w:r>
              <w:rPr>
                <w:noProof/>
                <w:color w:val="000000"/>
                <w:sz w:val="20"/>
                <w:szCs w:val="20"/>
              </w:rPr>
              <w:t>2025</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w:t>
            </w:r>
            <w:r>
              <w:rPr>
                <w:noProof/>
                <w:color w:val="000000"/>
                <w:sz w:val="18"/>
                <w:szCs w:val="18"/>
              </w:rPr>
              <w:t xml:space="preserve"> </w:t>
            </w:r>
            <w:r>
              <w:rPr>
                <w:noProof/>
                <w:color w:val="000000"/>
                <w:sz w:val="20"/>
                <w:szCs w:val="20"/>
              </w:rPr>
              <w:t>2026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w:t>
            </w:r>
            <w:r>
              <w:rPr>
                <w:noProof/>
                <w:color w:val="000000"/>
                <w:sz w:val="18"/>
                <w:szCs w:val="18"/>
              </w:rPr>
              <w:t xml:space="preserve"> </w:t>
            </w:r>
            <w:r>
              <w:rPr>
                <w:noProof/>
                <w:color w:val="000000"/>
                <w:sz w:val="20"/>
                <w:szCs w:val="20"/>
              </w:rPr>
              <w:t>2027</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w:t>
            </w:r>
            <w:r>
              <w:rPr>
                <w:noProof/>
                <w:color w:val="000000"/>
                <w:sz w:val="18"/>
                <w:szCs w:val="18"/>
              </w:rPr>
              <w:t xml:space="preserve"> </w:t>
            </w:r>
            <w:r>
              <w:rPr>
                <w:noProof/>
                <w:color w:val="000000"/>
                <w:sz w:val="20"/>
                <w:szCs w:val="20"/>
              </w:rPr>
              <w:t>2028</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Année 2029</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Année 2030</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Année 2031</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Après 2031</w:t>
            </w:r>
          </w:p>
        </w:tc>
      </w:tr>
      <w:tr>
        <w:trPr>
          <w:trHeight w:val="300"/>
          <w:jc w:val="center"/>
        </w:trPr>
        <w:tc>
          <w:tcPr>
            <w:tcW w:w="1185" w:type="dxa"/>
            <w:tcBorders>
              <w:top w:val="nil"/>
              <w:left w:val="single" w:sz="4" w:space="0" w:color="auto"/>
              <w:bottom w:val="single"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Total</w:t>
            </w:r>
          </w:p>
        </w:tc>
        <w:tc>
          <w:tcPr>
            <w:tcW w:w="734"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28"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hideMark/>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r>
    </w:tbl>
    <w:p>
      <w:pPr>
        <w:rPr>
          <w:noProof/>
        </w:rPr>
      </w:pPr>
    </w:p>
    <w:p>
      <w:pPr>
        <w:pStyle w:val="Heading3"/>
        <w:rPr>
          <w:noProof/>
        </w:rPr>
      </w:pPr>
      <w:bookmarkStart w:id="48" w:name="_Toc54019298"/>
      <w:r>
        <w:rPr>
          <w:noProof/>
        </w:rPr>
        <w:t>Estimation des besoins en ressources humaines de la Commission</w:t>
      </w:r>
      <w:bookmarkEnd w:id="48"/>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F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2"/>
        <w:gridCol w:w="1568"/>
        <w:gridCol w:w="990"/>
        <w:gridCol w:w="1134"/>
        <w:gridCol w:w="990"/>
        <w:gridCol w:w="1134"/>
        <w:gridCol w:w="1132"/>
        <w:gridCol w:w="994"/>
        <w:gridCol w:w="1117"/>
      </w:tblGrid>
      <w:tr>
        <w:trPr>
          <w:trHeight w:val="289"/>
        </w:trPr>
        <w:tc>
          <w:tcPr>
            <w:tcW w:w="1473" w:type="pct"/>
            <w:gridSpan w:val="2"/>
            <w:vAlign w:val="center"/>
          </w:tcPr>
          <w:p>
            <w:pPr>
              <w:pStyle w:val="Text1"/>
              <w:spacing w:before="40" w:after="40"/>
              <w:ind w:left="0"/>
              <w:jc w:val="center"/>
              <w:rPr>
                <w:i/>
                <w:noProof/>
                <w:sz w:val="16"/>
                <w:szCs w:val="16"/>
              </w:rPr>
            </w:pPr>
            <w:r>
              <w:rPr>
                <w:b/>
                <w:noProof/>
                <w:sz w:val="16"/>
                <w:szCs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6"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noProof/>
              </w:rPr>
              <w:t xml:space="preserve"> </w:t>
            </w:r>
            <w:r>
              <w:rPr>
                <w:b/>
                <w:noProof/>
                <w:sz w:val="16"/>
              </w:rPr>
              <w:t>Emplois du tableau des effectifs (fonctionnaires et agents temporaires)</w:t>
            </w:r>
          </w:p>
        </w:tc>
      </w:tr>
      <w:tr>
        <w:trPr>
          <w:trHeight w:val="289"/>
        </w:trPr>
        <w:tc>
          <w:tcPr>
            <w:tcW w:w="1473" w:type="pct"/>
            <w:gridSpan w:val="2"/>
          </w:tcPr>
          <w:p>
            <w:pPr>
              <w:pStyle w:val="Text1"/>
              <w:spacing w:beforeLines="20" w:before="48" w:afterLines="20" w:after="48"/>
              <w:ind w:left="134"/>
              <w:jc w:val="left"/>
              <w:rPr>
                <w:b/>
                <w:noProof/>
                <w:sz w:val="16"/>
                <w:szCs w:val="16"/>
              </w:rPr>
            </w:pPr>
            <w:r>
              <w:rPr>
                <w:noProof/>
                <w:sz w:val="16"/>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4</w:t>
            </w:r>
          </w:p>
        </w:tc>
        <w:tc>
          <w:tcPr>
            <w:tcW w:w="534" w:type="pct"/>
            <w:shd w:val="clear" w:color="auto" w:fill="auto"/>
          </w:tcPr>
          <w:p>
            <w:pPr>
              <w:spacing w:beforeLines="20" w:before="48" w:afterLines="20" w:after="48"/>
              <w:jc w:val="center"/>
              <w:rPr>
                <w:noProof/>
                <w:sz w:val="16"/>
                <w:szCs w:val="16"/>
              </w:rPr>
            </w:pPr>
            <w:r>
              <w:rPr>
                <w:noProof/>
                <w:sz w:val="16"/>
                <w:szCs w:val="16"/>
              </w:rPr>
              <w:t>4</w:t>
            </w:r>
          </w:p>
        </w:tc>
        <w:tc>
          <w:tcPr>
            <w:tcW w:w="466" w:type="pct"/>
            <w:shd w:val="clear" w:color="auto" w:fill="auto"/>
          </w:tcPr>
          <w:p>
            <w:pPr>
              <w:spacing w:beforeLines="20" w:before="48" w:afterLines="20" w:after="48"/>
              <w:jc w:val="center"/>
              <w:rPr>
                <w:noProof/>
                <w:sz w:val="16"/>
                <w:szCs w:val="16"/>
              </w:rPr>
            </w:pPr>
            <w:r>
              <w:rPr>
                <w:noProof/>
                <w:sz w:val="16"/>
                <w:szCs w:val="16"/>
              </w:rPr>
              <w:t>4</w:t>
            </w:r>
          </w:p>
        </w:tc>
        <w:tc>
          <w:tcPr>
            <w:tcW w:w="534" w:type="pct"/>
            <w:shd w:val="clear" w:color="auto" w:fill="auto"/>
          </w:tcPr>
          <w:p>
            <w:pPr>
              <w:spacing w:beforeLines="20" w:before="48" w:afterLines="20" w:after="48"/>
              <w:jc w:val="center"/>
              <w:rPr>
                <w:noProof/>
                <w:sz w:val="16"/>
                <w:szCs w:val="16"/>
              </w:rPr>
            </w:pPr>
            <w:r>
              <w:rPr>
                <w:noProof/>
                <w:sz w:val="16"/>
                <w:szCs w:val="16"/>
              </w:rPr>
              <w:t>4</w:t>
            </w:r>
          </w:p>
        </w:tc>
        <w:tc>
          <w:tcPr>
            <w:tcW w:w="533" w:type="pct"/>
            <w:shd w:val="clear" w:color="auto" w:fill="auto"/>
          </w:tcPr>
          <w:p>
            <w:pPr>
              <w:spacing w:beforeLines="20" w:before="48" w:afterLines="20" w:after="48"/>
              <w:jc w:val="center"/>
              <w:rPr>
                <w:noProof/>
                <w:sz w:val="16"/>
                <w:szCs w:val="16"/>
              </w:rPr>
            </w:pPr>
            <w:r>
              <w:rPr>
                <w:noProof/>
                <w:sz w:val="16"/>
                <w:szCs w:val="16"/>
              </w:rPr>
              <w:t>4</w:t>
            </w:r>
          </w:p>
        </w:tc>
        <w:tc>
          <w:tcPr>
            <w:tcW w:w="468" w:type="pct"/>
            <w:shd w:val="clear" w:color="auto" w:fill="auto"/>
          </w:tcPr>
          <w:p>
            <w:pPr>
              <w:spacing w:beforeLines="20" w:before="48" w:afterLines="20" w:after="48"/>
              <w:jc w:val="center"/>
              <w:rPr>
                <w:noProof/>
                <w:sz w:val="16"/>
                <w:szCs w:val="16"/>
              </w:rPr>
            </w:pPr>
            <w:r>
              <w:rPr>
                <w:noProof/>
                <w:sz w:val="16"/>
                <w:szCs w:val="16"/>
              </w:rPr>
              <w:t>4</w:t>
            </w:r>
          </w:p>
        </w:tc>
        <w:tc>
          <w:tcPr>
            <w:tcW w:w="526" w:type="pct"/>
            <w:shd w:val="clear" w:color="auto" w:fill="auto"/>
          </w:tcPr>
          <w:p>
            <w:pPr>
              <w:spacing w:beforeLines="20" w:before="48" w:afterLines="20" w:after="48"/>
              <w:jc w:val="center"/>
              <w:rPr>
                <w:noProof/>
                <w:sz w:val="16"/>
                <w:szCs w:val="16"/>
              </w:rPr>
            </w:pPr>
            <w:r>
              <w:rPr>
                <w:noProof/>
                <w:sz w:val="16"/>
                <w:szCs w:val="16"/>
              </w:rPr>
              <w:t>4</w:t>
            </w:r>
          </w:p>
        </w:tc>
      </w:tr>
      <w:tr>
        <w:trPr>
          <w:trHeight w:val="289"/>
        </w:trPr>
        <w:tc>
          <w:tcPr>
            <w:tcW w:w="1473" w:type="pct"/>
            <w:gridSpan w:val="2"/>
          </w:tcPr>
          <w:p>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Pr>
          <w:p>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 — AC, AL, END, INT et JED</w:t>
            </w:r>
            <w:r>
              <w:rPr>
                <w:noProof/>
                <w:sz w:val="16"/>
              </w:rPr>
              <w:t xml:space="preserve"> </w:t>
            </w:r>
            <w:r>
              <w:rPr>
                <w:rStyle w:val="FootnoteReference"/>
                <w:noProof/>
                <w:sz w:val="16"/>
              </w:rPr>
              <w:footnoteReference w:id="16"/>
            </w:r>
          </w:p>
          <w:p>
            <w:pPr>
              <w:pStyle w:val="Text1"/>
              <w:spacing w:before="0" w:after="0"/>
              <w:ind w:left="0"/>
              <w:jc w:val="left"/>
              <w:rPr>
                <w:noProof/>
                <w:sz w:val="16"/>
                <w:szCs w:val="16"/>
              </w:rPr>
            </w:pPr>
            <w:r>
              <w:rPr>
                <w:noProof/>
                <w:sz w:val="16"/>
                <w:szCs w:val="16"/>
              </w:rPr>
              <w:t>Rubrique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Financés au titre de la RUBRIQUE 7 du cadre financier pluriannuel</w:t>
            </w:r>
            <w:r>
              <w:rPr>
                <w:b/>
                <w:noProof/>
                <w:sz w:val="16"/>
              </w:rPr>
              <w:t xml:space="preserve"> </w:t>
            </w:r>
          </w:p>
        </w:tc>
        <w:tc>
          <w:tcPr>
            <w:tcW w:w="738" w:type="pct"/>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tcPr>
          <w:p>
            <w:pPr>
              <w:spacing w:beforeLines="20" w:before="48" w:afterLines="20" w:after="48"/>
              <w:jc w:val="center"/>
              <w:rPr>
                <w:noProof/>
                <w:sz w:val="16"/>
                <w:szCs w:val="16"/>
              </w:rPr>
            </w:pPr>
            <w:r>
              <w:rPr>
                <w:noProof/>
                <w:sz w:val="16"/>
                <w:szCs w:val="16"/>
              </w:rPr>
              <w:t>2</w:t>
            </w:r>
          </w:p>
        </w:tc>
        <w:tc>
          <w:tcPr>
            <w:tcW w:w="466" w:type="pct"/>
            <w:shd w:val="clear" w:color="auto" w:fill="auto"/>
          </w:tcPr>
          <w:p>
            <w:pPr>
              <w:spacing w:beforeLines="20" w:before="48" w:afterLines="20" w:after="48"/>
              <w:jc w:val="center"/>
              <w:rPr>
                <w:noProof/>
                <w:sz w:val="16"/>
                <w:szCs w:val="16"/>
              </w:rPr>
            </w:pPr>
            <w:r>
              <w:rPr>
                <w:noProof/>
                <w:sz w:val="16"/>
                <w:szCs w:val="16"/>
              </w:rPr>
              <w:t>2</w:t>
            </w:r>
          </w:p>
        </w:tc>
        <w:tc>
          <w:tcPr>
            <w:tcW w:w="534" w:type="pct"/>
            <w:shd w:val="clear" w:color="auto" w:fill="auto"/>
          </w:tcPr>
          <w:p>
            <w:pPr>
              <w:spacing w:beforeLines="20" w:before="48" w:afterLines="20" w:after="48"/>
              <w:jc w:val="center"/>
              <w:rPr>
                <w:noProof/>
                <w:sz w:val="16"/>
                <w:szCs w:val="16"/>
              </w:rPr>
            </w:pPr>
            <w:r>
              <w:rPr>
                <w:noProof/>
                <w:sz w:val="16"/>
                <w:szCs w:val="16"/>
              </w:rPr>
              <w:t>2</w:t>
            </w:r>
          </w:p>
        </w:tc>
        <w:tc>
          <w:tcPr>
            <w:tcW w:w="533" w:type="pct"/>
            <w:shd w:val="clear" w:color="auto" w:fill="auto"/>
          </w:tcPr>
          <w:p>
            <w:pPr>
              <w:spacing w:beforeLines="20" w:before="48" w:afterLines="20" w:after="48"/>
              <w:jc w:val="center"/>
              <w:rPr>
                <w:noProof/>
                <w:sz w:val="16"/>
                <w:szCs w:val="16"/>
              </w:rPr>
            </w:pPr>
            <w:r>
              <w:rPr>
                <w:noProof/>
                <w:sz w:val="16"/>
                <w:szCs w:val="16"/>
              </w:rPr>
              <w:t>2</w:t>
            </w:r>
          </w:p>
        </w:tc>
        <w:tc>
          <w:tcPr>
            <w:tcW w:w="468" w:type="pct"/>
            <w:shd w:val="clear" w:color="auto" w:fill="auto"/>
          </w:tcPr>
          <w:p>
            <w:pPr>
              <w:spacing w:beforeLines="20" w:before="48" w:afterLines="20" w:after="48"/>
              <w:jc w:val="center"/>
              <w:rPr>
                <w:noProof/>
                <w:sz w:val="16"/>
                <w:szCs w:val="16"/>
              </w:rPr>
            </w:pPr>
            <w:r>
              <w:rPr>
                <w:noProof/>
                <w:sz w:val="16"/>
                <w:szCs w:val="16"/>
              </w:rPr>
              <w:t>2</w:t>
            </w:r>
          </w:p>
        </w:tc>
        <w:tc>
          <w:tcPr>
            <w:tcW w:w="526" w:type="pct"/>
            <w:shd w:val="clear" w:color="auto" w:fill="auto"/>
          </w:tcPr>
          <w:p>
            <w:pPr>
              <w:spacing w:beforeLines="20" w:before="48" w:afterLines="20" w:after="48"/>
              <w:jc w:val="center"/>
              <w:rPr>
                <w:noProof/>
                <w:sz w:val="16"/>
                <w:szCs w:val="16"/>
              </w:rPr>
            </w:pPr>
            <w:r>
              <w:rPr>
                <w:noProof/>
                <w:sz w:val="16"/>
                <w:szCs w:val="16"/>
              </w:rPr>
              <w:t>2</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8" w:type="pct"/>
            <w:vAlign w:val="center"/>
          </w:tcPr>
          <w:p>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Financés par l’enveloppe du programme</w:t>
            </w:r>
            <w:r>
              <w:rPr>
                <w:b/>
                <w:noProof/>
                <w:sz w:val="16"/>
                <w:szCs w:val="16"/>
              </w:rPr>
              <w:t xml:space="preserve"> </w:t>
            </w:r>
            <w:r>
              <w:rPr>
                <w:rStyle w:val="FootnoteReference"/>
                <w:b/>
                <w:noProof/>
                <w:sz w:val="16"/>
              </w:rPr>
              <w:footnoteReference w:id="17"/>
            </w:r>
          </w:p>
        </w:tc>
        <w:tc>
          <w:tcPr>
            <w:tcW w:w="738"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8"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Pr>
          <w:p>
            <w:pPr>
              <w:pStyle w:val="Text1"/>
              <w:spacing w:beforeLines="20" w:before="48" w:afterLines="20" w:after="48"/>
              <w:ind w:left="136"/>
              <w:jc w:val="left"/>
              <w:rPr>
                <w:noProof/>
                <w:sz w:val="16"/>
                <w:szCs w:val="16"/>
              </w:rPr>
            </w:pPr>
            <w:r>
              <w:rPr>
                <w:noProof/>
                <w:sz w:val="16"/>
                <w:szCs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6"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w:t>
            </w:r>
          </w:p>
        </w:tc>
        <w:tc>
          <w:tcPr>
            <w:tcW w:w="526"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w:t>
            </w:r>
          </w:p>
        </w:tc>
      </w:tr>
    </w:tbl>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rPr>
                <w:noProof/>
                <w:sz w:val="20"/>
              </w:rPr>
            </w:pPr>
          </w:p>
        </w:tc>
      </w:tr>
      <w:tr>
        <w:tc>
          <w:tcPr>
            <w:tcW w:w="3240" w:type="dxa"/>
          </w:tcPr>
          <w:p>
            <w:pPr>
              <w:spacing w:before="60" w:after="60"/>
              <w:rPr>
                <w:noProof/>
                <w:sz w:val="20"/>
              </w:rPr>
            </w:pPr>
            <w:r>
              <w:rPr>
                <w:noProof/>
                <w:sz w:val="20"/>
              </w:rPr>
              <w:t>Personnel externe</w:t>
            </w:r>
          </w:p>
        </w:tc>
        <w:tc>
          <w:tcPr>
            <w:tcW w:w="7392" w:type="dxa"/>
          </w:tcPr>
          <w:p>
            <w:pPr>
              <w:rPr>
                <w:noProof/>
                <w:sz w:val="20"/>
              </w:rPr>
            </w:pPr>
          </w:p>
        </w:tc>
      </w:tr>
    </w:tbl>
    <w:p>
      <w:pPr>
        <w:rPr>
          <w:noProof/>
        </w:rPr>
      </w:pPr>
    </w:p>
    <w:p>
      <w:pPr>
        <w:rPr>
          <w:noProof/>
        </w:rPr>
        <w:sectPr>
          <w:headerReference w:type="even" r:id="rId49"/>
          <w:headerReference w:type="default" r:id="rId50"/>
          <w:footerReference w:type="even" r:id="rId51"/>
          <w:footerReference w:type="default" r:id="rId52"/>
          <w:headerReference w:type="first" r:id="rId53"/>
          <w:footerReference w:type="first" r:id="rId54"/>
          <w:pgSz w:w="11907" w:h="16839"/>
          <w:pgMar w:top="1134" w:right="1417" w:bottom="1134" w:left="1417" w:header="709" w:footer="709" w:gutter="0"/>
          <w:cols w:space="720"/>
          <w:docGrid w:linePitch="326"/>
        </w:sectPr>
      </w:pPr>
    </w:p>
    <w:p>
      <w:pPr>
        <w:pStyle w:val="Heading3"/>
        <w:rPr>
          <w:bCs w:val="0"/>
          <w:noProof/>
          <w:szCs w:val="24"/>
        </w:rPr>
      </w:pPr>
      <w:bookmarkStart w:id="49" w:name="_Toc54019299"/>
      <w:r>
        <w:rPr>
          <w:noProof/>
        </w:rPr>
        <w:t>Participation de tiers au financement</w:t>
      </w:r>
      <w:r>
        <w:rPr>
          <w:rStyle w:val="FootnoteReference"/>
          <w:noProof/>
        </w:rPr>
        <w:footnoteReference w:id="18"/>
      </w:r>
      <w:bookmarkEnd w:id="49"/>
      <w:r>
        <w:rPr>
          <w:noProof/>
        </w:rPr>
        <w:t xml:space="preserve"> </w:t>
      </w:r>
    </w:p>
    <w:p>
      <w:pPr>
        <w:pStyle w:val="Text1"/>
        <w:rPr>
          <w:noProof/>
        </w:rPr>
      </w:pPr>
      <w:r>
        <w:rPr>
          <w:noProof/>
        </w:rPr>
        <w:t>La proposition/L’initiative:</w:t>
      </w:r>
    </w:p>
    <w:p>
      <w:pPr>
        <w:pStyle w:val="ListDash1"/>
        <w:rPr>
          <w:noProof/>
        </w:rPr>
      </w:pPr>
      <w:r>
        <w:rPr>
          <w:noProof/>
        </w:rPr>
        <w:sym w:font="Wingdings" w:char="F0A8"/>
      </w:r>
      <w:r>
        <w:rPr>
          <w:noProof/>
        </w:rPr>
        <w:tab/>
        <w:t>ne prévoit pas de cofinancement par des tierces parties</w:t>
      </w:r>
    </w:p>
    <w:p>
      <w:pPr>
        <w:pStyle w:val="ListDash1"/>
        <w:rPr>
          <w:noProof/>
        </w:rPr>
      </w:pPr>
      <w:r>
        <w:rPr>
          <w:noProof/>
        </w:rPr>
        <w:sym w:font="Wingdings" w:char="F0FE"/>
      </w:r>
      <w:r>
        <w:rPr>
          <w:noProof/>
        </w:rPr>
        <w:tab/>
        <w:t>prévoit le cofinancement par des tierces parties estimé ci‑après:</w:t>
      </w:r>
    </w:p>
    <w:tbl>
      <w:tblPr>
        <w:tblW w:w="10815" w:type="dxa"/>
        <w:tblInd w:w="-853" w:type="dxa"/>
        <w:tblLook w:val="04A0" w:firstRow="1" w:lastRow="0" w:firstColumn="1" w:lastColumn="0" w:noHBand="0" w:noVBand="1"/>
      </w:tblPr>
      <w:tblGrid>
        <w:gridCol w:w="2879"/>
        <w:gridCol w:w="886"/>
        <w:gridCol w:w="886"/>
        <w:gridCol w:w="886"/>
        <w:gridCol w:w="886"/>
        <w:gridCol w:w="885"/>
        <w:gridCol w:w="885"/>
        <w:gridCol w:w="885"/>
        <w:gridCol w:w="721"/>
        <w:gridCol w:w="1016"/>
      </w:tblGrid>
      <w:tr>
        <w:trPr>
          <w:trHeight w:val="305"/>
        </w:trPr>
        <w:tc>
          <w:tcPr>
            <w:tcW w:w="0" w:type="auto"/>
            <w:gridSpan w:val="10"/>
            <w:tcBorders>
              <w:top w:val="nil"/>
              <w:left w:val="nil"/>
              <w:bottom w:val="single" w:sz="4" w:space="0" w:color="auto"/>
              <w:right w:val="nil"/>
            </w:tcBorders>
            <w:shd w:val="clear" w:color="auto" w:fill="auto"/>
            <w:noWrap/>
            <w:vAlign w:val="bottom"/>
          </w:tcPr>
          <w:p>
            <w:pPr>
              <w:pStyle w:val="ListDash1"/>
              <w:rPr>
                <w:noProof/>
                <w:color w:val="000000"/>
                <w:szCs w:val="20"/>
              </w:rPr>
            </w:pPr>
            <w:r>
              <w:rPr>
                <w:noProof/>
              </w:rPr>
              <w:t>Crédits en Mio EUR (à la 3e décimale)</w:t>
            </w:r>
          </w:p>
        </w:tc>
      </w:tr>
      <w:tr>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2021</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2022</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2023</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 2024</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w:t>
            </w:r>
            <w:r>
              <w:rPr>
                <w:noProof/>
                <w:color w:val="000000"/>
                <w:sz w:val="18"/>
                <w:szCs w:val="18"/>
              </w:rPr>
              <w:t xml:space="preserve"> </w:t>
            </w:r>
            <w:r>
              <w:rPr>
                <w:noProof/>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w:t>
            </w:r>
            <w:r>
              <w:rPr>
                <w:noProof/>
                <w:color w:val="000000"/>
                <w:sz w:val="18"/>
                <w:szCs w:val="18"/>
              </w:rPr>
              <w:t xml:space="preserve"> </w:t>
            </w:r>
            <w:r>
              <w:rPr>
                <w:noProof/>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Année</w:t>
            </w:r>
            <w:r>
              <w:rPr>
                <w:noProof/>
                <w:color w:val="000000"/>
                <w:sz w:val="18"/>
                <w:szCs w:val="18"/>
              </w:rPr>
              <w:t xml:space="preserve"> </w:t>
            </w:r>
            <w:r>
              <w:rPr>
                <w:noProof/>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Après 2027</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519"/>
        </w:trPr>
        <w:tc>
          <w:tcPr>
            <w:tcW w:w="0" w:type="auto"/>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20"/>
              </w:rPr>
            </w:pPr>
            <w:r>
              <w:rPr>
                <w:noProof/>
                <w:sz w:val="20"/>
              </w:rPr>
              <w:t xml:space="preserve">Contribution financière aux frais administratifs de l’entreprise commune couverts par les États participants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2,295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8,655</w:t>
            </w:r>
          </w:p>
        </w:tc>
        <w:tc>
          <w:tcPr>
            <w:tcW w:w="0" w:type="auto"/>
            <w:tcBorders>
              <w:top w:val="nil"/>
              <w:left w:val="nil"/>
              <w:bottom w:val="single" w:sz="4" w:space="0" w:color="auto"/>
              <w:right w:val="single" w:sz="4" w:space="0" w:color="auto"/>
            </w:tcBorders>
            <w:shd w:val="clear" w:color="auto" w:fill="auto"/>
            <w:noWrap/>
            <w:vAlign w:val="center"/>
          </w:tcPr>
          <w:p>
            <w:pPr>
              <w:spacing w:before="9" w:after="9"/>
              <w:jc w:val="center"/>
              <w:rPr>
                <w:noProof/>
                <w:sz w:val="20"/>
              </w:rPr>
            </w:pPr>
          </w:p>
          <w:p>
            <w:pPr>
              <w:spacing w:before="9" w:after="9"/>
              <w:jc w:val="center"/>
              <w:rPr>
                <w:noProof/>
                <w:sz w:val="20"/>
              </w:rPr>
            </w:pPr>
          </w:p>
          <w:p>
            <w:pPr>
              <w:spacing w:before="0" w:after="0"/>
              <w:jc w:val="right"/>
              <w:rPr>
                <w:b/>
                <w:bCs/>
                <w:noProof/>
                <w:color w:val="000000"/>
                <w:sz w:val="22"/>
              </w:rPr>
            </w:pPr>
            <w:r>
              <w:rPr>
                <w:noProof/>
                <w:sz w:val="20"/>
              </w:rPr>
              <w:t>30,000</w:t>
            </w:r>
          </w:p>
        </w:tc>
      </w:tr>
      <w:tr>
        <w:trPr>
          <w:trHeight w:val="519"/>
        </w:trPr>
        <w:tc>
          <w:tcPr>
            <w:tcW w:w="0" w:type="auto"/>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20"/>
              </w:rPr>
            </w:pPr>
            <w:r>
              <w:rPr>
                <w:noProof/>
                <w:sz w:val="20"/>
              </w:rPr>
              <w:t>Contributions financières des membres privés/partenaires associés aux frais administratifs [article 22, paragraphe 3, point b) SBA]</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0,000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0,000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1,000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1,000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1,000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1,000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1,000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1,000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22"/>
              </w:rPr>
            </w:pPr>
            <w:r>
              <w:rPr>
                <w:noProof/>
                <w:sz w:val="20"/>
              </w:rPr>
              <w:t>6,000</w:t>
            </w:r>
          </w:p>
        </w:tc>
      </w:tr>
      <w:tr>
        <w:trPr>
          <w:trHeight w:val="519"/>
        </w:trPr>
        <w:tc>
          <w:tcPr>
            <w:tcW w:w="0" w:type="auto"/>
            <w:tcBorders>
              <w:top w:val="nil"/>
              <w:left w:val="single" w:sz="4" w:space="0" w:color="auto"/>
              <w:bottom w:val="single" w:sz="4" w:space="0" w:color="auto"/>
              <w:right w:val="single" w:sz="4" w:space="0" w:color="auto"/>
            </w:tcBorders>
            <w:shd w:val="clear" w:color="auto" w:fill="auto"/>
          </w:tcPr>
          <w:p>
            <w:pPr>
              <w:spacing w:before="0" w:after="0"/>
              <w:jc w:val="left"/>
              <w:rPr>
                <w:noProof/>
                <w:color w:val="000000"/>
                <w:sz w:val="20"/>
                <w:szCs w:val="20"/>
              </w:rPr>
            </w:pPr>
            <w:r>
              <w:rPr>
                <w:noProof/>
                <w:sz w:val="20"/>
              </w:rPr>
              <w:t xml:space="preserve">Contributions financières des États participants aux frais de fonctionnement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407,705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406,825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436,825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216,825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316,825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366,825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418,170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0,00</w:t>
            </w:r>
          </w:p>
        </w:tc>
        <w:tc>
          <w:tcPr>
            <w:tcW w:w="0" w:type="auto"/>
            <w:tcBorders>
              <w:top w:val="nil"/>
              <w:left w:val="nil"/>
              <w:bottom w:val="single" w:sz="4" w:space="0" w:color="auto"/>
              <w:right w:val="single" w:sz="4" w:space="0" w:color="auto"/>
            </w:tcBorders>
            <w:shd w:val="clear" w:color="auto" w:fill="auto"/>
            <w:noWrap/>
            <w:vAlign w:val="center"/>
          </w:tcPr>
          <w:p>
            <w:pPr>
              <w:spacing w:before="9" w:after="9"/>
              <w:jc w:val="center"/>
              <w:rPr>
                <w:noProof/>
                <w:sz w:val="20"/>
              </w:rPr>
            </w:pPr>
          </w:p>
          <w:p>
            <w:pPr>
              <w:spacing w:before="9" w:after="9"/>
              <w:jc w:val="center"/>
              <w:rPr>
                <w:noProof/>
                <w:sz w:val="20"/>
              </w:rPr>
            </w:pPr>
          </w:p>
          <w:p>
            <w:pPr>
              <w:spacing w:before="0" w:after="0"/>
              <w:jc w:val="right"/>
              <w:rPr>
                <w:b/>
                <w:bCs/>
                <w:noProof/>
                <w:color w:val="000000"/>
                <w:sz w:val="22"/>
              </w:rPr>
            </w:pPr>
            <w:r>
              <w:rPr>
                <w:noProof/>
                <w:sz w:val="20"/>
              </w:rPr>
              <w:t>2 570,000</w:t>
            </w:r>
          </w:p>
        </w:tc>
      </w:tr>
      <w:tr>
        <w:trPr>
          <w:trHeight w:val="519"/>
        </w:trPr>
        <w:tc>
          <w:tcPr>
            <w:tcW w:w="0" w:type="auto"/>
            <w:tcBorders>
              <w:top w:val="nil"/>
              <w:left w:val="single" w:sz="4" w:space="0" w:color="auto"/>
              <w:bottom w:val="single" w:sz="4" w:space="0" w:color="auto"/>
              <w:right w:val="single" w:sz="4" w:space="0" w:color="auto"/>
            </w:tcBorders>
            <w:shd w:val="clear" w:color="auto" w:fill="auto"/>
          </w:tcPr>
          <w:p>
            <w:pPr>
              <w:spacing w:before="0" w:after="0"/>
              <w:jc w:val="left"/>
              <w:rPr>
                <w:noProof/>
                <w:color w:val="000000"/>
                <w:sz w:val="20"/>
                <w:szCs w:val="20"/>
              </w:rPr>
            </w:pPr>
            <w:r>
              <w:rPr>
                <w:noProof/>
                <w:sz w:val="20"/>
              </w:rPr>
              <w:t>Contributions en nature des membres privés/partenaires associés aux activités opérationnelles [article 22, paragraphe 3, point d) SBA]</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p>
        </w:tc>
      </w:tr>
      <w:tr>
        <w:trPr>
          <w:trHeight w:val="488"/>
        </w:trPr>
        <w:tc>
          <w:tcPr>
            <w:tcW w:w="0" w:type="auto"/>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18"/>
              </w:rPr>
            </w:pPr>
            <w:r>
              <w:rPr>
                <w:noProof/>
                <w:sz w:val="20"/>
              </w:rPr>
              <w:t>Contributions en nature des États participants aux activités opérationnelles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p>
        </w:tc>
      </w:tr>
      <w:tr>
        <w:trPr>
          <w:trHeight w:val="3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noProof/>
                <w:color w:val="000000"/>
                <w:sz w:val="20"/>
                <w:szCs w:val="20"/>
              </w:rPr>
            </w:pPr>
            <w:r>
              <w:rPr>
                <w:noProof/>
                <w:color w:val="000000"/>
                <w:sz w:val="20"/>
                <w:szCs w:val="20"/>
              </w:rPr>
              <w:t xml:space="preserve">TOTAL crédits cofinancés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410,000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410,000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441,000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221,000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321,000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371,000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422,345</w:t>
            </w:r>
          </w:p>
        </w:tc>
        <w:tc>
          <w:tcPr>
            <w:tcW w:w="0" w:type="auto"/>
            <w:tcBorders>
              <w:top w:val="nil"/>
              <w:left w:val="nil"/>
              <w:bottom w:val="single" w:sz="4" w:space="0" w:color="auto"/>
              <w:right w:val="single" w:sz="4" w:space="0" w:color="auto"/>
            </w:tcBorders>
            <w:shd w:val="clear" w:color="auto" w:fill="auto"/>
            <w:noWrap/>
          </w:tcPr>
          <w:p>
            <w:pPr>
              <w:spacing w:before="9" w:after="9"/>
              <w:jc w:val="center"/>
              <w:rPr>
                <w:noProof/>
                <w:sz w:val="20"/>
              </w:rPr>
            </w:pPr>
          </w:p>
          <w:p>
            <w:pPr>
              <w:spacing w:before="0" w:after="0"/>
              <w:jc w:val="right"/>
              <w:rPr>
                <w:b/>
                <w:bCs/>
                <w:noProof/>
                <w:color w:val="000000"/>
                <w:sz w:val="22"/>
              </w:rPr>
            </w:pPr>
            <w:r>
              <w:rPr>
                <w:noProof/>
                <w:sz w:val="20"/>
              </w:rPr>
              <w:t>9,655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22"/>
              </w:rPr>
            </w:pPr>
            <w:r>
              <w:rPr>
                <w:noProof/>
                <w:sz w:val="20"/>
              </w:rPr>
              <w:t>2 606,000</w:t>
            </w:r>
          </w:p>
        </w:tc>
      </w:tr>
    </w:tbl>
    <w:p>
      <w:pPr>
        <w:jc w:val="left"/>
        <w:rPr>
          <w:noProof/>
        </w:rPr>
      </w:pPr>
      <w:r>
        <w:rPr>
          <w:noProof/>
        </w:rPr>
        <w:t xml:space="preserve"> </w:t>
      </w:r>
      <w:r>
        <w:rPr>
          <w:noProof/>
        </w:rPr>
        <w:br/>
      </w:r>
    </w:p>
    <w:p>
      <w:pPr>
        <w:pStyle w:val="ListDash1"/>
        <w:numPr>
          <w:ilvl w:val="0"/>
          <w:numId w:val="0"/>
        </w:numPr>
        <w:ind w:left="1134"/>
        <w:rPr>
          <w:noProof/>
        </w:rPr>
      </w:pPr>
    </w:p>
    <w:p>
      <w:pPr>
        <w:pStyle w:val="Heading2"/>
        <w:numPr>
          <w:ilvl w:val="1"/>
          <w:numId w:val="5"/>
        </w:numPr>
        <w:rPr>
          <w:bCs w:val="0"/>
          <w:noProof/>
          <w:szCs w:val="24"/>
        </w:rPr>
      </w:pPr>
      <w:r>
        <w:rPr>
          <w:noProof/>
        </w:rPr>
        <w:br w:type="page"/>
      </w:r>
      <w:bookmarkStart w:id="50" w:name="_Toc54019300"/>
      <w:r>
        <w:rPr>
          <w:noProof/>
        </w:rPr>
        <w:t>Incidence estimée sur les recettes</w:t>
      </w:r>
      <w:bookmarkEnd w:id="50"/>
      <w:r>
        <w:rPr>
          <w:noProof/>
        </w:rPr>
        <w:t xml:space="preserve"> </w:t>
      </w:r>
    </w:p>
    <w:p>
      <w:pPr>
        <w:pStyle w:val="ListDash1"/>
        <w:rPr>
          <w:noProof/>
        </w:rPr>
      </w:pPr>
      <w:r>
        <w:rPr>
          <w:noProof/>
        </w:rPr>
        <w:sym w:font="Wingdings 2" w:char="F051"/>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sur les autres recettes</w:t>
      </w:r>
    </w:p>
    <w:p>
      <w:pPr>
        <w:rPr>
          <w:noProof/>
        </w:rPr>
      </w:pPr>
      <w:r>
        <w:rPr>
          <w:noProof/>
        </w:rPr>
        <w:t xml:space="preserve">veuillez indiquer si les recettes sont affectées à des lignes de dépenses </w:t>
      </w:r>
      <w:r>
        <w:rPr>
          <w:noProof/>
        </w:rPr>
        <w:sym w:font="Wingdings" w:char="F0A8"/>
      </w:r>
      <w:r>
        <w:rPr>
          <w:noProof/>
        </w:rPr>
        <w:tab/>
      </w:r>
    </w:p>
    <w:p>
      <w:pPr>
        <w:jc w:val="right"/>
        <w:rPr>
          <w:i/>
          <w:noProof/>
          <w:sz w:val="20"/>
        </w:rPr>
      </w:pPr>
      <w:r>
        <w:rPr>
          <w:noProof/>
        </w:rPr>
        <w:t>En Mio EUR (à la 3e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19"/>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qui seront «affectées», préciser la (les) ligne(s) budgétaire(s) de dépenses concernée(s).</w:t>
      </w:r>
    </w:p>
    <w:p>
      <w:pPr>
        <w:pStyle w:val="Text1"/>
        <w:rPr>
          <w:noProof/>
        </w:rPr>
      </w:pPr>
    </w:p>
    <w:p>
      <w:pPr>
        <w:pStyle w:val="Text1"/>
        <w:rPr>
          <w:rStyle w:val="CommentReference"/>
          <w:noProof/>
        </w:rPr>
      </w:pPr>
      <w:r>
        <w:rPr>
          <w:noProof/>
          <w:sz w:val="20"/>
        </w:rPr>
        <w:t>Autres remarques (relatives par exemple à la méthode/formule utilisée pour le calcul de l’incidence sur les recettes ou toute autre information).</w:t>
      </w:r>
      <w:r>
        <w:rPr>
          <w:noProof/>
        </w:rPr>
        <w:t xml:space="preserve"> </w:t>
      </w:r>
    </w:p>
    <w:p>
      <w:pPr>
        <w:pStyle w:val="Text1"/>
        <w:rPr>
          <w:noProof/>
        </w:rPr>
      </w:pPr>
    </w:p>
    <w:p>
      <w:pPr>
        <w:pStyle w:val="Text1"/>
        <w:rPr>
          <w:noProof/>
        </w:rPr>
      </w:pPr>
    </w:p>
    <w:p>
      <w:pPr>
        <w:rPr>
          <w:noProof/>
        </w:rPr>
      </w:pPr>
    </w:p>
    <w:p>
      <w:pPr>
        <w:jc w:val="left"/>
        <w:rPr>
          <w:noProof/>
          <w:color w:val="0000FF"/>
        </w:rPr>
      </w:pPr>
    </w:p>
    <w:sectPr>
      <w:headerReference w:type="even" r:id="rId55"/>
      <w:headerReference w:type="default" r:id="rId56"/>
      <w:footerReference w:type="even" r:id="rId57"/>
      <w:footerReference w:type="default" r:id="rId58"/>
      <w:headerReference w:type="first" r:id="rId59"/>
      <w:footerReference w:type="first" r:id="rId60"/>
      <w:pgSz w:w="11907"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UAlbertina">
    <w:altName w:val="Times New Roman"/>
    <w:charset w:val="00"/>
    <w:family w:val="auto"/>
    <w:pitch w:val="variable"/>
    <w:sig w:usb0="800002EF" w:usb1="1000E0F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FR</w:t>
    </w:r>
    <w:r>
      <w:tab/>
    </w:r>
    <w:r>
      <w:fldChar w:fldCharType="begin"/>
    </w:r>
    <w:r>
      <w:instrText xml:space="preserve"> PAGE  \* MERGEFORMAT </w:instrText>
    </w:r>
    <w:r>
      <w:fldChar w:fldCharType="separate"/>
    </w:r>
    <w:r>
      <w:rPr>
        <w:noProof/>
      </w:rPr>
      <w:t>8</w:t>
    </w:r>
    <w:r>
      <w:fldChar w:fldCharType="end"/>
    </w:r>
    <w:r>
      <w:tab/>
    </w:r>
    <w:r>
      <w:tab/>
    </w:r>
    <w:r>
      <w:rPr>
        <w:rFonts w:ascii="Arial" w:hAnsi="Arial"/>
        <w:b/>
        <w:sz w:val="48"/>
      </w:rPr>
      <w:t>FR</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b/>
        <w:sz w:val="48"/>
      </w:rPr>
      <w:t>FR</w:t>
    </w:r>
    <w:r>
      <w:tab/>
    </w:r>
    <w:r>
      <w:fldChar w:fldCharType="begin"/>
    </w:r>
    <w:r>
      <w:instrText xml:space="preserve"> PAGE  \* MERGEFORMAT </w:instrText>
    </w:r>
    <w:r>
      <w:fldChar w:fldCharType="separate"/>
    </w:r>
    <w:r>
      <w:rPr>
        <w:noProof/>
      </w:rPr>
      <w:t>13</w:t>
    </w:r>
    <w:r>
      <w:fldChar w:fldCharType="end"/>
    </w:r>
    <w:r>
      <w:tab/>
      <w:t xml:space="preserve"> </w:t>
    </w:r>
    <w:r>
      <w:rPr>
        <w:rFonts w:ascii="Arial" w:hAnsi="Arial"/>
        <w:b/>
        <w:sz w:val="48"/>
      </w:rPr>
      <w:t>FR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b/>
        <w:sz w:val="48"/>
      </w:rPr>
      <w:t>FR</w:t>
    </w:r>
    <w:r>
      <w:tab/>
    </w:r>
    <w:r>
      <w:fldChar w:fldCharType="begin"/>
    </w:r>
    <w:r>
      <w:instrText xml:space="preserve"> PAGE  \* MERGEFORMAT </w:instrText>
    </w:r>
    <w:r>
      <w:fldChar w:fldCharType="separate"/>
    </w:r>
    <w:r>
      <w:rPr>
        <w:noProof/>
      </w:rPr>
      <w:t>14</w:t>
    </w:r>
    <w:r>
      <w:fldChar w:fldCharType="end"/>
    </w:r>
    <w:r>
      <w:tab/>
    </w:r>
    <w:r>
      <w:tab/>
    </w:r>
    <w:r>
      <w:rPr>
        <w:rFonts w:ascii="Arial" w:hAnsi="Arial"/>
        <w:b/>
        <w:sz w:val="48"/>
      </w:rPr>
      <w:t>FR</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FR</w:t>
    </w:r>
    <w:r>
      <w:tab/>
    </w:r>
    <w:r>
      <w:fldChar w:fldCharType="begin"/>
    </w:r>
    <w:r>
      <w:instrText xml:space="preserve"> PAGE  \* MERGEFORMAT </w:instrText>
    </w:r>
    <w:r>
      <w:fldChar w:fldCharType="separate"/>
    </w:r>
    <w:r>
      <w:rPr>
        <w:noProof/>
      </w:rPr>
      <w:t>17</w:t>
    </w:r>
    <w:r>
      <w:fldChar w:fldCharType="end"/>
    </w:r>
    <w:r>
      <w:tab/>
    </w:r>
    <w:r>
      <w:tab/>
    </w:r>
    <w:r>
      <w:rPr>
        <w:rFonts w:ascii="Arial" w:hAnsi="Arial"/>
        <w:b/>
        <w:sz w:val="48"/>
      </w:rPr>
      <w:t>FR</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FR</w:t>
    </w:r>
    <w:r>
      <w:tab/>
    </w:r>
    <w:r>
      <w:fldChar w:fldCharType="begin"/>
    </w:r>
    <w:r>
      <w:instrText xml:space="preserve"> PAGE  \* MERGEFORMAT </w:instrText>
    </w:r>
    <w:r>
      <w:fldChar w:fldCharType="separate"/>
    </w:r>
    <w:r>
      <w:rPr>
        <w:noProof/>
      </w:rPr>
      <w:t>19</w:t>
    </w:r>
    <w:r>
      <w:fldChar w:fldCharType="end"/>
    </w:r>
    <w:r>
      <w:tab/>
    </w:r>
    <w:r>
      <w:tab/>
    </w:r>
    <w:r>
      <w:rPr>
        <w:rFonts w:ascii="Arial" w:hAnsi="Arial"/>
        <w:b/>
        <w:sz w:val="48"/>
      </w:rPr>
      <w:t>FR</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FR</w:t>
    </w:r>
    <w:r>
      <w:tab/>
    </w:r>
    <w:r>
      <w:fldChar w:fldCharType="begin"/>
    </w:r>
    <w:r>
      <w:instrText xml:space="preserve"> PAGE  \* MERGEFORMAT </w:instrText>
    </w:r>
    <w:r>
      <w:fldChar w:fldCharType="separate"/>
    </w:r>
    <w:r>
      <w:rPr>
        <w:noProof/>
      </w:rPr>
      <w:t>1</w:t>
    </w:r>
    <w:r>
      <w:fldChar w:fldCharType="end"/>
    </w:r>
    <w:r>
      <w:tab/>
    </w:r>
    <w:r>
      <w:tab/>
    </w:r>
    <w:r>
      <w:rPr>
        <w:rFonts w:ascii="Arial" w:hAnsi="Arial"/>
        <w:b/>
        <w:sz w:val="48"/>
      </w:rPr>
      <w:t>FR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FR</w:t>
    </w:r>
    <w:r>
      <w:tab/>
    </w:r>
    <w:r>
      <w:fldChar w:fldCharType="begin"/>
    </w:r>
    <w:r>
      <w:instrText xml:space="preserve"> PAGE  \* MERGEFORMAT </w:instrText>
    </w:r>
    <w:r>
      <w:fldChar w:fldCharType="separate"/>
    </w:r>
    <w:r>
      <w:rPr>
        <w:noProof/>
      </w:rPr>
      <w:t>6</w:t>
    </w:r>
    <w:r>
      <w:fldChar w:fldCharType="end"/>
    </w:r>
    <w:r>
      <w:tab/>
    </w:r>
    <w:r>
      <w:tab/>
    </w:r>
    <w:r>
      <w:rPr>
        <w:rFonts w:ascii="Arial" w:hAnsi="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24"/>
        </w:rPr>
      </w:pPr>
      <w:r>
        <w:rPr>
          <w:rStyle w:val="FootnoteReference"/>
        </w:rPr>
        <w:footnoteRef/>
      </w:r>
      <w:r>
        <w:tab/>
        <w:t>Tel(le) que visé(e) à l'article 58, paragraphe 2, point a) ou b), du règlement financier.</w:t>
      </w:r>
    </w:p>
  </w:footnote>
  <w:footnote w:id="2">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1" w:history="1">
        <w:r>
          <w:rPr>
            <w:rStyle w:val="Hyperlink"/>
          </w:rPr>
          <w:t>https://myintracomm.ec.europa.eu/budgweb/FR/man/budgmanag/Pages/budgmanag.aspx</w:t>
        </w:r>
      </w:hyperlink>
      <w:r>
        <w:t xml:space="preserve"> </w:t>
      </w:r>
    </w:p>
  </w:footnote>
  <w:footnote w:id="3">
    <w:p>
      <w:pPr>
        <w:pStyle w:val="FootnoteText"/>
        <w:spacing w:after="60"/>
      </w:pPr>
      <w:r>
        <w:rPr>
          <w:rStyle w:val="FootnoteReference"/>
        </w:rPr>
        <w:footnoteRef/>
      </w:r>
      <w:r>
        <w:tab/>
        <w:t>Règlement (Euratom, CE) no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4">
    <w:p>
      <w:pPr>
        <w:pStyle w:val="FootnoteText"/>
        <w:spacing w:after="60"/>
      </w:pPr>
      <w:r>
        <w:rPr>
          <w:rStyle w:val="FootnoteReference"/>
        </w:rPr>
        <w:footnoteRef/>
      </w:r>
      <w:r>
        <w:tab/>
        <w:t>Règlement (UE, Euratom) no 883/2013 du Parlement européen et du Conseil du 11 septembre 2013 relatif aux enquêtes effectuées par l'Office européen de lutte antifraude (OLAF) et abrogeant le règlement (CE) no 1073/1999 du Parlement européen et du Conseil et le règlement (Euratom) no 1074/1999 du Conseil (JO L 248 du 18.9.2013, p. 1).</w:t>
      </w:r>
    </w:p>
  </w:footnote>
  <w:footnote w:id="5">
    <w:p>
      <w:pPr>
        <w:pStyle w:val="FootnoteText"/>
        <w:rPr>
          <w:szCs w:val="24"/>
        </w:rPr>
      </w:pPr>
      <w:r>
        <w:rPr>
          <w:rStyle w:val="FootnoteReference"/>
        </w:rPr>
        <w:footnoteRef/>
      </w:r>
      <w:r>
        <w:tab/>
        <w:t>CD = crédits dissociés / CND = crédits non dissociés.</w:t>
      </w:r>
    </w:p>
  </w:footnote>
  <w:footnote w:id="6">
    <w:p>
      <w:pPr>
        <w:pStyle w:val="FootnoteText"/>
        <w:rPr>
          <w:szCs w:val="24"/>
        </w:rPr>
      </w:pPr>
      <w:r>
        <w:rPr>
          <w:rStyle w:val="FootnoteReference"/>
        </w:rPr>
        <w:footnoteRef/>
      </w:r>
      <w:r>
        <w:tab/>
        <w:t xml:space="preserve">AELE: Association européenne de libre-échange. </w:t>
      </w:r>
    </w:p>
  </w:footnote>
  <w:footnote w:id="7">
    <w:p>
      <w:pPr>
        <w:pStyle w:val="FootnoteText"/>
      </w:pPr>
      <w:r>
        <w:rPr>
          <w:rStyle w:val="FootnoteReference"/>
        </w:rPr>
        <w:footnoteRef/>
      </w:r>
      <w:r>
        <w:tab/>
        <w:t>Pays candidats et, le cas échéant, pays candidats potentiels des Balkans occidentaux.</w:t>
      </w:r>
    </w:p>
  </w:footnote>
  <w:footnote w:id="8">
    <w:p>
      <w:pPr>
        <w:pStyle w:val="FootnoteText"/>
      </w:pPr>
      <w:r>
        <w:rPr>
          <w:rStyle w:val="FootnoteReference"/>
        </w:rPr>
        <w:footnoteRef/>
      </w:r>
      <w:r>
        <w:t xml:space="preserve"> La contribution au titre d’HE ne peut pas être indiquée à ce stade. Les tableaux suivants de la présente fiche financière indiquent uniquement les contributions liées au programme pour une Europe numérique et au MIE. Il est prévu que la contribution au titre d’HE corresponde à la contribution annuelle actuelle à EuroHPC.</w:t>
      </w:r>
    </w:p>
  </w:footnote>
  <w:footnote w:id="9">
    <w:p>
      <w:pPr>
        <w:pStyle w:val="FootnoteText"/>
      </w:pPr>
      <w:r>
        <w:rPr>
          <w:rStyle w:val="FootnoteReference"/>
        </w:rPr>
        <w:footnoteRef/>
      </w:r>
      <w:r>
        <w:t xml:space="preserve"> Ce tableau ne comprend que la contribution de l’UE provenant du programme pour une Europe numérique et des programmes du MIE relevant du volet numérique.</w:t>
      </w:r>
    </w:p>
  </w:footnote>
  <w:footnote w:id="10">
    <w:p>
      <w:pPr>
        <w:pStyle w:val="FootnoteText"/>
        <w:ind w:left="284" w:hanging="284"/>
      </w:pPr>
      <w:r>
        <w:rPr>
          <w:rStyle w:val="FootnoteReference"/>
        </w:rPr>
        <w:footnoteRef/>
      </w:r>
      <w:r>
        <w:t xml:space="preserve"> Les montants figurant aux titres 1 et 2 représentent la contribution de l’UE aux frais administratifs de l’entreprise commune. Le reste provient de contributions des autres membres de l’entreprise commune comme indiqué au point 3.2.5.</w:t>
      </w:r>
    </w:p>
  </w:footnote>
  <w:footnote w:id="11">
    <w:p>
      <w:pPr>
        <w:pStyle w:val="FootnoteText"/>
      </w:pPr>
      <w:r>
        <w:rPr>
          <w:rStyle w:val="FootnoteReference"/>
        </w:rPr>
        <w:footnoteRef/>
      </w:r>
      <w:r>
        <w:tab/>
        <w:t>Les crédits de paiement pour les titres 1 et 2 sont fondés sur une consommation annuelle de tous les crédits d’engagement correspondants alors que, pour le titre 3, ils sont déterminés en tenant compte de la nature des actions indirectes et de leur calendrier de paiement (préfinancement, paiements intermédiaires et paiement du solde).</w:t>
      </w:r>
    </w:p>
  </w:footnote>
  <w:footnote w:id="12">
    <w:p>
      <w:pPr>
        <w:pStyle w:val="FootnoteText"/>
      </w:pPr>
      <w:r>
        <w:rPr>
          <w:rStyle w:val="FootnoteReference"/>
        </w:rPr>
        <w:footnoteRef/>
      </w:r>
      <w:r>
        <w:tab/>
        <w:t>Les titres 1 et 2 pour l’année 2027 contiennent les engagements pour l’année et les engagements anticipés pour les années restantes de l’EC pour la période 2027-2033.</w:t>
      </w:r>
    </w:p>
  </w:footnote>
  <w:footnote w:id="13">
    <w:p>
      <w:pPr>
        <w:rPr>
          <w:szCs w:val="24"/>
        </w:rPr>
      </w:pPr>
      <w:r>
        <w:rPr>
          <w:rStyle w:val="FootnoteReference"/>
        </w:rPr>
        <w:footnoteRef/>
      </w:r>
      <w:r>
        <w:t xml:space="preserve"> </w:t>
      </w:r>
      <w:r>
        <w:rPr>
          <w:sz w:val="18"/>
          <w:szCs w:val="18"/>
        </w:rPr>
        <w:t>Les crédits nécessaires pour les ressources humaines et les autres dépenses de nature administrative hors rubrique 7 correspondent aux montants couverts par la contribution financière de l’Union. Les montants susmentionnés n’incluent pas la contribution des États membres aux coûts administratifs du Centre de compétence, proportionnelle à la contribution financière de l’Union.</w:t>
      </w:r>
    </w:p>
    <w:p>
      <w:pPr>
        <w:pStyle w:val="FootnoteText"/>
      </w:pPr>
    </w:p>
  </w:footnote>
  <w:footnote w:id="14">
    <w:p>
      <w:pPr>
        <w:pStyle w:val="FootnoteText"/>
        <w:tabs>
          <w:tab w:val="left" w:pos="284"/>
        </w:tabs>
        <w:ind w:left="284" w:hanging="284"/>
      </w:pPr>
      <w:r>
        <w:rPr>
          <w:rStyle w:val="FootnoteReference"/>
        </w:rPr>
        <w:footnoteRef/>
      </w:r>
      <w:r>
        <w:tab/>
        <w:t>Couvrant l’administration des actions du programme pour une Europe numérique et du volet numérique du MIE. Les coûts des ETP sont établis sur la base du coût annuel moyen du personnel de grade AD (150 000 EUR) et CA (80 000 EUR).</w:t>
      </w:r>
    </w:p>
  </w:footnote>
  <w:footnote w:id="15">
    <w:p>
      <w:pPr>
        <w:pStyle w:val="FootnoteText"/>
      </w:pPr>
      <w:r>
        <w:rPr>
          <w:rStyle w:val="FootnoteReference"/>
        </w:rPr>
        <w:footnoteRef/>
      </w:r>
      <w:r>
        <w:t xml:space="preserve"> Le tableau des effectifs de l’entreprise commune comprend également 16 ETP pour la partie relative à HE. Les effectifs liés à cette partie restent stables par rapport aux effectifs actuels d’EuroHPC (16 ETP) et couvriront également la mise en œuvre du legs de l’actuelle entreprise commune EuroHPC.   </w:t>
      </w:r>
    </w:p>
  </w:footnote>
  <w:footnote w:id="16">
    <w:p>
      <w:pPr>
        <w:pStyle w:val="FootnoteText"/>
        <w:rPr>
          <w:szCs w:val="24"/>
        </w:rPr>
      </w:pPr>
      <w:r>
        <w:rPr>
          <w:rStyle w:val="FootnoteReference"/>
        </w:rPr>
        <w:footnoteRef/>
      </w:r>
      <w:r>
        <w:tab/>
        <w:t xml:space="preserve">AC = agent contractuel; AL = agent local; END = expert national détaché; INT = intérimaire; JPD = jeune professionnel en délégation. </w:t>
      </w:r>
    </w:p>
  </w:footnote>
  <w:footnote w:id="17">
    <w:p>
      <w:pPr>
        <w:pStyle w:val="FootnoteText"/>
        <w:rPr>
          <w:szCs w:val="24"/>
        </w:rPr>
      </w:pPr>
      <w:r>
        <w:rPr>
          <w:rStyle w:val="FootnoteReference"/>
        </w:rPr>
        <w:footnoteRef/>
      </w:r>
      <w:r>
        <w:tab/>
        <w:t>Sous-plafonds de personnel externe financés sur crédits opérationnels (anciennes lignes «BA»).</w:t>
      </w:r>
    </w:p>
  </w:footnote>
  <w:footnote w:id="18">
    <w:p>
      <w:pPr>
        <w:pStyle w:val="FootnoteText"/>
      </w:pPr>
      <w:r>
        <w:rPr>
          <w:rStyle w:val="FootnoteReference"/>
        </w:rPr>
        <w:footnoteRef/>
      </w:r>
      <w:r>
        <w:tab/>
        <w:t>Les participations de tiers au financement devront être mises à jour pour tenir compte de l’effet des contributions supplémentaires provenant du programme Horizon Europe.</w:t>
      </w:r>
    </w:p>
  </w:footnote>
  <w:footnote w:id="19">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28C1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341C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6D090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EE3B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8454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22BC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3">
    <w:nsid w:val="64A12FA4"/>
    <w:multiLevelType w:val="multilevel"/>
    <w:tmpl w:val="69D6CA8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i w:val="0"/>
        <w:u w:val="none"/>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num>
  <w:num w:numId="2">
    <w:abstractNumId w:val="14"/>
  </w:num>
  <w:num w:numId="3">
    <w:abstractNumId w:val="2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6"/>
  </w:num>
  <w:num w:numId="7">
    <w:abstractNumId w:val="20"/>
  </w:num>
  <w:num w:numId="8">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num>
  <w:num w:numId="11">
    <w:abstractNumId w:val="4"/>
  </w:num>
  <w:num w:numId="12">
    <w:abstractNumId w:val="3"/>
  </w:num>
  <w:num w:numId="13">
    <w:abstractNumId w:val="2"/>
  </w:num>
  <w:num w:numId="14">
    <w:abstractNumId w:val="1"/>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num>
  <w:num w:numId="18">
    <w:abstractNumId w:val="19"/>
    <w:lvlOverride w:ilvl="0">
      <w:startOverride w:val="1"/>
    </w:lvlOverride>
  </w:num>
  <w:num w:numId="19">
    <w:abstractNumId w:val="17"/>
    <w:lvlOverride w:ilvl="0">
      <w:startOverride w:val="1"/>
    </w:lvlOverride>
  </w:num>
  <w:num w:numId="20">
    <w:abstractNumId w:val="13"/>
    <w:lvlOverride w:ilvl="0">
      <w:startOverride w:val="1"/>
    </w:lvlOverride>
  </w:num>
  <w:num w:numId="21">
    <w:abstractNumId w:val="11"/>
  </w:num>
  <w:num w:numId="22">
    <w:abstractNumId w:val="24"/>
  </w:num>
  <w:num w:numId="23">
    <w:abstractNumId w:val="10"/>
  </w:num>
  <w:num w:numId="24">
    <w:abstractNumId w:val="12"/>
  </w:num>
  <w:num w:numId="25">
    <w:abstractNumId w:val="8"/>
  </w:num>
  <w:num w:numId="26">
    <w:abstractNumId w:val="18"/>
  </w:num>
  <w:num w:numId="27">
    <w:abstractNumId w:val="9"/>
  </w:num>
  <w:num w:numId="28">
    <w:abstractNumId w:val="1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
    <w:docVar w:name="LW_ANNEX_NBR_FIRST" w:val="2"/>
    <w:docVar w:name="LW_ANNEX_NBR_LAST" w:val="2"/>
    <w:docVar w:name="LW_ANNEX_UNIQUE" w:val="0"/>
    <w:docVar w:name="LW_CORRIGENDUM" w:val="&lt;UNUSED&gt;"/>
    <w:docVar w:name="LW_COVERPAGE_EXISTS" w:val="True"/>
    <w:docVar w:name="LW_COVERPAGE_GUID" w:val="C0B19103-1D2A-4A66-8505-BA4EB6702C4B"/>
    <w:docVar w:name="LW_COVERPAGE_TYPE" w:val="1"/>
    <w:docVar w:name="LW_CROSSREFERENCE" w:val="{SWD(2020) 179 final}"/>
    <w:docVar w:name="LW_DocType" w:val="NORMAL"/>
    <w:docVar w:name="LW_EMISSION" w:val="18.9.2020"/>
    <w:docVar w:name="LW_EMISSION_ISODATE" w:val="2020-09-1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établissant l'entreprise commune pour le calcul à haute performance européen"/>
    <w:docVar w:name="LW_PART_NBR" w:val="1"/>
    <w:docVar w:name="LW_PART_NBR_TOTAL" w:val="2"/>
    <w:docVar w:name="LW_REF.INST.NEW" w:val="COM"/>
    <w:docVar w:name="LW_REF.INST.NEW_ADOPTED" w:val="final"/>
    <w:docVar w:name="LW_REF.INST.NEW_TEXT" w:val="(2020) 5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4"/>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ListNumber">
    <w:name w:val="List Number"/>
    <w:basedOn w:val="Normal"/>
    <w:pPr>
      <w:numPr>
        <w:numId w:val="3"/>
      </w:numPr>
    </w:pPr>
    <w:rPr>
      <w:rFonts w:eastAsia="Times New Roman"/>
      <w:lang w:eastAsia="de-DE"/>
    </w:rPr>
  </w:style>
  <w:style w:type="paragraph" w:customStyle="1" w:styleId="ListDash1">
    <w:name w:val="List Dash 1"/>
    <w:basedOn w:val="Normal"/>
    <w:pPr>
      <w:numPr>
        <w:numId w:val="1"/>
      </w:numPr>
    </w:pPr>
    <w:rPr>
      <w:rFonts w:eastAsia="Times New Roman"/>
      <w:lang w:eastAsia="de-DE"/>
    </w:rPr>
  </w:style>
  <w:style w:type="paragraph" w:customStyle="1" w:styleId="ListDash2">
    <w:name w:val="List Dash 2"/>
    <w:basedOn w:val="Normal"/>
    <w:pPr>
      <w:numPr>
        <w:numId w:val="2"/>
      </w:numPr>
    </w:pPr>
    <w:rPr>
      <w:rFonts w:eastAsia="Times New Roman"/>
      <w:lang w:eastAsia="de-DE"/>
    </w:rPr>
  </w:style>
  <w:style w:type="paragraph" w:customStyle="1" w:styleId="ListNumberLevel2">
    <w:name w:val="List Number (Level 2)"/>
    <w:basedOn w:val="Normal"/>
    <w:pPr>
      <w:numPr>
        <w:ilvl w:val="1"/>
        <w:numId w:val="3"/>
      </w:numPr>
    </w:pPr>
    <w:rPr>
      <w:rFonts w:eastAsia="Times New Roman"/>
      <w:lang w:eastAsia="de-DE"/>
    </w:rPr>
  </w:style>
  <w:style w:type="paragraph" w:customStyle="1" w:styleId="ListNumberLevel3">
    <w:name w:val="List Number (Level 3)"/>
    <w:basedOn w:val="Normal"/>
    <w:pPr>
      <w:numPr>
        <w:ilvl w:val="2"/>
        <w:numId w:val="3"/>
      </w:numPr>
    </w:pPr>
    <w:rPr>
      <w:rFonts w:eastAsia="Times New Roman"/>
      <w:lang w:eastAsia="de-DE"/>
    </w:rPr>
  </w:style>
  <w:style w:type="paragraph" w:customStyle="1" w:styleId="ListNumberLevel4">
    <w:name w:val="List Number (Level 4)"/>
    <w:basedOn w:val="Normal"/>
    <w:pPr>
      <w:numPr>
        <w:ilvl w:val="3"/>
        <w:numId w:val="3"/>
      </w:numPr>
    </w:pPr>
    <w:rPr>
      <w:rFonts w:eastAsia="Times New Roman"/>
      <w:lang w:eastAsia="de-DE"/>
    </w:rPr>
  </w:style>
  <w:style w:type="character" w:styleId="Hyperlink">
    <w:name w:val="Hyperlink"/>
    <w:uiPriority w:val="99"/>
    <w:rPr>
      <w:color w:val="0000FF"/>
      <w:u w:val="single"/>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unhideWhenUsed/>
    <w:qFormat/>
    <w:pPr>
      <w:spacing w:after="240"/>
      <w:jc w:val="center"/>
    </w:pPr>
    <w:rPr>
      <w:b/>
      <w:sz w:val="28"/>
    </w:rPr>
  </w:style>
  <w:style w:type="paragraph" w:styleId="TOC1">
    <w:name w:val="toc 1"/>
    <w:basedOn w:val="Normal"/>
    <w:next w:val="Normal"/>
    <w:uiPriority w:val="39"/>
    <w:unhideWhenUsed/>
    <w:pPr>
      <w:tabs>
        <w:tab w:val="right" w:leader="dot" w:pos="9071"/>
      </w:tabs>
      <w:spacing w:before="60"/>
      <w:ind w:left="850" w:hanging="850"/>
      <w:jc w:val="left"/>
    </w:pPr>
  </w:style>
  <w:style w:type="paragraph" w:styleId="TOC2">
    <w:name w:val="toc 2"/>
    <w:basedOn w:val="Normal"/>
    <w:next w:val="Normal"/>
    <w:uiPriority w:val="39"/>
    <w:unhideWhenUsed/>
    <w:pPr>
      <w:tabs>
        <w:tab w:val="right" w:leader="dot" w:pos="9071"/>
      </w:tabs>
      <w:spacing w:before="60"/>
      <w:ind w:left="850" w:hanging="850"/>
      <w:jc w:val="left"/>
    </w:pPr>
  </w:style>
  <w:style w:type="paragraph" w:styleId="TOC3">
    <w:name w:val="toc 3"/>
    <w:basedOn w:val="Normal"/>
    <w:next w:val="Normal"/>
    <w:uiPriority w:val="39"/>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Pagedecouverture">
    <w:name w:val="Page de couverture"/>
    <w:basedOn w:val="Normal"/>
    <w:next w:val="Normal"/>
    <w:pPr>
      <w:spacing w:before="0" w:after="0"/>
    </w:pPr>
  </w:style>
  <w:style w:type="paragraph" w:customStyle="1" w:styleId="Annexetitre">
    <w:name w:val="Annexe titre"/>
    <w:basedOn w:val="Normal"/>
    <w:next w:val="Normal"/>
    <w:pPr>
      <w:jc w:val="center"/>
    </w:pPr>
    <w:rPr>
      <w:b/>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ListBullet1">
    <w:name w:val="List Bullet 1"/>
    <w:basedOn w:val="Normal"/>
    <w:pPr>
      <w:numPr>
        <w:numId w:val="6"/>
      </w:numPr>
    </w:pPr>
    <w:rPr>
      <w:rFonts w:eastAsia="Times New Roman"/>
      <w:lang w:eastAsia="de-DE"/>
    </w:rPr>
  </w:style>
  <w:style w:type="paragraph" w:styleId="ListBullet">
    <w:name w:val="List Bullet"/>
    <w:basedOn w:val="Normal"/>
    <w:pPr>
      <w:numPr>
        <w:numId w:val="7"/>
      </w:numPr>
    </w:pPr>
    <w:rPr>
      <w:rFonts w:eastAsia="Times New Roman"/>
      <w:lang w:eastAsia="en-GB"/>
    </w:rPr>
  </w:style>
  <w:style w:type="paragraph" w:styleId="ListParagraph">
    <w:name w:val="List Paragraph"/>
    <w:aliases w:val="List Paragraph compact,Dot pt,F5 List Paragraph,List Paragraph1,No Spacing1,List Paragraph Char Char Char,Indicator Text,Numbered Para 1,Bullet Points,MAIN CONTENT,List Paragraph12,OBC Bullet,Colorful List - Accent 11"/>
    <w:basedOn w:val="Normal"/>
    <w:link w:val="ListParagraphChar"/>
    <w:uiPriority w:val="34"/>
    <w:qFormat/>
    <w:pPr>
      <w:spacing w:before="0" w:after="0"/>
      <w:ind w:left="720"/>
    </w:pPr>
    <w:rPr>
      <w:rFonts w:ascii="Garamond" w:eastAsia="Garamond" w:hAnsi="Garamond"/>
      <w:sz w:val="20"/>
      <w:szCs w:val="20"/>
      <w:lang w:eastAsia="en-GB"/>
    </w:rPr>
  </w:style>
  <w:style w:type="character" w:customStyle="1" w:styleId="ListParagraphChar">
    <w:name w:val="List Paragraph Char"/>
    <w:aliases w:val="List Paragraph compact Char,Dot pt Char,F5 List Paragraph Char,List Paragraph1 Char,No Spacing1 Char,List Paragraph Char Char Char Char,Indicator Text Char,Numbered Para 1 Char,Bullet Points Char,MAIN CONTENT Char,OBC Bullet Char"/>
    <w:link w:val="ListParagraph"/>
    <w:uiPriority w:val="34"/>
    <w:qFormat/>
    <w:rPr>
      <w:rFonts w:ascii="Garamond" w:eastAsia="Garamond" w:hAnsi="Garamond" w:cs="Times New Roman"/>
      <w:sz w:val="20"/>
      <w:szCs w:val="20"/>
      <w:lang w:eastAsia="en-GB"/>
    </w:rPr>
  </w:style>
  <w:style w:type="paragraph" w:styleId="CommentText">
    <w:name w:val="annotation text"/>
    <w:basedOn w:val="Normal"/>
    <w:link w:val="CommentTextChar"/>
    <w:uiPriority w:val="99"/>
    <w:unhideWhenUsed/>
    <w:pPr>
      <w:spacing w:before="100" w:beforeAutospacing="1" w:after="100" w:afterAutospacing="1"/>
      <w:jc w:val="left"/>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heme="minorEastAsia"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eastAsia="en-GB"/>
    </w:rPr>
  </w:style>
  <w:style w:type="paragraph" w:customStyle="1" w:styleId="hd-date">
    <w:name w:val="hd-date"/>
    <w:basedOn w:val="Normal"/>
    <w:pPr>
      <w:jc w:val="left"/>
    </w:pPr>
    <w:rPr>
      <w:rFonts w:eastAsiaTheme="minorEastAsia"/>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heme="minorEastAsia"/>
      <w:szCs w:val="24"/>
      <w:lang w:eastAsia="en-GB"/>
    </w:rPr>
  </w:style>
  <w:style w:type="paragraph" w:customStyle="1" w:styleId="hd-ti">
    <w:name w:val="hd-ti"/>
    <w:basedOn w:val="Normal"/>
    <w:pPr>
      <w:jc w:val="center"/>
    </w:pPr>
    <w:rPr>
      <w:rFonts w:eastAsiaTheme="minorEastAsia"/>
      <w:szCs w:val="24"/>
      <w:lang w:eastAsia="en-GB"/>
    </w:rPr>
  </w:style>
  <w:style w:type="paragraph" w:customStyle="1" w:styleId="hd-oj">
    <w:name w:val="hd-oj"/>
    <w:basedOn w:val="Normal"/>
    <w:pPr>
      <w:jc w:val="right"/>
    </w:pPr>
    <w:rPr>
      <w:rFonts w:eastAsiaTheme="minorEastAsia"/>
      <w:szCs w:val="24"/>
      <w:lang w:eastAsia="en-GB"/>
    </w:rPr>
  </w:style>
  <w:style w:type="paragraph" w:customStyle="1" w:styleId="doc-ti">
    <w:name w:val="doc-ti"/>
    <w:basedOn w:val="Normal"/>
    <w:pPr>
      <w:spacing w:before="240"/>
      <w:jc w:val="center"/>
    </w:pPr>
    <w:rPr>
      <w:rFonts w:eastAsiaTheme="minorEastAsia"/>
      <w:b/>
      <w:bCs/>
      <w:szCs w:val="24"/>
      <w:lang w:eastAsia="en-GB"/>
    </w:rPr>
  </w:style>
  <w:style w:type="paragraph" w:customStyle="1" w:styleId="Normal1">
    <w:name w:val="Normal1"/>
    <w:basedOn w:val="Normal"/>
    <w:pPr>
      <w:spacing w:after="0"/>
    </w:pPr>
    <w:rPr>
      <w:rFonts w:eastAsiaTheme="minorEastAsia"/>
      <w:szCs w:val="24"/>
      <w:lang w:eastAsia="en-GB"/>
    </w:rPr>
  </w:style>
  <w:style w:type="character" w:customStyle="1" w:styleId="super">
    <w:name w:val="super"/>
    <w:basedOn w:val="DefaultParagraphFont"/>
    <w:rPr>
      <w:sz w:val="17"/>
      <w:szCs w:val="17"/>
      <w:vertAlign w:val="superscript"/>
    </w:rPr>
  </w:style>
  <w:style w:type="paragraph" w:customStyle="1" w:styleId="ti-art">
    <w:name w:val="ti-art"/>
    <w:basedOn w:val="Normal"/>
    <w:pPr>
      <w:spacing w:before="360"/>
      <w:jc w:val="center"/>
    </w:pPr>
    <w:rPr>
      <w:rFonts w:eastAsiaTheme="minorEastAsia"/>
      <w:i/>
      <w:iCs/>
      <w:szCs w:val="24"/>
      <w:lang w:eastAsia="en-GB"/>
    </w:rPr>
  </w:style>
  <w:style w:type="paragraph" w:customStyle="1" w:styleId="sti-art">
    <w:name w:val="sti-art"/>
    <w:basedOn w:val="Normal"/>
    <w:pPr>
      <w:spacing w:before="60"/>
      <w:jc w:val="center"/>
    </w:pPr>
    <w:rPr>
      <w:rFonts w:eastAsiaTheme="minorEastAsia"/>
      <w:b/>
      <w:bCs/>
      <w:szCs w:val="24"/>
      <w:lang w:eastAsia="en-GB"/>
    </w:rPr>
  </w:style>
  <w:style w:type="character" w:customStyle="1" w:styleId="italic">
    <w:name w:val="italic"/>
    <w:basedOn w:val="DefaultParagraphFont"/>
    <w:rPr>
      <w:i/>
      <w:iCs/>
    </w:rPr>
  </w:style>
  <w:style w:type="paragraph" w:customStyle="1" w:styleId="signatory">
    <w:name w:val="signatory"/>
    <w:basedOn w:val="Normal"/>
    <w:pPr>
      <w:spacing w:before="60" w:after="60"/>
      <w:jc w:val="center"/>
    </w:pPr>
    <w:rPr>
      <w:rFonts w:eastAsiaTheme="minorEastAsia"/>
      <w:szCs w:val="24"/>
      <w:lang w:eastAsia="en-GB"/>
    </w:rPr>
  </w:style>
  <w:style w:type="paragraph" w:customStyle="1" w:styleId="note">
    <w:name w:val="note"/>
    <w:basedOn w:val="Normal"/>
    <w:pPr>
      <w:spacing w:before="60" w:after="60"/>
    </w:pPr>
    <w:rPr>
      <w:rFonts w:eastAsiaTheme="minorEastAsia"/>
      <w:sz w:val="19"/>
      <w:szCs w:val="19"/>
      <w:lang w:eastAsia="en-GB"/>
    </w:rPr>
  </w:style>
  <w:style w:type="character" w:customStyle="1" w:styleId="bold">
    <w:name w:val="bold"/>
    <w:basedOn w:val="DefaultParagraphFont"/>
    <w:rPr>
      <w:b/>
      <w:bCs/>
    </w:rPr>
  </w:style>
  <w:style w:type="paragraph" w:customStyle="1" w:styleId="ti-grseq-1">
    <w:name w:val="ti-grseq-1"/>
    <w:basedOn w:val="Normal"/>
    <w:pPr>
      <w:spacing w:before="240"/>
    </w:pPr>
    <w:rPr>
      <w:rFonts w:eastAsiaTheme="minorEastAsia"/>
      <w:b/>
      <w:bCs/>
      <w:szCs w:val="24"/>
      <w:lang w:eastAsia="en-GB"/>
    </w:rPr>
  </w:style>
  <w:style w:type="paragraph" w:styleId="NoSpacing">
    <w:name w:val="No Spacing"/>
    <w:uiPriority w:val="1"/>
    <w:qFormat/>
    <w:pPr>
      <w:spacing w:beforeAutospacing="1" w:after="0" w:afterAutospacing="1" w:line="240" w:lineRule="auto"/>
    </w:pPr>
    <w:rPr>
      <w:rFonts w:ascii="Times New Roman" w:eastAsiaTheme="minorEastAsia" w:hAnsi="Times New Roman" w:cs="Times New Roman"/>
      <w:sz w:val="24"/>
      <w:szCs w:val="24"/>
      <w:lang w:eastAsia="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FollowedHyperlink">
    <w:name w:val="FollowedHyperlink"/>
    <w:basedOn w:val="DefaultParagraphFont"/>
    <w:unhideWhenUsed/>
    <w:rPr>
      <w:color w:val="800080" w:themeColor="followedHyperlink"/>
      <w:u w:val="single"/>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numPr>
        <w:numId w:val="10"/>
      </w:numPr>
      <w:contextualSpacing/>
    </w:pPr>
    <w:rPr>
      <w:rFonts w:eastAsia="Times New Roman"/>
      <w:lang w:eastAsia="en-GB"/>
    </w:rPr>
  </w:style>
  <w:style w:type="paragraph" w:styleId="ListBullet3">
    <w:name w:val="List Bullet 3"/>
    <w:basedOn w:val="Normal"/>
    <w:pPr>
      <w:numPr>
        <w:numId w:val="11"/>
      </w:numPr>
      <w:contextualSpacing/>
    </w:pPr>
    <w:rPr>
      <w:rFonts w:eastAsia="Times New Roman"/>
      <w:lang w:eastAsia="en-GB"/>
    </w:rPr>
  </w:style>
  <w:style w:type="paragraph" w:styleId="ListBullet4">
    <w:name w:val="List Bullet 4"/>
    <w:basedOn w:val="Normal"/>
    <w:pPr>
      <w:numPr>
        <w:numId w:val="12"/>
      </w:numPr>
      <w:contextualSpacing/>
    </w:pPr>
    <w:rPr>
      <w:rFonts w:eastAsia="Times New Roman"/>
      <w:lang w:eastAsia="en-GB"/>
    </w:rPr>
  </w:style>
  <w:style w:type="paragraph" w:styleId="ListNumber2">
    <w:name w:val="List Number 2"/>
    <w:basedOn w:val="Normal"/>
    <w:pPr>
      <w:numPr>
        <w:numId w:val="13"/>
      </w:numPr>
      <w:contextualSpacing/>
    </w:pPr>
    <w:rPr>
      <w:rFonts w:eastAsia="Times New Roman"/>
      <w:lang w:eastAsia="en-GB"/>
    </w:rPr>
  </w:style>
  <w:style w:type="paragraph" w:styleId="ListNumber3">
    <w:name w:val="List Number 3"/>
    <w:basedOn w:val="Normal"/>
    <w:pPr>
      <w:numPr>
        <w:numId w:val="14"/>
      </w:numPr>
      <w:contextualSpacing/>
    </w:pPr>
    <w:rPr>
      <w:rFonts w:eastAsia="Times New Roman"/>
      <w:lang w:eastAsia="en-GB"/>
    </w:rPr>
  </w:style>
  <w:style w:type="paragraph" w:styleId="ListNumber4">
    <w:name w:val="List Number 4"/>
    <w:basedOn w:val="Normal"/>
    <w:pPr>
      <w:numPr>
        <w:numId w:val="15"/>
      </w:numPr>
      <w:contextualSpacing/>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notesymbolCarZchn">
    <w:name w:val="Footnote symbol Car Zchn"/>
    <w:basedOn w:val="Normal"/>
    <w:uiPriority w:val="99"/>
    <w:pPr>
      <w:spacing w:before="0" w:after="160" w:line="240" w:lineRule="exact"/>
    </w:pPr>
    <w:rPr>
      <w:rFonts w:asciiTheme="minorHAnsi" w:hAnsiTheme="minorHAnsi" w:cstheme="minorBidi"/>
      <w:sz w:val="22"/>
      <w:vertAlign w:val="superscript"/>
    </w:r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20"/>
      </w:numPr>
    </w:pPr>
  </w:style>
  <w:style w:type="paragraph" w:customStyle="1" w:styleId="Bullet1">
    <w:name w:val="Bullet 1"/>
    <w:basedOn w:val="Normal"/>
    <w:pPr>
      <w:numPr>
        <w:numId w:val="19"/>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4"/>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ListNumber">
    <w:name w:val="List Number"/>
    <w:basedOn w:val="Normal"/>
    <w:pPr>
      <w:numPr>
        <w:numId w:val="3"/>
      </w:numPr>
    </w:pPr>
    <w:rPr>
      <w:rFonts w:eastAsia="Times New Roman"/>
      <w:lang w:eastAsia="de-DE"/>
    </w:rPr>
  </w:style>
  <w:style w:type="paragraph" w:customStyle="1" w:styleId="ListDash1">
    <w:name w:val="List Dash 1"/>
    <w:basedOn w:val="Normal"/>
    <w:pPr>
      <w:numPr>
        <w:numId w:val="1"/>
      </w:numPr>
    </w:pPr>
    <w:rPr>
      <w:rFonts w:eastAsia="Times New Roman"/>
      <w:lang w:eastAsia="de-DE"/>
    </w:rPr>
  </w:style>
  <w:style w:type="paragraph" w:customStyle="1" w:styleId="ListDash2">
    <w:name w:val="List Dash 2"/>
    <w:basedOn w:val="Normal"/>
    <w:pPr>
      <w:numPr>
        <w:numId w:val="2"/>
      </w:numPr>
    </w:pPr>
    <w:rPr>
      <w:rFonts w:eastAsia="Times New Roman"/>
      <w:lang w:eastAsia="de-DE"/>
    </w:rPr>
  </w:style>
  <w:style w:type="paragraph" w:customStyle="1" w:styleId="ListNumberLevel2">
    <w:name w:val="List Number (Level 2)"/>
    <w:basedOn w:val="Normal"/>
    <w:pPr>
      <w:numPr>
        <w:ilvl w:val="1"/>
        <w:numId w:val="3"/>
      </w:numPr>
    </w:pPr>
    <w:rPr>
      <w:rFonts w:eastAsia="Times New Roman"/>
      <w:lang w:eastAsia="de-DE"/>
    </w:rPr>
  </w:style>
  <w:style w:type="paragraph" w:customStyle="1" w:styleId="ListNumberLevel3">
    <w:name w:val="List Number (Level 3)"/>
    <w:basedOn w:val="Normal"/>
    <w:pPr>
      <w:numPr>
        <w:ilvl w:val="2"/>
        <w:numId w:val="3"/>
      </w:numPr>
    </w:pPr>
    <w:rPr>
      <w:rFonts w:eastAsia="Times New Roman"/>
      <w:lang w:eastAsia="de-DE"/>
    </w:rPr>
  </w:style>
  <w:style w:type="paragraph" w:customStyle="1" w:styleId="ListNumberLevel4">
    <w:name w:val="List Number (Level 4)"/>
    <w:basedOn w:val="Normal"/>
    <w:pPr>
      <w:numPr>
        <w:ilvl w:val="3"/>
        <w:numId w:val="3"/>
      </w:numPr>
    </w:pPr>
    <w:rPr>
      <w:rFonts w:eastAsia="Times New Roman"/>
      <w:lang w:eastAsia="de-DE"/>
    </w:rPr>
  </w:style>
  <w:style w:type="character" w:styleId="Hyperlink">
    <w:name w:val="Hyperlink"/>
    <w:uiPriority w:val="99"/>
    <w:rPr>
      <w:color w:val="0000FF"/>
      <w:u w:val="single"/>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unhideWhenUsed/>
    <w:qFormat/>
    <w:pPr>
      <w:spacing w:after="240"/>
      <w:jc w:val="center"/>
    </w:pPr>
    <w:rPr>
      <w:b/>
      <w:sz w:val="28"/>
    </w:rPr>
  </w:style>
  <w:style w:type="paragraph" w:styleId="TOC1">
    <w:name w:val="toc 1"/>
    <w:basedOn w:val="Normal"/>
    <w:next w:val="Normal"/>
    <w:uiPriority w:val="39"/>
    <w:unhideWhenUsed/>
    <w:pPr>
      <w:tabs>
        <w:tab w:val="right" w:leader="dot" w:pos="9071"/>
      </w:tabs>
      <w:spacing w:before="60"/>
      <w:ind w:left="850" w:hanging="850"/>
      <w:jc w:val="left"/>
    </w:pPr>
  </w:style>
  <w:style w:type="paragraph" w:styleId="TOC2">
    <w:name w:val="toc 2"/>
    <w:basedOn w:val="Normal"/>
    <w:next w:val="Normal"/>
    <w:uiPriority w:val="39"/>
    <w:unhideWhenUsed/>
    <w:pPr>
      <w:tabs>
        <w:tab w:val="right" w:leader="dot" w:pos="9071"/>
      </w:tabs>
      <w:spacing w:before="60"/>
      <w:ind w:left="850" w:hanging="850"/>
      <w:jc w:val="left"/>
    </w:pPr>
  </w:style>
  <w:style w:type="paragraph" w:styleId="TOC3">
    <w:name w:val="toc 3"/>
    <w:basedOn w:val="Normal"/>
    <w:next w:val="Normal"/>
    <w:uiPriority w:val="39"/>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Pagedecouverture">
    <w:name w:val="Page de couverture"/>
    <w:basedOn w:val="Normal"/>
    <w:next w:val="Normal"/>
    <w:pPr>
      <w:spacing w:before="0" w:after="0"/>
    </w:pPr>
  </w:style>
  <w:style w:type="paragraph" w:customStyle="1" w:styleId="Annexetitre">
    <w:name w:val="Annexe titre"/>
    <w:basedOn w:val="Normal"/>
    <w:next w:val="Normal"/>
    <w:pPr>
      <w:jc w:val="center"/>
    </w:pPr>
    <w:rPr>
      <w:b/>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ListBullet1">
    <w:name w:val="List Bullet 1"/>
    <w:basedOn w:val="Normal"/>
    <w:pPr>
      <w:numPr>
        <w:numId w:val="6"/>
      </w:numPr>
    </w:pPr>
    <w:rPr>
      <w:rFonts w:eastAsia="Times New Roman"/>
      <w:lang w:eastAsia="de-DE"/>
    </w:rPr>
  </w:style>
  <w:style w:type="paragraph" w:styleId="ListBullet">
    <w:name w:val="List Bullet"/>
    <w:basedOn w:val="Normal"/>
    <w:pPr>
      <w:numPr>
        <w:numId w:val="7"/>
      </w:numPr>
    </w:pPr>
    <w:rPr>
      <w:rFonts w:eastAsia="Times New Roman"/>
      <w:lang w:eastAsia="en-GB"/>
    </w:rPr>
  </w:style>
  <w:style w:type="paragraph" w:styleId="ListParagraph">
    <w:name w:val="List Paragraph"/>
    <w:aliases w:val="List Paragraph compact,Dot pt,F5 List Paragraph,List Paragraph1,No Spacing1,List Paragraph Char Char Char,Indicator Text,Numbered Para 1,Bullet Points,MAIN CONTENT,List Paragraph12,OBC Bullet,Colorful List - Accent 11"/>
    <w:basedOn w:val="Normal"/>
    <w:link w:val="ListParagraphChar"/>
    <w:uiPriority w:val="34"/>
    <w:qFormat/>
    <w:pPr>
      <w:spacing w:before="0" w:after="0"/>
      <w:ind w:left="720"/>
    </w:pPr>
    <w:rPr>
      <w:rFonts w:ascii="Garamond" w:eastAsia="Garamond" w:hAnsi="Garamond"/>
      <w:sz w:val="20"/>
      <w:szCs w:val="20"/>
      <w:lang w:eastAsia="en-GB"/>
    </w:rPr>
  </w:style>
  <w:style w:type="character" w:customStyle="1" w:styleId="ListParagraphChar">
    <w:name w:val="List Paragraph Char"/>
    <w:aliases w:val="List Paragraph compact Char,Dot pt Char,F5 List Paragraph Char,List Paragraph1 Char,No Spacing1 Char,List Paragraph Char Char Char Char,Indicator Text Char,Numbered Para 1 Char,Bullet Points Char,MAIN CONTENT Char,OBC Bullet Char"/>
    <w:link w:val="ListParagraph"/>
    <w:uiPriority w:val="34"/>
    <w:qFormat/>
    <w:rPr>
      <w:rFonts w:ascii="Garamond" w:eastAsia="Garamond" w:hAnsi="Garamond" w:cs="Times New Roman"/>
      <w:sz w:val="20"/>
      <w:szCs w:val="20"/>
      <w:lang w:eastAsia="en-GB"/>
    </w:rPr>
  </w:style>
  <w:style w:type="paragraph" w:styleId="CommentText">
    <w:name w:val="annotation text"/>
    <w:basedOn w:val="Normal"/>
    <w:link w:val="CommentTextChar"/>
    <w:uiPriority w:val="99"/>
    <w:unhideWhenUsed/>
    <w:pPr>
      <w:spacing w:before="100" w:beforeAutospacing="1" w:after="100" w:afterAutospacing="1"/>
      <w:jc w:val="left"/>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heme="minorEastAsia"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eastAsia="en-GB"/>
    </w:rPr>
  </w:style>
  <w:style w:type="paragraph" w:customStyle="1" w:styleId="hd-date">
    <w:name w:val="hd-date"/>
    <w:basedOn w:val="Normal"/>
    <w:pPr>
      <w:jc w:val="left"/>
    </w:pPr>
    <w:rPr>
      <w:rFonts w:eastAsiaTheme="minorEastAsia"/>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heme="minorEastAsia"/>
      <w:szCs w:val="24"/>
      <w:lang w:eastAsia="en-GB"/>
    </w:rPr>
  </w:style>
  <w:style w:type="paragraph" w:customStyle="1" w:styleId="hd-ti">
    <w:name w:val="hd-ti"/>
    <w:basedOn w:val="Normal"/>
    <w:pPr>
      <w:jc w:val="center"/>
    </w:pPr>
    <w:rPr>
      <w:rFonts w:eastAsiaTheme="minorEastAsia"/>
      <w:szCs w:val="24"/>
      <w:lang w:eastAsia="en-GB"/>
    </w:rPr>
  </w:style>
  <w:style w:type="paragraph" w:customStyle="1" w:styleId="hd-oj">
    <w:name w:val="hd-oj"/>
    <w:basedOn w:val="Normal"/>
    <w:pPr>
      <w:jc w:val="right"/>
    </w:pPr>
    <w:rPr>
      <w:rFonts w:eastAsiaTheme="minorEastAsia"/>
      <w:szCs w:val="24"/>
      <w:lang w:eastAsia="en-GB"/>
    </w:rPr>
  </w:style>
  <w:style w:type="paragraph" w:customStyle="1" w:styleId="doc-ti">
    <w:name w:val="doc-ti"/>
    <w:basedOn w:val="Normal"/>
    <w:pPr>
      <w:spacing w:before="240"/>
      <w:jc w:val="center"/>
    </w:pPr>
    <w:rPr>
      <w:rFonts w:eastAsiaTheme="minorEastAsia"/>
      <w:b/>
      <w:bCs/>
      <w:szCs w:val="24"/>
      <w:lang w:eastAsia="en-GB"/>
    </w:rPr>
  </w:style>
  <w:style w:type="paragraph" w:customStyle="1" w:styleId="Normal1">
    <w:name w:val="Normal1"/>
    <w:basedOn w:val="Normal"/>
    <w:pPr>
      <w:spacing w:after="0"/>
    </w:pPr>
    <w:rPr>
      <w:rFonts w:eastAsiaTheme="minorEastAsia"/>
      <w:szCs w:val="24"/>
      <w:lang w:eastAsia="en-GB"/>
    </w:rPr>
  </w:style>
  <w:style w:type="character" w:customStyle="1" w:styleId="super">
    <w:name w:val="super"/>
    <w:basedOn w:val="DefaultParagraphFont"/>
    <w:rPr>
      <w:sz w:val="17"/>
      <w:szCs w:val="17"/>
      <w:vertAlign w:val="superscript"/>
    </w:rPr>
  </w:style>
  <w:style w:type="paragraph" w:customStyle="1" w:styleId="ti-art">
    <w:name w:val="ti-art"/>
    <w:basedOn w:val="Normal"/>
    <w:pPr>
      <w:spacing w:before="360"/>
      <w:jc w:val="center"/>
    </w:pPr>
    <w:rPr>
      <w:rFonts w:eastAsiaTheme="minorEastAsia"/>
      <w:i/>
      <w:iCs/>
      <w:szCs w:val="24"/>
      <w:lang w:eastAsia="en-GB"/>
    </w:rPr>
  </w:style>
  <w:style w:type="paragraph" w:customStyle="1" w:styleId="sti-art">
    <w:name w:val="sti-art"/>
    <w:basedOn w:val="Normal"/>
    <w:pPr>
      <w:spacing w:before="60"/>
      <w:jc w:val="center"/>
    </w:pPr>
    <w:rPr>
      <w:rFonts w:eastAsiaTheme="minorEastAsia"/>
      <w:b/>
      <w:bCs/>
      <w:szCs w:val="24"/>
      <w:lang w:eastAsia="en-GB"/>
    </w:rPr>
  </w:style>
  <w:style w:type="character" w:customStyle="1" w:styleId="italic">
    <w:name w:val="italic"/>
    <w:basedOn w:val="DefaultParagraphFont"/>
    <w:rPr>
      <w:i/>
      <w:iCs/>
    </w:rPr>
  </w:style>
  <w:style w:type="paragraph" w:customStyle="1" w:styleId="signatory">
    <w:name w:val="signatory"/>
    <w:basedOn w:val="Normal"/>
    <w:pPr>
      <w:spacing w:before="60" w:after="60"/>
      <w:jc w:val="center"/>
    </w:pPr>
    <w:rPr>
      <w:rFonts w:eastAsiaTheme="minorEastAsia"/>
      <w:szCs w:val="24"/>
      <w:lang w:eastAsia="en-GB"/>
    </w:rPr>
  </w:style>
  <w:style w:type="paragraph" w:customStyle="1" w:styleId="note">
    <w:name w:val="note"/>
    <w:basedOn w:val="Normal"/>
    <w:pPr>
      <w:spacing w:before="60" w:after="60"/>
    </w:pPr>
    <w:rPr>
      <w:rFonts w:eastAsiaTheme="minorEastAsia"/>
      <w:sz w:val="19"/>
      <w:szCs w:val="19"/>
      <w:lang w:eastAsia="en-GB"/>
    </w:rPr>
  </w:style>
  <w:style w:type="character" w:customStyle="1" w:styleId="bold">
    <w:name w:val="bold"/>
    <w:basedOn w:val="DefaultParagraphFont"/>
    <w:rPr>
      <w:b/>
      <w:bCs/>
    </w:rPr>
  </w:style>
  <w:style w:type="paragraph" w:customStyle="1" w:styleId="ti-grseq-1">
    <w:name w:val="ti-grseq-1"/>
    <w:basedOn w:val="Normal"/>
    <w:pPr>
      <w:spacing w:before="240"/>
    </w:pPr>
    <w:rPr>
      <w:rFonts w:eastAsiaTheme="minorEastAsia"/>
      <w:b/>
      <w:bCs/>
      <w:szCs w:val="24"/>
      <w:lang w:eastAsia="en-GB"/>
    </w:rPr>
  </w:style>
  <w:style w:type="paragraph" w:styleId="NoSpacing">
    <w:name w:val="No Spacing"/>
    <w:uiPriority w:val="1"/>
    <w:qFormat/>
    <w:pPr>
      <w:spacing w:beforeAutospacing="1" w:after="0" w:afterAutospacing="1" w:line="240" w:lineRule="auto"/>
    </w:pPr>
    <w:rPr>
      <w:rFonts w:ascii="Times New Roman" w:eastAsiaTheme="minorEastAsia" w:hAnsi="Times New Roman" w:cs="Times New Roman"/>
      <w:sz w:val="24"/>
      <w:szCs w:val="24"/>
      <w:lang w:eastAsia="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FollowedHyperlink">
    <w:name w:val="FollowedHyperlink"/>
    <w:basedOn w:val="DefaultParagraphFont"/>
    <w:unhideWhenUsed/>
    <w:rPr>
      <w:color w:val="800080" w:themeColor="followedHyperlink"/>
      <w:u w:val="single"/>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numPr>
        <w:numId w:val="10"/>
      </w:numPr>
      <w:contextualSpacing/>
    </w:pPr>
    <w:rPr>
      <w:rFonts w:eastAsia="Times New Roman"/>
      <w:lang w:eastAsia="en-GB"/>
    </w:rPr>
  </w:style>
  <w:style w:type="paragraph" w:styleId="ListBullet3">
    <w:name w:val="List Bullet 3"/>
    <w:basedOn w:val="Normal"/>
    <w:pPr>
      <w:numPr>
        <w:numId w:val="11"/>
      </w:numPr>
      <w:contextualSpacing/>
    </w:pPr>
    <w:rPr>
      <w:rFonts w:eastAsia="Times New Roman"/>
      <w:lang w:eastAsia="en-GB"/>
    </w:rPr>
  </w:style>
  <w:style w:type="paragraph" w:styleId="ListBullet4">
    <w:name w:val="List Bullet 4"/>
    <w:basedOn w:val="Normal"/>
    <w:pPr>
      <w:numPr>
        <w:numId w:val="12"/>
      </w:numPr>
      <w:contextualSpacing/>
    </w:pPr>
    <w:rPr>
      <w:rFonts w:eastAsia="Times New Roman"/>
      <w:lang w:eastAsia="en-GB"/>
    </w:rPr>
  </w:style>
  <w:style w:type="paragraph" w:styleId="ListNumber2">
    <w:name w:val="List Number 2"/>
    <w:basedOn w:val="Normal"/>
    <w:pPr>
      <w:numPr>
        <w:numId w:val="13"/>
      </w:numPr>
      <w:contextualSpacing/>
    </w:pPr>
    <w:rPr>
      <w:rFonts w:eastAsia="Times New Roman"/>
      <w:lang w:eastAsia="en-GB"/>
    </w:rPr>
  </w:style>
  <w:style w:type="paragraph" w:styleId="ListNumber3">
    <w:name w:val="List Number 3"/>
    <w:basedOn w:val="Normal"/>
    <w:pPr>
      <w:numPr>
        <w:numId w:val="14"/>
      </w:numPr>
      <w:contextualSpacing/>
    </w:pPr>
    <w:rPr>
      <w:rFonts w:eastAsia="Times New Roman"/>
      <w:lang w:eastAsia="en-GB"/>
    </w:rPr>
  </w:style>
  <w:style w:type="paragraph" w:styleId="ListNumber4">
    <w:name w:val="List Number 4"/>
    <w:basedOn w:val="Normal"/>
    <w:pPr>
      <w:numPr>
        <w:numId w:val="15"/>
      </w:numPr>
      <w:contextualSpacing/>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notesymbolCarZchn">
    <w:name w:val="Footnote symbol Car Zchn"/>
    <w:basedOn w:val="Normal"/>
    <w:uiPriority w:val="99"/>
    <w:pPr>
      <w:spacing w:before="0" w:after="160" w:line="240" w:lineRule="exact"/>
    </w:pPr>
    <w:rPr>
      <w:rFonts w:asciiTheme="minorHAnsi" w:hAnsiTheme="minorHAnsi" w:cstheme="minorBidi"/>
      <w:sz w:val="22"/>
      <w:vertAlign w:val="superscript"/>
    </w:r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20"/>
      </w:numPr>
    </w:pPr>
  </w:style>
  <w:style w:type="paragraph" w:customStyle="1" w:styleId="Bullet1">
    <w:name w:val="Bullet 1"/>
    <w:basedOn w:val="Normal"/>
    <w:pPr>
      <w:numPr>
        <w:numId w:val="19"/>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16005">
      <w:bodyDiv w:val="1"/>
      <w:marLeft w:val="0"/>
      <w:marRight w:val="0"/>
      <w:marTop w:val="0"/>
      <w:marBottom w:val="0"/>
      <w:divBdr>
        <w:top w:val="none" w:sz="0" w:space="0" w:color="auto"/>
        <w:left w:val="none" w:sz="0" w:space="0" w:color="auto"/>
        <w:bottom w:val="none" w:sz="0" w:space="0" w:color="auto"/>
        <w:right w:val="none" w:sz="0" w:space="0" w:color="auto"/>
      </w:divBdr>
    </w:div>
    <w:div w:id="1081365371">
      <w:bodyDiv w:val="1"/>
      <w:marLeft w:val="0"/>
      <w:marRight w:val="0"/>
      <w:marTop w:val="0"/>
      <w:marBottom w:val="0"/>
      <w:divBdr>
        <w:top w:val="none" w:sz="0" w:space="0" w:color="auto"/>
        <w:left w:val="none" w:sz="0" w:space="0" w:color="auto"/>
        <w:bottom w:val="none" w:sz="0" w:space="0" w:color="auto"/>
        <w:right w:val="none" w:sz="0" w:space="0" w:color="auto"/>
      </w:divBdr>
    </w:div>
    <w:div w:id="1270821905">
      <w:bodyDiv w:val="1"/>
      <w:marLeft w:val="0"/>
      <w:marRight w:val="0"/>
      <w:marTop w:val="0"/>
      <w:marBottom w:val="0"/>
      <w:divBdr>
        <w:top w:val="none" w:sz="0" w:space="0" w:color="auto"/>
        <w:left w:val="none" w:sz="0" w:space="0" w:color="auto"/>
        <w:bottom w:val="none" w:sz="0" w:space="0" w:color="auto"/>
        <w:right w:val="none" w:sz="0" w:space="0" w:color="auto"/>
      </w:divBdr>
    </w:div>
    <w:div w:id="16098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header" Target="header22.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1.xml"/><Relationship Id="rId58" Type="http://schemas.openxmlformats.org/officeDocument/2006/relationships/footer" Target="footer2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9.xml"/><Relationship Id="rId57" Type="http://schemas.openxmlformats.org/officeDocument/2006/relationships/footer" Target="footer22.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footer" Target="footer2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eader" Target="header23.xml"/><Relationship Id="rId8" Type="http://schemas.openxmlformats.org/officeDocument/2006/relationships/settings" Target="settings.xml"/><Relationship Id="rId51" Type="http://schemas.openxmlformats.org/officeDocument/2006/relationships/footer" Target="footer19.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header" Target="header24.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E39433A02F1448BF88E41489093EC1" ma:contentTypeVersion="1" ma:contentTypeDescription="Create a new document." ma:contentTypeScope="" ma:versionID="b7f171fb8f66c38e6ba0f4b4edc7001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20142C0-FB90-4377-91D3-9BA4D59C3AE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EC9570-0809-4904-959B-D4FFE177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235A7-531F-47A2-9845-B4F00A25BF19}">
  <ds:schemaRefs>
    <ds:schemaRef ds:uri="http://schemas.microsoft.com/sharepoint/v3/contenttype/forms"/>
  </ds:schemaRefs>
</ds:datastoreItem>
</file>

<file path=customXml/itemProps4.xml><?xml version="1.0" encoding="utf-8"?>
<ds:datastoreItem xmlns:ds="http://schemas.openxmlformats.org/officeDocument/2006/customXml" ds:itemID="{3057223F-BA35-41CD-8B5D-A7B3D66F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4339</Words>
  <Characters>24953</Characters>
  <Application>Microsoft Office Word</Application>
  <DocSecurity>0</DocSecurity>
  <Lines>2079</Lines>
  <Paragraphs>976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CASTANHEIRA Bruno (BUDG)</dc:creator>
  <cp:keywords/>
  <dc:description/>
  <cp:lastModifiedBy>WES PDFC Administrator</cp:lastModifiedBy>
  <cp:revision>11</cp:revision>
  <dcterms:created xsi:type="dcterms:W3CDTF">2020-10-19T14:52:00Z</dcterms:created>
  <dcterms:modified xsi:type="dcterms:W3CDTF">2020-10-20T11:18:00Z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2</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7.0.1, Build 20190916</vt:lpwstr>
  </property>
  <property fmtid="{D5CDD505-2E9C-101B-9397-08002B2CF9AE}" pid="11" name="CPTemplateID">
    <vt:lpwstr>CP-036</vt:lpwstr>
  </property>
  <property fmtid="{D5CDD505-2E9C-101B-9397-08002B2CF9AE}" pid="12" name="_LW_INVALIDATED__LW_INVALIDATED__LW_INVALIDATED__LW_INVALIDATED__LW_INVALIDATED__LW_INVALIDATED__LW_INVALIDATED__LW_INVALIDATED__LW_INVALIDATED_ContentTypeId">
    <vt:lpwstr>0x0101001CE39433A02F1448BF88E41489093EC1</vt:lpwstr>
  </property>
</Properties>
</file>