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AA3FADC3-CBA5-4DAA-9BDF-3128B3A1CEFD" style="width:451.25pt;height:365.85pt">
            <v:imagedata r:id="rId9" o:title=""/>
          </v:shape>
        </w:pict>
      </w:r>
    </w:p>
    <w:p>
      <w:pPr>
        <w:rPr>
          <w:noProof/>
          <w:color w:val="000000" w:themeColor="text1"/>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color w:val="000000" w:themeColor="text1"/>
        </w:rPr>
      </w:pPr>
      <w:bookmarkStart w:id="0" w:name="_GoBack"/>
      <w:bookmarkEnd w:id="0"/>
      <w:r>
        <w:rPr>
          <w:noProof/>
          <w:color w:val="000000" w:themeColor="text1"/>
        </w:rPr>
        <w:lastRenderedPageBreak/>
        <w:t>ОБЯСНИТЕЛЕН МЕМОРАНДУМ</w:t>
      </w:r>
    </w:p>
    <w:p>
      <w:pPr>
        <w:pStyle w:val="ManualHeading1"/>
        <w:rPr>
          <w:noProof/>
          <w:color w:val="000000" w:themeColor="text1"/>
        </w:rPr>
      </w:pPr>
      <w:r>
        <w:rPr>
          <w:noProof/>
          <w:color w:val="000000" w:themeColor="text1"/>
        </w:rPr>
        <w:t>1.</w:t>
      </w:r>
      <w:r>
        <w:rPr>
          <w:noProof/>
          <w:color w:val="000000" w:themeColor="text1"/>
        </w:rPr>
        <w:tab/>
        <w:t>КОНТЕКСТ НА ПРЕДЛОЖЕНИЕТО</w:t>
      </w:r>
    </w:p>
    <w:p>
      <w:pPr>
        <w:pStyle w:val="ManualHeading2"/>
        <w:rPr>
          <w:rFonts w:eastAsia="Arial Unicode MS"/>
          <w:noProof/>
          <w:color w:val="000000" w:themeColor="text1"/>
        </w:rPr>
      </w:pPr>
      <w:r>
        <w:rPr>
          <w:noProof/>
          <w:color w:val="000000" w:themeColor="text1"/>
          <w:u w:color="000000"/>
          <w:bdr w:val="nil"/>
        </w:rPr>
        <w:t>•</w:t>
      </w:r>
      <w:r>
        <w:rPr>
          <w:noProof/>
          <w:color w:val="000000" w:themeColor="text1"/>
          <w:u w:color="000000"/>
          <w:bdr w:val="nil"/>
        </w:rPr>
        <w:tab/>
      </w:r>
      <w:r>
        <w:rPr>
          <w:noProof/>
          <w:color w:val="000000" w:themeColor="text1"/>
        </w:rPr>
        <w:t>Основания и цели на предложението</w:t>
      </w:r>
    </w:p>
    <w:p>
      <w:pPr>
        <w:snapToGrid w:val="0"/>
        <w:rPr>
          <w:bCs/>
          <w:noProof/>
          <w:color w:val="000000" w:themeColor="text1"/>
        </w:rPr>
      </w:pPr>
      <w:r>
        <w:rPr>
          <w:bCs/>
          <w:noProof/>
          <w:color w:val="000000" w:themeColor="text1"/>
        </w:rPr>
        <w:t>Високопроизводителните изчислителни технологии (ВИТ), които се отнасят до изчислителни системи („суперкомпютри“) с изключително висока изчислителна мощност и способност да решават изключително сложни и трудни задачи, са от критично значение за процеса на цифрова трансформация на нашето общество. Те са</w:t>
      </w:r>
      <w:r>
        <w:rPr>
          <w:noProof/>
          <w:color w:val="000000" w:themeColor="text1"/>
          <w:szCs w:val="20"/>
        </w:rPr>
        <w:t xml:space="preserve"> „двигателят“, който захранва икономиката, основана на данни,</w:t>
      </w:r>
      <w:r>
        <w:rPr>
          <w:bCs/>
          <w:noProof/>
          <w:color w:val="000000" w:themeColor="text1"/>
        </w:rPr>
        <w:t xml:space="preserve"> и могат да създадат предпоставки ключови технологии като изкуствения интелект (AI), анализа на данни и киберсигурността да се ползват от огромния потенциал на големите информационни масиви. </w:t>
      </w:r>
    </w:p>
    <w:p>
      <w:pPr>
        <w:snapToGrid w:val="0"/>
        <w:rPr>
          <w:noProof/>
          <w:color w:val="000000" w:themeColor="text1"/>
        </w:rPr>
      </w:pPr>
      <w:r>
        <w:rPr>
          <w:noProof/>
          <w:color w:val="000000" w:themeColor="text1"/>
          <w:szCs w:val="20"/>
        </w:rPr>
        <w:t xml:space="preserve">ВИТ позволяват на множество промишлени сектори да създават иновации и да преминават към продукти и услуги с по-висока стойност, като проправят пътя за развитието на нови промишлени приложения в комбинация с други авангардни цифрови технологии. Приложенията и инфраструктурата на ВИТ са от съществено значение за постигането на по-задълбочено научно разбиране и пробиви в почти всяка научна област — от фундаменталната физика до биомедицината. ВИТ са основен инструмент и за изследователите и създателите на политики за справяне с основните предизвикателства пред обществото — от изменението на климата, развитието в областта на интелигентните технологии и околната среда и устойчивото земеделие до персонализираната медицина и управлението на кризи. Изключително подходящ пример за това е пандемията от COVID-19, при която </w:t>
      </w:r>
      <w:r>
        <w:rPr>
          <w:noProof/>
          <w:color w:val="000000" w:themeColor="text1"/>
        </w:rPr>
        <w:t>ВИТ често се използват</w:t>
      </w:r>
      <w:r>
        <w:rPr>
          <w:bCs/>
          <w:noProof/>
          <w:color w:val="000000" w:themeColor="text1"/>
        </w:rPr>
        <w:t xml:space="preserve"> в комбинация с изкуствен интелект </w:t>
      </w:r>
      <w:r>
        <w:rPr>
          <w:noProof/>
          <w:color w:val="000000" w:themeColor="text1"/>
        </w:rPr>
        <w:t>за ускоряване на откриването на нови лекарства, прогнозиране на разпространението на вируса, планиране и разпределение на ограничените медицински ресурси, както и предвиждане на ефективността на ограничителните мерки и сценариите след епидемията.</w:t>
      </w:r>
    </w:p>
    <w:p>
      <w:pPr>
        <w:snapToGrid w:val="0"/>
        <w:rPr>
          <w:noProof/>
          <w:color w:val="000000" w:themeColor="text1"/>
        </w:rPr>
      </w:pPr>
      <w:r>
        <w:rPr>
          <w:noProof/>
          <w:color w:val="000000" w:themeColor="text1"/>
        </w:rPr>
        <w:t>През следващите няколко години водещата роля на Европа в икономиката, основана на данни, нейните високи научни постижения и нейната промишлена конкурентоспособност все повече ще зависят от способността ѝ да разработва ключови високопроизводителни изчислителни технологии, да предоставя достъп до инфраструктура от суперкомпютри и данни на световно равнище, както и да поддържа настоящите си върхови постижения в областта на приложенията на ВИТ. Наличието на общоевропейски стратегически подход е от съществено значение, за да се случи това.</w:t>
      </w:r>
    </w:p>
    <w:p>
      <w:pPr>
        <w:rPr>
          <w:noProof/>
          <w:color w:val="000000" w:themeColor="text1"/>
        </w:rPr>
      </w:pPr>
      <w:r>
        <w:rPr>
          <w:noProof/>
          <w:color w:val="000000" w:themeColor="text1"/>
        </w:rPr>
        <w:t>Съвместното предприятие EuroHPC беше създадено</w:t>
      </w:r>
      <w:r>
        <w:rPr>
          <w:rStyle w:val="FootnoteReference"/>
          <w:noProof/>
          <w:color w:val="000000" w:themeColor="text1"/>
        </w:rPr>
        <w:footnoteReference w:id="1"/>
      </w:r>
      <w:r>
        <w:rPr>
          <w:noProof/>
          <w:color w:val="000000" w:themeColor="text1"/>
        </w:rPr>
        <w:t xml:space="preserve"> през октомври 2018 г. като правна и финансова рамка за обединяване на ресурсите на ЕС, 32 държави и двама частноправни членове: Европейската технологична платформа за високопроизводителни изчислителни технологии (ETP4HPC) и Сдружението за популяризиране на стойността на големите информационни масиви (BDVA). Досега съвместното предприятие е използвало финансови средства по линия на многогодишната финансова рамка за периода 2014—2020 г. (МФР) за своите стратегически инвестиции. След 20 месеца работа то значително увеличи общите инвестиции във ВИТ на европейско равнище и започна да постига резултати във връзка с мисията си да възстанови позицията на Европа като водеща сила в областта на ВИТ. До края на 2020 г. то ще внедри инфраструктура от суперкомпютри и данни на </w:t>
      </w:r>
      <w:r>
        <w:rPr>
          <w:noProof/>
          <w:color w:val="000000" w:themeColor="text1"/>
        </w:rPr>
        <w:lastRenderedPageBreak/>
        <w:t>световно равнище, която ще бъде достъпна за публични и частни потребители в цяла Европа. С неговите инвестиции също така се подпомагат и експертните центрове в областта на ВИТ в цяла Европа, които гарантират, че ВИТ са широкодостъпни в Съюза и предоставят специфични услуги и ресурси за промишлени иновации (включително на МСП) и за развитието на умения в областта на ВИТ, както и научни изследвания и иновации в областта на критичните хардуерни и софтуерни технологии и приложения в областта на ВИТ. Това ще увеличи способността на ЕС да произвежда иновативни технологии в областта на ВИТ.</w:t>
      </w:r>
    </w:p>
    <w:p>
      <w:pPr>
        <w:rPr>
          <w:noProof/>
          <w:color w:val="000000" w:themeColor="text1"/>
        </w:rPr>
      </w:pPr>
      <w:r>
        <w:rPr>
          <w:noProof/>
          <w:color w:val="000000" w:themeColor="text1"/>
        </w:rPr>
        <w:t>През 2018 г. в регламента на Съвета за създаване на Съвместното предприятие EuroHPC беше заложена цел до 2022—2023 г. да се достигне следващата граница при суперкомпютрите — производителност от порядъка на ексафлопс</w:t>
      </w:r>
      <w:r>
        <w:rPr>
          <w:rStyle w:val="FootnoteReference"/>
          <w:noProof/>
          <w:color w:val="000000" w:themeColor="text1"/>
        </w:rPr>
        <w:footnoteReference w:id="2"/>
      </w:r>
      <w:r>
        <w:rPr>
          <w:noProof/>
          <w:color w:val="000000" w:themeColor="text1"/>
        </w:rPr>
        <w:t>, т.е. изчислителни системи, способни да изпълняват повече от един трилион (10</w:t>
      </w:r>
      <w:r>
        <w:rPr>
          <w:noProof/>
          <w:color w:val="000000" w:themeColor="text1"/>
          <w:vertAlign w:val="superscript"/>
        </w:rPr>
        <w:t>18</w:t>
      </w:r>
      <w:r>
        <w:rPr>
          <w:noProof/>
          <w:color w:val="000000" w:themeColor="text1"/>
        </w:rPr>
        <w:t xml:space="preserve">) операции в секунда. Това увеличаване на изчислителната мощност ще бъде постигнато и с внедряването на квантови компютри и преминаването към технологии с производителност над ексафлопс. </w:t>
      </w:r>
    </w:p>
    <w:p>
      <w:pPr>
        <w:rPr>
          <w:noProof/>
          <w:color w:val="000000" w:themeColor="text1"/>
        </w:rPr>
      </w:pPr>
      <w:r>
        <w:rPr>
          <w:noProof/>
          <w:color w:val="000000" w:themeColor="text1"/>
        </w:rPr>
        <w:t>По същество предложеният регламент представлява продължение на съществуващата инициатива, създадена съгласно Регламент (ЕС) 2018/1488 на Съвета, с цел въвеждане на изменения за адаптиране на регламента към програмите от следващата многогодишна финансова рамка (МФР), но също така и за отразяване на приоритетите на Комисията и създаване на условия съвместното предприятие да използва финансиране по линия на новите програми от МФР за периода 2021—2027 г. Тези програми са „Хоризонт Европа“, програмата „Цифрова Европа“ и Механизмът за свързване на Европа. Това финансиране ще бъде от съществено значение, за да може Европа да достигне тази следваща граница при суперкомпютрите — изчислителни технологии с производителност от порядъка на ексафлопс. Това ще позволи на Съюза да се сдобие с обединена, сигурна и хиперсвързана инфраструктура на световно равнище за услуги и данни в областта на суперкомпютрите и квантовите компютри и да развие необходимите технологии, приложения и умения за постигане на производителност от порядъка на ексафлопс, което в момента се предвижда да се случи в периода около 2023—2025 г., а за производителност над ексафлопс — около 2025—2027 г., като същевременно се насърчава европейска система на световно равнище за иновации в областта на високопроизводителните изчислителни технологии и квантовите изчислителни технологии.</w:t>
      </w:r>
    </w:p>
    <w:p>
      <w:pPr>
        <w:rPr>
          <w:noProof/>
          <w:color w:val="000000" w:themeColor="text1"/>
        </w:rPr>
      </w:pPr>
      <w:r>
        <w:rPr>
          <w:noProof/>
          <w:color w:val="000000" w:themeColor="text1"/>
        </w:rPr>
        <w:t>Тъй като основните стимули и цели на Съвместното предприятие EuroHPC остават непроменени от създаването му, оценката на въздействието, публикувана през януари 2018 г.</w:t>
      </w:r>
      <w:r>
        <w:rPr>
          <w:rStyle w:val="FootnoteReference"/>
          <w:noProof/>
          <w:color w:val="000000" w:themeColor="text1"/>
        </w:rPr>
        <w:footnoteReference w:id="3"/>
      </w:r>
      <w:r>
        <w:rPr>
          <w:noProof/>
          <w:color w:val="000000" w:themeColor="text1"/>
        </w:rPr>
        <w:t>, остава валидна. Освен това в оценката на въздействието, придружаваща предложението за Регламент на Европейския парламент и на Съвета за създаване на програмата „Цифрова Европа“ за периода 2021—2027 г., са взети под внимание целите на ВИТ</w:t>
      </w:r>
      <w:r>
        <w:rPr>
          <w:rStyle w:val="FootnoteReference"/>
          <w:noProof/>
          <w:color w:val="000000" w:themeColor="text1"/>
        </w:rPr>
        <w:footnoteReference w:id="4"/>
      </w:r>
      <w:r>
        <w:rPr>
          <w:noProof/>
          <w:color w:val="000000" w:themeColor="text1"/>
        </w:rPr>
        <w:t xml:space="preserve">. </w:t>
      </w:r>
    </w:p>
    <w:p>
      <w:pPr>
        <w:rPr>
          <w:noProof/>
          <w:color w:val="000000" w:themeColor="text1"/>
        </w:rPr>
      </w:pPr>
      <w:r>
        <w:rPr>
          <w:noProof/>
          <w:color w:val="000000" w:themeColor="text1"/>
        </w:rPr>
        <w:t xml:space="preserve">Съответно предложението на Комисията за нов регламент за СП EuroHPC е придружено от работен документ на службите на Комисията (SWD), в който са обобщени доказателствата, събрани от 2018 г. насам. В работния документ на службите </w:t>
      </w:r>
      <w:r>
        <w:rPr>
          <w:noProof/>
          <w:color w:val="000000" w:themeColor="text1"/>
        </w:rPr>
        <w:lastRenderedPageBreak/>
        <w:t xml:space="preserve">на Комисията се анализира еволюцията на ключовите социално-икономически и технологични фактори и на потребителските изисквания, засягащи бъдещото развитие на инфраструктурите, технологиите и приложенията за ВИТ и данни в ЕС и по света, като се отчитат политическите приоритети на ЕС за периода 2020—2025 г. В него са представени най-новите данни за пазара на ВИТ и е направен общ преглед на основните поуки, извлечени до момента от дейността на съвместното предприятие. В него се описва ролята, която ще изиграят ВИТ в близко бъдеще за цифровата трансформация на Европа и за създаването на единно европейско пространство на данни. И накрая се представят доказателства за значението на дейността на Съвместното предприятие EuroHPC и за въздействието, което неговото продължаване ще окаже върху все по-голям брой критични технологии и приложения през следващото десетилетие, особено за европейските върхови постижения в областта на технологиите за процесори с ниска консумация на енергия и в областта на </w:t>
      </w:r>
      <w:bookmarkStart w:id="1" w:name="_Ref37166042"/>
      <w:r>
        <w:rPr>
          <w:noProof/>
          <w:color w:val="000000" w:themeColor="text1"/>
        </w:rPr>
        <w:t>изкуствения интелект.</w:t>
      </w:r>
      <w:bookmarkEnd w:id="1"/>
      <w:r>
        <w:rPr>
          <w:noProof/>
          <w:color w:val="000000" w:themeColor="text1"/>
        </w:rPr>
        <w:t xml:space="preserve"> </w:t>
      </w:r>
    </w:p>
    <w:p>
      <w:pPr>
        <w:rPr>
          <w:b/>
          <w:i/>
          <w:noProof/>
          <w:color w:val="000000" w:themeColor="text1"/>
          <w:szCs w:val="24"/>
          <w:u w:val="single"/>
        </w:rPr>
      </w:pPr>
      <w:r>
        <w:rPr>
          <w:b/>
          <w:i/>
          <w:noProof/>
          <w:color w:val="000000" w:themeColor="text1"/>
          <w:szCs w:val="24"/>
          <w:u w:val="single"/>
        </w:rPr>
        <w:t>Как ще функционира Съвместното предприятие EuroHPC?</w:t>
      </w:r>
    </w:p>
    <w:p>
      <w:pPr>
        <w:rPr>
          <w:rFonts w:eastAsia="Times New Roman"/>
          <w:noProof/>
          <w:color w:val="000000" w:themeColor="text1"/>
          <w:szCs w:val="24"/>
        </w:rPr>
      </w:pPr>
      <w:r>
        <w:rPr>
          <w:noProof/>
          <w:color w:val="000000" w:themeColor="text1"/>
          <w:szCs w:val="24"/>
        </w:rPr>
        <w:t>Мисията на предложеното съвместно предприятие EuroHPC представлява еволюция на мисията на Съвместното предприятие EuroHPC, което беше създадено през октомври 2018 г. Дългосрочните цели по същество не се променят, т.е. внедряването и експлоатацията на инфраструктура за високопроизводителни изчислителни технологии и данни на световно равнище, както и развитието и насърчаването на отлична екосистема за европейски високопроизводителни изчислителни технологии. Вниманието е насочено към навлизане в ерата на ексафлопс и разпростиране към нови високопроизводителни изчислителни подходи, основани на квантови технологии.</w:t>
      </w:r>
    </w:p>
    <w:p>
      <w:pPr>
        <w:rPr>
          <w:rFonts w:eastAsia="Times New Roman"/>
          <w:noProof/>
          <w:color w:val="000000" w:themeColor="text1"/>
          <w:szCs w:val="24"/>
        </w:rPr>
      </w:pPr>
      <w:r>
        <w:rPr>
          <w:noProof/>
          <w:color w:val="000000" w:themeColor="text1"/>
          <w:szCs w:val="24"/>
        </w:rPr>
        <w:t>Дейностите на съвместното предприятие са групирани около пет основни стълба:</w:t>
      </w:r>
    </w:p>
    <w:p>
      <w:pPr>
        <w:pStyle w:val="Point0"/>
        <w:rPr>
          <w:noProof/>
        </w:rPr>
      </w:pPr>
      <w:r>
        <w:rPr>
          <w:noProof/>
        </w:rPr>
        <w:t>а)</w:t>
      </w:r>
      <w:r>
        <w:rPr>
          <w:noProof/>
        </w:rPr>
        <w:tab/>
      </w:r>
      <w:r>
        <w:rPr>
          <w:i/>
          <w:noProof/>
        </w:rPr>
        <w:t>Инфраструктура</w:t>
      </w:r>
      <w:r>
        <w:rPr>
          <w:noProof/>
        </w:rPr>
        <w:t>: В основата на този стълб ще продължи да бъде придобиването на инфраструктура от суперкомпютри на световно равнище. Дейностите по него обаче са разширени, за да включват придобиването, внедряването и експлоатацията не само на инфраструктура от суперкомпютри на световно равнище, но също така и на инфраструктура от квантови компютри.</w:t>
      </w:r>
    </w:p>
    <w:p>
      <w:pPr>
        <w:pStyle w:val="Point0"/>
        <w:rPr>
          <w:noProof/>
        </w:rPr>
      </w:pPr>
      <w:r>
        <w:rPr>
          <w:noProof/>
        </w:rPr>
        <w:t>б)</w:t>
      </w:r>
      <w:r>
        <w:rPr>
          <w:noProof/>
        </w:rPr>
        <w:tab/>
      </w:r>
      <w:r>
        <w:rPr>
          <w:i/>
          <w:noProof/>
        </w:rPr>
        <w:t>Обединяване на услугите в областта на суперкомпютрите</w:t>
      </w:r>
      <w:r>
        <w:rPr>
          <w:noProof/>
        </w:rPr>
        <w:t xml:space="preserve">: Това е нов стълб. В него се обхващат дейностите по предоставяне на облачен достъп за целия Съюз до обединени и сигурни ресурси и услуги в областта на суперкомпютрите, квантовите компютри и данните в цяла Европа за публични и частни потребители. В стълба ще бъде включена </w:t>
      </w:r>
      <w:r>
        <w:rPr>
          <w:noProof/>
          <w:szCs w:val="24"/>
        </w:rPr>
        <w:t>подкрепа за свързването на ресурсите в областта на високопроизводителните изчислителни технологии, квантовите изчислителни технологии и данните. Т</w:t>
      </w:r>
      <w:r>
        <w:rPr>
          <w:noProof/>
        </w:rPr>
        <w:t xml:space="preserve">яхното свързване с общите европейски пространства на данни на Съюза и обединените облачни инфраструктури и развитието, придобиването и експлоатацията на платформа за безпроблемното и сигурно предоставяне на базирани в облак услуги на инфраструктурата за услуги и данни в областта на суперкомпютрите и квантовите компютри. </w:t>
      </w:r>
    </w:p>
    <w:p>
      <w:pPr>
        <w:pStyle w:val="Point0"/>
        <w:rPr>
          <w:noProof/>
        </w:rPr>
      </w:pPr>
      <w:r>
        <w:rPr>
          <w:noProof/>
        </w:rPr>
        <w:t>в)</w:t>
      </w:r>
      <w:r>
        <w:rPr>
          <w:noProof/>
        </w:rPr>
        <w:tab/>
      </w:r>
      <w:r>
        <w:rPr>
          <w:i/>
          <w:noProof/>
        </w:rPr>
        <w:t>Технологии</w:t>
      </w:r>
      <w:r>
        <w:rPr>
          <w:noProof/>
        </w:rPr>
        <w:t xml:space="preserve">: По този стълб ще продължи да се осигурява подкрепа за амбициозна програма за научни изследвания и иновации за разработване на иновативна екосистема на световно равнище в областта на суперкомпютрите. По него ще се подкрепят хардуерни и софтуерни технологии, както и тяхното интегриране в изчислителни системи, които обхващат цялата научна и промишлена верига за създаване на стойност. Освен това ще се подкрепят </w:t>
      </w:r>
      <w:r>
        <w:rPr>
          <w:noProof/>
        </w:rPr>
        <w:lastRenderedPageBreak/>
        <w:t>технологиите и системите, необходими за свързването и експлоатацията на класическите суперкомпютърни системи с други, често спомагателни изчислителни технологии, и по-специално невроморфни или квантови изчислителни технологии.</w:t>
      </w:r>
    </w:p>
    <w:p>
      <w:pPr>
        <w:pStyle w:val="Point0"/>
        <w:rPr>
          <w:noProof/>
        </w:rPr>
      </w:pPr>
      <w:r>
        <w:rPr>
          <w:noProof/>
        </w:rPr>
        <w:t>г)</w:t>
      </w:r>
      <w:r>
        <w:rPr>
          <w:noProof/>
        </w:rPr>
        <w:tab/>
      </w:r>
      <w:r>
        <w:rPr>
          <w:i/>
          <w:noProof/>
        </w:rPr>
        <w:t>Приложения</w:t>
      </w:r>
      <w:r>
        <w:rPr>
          <w:noProof/>
        </w:rPr>
        <w:t xml:space="preserve">: Този стълб беше част от технологичния стълб на Съвместното предприятие EuroHPC </w:t>
      </w:r>
      <w:r>
        <w:rPr>
          <w:noProof/>
          <w:szCs w:val="24"/>
        </w:rPr>
        <w:t>, което беше създадено през октомври 2018 г</w:t>
      </w:r>
      <w:r>
        <w:rPr>
          <w:noProof/>
        </w:rPr>
        <w:t xml:space="preserve">. Сега обаче е обособен, за да се отрази по-голямото му значение, по-специално разширяването на обхвата му до приложения от промишлена важност. По този стълб ще се осигурява подкрепа за дейности за постигане на върхови постижения и поддържане на настоящата водеща позиция на Европа в ключовите приложения за изчисления и данни и кодове за науката, промишлеността (в това число МСП) и публичния сектор, включително подкрепа за центрове за върхови постижения в областта на приложенията на ВИТ. </w:t>
      </w:r>
    </w:p>
    <w:p>
      <w:pPr>
        <w:pStyle w:val="Point0"/>
        <w:rPr>
          <w:noProof/>
        </w:rPr>
      </w:pPr>
      <w:r>
        <w:rPr>
          <w:noProof/>
        </w:rPr>
        <w:t>д)</w:t>
      </w:r>
      <w:r>
        <w:rPr>
          <w:noProof/>
        </w:rPr>
        <w:tab/>
      </w:r>
      <w:r>
        <w:rPr>
          <w:i/>
          <w:noProof/>
        </w:rPr>
        <w:t>Разширяване на използването и уменията</w:t>
      </w:r>
      <w:r>
        <w:rPr>
          <w:noProof/>
        </w:rPr>
        <w:t xml:space="preserve">: Преди това този стълб беше част от технологичния стълб на Съвместното предприятие EuroHPC </w:t>
      </w:r>
      <w:r>
        <w:rPr>
          <w:noProof/>
          <w:szCs w:val="24"/>
        </w:rPr>
        <w:t>, което беше създадено през октомври 2018 г.</w:t>
      </w:r>
      <w:r>
        <w:rPr>
          <w:noProof/>
        </w:rPr>
        <w:t>, като основната му насоченост беше създаването и изграждането на мрежи от национални експертни центрове в областта на ВИТ. Сега обаче е обособен, за да се отрази по-голямото му значение, по-специално с участието в приоритета „Умения в областта на цифровите технологии“ на програмата „Цифрова Европа“. В основата на този стълб ще бъдат дейностите за насърчаване на върхови постижения в областта на суперкомпютрите, квантовите компютри и използването на данни и умения. С него се цели да се разшири научното и промишленото използване на суперкомпютърни ресурси и приложения за данни и да се насърчи промишленият достъп и използването на инфраструктурата от суперкомпютри и данни за иновации, адаптирани към нуждите на промишлеността; както и да се осигури опитна водеща научна общност и квалифицирана работна сила в Европа.</w:t>
      </w:r>
    </w:p>
    <w:p>
      <w:pPr>
        <w:rPr>
          <w:noProof/>
          <w:color w:val="000000" w:themeColor="text1"/>
          <w:szCs w:val="24"/>
        </w:rPr>
      </w:pPr>
      <w:r>
        <w:rPr>
          <w:noProof/>
          <w:color w:val="000000" w:themeColor="text1"/>
          <w:szCs w:val="24"/>
        </w:rPr>
        <w:t>Предложеното съвместното предприятие има следния членски състав:</w:t>
      </w:r>
    </w:p>
    <w:p>
      <w:pPr>
        <w:pStyle w:val="Tiret0"/>
        <w:numPr>
          <w:ilvl w:val="0"/>
          <w:numId w:val="35"/>
        </w:numPr>
        <w:rPr>
          <w:rFonts w:eastAsia="Times New Roman"/>
          <w:noProof/>
          <w:color w:val="000000" w:themeColor="text1"/>
          <w:szCs w:val="24"/>
        </w:rPr>
      </w:pPr>
      <w:r>
        <w:rPr>
          <w:b/>
          <w:i/>
          <w:noProof/>
          <w:color w:val="000000" w:themeColor="text1"/>
          <w:szCs w:val="24"/>
        </w:rPr>
        <w:t>Публичноправни членове</w:t>
      </w:r>
      <w:r>
        <w:rPr>
          <w:noProof/>
          <w:color w:val="000000" w:themeColor="text1"/>
          <w:szCs w:val="24"/>
        </w:rPr>
        <w:t>: Съюзът (представляван от Комисията) и държавите членки и държавите, асоциирани към „Хоризонт Европа“, програмата „Цифрова Европа“ и Механизма за свързване на Европа, които желаят да участват (участващи държави)</w:t>
      </w:r>
      <w:r>
        <w:rPr>
          <w:rStyle w:val="FootnoteReference"/>
          <w:noProof/>
          <w:color w:val="000000" w:themeColor="text1"/>
          <w:szCs w:val="24"/>
        </w:rPr>
        <w:footnoteReference w:id="5"/>
      </w:r>
      <w:r>
        <w:rPr>
          <w:noProof/>
          <w:color w:val="000000" w:themeColor="text1"/>
          <w:szCs w:val="24"/>
        </w:rPr>
        <w:t>. Останалите държави членки и асоциирани държави са свободни да се присъединят.</w:t>
      </w:r>
    </w:p>
    <w:p>
      <w:pPr>
        <w:pStyle w:val="Tiret0"/>
        <w:rPr>
          <w:rFonts w:eastAsia="Times New Roman"/>
          <w:noProof/>
          <w:color w:val="000000" w:themeColor="text1"/>
          <w:szCs w:val="24"/>
        </w:rPr>
      </w:pPr>
      <w:r>
        <w:rPr>
          <w:b/>
          <w:i/>
          <w:noProof/>
          <w:color w:val="000000" w:themeColor="text1"/>
          <w:szCs w:val="24"/>
        </w:rPr>
        <w:t>Частноправни членове</w:t>
      </w:r>
      <w:r>
        <w:rPr>
          <w:noProof/>
          <w:color w:val="000000" w:themeColor="text1"/>
          <w:szCs w:val="24"/>
        </w:rPr>
        <w:t>: те остават същите като тези от</w:t>
      </w:r>
      <w:r>
        <w:rPr>
          <w:noProof/>
          <w:color w:val="000000" w:themeColor="text1"/>
        </w:rPr>
        <w:t xml:space="preserve"> Регламент (ЕС) 2018/1488 на Съвета — ETP4HPC и промишлените сдружения BDVA</w:t>
      </w:r>
      <w:r>
        <w:rPr>
          <w:noProof/>
          <w:color w:val="000000" w:themeColor="text1"/>
          <w:szCs w:val="24"/>
        </w:rPr>
        <w:t>.</w:t>
      </w:r>
    </w:p>
    <w:p>
      <w:pPr>
        <w:rPr>
          <w:noProof/>
          <w:color w:val="000000" w:themeColor="text1"/>
        </w:rPr>
      </w:pPr>
      <w:r>
        <w:rPr>
          <w:b/>
          <w:noProof/>
          <w:color w:val="000000" w:themeColor="text1"/>
        </w:rPr>
        <w:t>Управлението</w:t>
      </w:r>
      <w:r>
        <w:rPr>
          <w:noProof/>
          <w:color w:val="000000" w:themeColor="text1"/>
        </w:rPr>
        <w:t xml:space="preserve"> и разпределението на правата на глас на предложеното съвместно предприятие остават идентични с тези</w:t>
      </w:r>
      <w:r>
        <w:rPr>
          <w:noProof/>
          <w:color w:val="000000" w:themeColor="text1"/>
          <w:szCs w:val="24"/>
        </w:rPr>
        <w:t xml:space="preserve">, определени в </w:t>
      </w:r>
      <w:r>
        <w:rPr>
          <w:noProof/>
          <w:color w:val="000000" w:themeColor="text1"/>
        </w:rPr>
        <w:t>Регламент (ЕС) 2018/1488 на Съвета.</w:t>
      </w:r>
    </w:p>
    <w:p>
      <w:pPr>
        <w:rPr>
          <w:noProof/>
          <w:color w:val="000000" w:themeColor="text1"/>
        </w:rPr>
      </w:pPr>
      <w:r>
        <w:rPr>
          <w:noProof/>
          <w:color w:val="000000" w:themeColor="text1"/>
        </w:rPr>
        <w:lastRenderedPageBreak/>
        <w:t>Съвместното предприятие EuroHPC ще продължи да изпълнява стратегическата пътна карта за ВИТ, както е определено в многогодишните стратегически програми за научни изследвания и иновации, разработени от Консултативната група по научните изследвания и иновациите на СП EuroHPC</w:t>
      </w:r>
      <w:r>
        <w:rPr>
          <w:rStyle w:val="FootnoteReference"/>
          <w:noProof/>
          <w:color w:val="000000" w:themeColor="text1"/>
        </w:rPr>
        <w:footnoteReference w:id="6"/>
      </w:r>
      <w:r>
        <w:rPr>
          <w:noProof/>
          <w:color w:val="000000" w:themeColor="text1"/>
        </w:rPr>
        <w:t xml:space="preserve"> (RIAG) и Консултативната група за инфраструктурата на СП EuroHPC</w:t>
      </w:r>
      <w:r>
        <w:rPr>
          <w:rStyle w:val="FootnoteReference"/>
          <w:noProof/>
          <w:color w:val="000000" w:themeColor="text1"/>
        </w:rPr>
        <w:footnoteReference w:id="7"/>
      </w:r>
      <w:r>
        <w:rPr>
          <w:noProof/>
          <w:color w:val="000000" w:themeColor="text1"/>
        </w:rPr>
        <w:t xml:space="preserve"> (INFRAG), допълнени от стратегическата програма за научни изследвания на частноправните членове на СП EuroHPC</w:t>
      </w:r>
      <w:r>
        <w:rPr>
          <w:rStyle w:val="FootnoteReference"/>
          <w:noProof/>
          <w:color w:val="000000" w:themeColor="text1"/>
        </w:rPr>
        <w:footnoteReference w:id="8"/>
      </w:r>
      <w:r>
        <w:rPr>
          <w:noProof/>
          <w:color w:val="000000" w:themeColor="text1"/>
        </w:rPr>
        <w:t xml:space="preserve">, с цел създаване на екосистемата на ВИТ. </w:t>
      </w:r>
    </w:p>
    <w:p>
      <w:pPr>
        <w:rPr>
          <w:noProof/>
          <w:color w:val="000000" w:themeColor="text1"/>
        </w:rPr>
      </w:pPr>
      <w:r>
        <w:rPr>
          <w:noProof/>
          <w:color w:val="000000" w:themeColor="text1"/>
          <w:szCs w:val="24"/>
        </w:rPr>
        <w:t xml:space="preserve">Съгласно многогодишната финансова рамка за периода 2021—2027 г. финансовата вноска на Съюза за съвместното предприятие ще възлиза на EUR [XXXX], като тя трябва да се допълни със сума в поне същия размер от общия принос на участващите държави и частноправните членове на Съвместното предприятие EuroHPC. Съвместното предприятие ще използва тези финансови средства главно за изпълнение на своите дейности по петте стълба, описани по-горе. </w:t>
      </w:r>
    </w:p>
    <w:p>
      <w:pPr>
        <w:rPr>
          <w:noProof/>
          <w:color w:val="000000" w:themeColor="text1"/>
        </w:rPr>
      </w:pPr>
      <w:r>
        <w:rPr>
          <w:noProof/>
          <w:color w:val="000000" w:themeColor="text1"/>
        </w:rPr>
        <w:t>Основните резултати, които предложеното съвместно предприятие EuroHPC се очаква да постигне през следващото десетилетие, включват:</w:t>
      </w:r>
    </w:p>
    <w:p>
      <w:pPr>
        <w:pStyle w:val="Tiret0"/>
        <w:rPr>
          <w:noProof/>
          <w:color w:val="000000" w:themeColor="text1"/>
        </w:rPr>
      </w:pPr>
      <w:r>
        <w:rPr>
          <w:noProof/>
          <w:color w:val="000000" w:themeColor="text1"/>
        </w:rPr>
        <w:t>обединена, сигурна и хиперсвързана инфраструктура за европейски високопроизводителни изчислителни технологии и данни със суперкомпютри от среден клас и най-малко две системи от най-висок клас с производителност от порядъка на ексафлопс и две системи от най-висок клас с производителност над ексафлопс (поне по една от всяка категория трябва да е изградена с европейска технология);</w:t>
      </w:r>
    </w:p>
    <w:p>
      <w:pPr>
        <w:pStyle w:val="Tiret0"/>
        <w:rPr>
          <w:noProof/>
          <w:color w:val="000000" w:themeColor="text1"/>
        </w:rPr>
      </w:pPr>
      <w:r>
        <w:rPr>
          <w:noProof/>
          <w:color w:val="000000" w:themeColor="text1"/>
        </w:rPr>
        <w:t>хибридни изчислителни инфраструктури, които интегрират авангардни изчислителни системи — по-специално квантови симулатори и квантови компютри — в инфраструктурата за ВИТ;</w:t>
      </w:r>
    </w:p>
    <w:p>
      <w:pPr>
        <w:pStyle w:val="Tiret0"/>
        <w:rPr>
          <w:noProof/>
          <w:color w:val="000000" w:themeColor="text1"/>
        </w:rPr>
      </w:pPr>
      <w:r>
        <w:rPr>
          <w:noProof/>
          <w:color w:val="000000" w:themeColor="text1"/>
        </w:rPr>
        <w:t>сигурна, базирана в облак инфраструктура за високопроизводителни изчислителни технологии и данни, предназначена за европейските частни потребители;</w:t>
      </w:r>
    </w:p>
    <w:p>
      <w:pPr>
        <w:pStyle w:val="Tiret0"/>
        <w:rPr>
          <w:noProof/>
          <w:color w:val="000000" w:themeColor="text1"/>
        </w:rPr>
      </w:pPr>
      <w:r>
        <w:rPr>
          <w:noProof/>
          <w:color w:val="000000" w:themeColor="text1"/>
        </w:rPr>
        <w:t>капацитет и услуги, използващи ВИТ и базирани на европейски публични пространства на данни, за учени, промишлеността и публичния сектор;</w:t>
      </w:r>
    </w:p>
    <w:p>
      <w:pPr>
        <w:pStyle w:val="Tiret0"/>
        <w:rPr>
          <w:noProof/>
          <w:color w:val="000000" w:themeColor="text1"/>
        </w:rPr>
      </w:pPr>
      <w:r>
        <w:rPr>
          <w:noProof/>
          <w:color w:val="000000" w:themeColor="text1"/>
        </w:rPr>
        <w:t>технологични градивни елементи от следващо поколение (хардуер и софтуер) и интегрирането им в иновативни високопроизводителни изчислителни архитектури за системи с производителност от порядъка на ексафлопс и над ексафлопс;</w:t>
      </w:r>
    </w:p>
    <w:p>
      <w:pPr>
        <w:pStyle w:val="Tiret0"/>
        <w:rPr>
          <w:noProof/>
          <w:color w:val="000000" w:themeColor="text1"/>
        </w:rPr>
      </w:pPr>
      <w:r>
        <w:rPr>
          <w:noProof/>
          <w:color w:val="000000" w:themeColor="text1"/>
        </w:rPr>
        <w:t>центрове за върхови постижения в областта на приложенията на ВИТ и индустриализация на софтуера на ВИТ с нови алгоритми, кодове и инструменти, оптимизирани за бъдещите поколения суперкомпютри;</w:t>
      </w:r>
    </w:p>
    <w:p>
      <w:pPr>
        <w:pStyle w:val="Tiret0"/>
        <w:rPr>
          <w:noProof/>
          <w:color w:val="000000" w:themeColor="text1"/>
        </w:rPr>
      </w:pPr>
      <w:r>
        <w:rPr>
          <w:noProof/>
          <w:color w:val="000000" w:themeColor="text1"/>
        </w:rPr>
        <w:t>мащабни промишлени пилотни изпитания и платформи за приложения и услуги в областта на ВИТ и данните в ключови промишлени сектори;</w:t>
      </w:r>
    </w:p>
    <w:p>
      <w:pPr>
        <w:pStyle w:val="Tiret0"/>
        <w:rPr>
          <w:noProof/>
          <w:color w:val="000000" w:themeColor="text1"/>
        </w:rPr>
      </w:pPr>
      <w:r>
        <w:rPr>
          <w:noProof/>
          <w:color w:val="000000" w:themeColor="text1"/>
        </w:rPr>
        <w:t>национални експертни центрове в областта на ВИТ, с които се осигурява широко покритие на ВИТ в ЕС, със специфични услуги и ресурси за индустриални иновации (включително МСП);</w:t>
      </w:r>
    </w:p>
    <w:p>
      <w:pPr>
        <w:pStyle w:val="Tiret0"/>
        <w:rPr>
          <w:noProof/>
          <w:color w:val="000000" w:themeColor="text1"/>
        </w:rPr>
      </w:pPr>
      <w:r>
        <w:rPr>
          <w:noProof/>
          <w:color w:val="000000" w:themeColor="text1"/>
        </w:rPr>
        <w:lastRenderedPageBreak/>
        <w:t>значително повишаване на уменията и ноу-хау на работната сила в Европа по отношение на ВИТ;</w:t>
      </w:r>
    </w:p>
    <w:p>
      <w:pPr>
        <w:pStyle w:val="Tiret0"/>
        <w:rPr>
          <w:noProof/>
          <w:color w:val="000000" w:themeColor="text1"/>
        </w:rPr>
      </w:pPr>
      <w:r>
        <w:rPr>
          <w:noProof/>
          <w:color w:val="000000" w:themeColor="text1"/>
        </w:rPr>
        <w:t>укрепване на съхранението на данни, капацитета за обработване и новите услуги в областите от обществен интерес в държавите членки.</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r>
      <w:r>
        <w:rPr>
          <w:noProof/>
          <w:color w:val="000000" w:themeColor="text1"/>
        </w:rPr>
        <w:t>Съгласуваност с действащите разпоредби в тази област на политиката</w:t>
      </w:r>
    </w:p>
    <w:p>
      <w:pPr>
        <w:widowControl w:val="0"/>
        <w:rPr>
          <w:noProof/>
          <w:color w:val="000000" w:themeColor="text1"/>
          <w:szCs w:val="24"/>
        </w:rPr>
      </w:pPr>
      <w:r>
        <w:rPr>
          <w:noProof/>
          <w:color w:val="000000" w:themeColor="text1"/>
          <w:szCs w:val="24"/>
        </w:rPr>
        <w:t>На 19 февруари 2020 г. Комисията прие съобщението „Европейска стратегия за данните“</w:t>
      </w:r>
      <w:r>
        <w:rPr>
          <w:rStyle w:val="FootnoteReference"/>
          <w:noProof/>
          <w:color w:val="000000" w:themeColor="text1"/>
          <w:szCs w:val="24"/>
        </w:rPr>
        <w:footnoteReference w:id="9"/>
      </w:r>
      <w:r>
        <w:rPr>
          <w:noProof/>
          <w:color w:val="000000" w:themeColor="text1"/>
          <w:szCs w:val="24"/>
        </w:rPr>
        <w:t>, в което е очертана стратегията на Европа за мерките в политиката и инвестициите за подкрепа на развитието на икономиката, основана на данни, през следващите пет години. В него се подчертава фактът, че високопроизводителните изчислителни технологии и квантовите изчислителни технологии ще бъдат от съществено значение за осигуряване на безпроблемно предоставяне на изчислителни ресурси с различни характеристики на производителност, които ще са необходими за максимален растеж и експлоатация на общите европейски пространства на данни и обединените сигурни облачни инфраструктури за публични, промишлени и научни приложения.</w:t>
      </w:r>
    </w:p>
    <w:p>
      <w:pPr>
        <w:widowControl w:val="0"/>
        <w:rPr>
          <w:noProof/>
          <w:color w:val="000000" w:themeColor="text1"/>
          <w:szCs w:val="24"/>
        </w:rPr>
      </w:pPr>
      <w:r>
        <w:rPr>
          <w:noProof/>
          <w:color w:val="000000" w:themeColor="text1"/>
          <w:szCs w:val="24"/>
        </w:rPr>
        <w:t>На 19 февруари 2020 г. Комисията прие и съобщението „Изграждане на цифровото бъдеще на Европа“</w:t>
      </w:r>
      <w:r>
        <w:rPr>
          <w:rStyle w:val="FootnoteReference"/>
          <w:noProof/>
          <w:color w:val="000000" w:themeColor="text1"/>
          <w:szCs w:val="24"/>
        </w:rPr>
        <w:footnoteReference w:id="10"/>
      </w:r>
      <w:r>
        <w:rPr>
          <w:noProof/>
          <w:color w:val="000000" w:themeColor="text1"/>
          <w:szCs w:val="24"/>
        </w:rPr>
        <w:t>, в което е представена цифровата стратегия на Европа, съсредоточена върху постигането на ключови цели, за да се гарантира, че цифровите решения помагат на Европа да върви по свой собствен път към цифрова трансформация, която е от полза за всички. Сред ключовите действия, предложени в нея, е инвестирането в изграждане и разгръщане на авангарден съвместен цифров капацитет, включително в областта на суперкомпютрите и квантовите технологии, както и разширяването на капацитета на Европа в областта на суперкомпютрите с цел разработване на иновативни решения за медицината, транспорта и околната среда.</w:t>
      </w:r>
    </w:p>
    <w:p>
      <w:pPr>
        <w:pStyle w:val="ManualHeading2"/>
        <w:rPr>
          <w:rFonts w:eastAsia="Arial Unicode MS"/>
          <w:noProof/>
          <w:color w:val="000000" w:themeColor="text1"/>
        </w:rPr>
      </w:pPr>
      <w:r>
        <w:rPr>
          <w:noProof/>
          <w:color w:val="000000" w:themeColor="text1"/>
          <w:u w:color="000000"/>
          <w:bdr w:val="nil"/>
        </w:rPr>
        <w:t>•</w:t>
      </w:r>
      <w:r>
        <w:rPr>
          <w:noProof/>
          <w:color w:val="000000" w:themeColor="text1"/>
          <w:u w:color="000000"/>
          <w:bdr w:val="nil"/>
        </w:rPr>
        <w:tab/>
      </w:r>
      <w:r>
        <w:rPr>
          <w:noProof/>
          <w:color w:val="000000" w:themeColor="text1"/>
        </w:rPr>
        <w:t>Съгласуваност с други политики на Съюза</w:t>
      </w:r>
    </w:p>
    <w:p>
      <w:pPr>
        <w:widowControl w:val="0"/>
        <w:rPr>
          <w:noProof/>
          <w:color w:val="000000" w:themeColor="text1"/>
          <w:szCs w:val="24"/>
        </w:rPr>
      </w:pPr>
      <w:r>
        <w:rPr>
          <w:noProof/>
          <w:color w:val="000000" w:themeColor="text1"/>
          <w:szCs w:val="24"/>
        </w:rPr>
        <w:t>На 10 март 2020 г. Комисията прие съобщението „Нова промишлена стратегия за Европа“</w:t>
      </w:r>
      <w:r>
        <w:rPr>
          <w:rStyle w:val="FootnoteReference"/>
          <w:noProof/>
          <w:color w:val="000000" w:themeColor="text1"/>
          <w:szCs w:val="24"/>
        </w:rPr>
        <w:footnoteReference w:id="11"/>
      </w:r>
      <w:r>
        <w:rPr>
          <w:noProof/>
          <w:color w:val="000000" w:themeColor="text1"/>
          <w:szCs w:val="24"/>
        </w:rPr>
        <w:t>, в което се излага амбициозна промишлена стратегия, според която Европа трябва да поеме водещата роля в двойния преход към неутралност по отношение на климата и към цифрово лидерство. В съобщението се подчертава подкрепата, наред с другото, за разработването на главни базови технологии, които са от стратегическо значение за промишленото бъдеще на Европа, включително високопроизводителни изчислителни технологии и квантови технологии.</w:t>
      </w:r>
    </w:p>
    <w:p>
      <w:pPr>
        <w:widowControl w:val="0"/>
        <w:rPr>
          <w:noProof/>
          <w:color w:val="000000" w:themeColor="text1"/>
          <w:szCs w:val="24"/>
        </w:rPr>
      </w:pPr>
      <w:r>
        <w:rPr>
          <w:bCs/>
          <w:noProof/>
          <w:color w:val="000000" w:themeColor="text1"/>
        </w:rPr>
        <w:t>И накрая, в съобщението от 27 май 2020 г., озаглавено „Часът на Европа: възстановяване и подготовка за следващото поколение“,</w:t>
      </w:r>
      <w:r>
        <w:rPr>
          <w:rStyle w:val="FootnoteReference"/>
          <w:bCs/>
          <w:noProof/>
          <w:color w:val="000000" w:themeColor="text1"/>
        </w:rPr>
        <w:footnoteReference w:id="12"/>
      </w:r>
      <w:r>
        <w:rPr>
          <w:bCs/>
          <w:i/>
          <w:noProof/>
          <w:color w:val="000000" w:themeColor="text1"/>
        </w:rPr>
        <w:t xml:space="preserve"> </w:t>
      </w:r>
      <w:r>
        <w:rPr>
          <w:bCs/>
          <w:noProof/>
          <w:color w:val="000000" w:themeColor="text1"/>
        </w:rPr>
        <w:t>ВИТ бяха определени</w:t>
      </w:r>
      <w:r>
        <w:rPr>
          <w:rStyle w:val="EndnoteReference"/>
          <w:bCs/>
          <w:i/>
          <w:noProof/>
          <w:color w:val="000000" w:themeColor="text1"/>
        </w:rPr>
        <w:t xml:space="preserve"> </w:t>
      </w:r>
      <w:r>
        <w:rPr>
          <w:bCs/>
          <w:noProof/>
          <w:color w:val="000000" w:themeColor="text1"/>
        </w:rPr>
        <w:t xml:space="preserve">като стратегически капацитет в областта на цифровите технологии, който ще бъде приоритет за източниците на инвестиции за възстановяването на Европа, като например </w:t>
      </w:r>
      <w:r>
        <w:rPr>
          <w:noProof/>
          <w:color w:val="000000" w:themeColor="text1"/>
        </w:rPr>
        <w:t>Механизма за възстановяване и устойчивост, InvestEU и Механизма за стратегически инвестиции.</w:t>
      </w:r>
    </w:p>
    <w:p>
      <w:pPr>
        <w:pStyle w:val="ManualHeading1"/>
        <w:rPr>
          <w:noProof/>
          <w:color w:val="000000" w:themeColor="text1"/>
        </w:rPr>
      </w:pPr>
      <w:r>
        <w:rPr>
          <w:noProof/>
          <w:color w:val="000000" w:themeColor="text1"/>
        </w:rPr>
        <w:lastRenderedPageBreak/>
        <w:t>2.</w:t>
      </w:r>
      <w:r>
        <w:rPr>
          <w:noProof/>
          <w:color w:val="000000" w:themeColor="text1"/>
        </w:rPr>
        <w:tab/>
        <w:t>ПРАВНО ОСНОВАНИЕ, СУБСИДИАРНОСТ И ПРОПОРЦИОНАЛНОСТ</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Правно основание</w:t>
      </w:r>
    </w:p>
    <w:p>
      <w:pPr>
        <w:pBdr>
          <w:top w:val="nil"/>
          <w:left w:val="nil"/>
          <w:bottom w:val="nil"/>
          <w:right w:val="nil"/>
          <w:between w:val="nil"/>
          <w:bar w:val="nil"/>
        </w:pBdr>
        <w:spacing w:before="0"/>
        <w:rPr>
          <w:rFonts w:eastAsia="Arial Unicode MS"/>
          <w:noProof/>
          <w:color w:val="000000" w:themeColor="text1"/>
        </w:rPr>
      </w:pPr>
      <w:r>
        <w:rPr>
          <w:noProof/>
          <w:color w:val="000000" w:themeColor="text1"/>
        </w:rPr>
        <w:t>Правното основание за предложената инициатива за Съвместното предприятие EuroHPC е член 187 и първият параграф на член 188 от Договора за функционирането на Европейския съюз.</w:t>
      </w:r>
    </w:p>
    <w:p>
      <w:pPr>
        <w:pStyle w:val="ManualHeading2"/>
        <w:ind w:left="851" w:hanging="851"/>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 xml:space="preserve">Субсидиарност (при неизключителна компетентност) </w:t>
      </w:r>
    </w:p>
    <w:p>
      <w:pPr>
        <w:rPr>
          <w:noProof/>
          <w:color w:val="000000" w:themeColor="text1"/>
          <w:szCs w:val="24"/>
        </w:rPr>
      </w:pPr>
      <w:r>
        <w:rPr>
          <w:noProof/>
          <w:color w:val="000000" w:themeColor="text1"/>
          <w:szCs w:val="24"/>
        </w:rPr>
        <w:t xml:space="preserve">В предложения регламент са обхванати принципите на субсидиарност по същия начин, както и в </w:t>
      </w:r>
      <w:r>
        <w:rPr>
          <w:noProof/>
          <w:color w:val="000000" w:themeColor="text1"/>
        </w:rPr>
        <w:t>Регламент (ЕС) 2018/1488 на Съвета</w:t>
      </w:r>
      <w:r>
        <w:rPr>
          <w:noProof/>
          <w:color w:val="000000" w:themeColor="text1"/>
          <w:szCs w:val="24"/>
        </w:rPr>
        <w:t>.</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Пропорционалност</w:t>
      </w:r>
    </w:p>
    <w:p>
      <w:pPr>
        <w:pBdr>
          <w:top w:val="nil"/>
          <w:left w:val="nil"/>
          <w:bottom w:val="nil"/>
          <w:right w:val="nil"/>
          <w:between w:val="nil"/>
          <w:bar w:val="nil"/>
        </w:pBdr>
        <w:spacing w:before="0"/>
        <w:rPr>
          <w:noProof/>
          <w:color w:val="000000" w:themeColor="text1"/>
          <w:szCs w:val="24"/>
        </w:rPr>
      </w:pPr>
      <w:r>
        <w:rPr>
          <w:noProof/>
          <w:color w:val="000000" w:themeColor="text1"/>
          <w:szCs w:val="24"/>
        </w:rPr>
        <w:t xml:space="preserve">Предложеният регламент е в съответствие с принципа на пропорционалност по същия начин, както и </w:t>
      </w:r>
      <w:r>
        <w:rPr>
          <w:noProof/>
          <w:color w:val="000000" w:themeColor="text1"/>
        </w:rPr>
        <w:t>Регламент (ЕС) 2018/1488 на Съвета.</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Избор на инструмент</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Създаването и функционирането на съвместно предприятие, в което участва Съюзът, изисква Регламент на Съвета.</w:t>
      </w:r>
    </w:p>
    <w:p>
      <w:pPr>
        <w:pStyle w:val="ManualHeading1"/>
        <w:rPr>
          <w:noProof/>
          <w:color w:val="000000" w:themeColor="text1"/>
        </w:rPr>
      </w:pPr>
      <w:r>
        <w:rPr>
          <w:noProof/>
          <w:color w:val="000000" w:themeColor="text1"/>
        </w:rPr>
        <w:t>3.</w:t>
      </w:r>
      <w:r>
        <w:rPr>
          <w:noProof/>
          <w:color w:val="000000" w:themeColor="text1"/>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Консултации със заинтересованите страни</w:t>
      </w:r>
    </w:p>
    <w:p>
      <w:pPr>
        <w:rPr>
          <w:noProof/>
          <w:color w:val="000000" w:themeColor="text1"/>
        </w:rPr>
      </w:pPr>
      <w:r>
        <w:rPr>
          <w:noProof/>
          <w:color w:val="000000" w:themeColor="text1"/>
        </w:rPr>
        <w:t>Предложението на Комисията за нов регламент на Съвместното предприятие EuroHPC е финансирано по линия на многогодишната финансова рамка за периода 2021—2027 г. и е придружено от работен документ на службите на Комисията (SWD). Основните стимули и цели на предложения нов регламент остават непроменени от създаването му. Поради това резултатът от консултациите със заинтересованите страни, придружаващ Регламент (ЕС) 2018/1488 на Съвета, остава валиден. Този резултат беше допълнително потвърден в консултацията със заинтересованите страни, придружаваща предложението за Регламент на Европейския парламент и на Съвета за създаване на програмата „Цифрова Европа“ за периода 2021—2027 г.</w:t>
      </w:r>
      <w:r>
        <w:rPr>
          <w:rStyle w:val="FootnoteReference"/>
          <w:noProof/>
          <w:color w:val="000000" w:themeColor="text1"/>
        </w:rPr>
        <w:footnoteReference w:id="13"/>
      </w:r>
      <w:r>
        <w:rPr>
          <w:noProof/>
          <w:color w:val="000000" w:themeColor="text1"/>
        </w:rPr>
        <w:t xml:space="preserve"> Следните допълнителни стъпки бяха предприети за провеждане на консултации със заинтересованите страни относно целите и подхода за изпълнението на дейностите по новото съвместно предприятие, както и за да бъдат те поканени да помогнат за оформянето му. </w:t>
      </w:r>
    </w:p>
    <w:p>
      <w:pPr>
        <w:rPr>
          <w:noProof/>
          <w:color w:val="000000" w:themeColor="text1"/>
        </w:rPr>
      </w:pPr>
      <w:r>
        <w:rPr>
          <w:noProof/>
          <w:color w:val="000000" w:themeColor="text1"/>
        </w:rPr>
        <w:t>Бяха проведени консултации с 32-те участващи държави от съществуващото съвместно предприятие, които бяха поканени да предоставят обратна информация относно целите на новото съвместно предприятие, както и относно административното опростяване, особено по отношение на централното управление на финансовите вноски.</w:t>
      </w:r>
    </w:p>
    <w:p>
      <w:pPr>
        <w:rPr>
          <w:noProof/>
          <w:color w:val="000000" w:themeColor="text1"/>
        </w:rPr>
      </w:pPr>
      <w:r>
        <w:rPr>
          <w:noProof/>
          <w:color w:val="000000" w:themeColor="text1"/>
        </w:rPr>
        <w:t>Частноправните членове на Съвместното предприятие EuroHPC публикуваха стратегическа програма за научни изследвания и иновации</w:t>
      </w:r>
      <w:r>
        <w:rPr>
          <w:rStyle w:val="FootnoteReference"/>
          <w:noProof/>
          <w:color w:val="000000" w:themeColor="text1"/>
        </w:rPr>
        <w:footnoteReference w:id="14"/>
      </w:r>
      <w:r>
        <w:rPr>
          <w:noProof/>
          <w:color w:val="000000" w:themeColor="text1"/>
        </w:rPr>
        <w:t xml:space="preserve">, в която се описват приоритетите на научноизследователската и иновационната дейност в областта на ВИТ, както и дейностите, свързани с инфраструктурата, като се подчертават възгледите на общностите за доставка на технологии и анализ на данни. По същия начин бяха проведени консултации с частноправните членове относно бъдещите приоритети и действия на съвместното предприятие, както и относно неговото управление, финансовите вноски на частноправните членове и бенефициерите на действията, които </w:t>
      </w:r>
      <w:r>
        <w:rPr>
          <w:noProof/>
          <w:color w:val="000000" w:themeColor="text1"/>
        </w:rPr>
        <w:lastRenderedPageBreak/>
        <w:t>ще се изпълняват от предложеното съвместно предприятие, правилата за участие и опростяването на административните правила и процедури.</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Комисията има опит в създаването и управлението на съвместни предприятия. По-специално тя ще се възползва от опита и поуките, извлечени от реализирането на Съвместното предприятие EuroHPC. </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Оценка на въздействието</w:t>
      </w:r>
    </w:p>
    <w:p>
      <w:pPr>
        <w:spacing w:before="0" w:after="60"/>
        <w:rPr>
          <w:noProof/>
          <w:color w:val="000000" w:themeColor="text1"/>
        </w:rPr>
      </w:pPr>
      <w:r>
        <w:rPr>
          <w:noProof/>
          <w:color w:val="000000" w:themeColor="text1"/>
        </w:rPr>
        <w:t xml:space="preserve">Тъй като Съвместното предприятие EuroHPC беше създадено едва през октомври 2018 г., оценката на въздействието, публикувана през януари 2018 г., която придружава Регламент (ЕС) 2018/1488 на Съвета, остава валидна, понеже стимулите и целите не са се променили съществено. </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Пригодност и опростяване на законодателството</w:t>
      </w:r>
    </w:p>
    <w:p>
      <w:pPr>
        <w:rPr>
          <w:noProof/>
          <w:color w:val="000000" w:themeColor="text1"/>
          <w:szCs w:val="24"/>
        </w:rPr>
      </w:pPr>
      <w:r>
        <w:rPr>
          <w:noProof/>
          <w:color w:val="000000" w:themeColor="text1"/>
          <w:szCs w:val="24"/>
        </w:rPr>
        <w:t xml:space="preserve">Предложеният регламент за създаване на съвместно предприятие е в съответствие с </w:t>
      </w:r>
      <w:r>
        <w:rPr>
          <w:i/>
          <w:noProof/>
          <w:color w:val="000000" w:themeColor="text1"/>
          <w:szCs w:val="24"/>
        </w:rPr>
        <w:t>Насоките на Комисията за по-добро регулиране</w:t>
      </w:r>
      <w:r>
        <w:rPr>
          <w:noProof/>
          <w:color w:val="000000" w:themeColor="text1"/>
          <w:szCs w:val="24"/>
        </w:rPr>
        <w:t xml:space="preserve">: по-специално в него се предлага да се извършва регулация единствено при необходимост и по пропорционален начин. Той се придържа, доколкото е възможно, към Съвместното предприятие EuroHPC, което беше създадено с </w:t>
      </w:r>
      <w:r>
        <w:rPr>
          <w:noProof/>
          <w:color w:val="000000" w:themeColor="text1"/>
        </w:rPr>
        <w:t>Регламент (ЕС) 2018/1488 на Съвета</w:t>
      </w:r>
      <w:r>
        <w:rPr>
          <w:noProof/>
          <w:color w:val="000000" w:themeColor="text1"/>
          <w:szCs w:val="24"/>
        </w:rPr>
        <w:t>, като при изготвянето му е ползван опитът, натрупан в това отношение, и са отчетени промените, въведени с програмите за финансиране „Хоризонт Европа“, „Цифрова Европа“ и Механизма за свързване на Европа. В него също така се разглеждат, когато е уместно, разпоредбите на единния основен акт за създаване на съвместни предприятия в рамките на „Хоризонт Европа“.</w:t>
      </w:r>
    </w:p>
    <w:p>
      <w:pPr>
        <w:pStyle w:val="ManualHeading1"/>
        <w:rPr>
          <w:noProof/>
          <w:color w:val="000000" w:themeColor="text1"/>
        </w:rPr>
      </w:pPr>
      <w:r>
        <w:rPr>
          <w:noProof/>
          <w:color w:val="000000" w:themeColor="text1"/>
        </w:rPr>
        <w:t>4.</w:t>
      </w:r>
      <w:r>
        <w:rPr>
          <w:noProof/>
          <w:color w:val="000000" w:themeColor="text1"/>
        </w:rPr>
        <w:tab/>
        <w:t>ОТРАЖЕНИЕ ВЪРХУ БЮДЖЕТА</w:t>
      </w:r>
    </w:p>
    <w:p>
      <w:pPr>
        <w:rPr>
          <w:noProof/>
          <w:color w:val="000000" w:themeColor="text1"/>
        </w:rPr>
      </w:pPr>
      <w:r>
        <w:rPr>
          <w:noProof/>
          <w:color w:val="000000" w:themeColor="text1"/>
          <w:szCs w:val="24"/>
        </w:rPr>
        <w:t>Съвместното предприятие EuroHPC ще се финансира от бюджетите за високопроизводителни изчислителни дейности, предложени от Комисията в регламентите за създаване на „Хоризонт Европа“, „Цифрова Европа“ и Механизма за свързване на Европа. От трите програми ще бъдат отпуснати общо до EUR [XXXX] [както следва: до EUR </w:t>
      </w:r>
      <w:r>
        <w:rPr>
          <w:noProof/>
          <w:color w:val="000000" w:themeColor="text1"/>
        </w:rPr>
        <w:t>2 400 000 000 по линия на програмата „Цифрова Европа“, до EUR 200 000 000 по линия на Механизма за свързване на Европа и до EUR XXXXX по линия на „Хоризонт Европа“ — бюджетът ще бъде определен на по-късен етап в съответствие със стратегическото планиране и програмиране на „Хоризонт Европа“].</w:t>
      </w:r>
    </w:p>
    <w:p>
      <w:pPr>
        <w:rPr>
          <w:rFonts w:eastAsia="Arial Unicode MS"/>
          <w:noProof/>
          <w:color w:val="000000" w:themeColor="text1"/>
        </w:rPr>
      </w:pPr>
      <w:r>
        <w:rPr>
          <w:noProof/>
          <w:color w:val="000000" w:themeColor="text1"/>
          <w:szCs w:val="24"/>
        </w:rPr>
        <w:t>Тази сума трябва да се допълни от участващите държави със сума в поне същия размер като част от техните национални и регионални програми за високопроизводителни изчислителни технологии и техните структурни фондове. Частните субекти трябва да предоставят сума в размер на поне EUR [XXXX]</w:t>
      </w:r>
      <w:r>
        <w:rPr>
          <w:noProof/>
          <w:color w:val="000000" w:themeColor="text1"/>
        </w:rPr>
        <w:t xml:space="preserve"> [вноската ще бъде определена на по-късен етап при определянето на бюджета на „Хоризонт Европа“ в съответствие със стратегическото планиране и програмиране на „Хоризонт Европа“]</w:t>
      </w:r>
      <w:r>
        <w:rPr>
          <w:noProof/>
          <w:color w:val="000000" w:themeColor="text1"/>
          <w:szCs w:val="24"/>
        </w:rPr>
        <w:t>. Както участващите държави, така и частноправните членове ще участват в покриването на административните разходи на съвместното предприятие.</w:t>
      </w:r>
    </w:p>
    <w:p>
      <w:pPr>
        <w:pStyle w:val="ManualHeading1"/>
        <w:rPr>
          <w:noProof/>
          <w:color w:val="000000" w:themeColor="text1"/>
        </w:rPr>
      </w:pPr>
      <w:r>
        <w:rPr>
          <w:noProof/>
          <w:color w:val="000000" w:themeColor="text1"/>
        </w:rPr>
        <w:t>5.</w:t>
      </w:r>
      <w:r>
        <w:rPr>
          <w:noProof/>
          <w:color w:val="000000" w:themeColor="text1"/>
        </w:rPr>
        <w:tab/>
        <w:t>ДРУГИ ЕЛЕМЕНТИ</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Планове за изпълнение и механизми за мониторинг, оценка и докладване</w:t>
      </w:r>
    </w:p>
    <w:p>
      <w:pPr>
        <w:rPr>
          <w:noProof/>
          <w:color w:val="000000" w:themeColor="text1"/>
        </w:rPr>
      </w:pPr>
      <w:r>
        <w:rPr>
          <w:noProof/>
          <w:color w:val="000000" w:themeColor="text1"/>
        </w:rPr>
        <w:t xml:space="preserve">Планират се оценка и мониторинг на дейността на предложеното съвместно предприятие в съответствие с програма „Хоризонт Европа“. По този начин ще се определи ефективността на съвместното предприятие като правен и финансов </w:t>
      </w:r>
      <w:r>
        <w:rPr>
          <w:noProof/>
          <w:color w:val="000000" w:themeColor="text1"/>
        </w:rPr>
        <w:lastRenderedPageBreak/>
        <w:t xml:space="preserve">инструмент за постигане на целите на стратегия на Европа за </w:t>
      </w:r>
      <w:r>
        <w:rPr>
          <w:noProof/>
          <w:color w:val="000000" w:themeColor="text1"/>
          <w:szCs w:val="24"/>
        </w:rPr>
        <w:t>високопроизводителни изчислителни технологии</w:t>
      </w:r>
      <w:r>
        <w:rPr>
          <w:noProof/>
          <w:color w:val="000000" w:themeColor="text1"/>
        </w:rPr>
        <w:t xml:space="preserve">, но също така и ефективността на приноса му към политиките на Съюза. По-конкретно ще бъде направена оценка на равнището на участие на участващите държави и частноправните членове, както и на техния принос към дейността на съвместното предприятие.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Предложеното съвместно предприятие ще публикува годишен отчет за дейността, в който ще отразява предприетите действия, съответните разходи, придобиването чрез обществена поръчка и експлоатацията на инфраструктурата за </w:t>
      </w:r>
      <w:r>
        <w:rPr>
          <w:noProof/>
          <w:color w:val="000000" w:themeColor="text1"/>
          <w:szCs w:val="24"/>
        </w:rPr>
        <w:t>високопроизводителни изчислителни технологии, квантови изчислителни технологии</w:t>
      </w:r>
      <w:r>
        <w:rPr>
          <w:noProof/>
          <w:color w:val="000000" w:themeColor="text1"/>
        </w:rPr>
        <w:t>, услуги и данни, която е собственост на съвместното предприятие. Постигането на общите цели ще се оценява по общите ключови показатели за ефективност на съвместните предприятия, финансирани от „Хоризонт Европа“, и ключовите показатели за ефективност, които са специфични за съвместното предприятие за европейски ВИТ.</w:t>
      </w:r>
    </w:p>
    <w:p>
      <w:pPr>
        <w:pStyle w:val="ManualHeading2"/>
        <w:rPr>
          <w:rFonts w:eastAsia="Arial Unicode MS"/>
          <w:noProof/>
          <w:color w:val="000000" w:themeColor="text1"/>
          <w:u w:color="000000"/>
          <w:bdr w:val="nil"/>
        </w:rPr>
      </w:pPr>
      <w:r>
        <w:rPr>
          <w:noProof/>
          <w:color w:val="000000" w:themeColor="text1"/>
          <w:u w:color="000000"/>
          <w:bdr w:val="nil"/>
        </w:rPr>
        <w:t>•</w:t>
      </w:r>
      <w:r>
        <w:rPr>
          <w:noProof/>
          <w:color w:val="000000" w:themeColor="text1"/>
          <w:u w:color="000000"/>
          <w:bdr w:val="nil"/>
        </w:rPr>
        <w:tab/>
        <w:t>Подробно разяснение на отделните разпоредби на предложението</w:t>
      </w:r>
    </w:p>
    <w:p>
      <w:pPr>
        <w:rPr>
          <w:noProof/>
          <w:color w:val="000000" w:themeColor="text1"/>
          <w:szCs w:val="24"/>
        </w:rPr>
      </w:pPr>
      <w:r>
        <w:rPr>
          <w:noProof/>
          <w:color w:val="000000" w:themeColor="text1"/>
          <w:szCs w:val="24"/>
        </w:rPr>
        <w:t xml:space="preserve">С </w:t>
      </w:r>
      <w:r>
        <w:rPr>
          <w:b/>
          <w:noProof/>
          <w:color w:val="000000" w:themeColor="text1"/>
          <w:szCs w:val="24"/>
        </w:rPr>
        <w:t>член 1</w:t>
      </w:r>
      <w:r>
        <w:rPr>
          <w:noProof/>
          <w:color w:val="000000" w:themeColor="text1"/>
          <w:szCs w:val="24"/>
        </w:rPr>
        <w:t xml:space="preserve"> се създава </w:t>
      </w:r>
      <w:r>
        <w:rPr>
          <w:b/>
          <w:noProof/>
          <w:color w:val="000000" w:themeColor="text1"/>
          <w:szCs w:val="24"/>
        </w:rPr>
        <w:t>Съвместното предприятие</w:t>
      </w:r>
      <w:r>
        <w:rPr>
          <w:noProof/>
          <w:color w:val="000000" w:themeColor="text1"/>
          <w:szCs w:val="24"/>
        </w:rPr>
        <w:t xml:space="preserve"> EuroHPC и се определя </w:t>
      </w:r>
      <w:r>
        <w:rPr>
          <w:b/>
          <w:noProof/>
          <w:color w:val="000000" w:themeColor="text1"/>
          <w:szCs w:val="24"/>
        </w:rPr>
        <w:t>неговото седалище</w:t>
      </w:r>
      <w:r>
        <w:rPr>
          <w:noProof/>
          <w:color w:val="000000" w:themeColor="text1"/>
          <w:szCs w:val="24"/>
        </w:rPr>
        <w:t>.</w:t>
      </w:r>
    </w:p>
    <w:p>
      <w:pPr>
        <w:rPr>
          <w:noProof/>
          <w:color w:val="000000" w:themeColor="text1"/>
          <w:szCs w:val="24"/>
        </w:rPr>
      </w:pPr>
      <w:r>
        <w:rPr>
          <w:noProof/>
          <w:color w:val="000000" w:themeColor="text1"/>
          <w:szCs w:val="24"/>
        </w:rPr>
        <w:t xml:space="preserve">В </w:t>
      </w:r>
      <w:r>
        <w:rPr>
          <w:b/>
          <w:noProof/>
          <w:color w:val="000000" w:themeColor="text1"/>
          <w:szCs w:val="24"/>
        </w:rPr>
        <w:t>член 2</w:t>
      </w:r>
      <w:r>
        <w:rPr>
          <w:noProof/>
          <w:color w:val="000000" w:themeColor="text1"/>
          <w:szCs w:val="24"/>
        </w:rPr>
        <w:t xml:space="preserve"> са дадени </w:t>
      </w:r>
      <w:r>
        <w:rPr>
          <w:b/>
          <w:bCs/>
          <w:noProof/>
          <w:color w:val="000000" w:themeColor="text1"/>
          <w:szCs w:val="24"/>
        </w:rPr>
        <w:t>определения на понятията</w:t>
      </w:r>
      <w:r>
        <w:rPr>
          <w:noProof/>
          <w:color w:val="000000" w:themeColor="text1"/>
          <w:szCs w:val="24"/>
        </w:rPr>
        <w:t xml:space="preserve"> „време за достъп“, „приемателно изпитване“, „експертен център“, „суперкомпютър на СП EuroHPC“, „суперкомпютър от среден клас“, „квантов компютър“, „квантов симулатор“, „доставчик на хостинг“, „споразумение за хостинг“, „хиперсвързан“, „вноска в натура“, „участваща държава“, „частноправен член“ или „потребител“.</w:t>
      </w:r>
    </w:p>
    <w:p>
      <w:pPr>
        <w:rPr>
          <w:noProof/>
          <w:color w:val="000000" w:themeColor="text1"/>
          <w:szCs w:val="24"/>
        </w:rPr>
      </w:pPr>
      <w:r>
        <w:rPr>
          <w:noProof/>
          <w:color w:val="000000" w:themeColor="text1"/>
          <w:szCs w:val="24"/>
        </w:rPr>
        <w:t xml:space="preserve">В </w:t>
      </w:r>
      <w:r>
        <w:rPr>
          <w:b/>
          <w:noProof/>
          <w:color w:val="000000" w:themeColor="text1"/>
          <w:szCs w:val="24"/>
        </w:rPr>
        <w:t>член 3</w:t>
      </w:r>
      <w:r>
        <w:rPr>
          <w:noProof/>
          <w:color w:val="000000" w:themeColor="text1"/>
          <w:szCs w:val="24"/>
        </w:rPr>
        <w:t xml:space="preserve"> се определят </w:t>
      </w:r>
      <w:r>
        <w:rPr>
          <w:b/>
          <w:noProof/>
          <w:color w:val="000000" w:themeColor="text1"/>
          <w:szCs w:val="24"/>
        </w:rPr>
        <w:t>мисията</w:t>
      </w:r>
      <w:r>
        <w:rPr>
          <w:noProof/>
          <w:color w:val="000000" w:themeColor="text1"/>
          <w:szCs w:val="24"/>
        </w:rPr>
        <w:t xml:space="preserve"> и </w:t>
      </w:r>
      <w:r>
        <w:rPr>
          <w:b/>
          <w:noProof/>
          <w:color w:val="000000" w:themeColor="text1"/>
          <w:szCs w:val="24"/>
        </w:rPr>
        <w:t>целите</w:t>
      </w:r>
      <w:r>
        <w:rPr>
          <w:noProof/>
          <w:color w:val="000000" w:themeColor="text1"/>
          <w:szCs w:val="24"/>
        </w:rPr>
        <w:t xml:space="preserve"> на Съвместното предприятие EuroHPC.</w:t>
      </w:r>
    </w:p>
    <w:p>
      <w:pPr>
        <w:rPr>
          <w:noProof/>
          <w:color w:val="000000" w:themeColor="text1"/>
          <w:szCs w:val="24"/>
        </w:rPr>
      </w:pPr>
      <w:r>
        <w:rPr>
          <w:noProof/>
          <w:color w:val="000000" w:themeColor="text1"/>
          <w:szCs w:val="24"/>
        </w:rPr>
        <w:t xml:space="preserve">В </w:t>
      </w:r>
      <w:r>
        <w:rPr>
          <w:b/>
          <w:noProof/>
          <w:color w:val="000000" w:themeColor="text1"/>
          <w:szCs w:val="24"/>
        </w:rPr>
        <w:t>член 4</w:t>
      </w:r>
      <w:r>
        <w:rPr>
          <w:noProof/>
          <w:color w:val="000000" w:themeColor="text1"/>
          <w:szCs w:val="24"/>
        </w:rPr>
        <w:t xml:space="preserve"> се определят стълбовете на </w:t>
      </w:r>
      <w:r>
        <w:rPr>
          <w:b/>
          <w:noProof/>
          <w:color w:val="000000" w:themeColor="text1"/>
          <w:szCs w:val="24"/>
        </w:rPr>
        <w:t>дейностите</w:t>
      </w:r>
      <w:r>
        <w:rPr>
          <w:noProof/>
          <w:color w:val="000000" w:themeColor="text1"/>
          <w:szCs w:val="24"/>
        </w:rPr>
        <w:t xml:space="preserve"> на Съвместното предприятие EuroHPC.</w:t>
      </w:r>
    </w:p>
    <w:p>
      <w:pPr>
        <w:rPr>
          <w:noProof/>
          <w:color w:val="000000" w:themeColor="text1"/>
          <w:szCs w:val="24"/>
        </w:rPr>
      </w:pPr>
      <w:r>
        <w:rPr>
          <w:noProof/>
          <w:color w:val="000000" w:themeColor="text1"/>
          <w:szCs w:val="24"/>
        </w:rPr>
        <w:t xml:space="preserve">В </w:t>
      </w:r>
      <w:r>
        <w:rPr>
          <w:b/>
          <w:noProof/>
          <w:color w:val="000000" w:themeColor="text1"/>
          <w:szCs w:val="24"/>
        </w:rPr>
        <w:t>член 5</w:t>
      </w:r>
      <w:r>
        <w:rPr>
          <w:noProof/>
          <w:color w:val="000000" w:themeColor="text1"/>
          <w:szCs w:val="24"/>
        </w:rPr>
        <w:t xml:space="preserve"> се определя </w:t>
      </w:r>
      <w:r>
        <w:rPr>
          <w:b/>
          <w:noProof/>
          <w:color w:val="000000" w:themeColor="text1"/>
          <w:szCs w:val="24"/>
        </w:rPr>
        <w:t>финансовата вноска на Съюза</w:t>
      </w:r>
      <w:r>
        <w:rPr>
          <w:noProof/>
          <w:color w:val="000000" w:themeColor="text1"/>
          <w:szCs w:val="24"/>
        </w:rPr>
        <w:t xml:space="preserve"> за административните и оперативните разходи на Съвместното предприятие EuroHPC с финансиране по линия на </w:t>
      </w:r>
      <w:r>
        <w:rPr>
          <w:b/>
          <w:noProof/>
          <w:color w:val="000000" w:themeColor="text1"/>
          <w:szCs w:val="24"/>
        </w:rPr>
        <w:t>„Хоризонт Европа“</w:t>
      </w:r>
      <w:r>
        <w:rPr>
          <w:noProof/>
          <w:color w:val="000000" w:themeColor="text1"/>
          <w:szCs w:val="24"/>
        </w:rPr>
        <w:t xml:space="preserve">, </w:t>
      </w:r>
      <w:r>
        <w:rPr>
          <w:b/>
          <w:noProof/>
          <w:color w:val="000000" w:themeColor="text1"/>
          <w:szCs w:val="24"/>
        </w:rPr>
        <w:t>програма</w:t>
      </w:r>
      <w:r>
        <w:rPr>
          <w:noProof/>
          <w:color w:val="000000" w:themeColor="text1"/>
          <w:szCs w:val="24"/>
        </w:rPr>
        <w:t xml:space="preserve"> </w:t>
      </w:r>
      <w:r>
        <w:rPr>
          <w:b/>
          <w:noProof/>
          <w:color w:val="000000" w:themeColor="text1"/>
          <w:szCs w:val="24"/>
        </w:rPr>
        <w:t>„Цифрова Европа“</w:t>
      </w:r>
      <w:r>
        <w:rPr>
          <w:noProof/>
          <w:color w:val="000000" w:themeColor="text1"/>
          <w:szCs w:val="24"/>
        </w:rPr>
        <w:t xml:space="preserve"> и </w:t>
      </w:r>
      <w:r>
        <w:rPr>
          <w:b/>
          <w:noProof/>
          <w:color w:val="000000" w:themeColor="text1"/>
          <w:szCs w:val="24"/>
        </w:rPr>
        <w:t>Механизма за свързване на Европа</w:t>
      </w:r>
      <w:r>
        <w:rPr>
          <w:noProof/>
          <w:color w:val="000000" w:themeColor="text1"/>
          <w:szCs w:val="24"/>
        </w:rPr>
        <w:t xml:space="preserve">. </w:t>
      </w:r>
    </w:p>
    <w:p>
      <w:pPr>
        <w:rPr>
          <w:noProof/>
          <w:color w:val="000000" w:themeColor="text1"/>
          <w:szCs w:val="24"/>
        </w:rPr>
      </w:pPr>
      <w:r>
        <w:rPr>
          <w:noProof/>
          <w:color w:val="000000" w:themeColor="text1"/>
        </w:rPr>
        <w:t xml:space="preserve">В </w:t>
      </w:r>
      <w:r>
        <w:rPr>
          <w:b/>
          <w:noProof/>
          <w:color w:val="000000" w:themeColor="text1"/>
          <w:szCs w:val="24"/>
        </w:rPr>
        <w:t>член 6</w:t>
      </w:r>
      <w:r>
        <w:rPr>
          <w:noProof/>
          <w:color w:val="000000" w:themeColor="text1"/>
          <w:szCs w:val="24"/>
        </w:rPr>
        <w:t xml:space="preserve"> се посочва какъв е възможният допълнителен </w:t>
      </w:r>
      <w:r>
        <w:rPr>
          <w:noProof/>
          <w:color w:val="000000" w:themeColor="text1"/>
        </w:rPr>
        <w:t>финансов принос от програми на Съюза, различни от посочените в член 5.</w:t>
      </w:r>
    </w:p>
    <w:p>
      <w:pPr>
        <w:rPr>
          <w:noProof/>
          <w:color w:val="000000" w:themeColor="text1"/>
          <w:szCs w:val="24"/>
        </w:rPr>
      </w:pPr>
      <w:r>
        <w:rPr>
          <w:noProof/>
          <w:color w:val="000000" w:themeColor="text1"/>
          <w:szCs w:val="24"/>
        </w:rPr>
        <w:t xml:space="preserve">В </w:t>
      </w:r>
      <w:r>
        <w:rPr>
          <w:b/>
          <w:noProof/>
          <w:color w:val="000000" w:themeColor="text1"/>
          <w:szCs w:val="24"/>
        </w:rPr>
        <w:t>член 7</w:t>
      </w:r>
      <w:r>
        <w:rPr>
          <w:noProof/>
          <w:color w:val="000000" w:themeColor="text1"/>
          <w:szCs w:val="24"/>
        </w:rPr>
        <w:t xml:space="preserve"> се определят финансовите </w:t>
      </w:r>
      <w:r>
        <w:rPr>
          <w:b/>
          <w:noProof/>
          <w:color w:val="000000" w:themeColor="text1"/>
          <w:szCs w:val="24"/>
        </w:rPr>
        <w:t>вноски</w:t>
      </w:r>
      <w:r>
        <w:rPr>
          <w:noProof/>
          <w:color w:val="000000" w:themeColor="text1"/>
          <w:szCs w:val="24"/>
        </w:rPr>
        <w:t xml:space="preserve"> на </w:t>
      </w:r>
      <w:r>
        <w:rPr>
          <w:b/>
          <w:noProof/>
          <w:color w:val="000000" w:themeColor="text1"/>
          <w:szCs w:val="24"/>
        </w:rPr>
        <w:t>участващите държави</w:t>
      </w:r>
      <w:r>
        <w:rPr>
          <w:noProof/>
          <w:color w:val="000000" w:themeColor="text1"/>
          <w:szCs w:val="24"/>
        </w:rPr>
        <w:t xml:space="preserve"> и </w:t>
      </w:r>
      <w:r>
        <w:rPr>
          <w:b/>
          <w:noProof/>
          <w:color w:val="000000" w:themeColor="text1"/>
          <w:szCs w:val="24"/>
        </w:rPr>
        <w:t>частноправните членове</w:t>
      </w:r>
      <w:r>
        <w:rPr>
          <w:noProof/>
          <w:color w:val="000000" w:themeColor="text1"/>
          <w:szCs w:val="24"/>
        </w:rPr>
        <w:t xml:space="preserve"> за административните и оперативните разходи. </w:t>
      </w:r>
    </w:p>
    <w:p>
      <w:pPr>
        <w:rPr>
          <w:noProof/>
          <w:color w:val="000000" w:themeColor="text1"/>
          <w:szCs w:val="24"/>
        </w:rPr>
      </w:pPr>
      <w:r>
        <w:rPr>
          <w:b/>
          <w:noProof/>
          <w:color w:val="000000" w:themeColor="text1"/>
          <w:szCs w:val="24"/>
        </w:rPr>
        <w:t>Член 8</w:t>
      </w:r>
      <w:r>
        <w:rPr>
          <w:noProof/>
          <w:color w:val="000000" w:themeColor="text1"/>
          <w:szCs w:val="24"/>
        </w:rPr>
        <w:t xml:space="preserve"> се отнася за </w:t>
      </w:r>
      <w:r>
        <w:rPr>
          <w:b/>
          <w:noProof/>
          <w:color w:val="000000" w:themeColor="text1"/>
          <w:szCs w:val="24"/>
        </w:rPr>
        <w:t>доставчика на хостинг</w:t>
      </w:r>
      <w:r>
        <w:rPr>
          <w:noProof/>
          <w:color w:val="000000" w:themeColor="text1"/>
          <w:szCs w:val="24"/>
        </w:rPr>
        <w:t xml:space="preserve">, на когото съвместното предприятие трябва да повери </w:t>
      </w:r>
      <w:r>
        <w:rPr>
          <w:b/>
          <w:noProof/>
          <w:color w:val="000000" w:themeColor="text1"/>
          <w:szCs w:val="24"/>
        </w:rPr>
        <w:t>експлоатацията на суперкомпютрите с близка до ексафлопс производителност</w:t>
      </w:r>
      <w:r>
        <w:rPr>
          <w:noProof/>
          <w:color w:val="000000" w:themeColor="text1"/>
          <w:szCs w:val="24"/>
        </w:rPr>
        <w:t>, като е определен процесът на подбор на доставчик.</w:t>
      </w:r>
    </w:p>
    <w:p>
      <w:pPr>
        <w:rPr>
          <w:noProof/>
          <w:color w:val="000000" w:themeColor="text1"/>
          <w:szCs w:val="24"/>
        </w:rPr>
      </w:pPr>
      <w:r>
        <w:rPr>
          <w:noProof/>
          <w:color w:val="000000" w:themeColor="text1"/>
          <w:szCs w:val="24"/>
        </w:rPr>
        <w:t xml:space="preserve">В </w:t>
      </w:r>
      <w:r>
        <w:rPr>
          <w:b/>
          <w:noProof/>
          <w:color w:val="000000" w:themeColor="text1"/>
          <w:szCs w:val="24"/>
        </w:rPr>
        <w:t>член 9</w:t>
      </w:r>
      <w:r>
        <w:rPr>
          <w:noProof/>
          <w:color w:val="000000" w:themeColor="text1"/>
          <w:szCs w:val="24"/>
        </w:rPr>
        <w:t xml:space="preserve"> е изложено съдържанието на </w:t>
      </w:r>
      <w:r>
        <w:rPr>
          <w:b/>
          <w:noProof/>
          <w:color w:val="000000" w:themeColor="text1"/>
          <w:szCs w:val="24"/>
        </w:rPr>
        <w:t>споразумението за хостинг</w:t>
      </w:r>
      <w:r>
        <w:rPr>
          <w:noProof/>
          <w:color w:val="000000" w:themeColor="text1"/>
          <w:szCs w:val="24"/>
        </w:rPr>
        <w:t>, в което се определят ролите и отговорностите на доставчика на хостинг.</w:t>
      </w:r>
    </w:p>
    <w:p>
      <w:pPr>
        <w:rPr>
          <w:noProof/>
          <w:color w:val="000000" w:themeColor="text1"/>
          <w:szCs w:val="24"/>
        </w:rPr>
      </w:pPr>
      <w:r>
        <w:rPr>
          <w:b/>
          <w:noProof/>
          <w:color w:val="000000" w:themeColor="text1"/>
          <w:szCs w:val="24"/>
        </w:rPr>
        <w:t>Член 10</w:t>
      </w:r>
      <w:r>
        <w:rPr>
          <w:noProof/>
          <w:color w:val="000000" w:themeColor="text1"/>
          <w:szCs w:val="24"/>
        </w:rPr>
        <w:t xml:space="preserve"> предвижда, че </w:t>
      </w:r>
      <w:r>
        <w:rPr>
          <w:b/>
          <w:noProof/>
          <w:color w:val="000000" w:themeColor="text1"/>
          <w:szCs w:val="24"/>
        </w:rPr>
        <w:t>съвместното предприятие следва да бъде собственик на придобитите от него суперкомпютри от висок клас</w:t>
      </w:r>
      <w:r>
        <w:rPr>
          <w:noProof/>
          <w:color w:val="000000" w:themeColor="text1"/>
          <w:szCs w:val="24"/>
        </w:rPr>
        <w:t xml:space="preserve"> до края на икономическия им жизнен цикъл, когато те ще бъдат прехвърлени на доставчика на хостинг.</w:t>
      </w:r>
    </w:p>
    <w:p>
      <w:pPr>
        <w:rPr>
          <w:noProof/>
          <w:color w:val="000000" w:themeColor="text1"/>
          <w:szCs w:val="24"/>
        </w:rPr>
      </w:pPr>
      <w:r>
        <w:rPr>
          <w:b/>
          <w:noProof/>
          <w:color w:val="000000" w:themeColor="text1"/>
          <w:szCs w:val="24"/>
        </w:rPr>
        <w:t>Член 11</w:t>
      </w:r>
      <w:r>
        <w:rPr>
          <w:noProof/>
          <w:color w:val="000000" w:themeColor="text1"/>
          <w:szCs w:val="24"/>
        </w:rPr>
        <w:t xml:space="preserve"> предвижда, че </w:t>
      </w:r>
      <w:r>
        <w:rPr>
          <w:b/>
          <w:noProof/>
          <w:color w:val="000000" w:themeColor="text1"/>
          <w:szCs w:val="24"/>
        </w:rPr>
        <w:t>съвместното предприятие следва да бъде собственик на придобитите от него квантови компютри и квантови симулатори</w:t>
      </w:r>
      <w:r>
        <w:rPr>
          <w:noProof/>
          <w:color w:val="000000" w:themeColor="text1"/>
          <w:szCs w:val="24"/>
        </w:rPr>
        <w:t xml:space="preserve"> до края на икономическия им жизнен цикъл, когато те ще бъдат прехвърлени на доставчика на хостинг.</w:t>
      </w:r>
    </w:p>
    <w:p>
      <w:pPr>
        <w:rPr>
          <w:noProof/>
          <w:color w:val="000000" w:themeColor="text1"/>
          <w:szCs w:val="24"/>
        </w:rPr>
      </w:pPr>
      <w:r>
        <w:rPr>
          <w:b/>
          <w:noProof/>
          <w:color w:val="000000" w:themeColor="text1"/>
          <w:szCs w:val="24"/>
        </w:rPr>
        <w:lastRenderedPageBreak/>
        <w:t>Член 12</w:t>
      </w:r>
      <w:r>
        <w:rPr>
          <w:noProof/>
          <w:color w:val="000000" w:themeColor="text1"/>
          <w:szCs w:val="24"/>
        </w:rPr>
        <w:t xml:space="preserve"> предвижда, че </w:t>
      </w:r>
      <w:r>
        <w:rPr>
          <w:b/>
          <w:noProof/>
          <w:color w:val="000000" w:themeColor="text1"/>
          <w:szCs w:val="24"/>
        </w:rPr>
        <w:t>съвместното предприятие следва да бъде съсобственик на суперкомпютрите от промишлен клас</w:t>
      </w:r>
      <w:r>
        <w:rPr>
          <w:noProof/>
          <w:color w:val="000000" w:themeColor="text1"/>
          <w:szCs w:val="24"/>
        </w:rPr>
        <w:t>, придобити от него съвместно с частноправните членове или с консорциум от частни партньори.</w:t>
      </w:r>
    </w:p>
    <w:p>
      <w:pPr>
        <w:rPr>
          <w:noProof/>
          <w:color w:val="000000" w:themeColor="text1"/>
          <w:szCs w:val="24"/>
        </w:rPr>
      </w:pPr>
      <w:r>
        <w:rPr>
          <w:b/>
          <w:noProof/>
          <w:color w:val="000000" w:themeColor="text1"/>
          <w:szCs w:val="24"/>
        </w:rPr>
        <w:t>Член 13</w:t>
      </w:r>
      <w:r>
        <w:rPr>
          <w:noProof/>
          <w:color w:val="000000" w:themeColor="text1"/>
          <w:szCs w:val="24"/>
        </w:rPr>
        <w:t xml:space="preserve"> предвижда, че </w:t>
      </w:r>
      <w:r>
        <w:rPr>
          <w:b/>
          <w:noProof/>
          <w:color w:val="000000" w:themeColor="text1"/>
          <w:szCs w:val="24"/>
        </w:rPr>
        <w:t>съвместното предприятие следва да бъде съсобственик на суперкомпютрите от среден клас</w:t>
      </w:r>
      <w:r>
        <w:rPr>
          <w:noProof/>
          <w:color w:val="000000" w:themeColor="text1"/>
          <w:szCs w:val="24"/>
        </w:rPr>
        <w:t>, придобити от него съвместно с доставчиците на хостинг.</w:t>
      </w:r>
    </w:p>
    <w:p>
      <w:pPr>
        <w:rPr>
          <w:noProof/>
          <w:color w:val="000000" w:themeColor="text1"/>
          <w:szCs w:val="24"/>
        </w:rPr>
      </w:pPr>
      <w:r>
        <w:rPr>
          <w:noProof/>
          <w:color w:val="000000" w:themeColor="text1"/>
          <w:szCs w:val="24"/>
        </w:rPr>
        <w:t xml:space="preserve">В </w:t>
      </w:r>
      <w:r>
        <w:rPr>
          <w:b/>
          <w:noProof/>
          <w:color w:val="000000" w:themeColor="text1"/>
          <w:szCs w:val="24"/>
        </w:rPr>
        <w:t>член 14</w:t>
      </w:r>
      <w:r>
        <w:rPr>
          <w:noProof/>
          <w:color w:val="000000" w:themeColor="text1"/>
          <w:szCs w:val="24"/>
        </w:rPr>
        <w:t xml:space="preserve"> се определя </w:t>
      </w:r>
      <w:r>
        <w:rPr>
          <w:b/>
          <w:noProof/>
          <w:color w:val="000000" w:themeColor="text1"/>
          <w:szCs w:val="24"/>
        </w:rPr>
        <w:t>използването</w:t>
      </w:r>
      <w:r>
        <w:rPr>
          <w:noProof/>
          <w:color w:val="000000" w:themeColor="text1"/>
          <w:szCs w:val="24"/>
        </w:rPr>
        <w:t xml:space="preserve"> на суперкомпютрите на СП EuroHPC и </w:t>
      </w:r>
      <w:r>
        <w:rPr>
          <w:b/>
          <w:noProof/>
          <w:color w:val="000000" w:themeColor="text1"/>
          <w:szCs w:val="24"/>
        </w:rPr>
        <w:t>условията за достъп</w:t>
      </w:r>
      <w:r>
        <w:rPr>
          <w:noProof/>
          <w:color w:val="000000" w:themeColor="text1"/>
          <w:szCs w:val="24"/>
        </w:rPr>
        <w:t xml:space="preserve"> за техните потребители.</w:t>
      </w:r>
    </w:p>
    <w:p>
      <w:pPr>
        <w:rPr>
          <w:noProof/>
          <w:color w:val="000000" w:themeColor="text1"/>
          <w:szCs w:val="24"/>
        </w:rPr>
      </w:pPr>
      <w:r>
        <w:rPr>
          <w:noProof/>
          <w:color w:val="000000" w:themeColor="text1"/>
          <w:szCs w:val="24"/>
        </w:rPr>
        <w:t xml:space="preserve">В </w:t>
      </w:r>
      <w:r>
        <w:rPr>
          <w:b/>
          <w:noProof/>
          <w:color w:val="000000" w:themeColor="text1"/>
          <w:szCs w:val="24"/>
        </w:rPr>
        <w:t>член 15</w:t>
      </w:r>
      <w:r>
        <w:rPr>
          <w:noProof/>
          <w:color w:val="000000" w:themeColor="text1"/>
          <w:szCs w:val="24"/>
        </w:rPr>
        <w:t xml:space="preserve"> се уточнява как </w:t>
      </w:r>
      <w:r>
        <w:rPr>
          <w:b/>
          <w:noProof/>
          <w:color w:val="000000" w:themeColor="text1"/>
          <w:szCs w:val="24"/>
        </w:rPr>
        <w:t>Европейската</w:t>
      </w:r>
      <w:r>
        <w:rPr>
          <w:noProof/>
          <w:color w:val="000000" w:themeColor="text1"/>
          <w:szCs w:val="24"/>
        </w:rPr>
        <w:t xml:space="preserve"> </w:t>
      </w:r>
      <w:r>
        <w:rPr>
          <w:b/>
          <w:noProof/>
          <w:color w:val="000000" w:themeColor="text1"/>
          <w:szCs w:val="24"/>
        </w:rPr>
        <w:t>комисия</w:t>
      </w:r>
      <w:r>
        <w:rPr>
          <w:noProof/>
          <w:color w:val="000000" w:themeColor="text1"/>
          <w:szCs w:val="24"/>
        </w:rPr>
        <w:t xml:space="preserve"> и </w:t>
      </w:r>
      <w:r>
        <w:rPr>
          <w:b/>
          <w:noProof/>
          <w:color w:val="000000" w:themeColor="text1"/>
          <w:szCs w:val="24"/>
        </w:rPr>
        <w:t>държавите, участващи в Съвместното предприятие EuroHPC</w:t>
      </w:r>
      <w:r>
        <w:rPr>
          <w:noProof/>
          <w:color w:val="000000" w:themeColor="text1"/>
          <w:szCs w:val="24"/>
        </w:rPr>
        <w:t xml:space="preserve">, ще бъдат компенсирани за финансовата им вноска за придобиване на суперкомпютрите с близка до ексафлопс производителност: всеки участник ще получи дял от общото </w:t>
      </w:r>
      <w:r>
        <w:rPr>
          <w:b/>
          <w:noProof/>
          <w:color w:val="000000" w:themeColor="text1"/>
          <w:szCs w:val="24"/>
        </w:rPr>
        <w:t>време за достъп</w:t>
      </w:r>
      <w:r>
        <w:rPr>
          <w:noProof/>
          <w:color w:val="000000" w:themeColor="text1"/>
          <w:szCs w:val="24"/>
        </w:rPr>
        <w:t xml:space="preserve">, </w:t>
      </w:r>
      <w:r>
        <w:rPr>
          <w:b/>
          <w:noProof/>
          <w:color w:val="000000" w:themeColor="text1"/>
          <w:szCs w:val="24"/>
        </w:rPr>
        <w:t>пропорционално на финансовата си вноска</w:t>
      </w:r>
      <w:r>
        <w:rPr>
          <w:noProof/>
          <w:color w:val="000000" w:themeColor="text1"/>
          <w:szCs w:val="24"/>
        </w:rPr>
        <w:t xml:space="preserve">. В него също така се определя как ще бъде разпределено </w:t>
      </w:r>
      <w:r>
        <w:rPr>
          <w:b/>
          <w:noProof/>
          <w:color w:val="000000" w:themeColor="text1"/>
          <w:szCs w:val="24"/>
        </w:rPr>
        <w:t>времето на Съюза за достъп</w:t>
      </w:r>
      <w:r>
        <w:rPr>
          <w:noProof/>
          <w:color w:val="000000" w:themeColor="text1"/>
          <w:szCs w:val="24"/>
        </w:rPr>
        <w:t xml:space="preserve"> до суперкомпютрите на СП EuroHPC.</w:t>
      </w:r>
    </w:p>
    <w:p>
      <w:pPr>
        <w:rPr>
          <w:noProof/>
          <w:color w:val="000000" w:themeColor="text1"/>
          <w:szCs w:val="24"/>
        </w:rPr>
      </w:pPr>
      <w:r>
        <w:rPr>
          <w:noProof/>
          <w:color w:val="000000" w:themeColor="text1"/>
          <w:szCs w:val="24"/>
        </w:rPr>
        <w:t xml:space="preserve">В </w:t>
      </w:r>
      <w:r>
        <w:rPr>
          <w:b/>
          <w:noProof/>
          <w:color w:val="000000" w:themeColor="text1"/>
          <w:szCs w:val="24"/>
        </w:rPr>
        <w:t>член 16</w:t>
      </w:r>
      <w:r>
        <w:rPr>
          <w:noProof/>
          <w:color w:val="000000" w:themeColor="text1"/>
          <w:szCs w:val="24"/>
        </w:rPr>
        <w:t xml:space="preserve"> се определят условията, при които съвместното предприятие ще предоставя </w:t>
      </w:r>
      <w:r>
        <w:rPr>
          <w:b/>
          <w:noProof/>
          <w:color w:val="000000" w:themeColor="text1"/>
          <w:szCs w:val="24"/>
        </w:rPr>
        <w:t>търговски услуги</w:t>
      </w:r>
      <w:r>
        <w:rPr>
          <w:noProof/>
          <w:color w:val="000000" w:themeColor="text1"/>
          <w:szCs w:val="24"/>
        </w:rPr>
        <w:t>.</w:t>
      </w:r>
    </w:p>
    <w:p>
      <w:pPr>
        <w:rPr>
          <w:noProof/>
          <w:color w:val="000000" w:themeColor="text1"/>
          <w:szCs w:val="24"/>
        </w:rPr>
      </w:pPr>
      <w:r>
        <w:rPr>
          <w:noProof/>
          <w:color w:val="000000" w:themeColor="text1"/>
          <w:szCs w:val="24"/>
        </w:rPr>
        <w:t xml:space="preserve">В </w:t>
      </w:r>
      <w:r>
        <w:rPr>
          <w:b/>
          <w:noProof/>
          <w:color w:val="000000" w:themeColor="text1"/>
          <w:szCs w:val="24"/>
        </w:rPr>
        <w:t>член 17</w:t>
      </w:r>
      <w:r>
        <w:rPr>
          <w:noProof/>
          <w:color w:val="000000" w:themeColor="text1"/>
          <w:szCs w:val="24"/>
        </w:rPr>
        <w:t xml:space="preserve"> се определят финансовите правила на съвместното предприятие; те са в съответствие с </w:t>
      </w:r>
      <w:r>
        <w:rPr>
          <w:b/>
          <w:noProof/>
          <w:color w:val="000000" w:themeColor="text1"/>
          <w:szCs w:val="24"/>
        </w:rPr>
        <w:t>Финансовия регламент</w:t>
      </w:r>
      <w:r>
        <w:rPr>
          <w:noProof/>
          <w:color w:val="000000" w:themeColor="text1"/>
          <w:szCs w:val="24"/>
        </w:rPr>
        <w:t>.</w:t>
      </w:r>
    </w:p>
    <w:p>
      <w:pPr>
        <w:spacing w:before="0" w:after="200" w:line="276" w:lineRule="auto"/>
        <w:jc w:val="left"/>
        <w:rPr>
          <w:noProof/>
          <w:color w:val="000000" w:themeColor="text1"/>
        </w:rPr>
        <w:sectPr>
          <w:footerReference w:type="default" r:id="rId11"/>
          <w:footerReference w:type="first" r:id="rId12"/>
          <w:pgSz w:w="11907" w:h="16839"/>
          <w:pgMar w:top="1134" w:right="1417" w:bottom="1134" w:left="1417" w:header="709" w:footer="709" w:gutter="0"/>
          <w:cols w:space="708"/>
          <w:docGrid w:linePitch="360"/>
        </w:sectPr>
      </w:pPr>
      <w:r>
        <w:rPr>
          <w:noProof/>
        </w:rPr>
        <w:br w:type="page"/>
      </w:r>
    </w:p>
    <w:p>
      <w:pPr>
        <w:spacing w:before="0" w:after="200" w:line="276" w:lineRule="auto"/>
        <w:jc w:val="left"/>
        <w:rPr>
          <w:noProof/>
          <w:color w:val="000000" w:themeColor="text1"/>
        </w:rPr>
      </w:pPr>
    </w:p>
    <w:p>
      <w:pPr>
        <w:pStyle w:val="Rfrenceinterinstitutionnelle"/>
        <w:rPr>
          <w:noProof/>
        </w:rPr>
      </w:pPr>
      <w:r>
        <w:rPr>
          <w:noProof/>
        </w:rPr>
        <w:t>2020/0260 (NLE)</w:t>
      </w:r>
    </w:p>
    <w:p>
      <w:pPr>
        <w:pStyle w:val="Statut"/>
        <w:rPr>
          <w:noProof/>
          <w:color w:val="000000" w:themeColor="text1"/>
        </w:rPr>
      </w:pPr>
      <w:r>
        <w:rPr>
          <w:noProof/>
          <w:color w:val="000000" w:themeColor="text1"/>
        </w:rPr>
        <w:t>Предложение за</w:t>
      </w:r>
    </w:p>
    <w:p>
      <w:pPr>
        <w:pStyle w:val="Typedudocument"/>
        <w:rPr>
          <w:noProof/>
          <w:color w:val="000000" w:themeColor="text1"/>
        </w:rPr>
      </w:pPr>
      <w:r>
        <w:rPr>
          <w:noProof/>
          <w:color w:val="000000" w:themeColor="text1"/>
        </w:rPr>
        <w:t>РЕГЛАМЕНТ НА СЪВЕТА</w:t>
      </w:r>
    </w:p>
    <w:p>
      <w:pPr>
        <w:pStyle w:val="Titreobjet"/>
        <w:rPr>
          <w:noProof/>
          <w:color w:val="000000" w:themeColor="text1"/>
        </w:rPr>
      </w:pPr>
      <w:r>
        <w:rPr>
          <w:noProof/>
          <w:color w:val="000000" w:themeColor="text1"/>
        </w:rPr>
        <w:t>за създаване на Съвместно предприятие за европейски високопроизводителни изчислителни технологии</w:t>
      </w:r>
    </w:p>
    <w:p>
      <w:pPr>
        <w:pStyle w:val="Institutionquiagit"/>
        <w:rPr>
          <w:noProof/>
          <w:color w:val="000000" w:themeColor="text1"/>
        </w:rPr>
      </w:pPr>
      <w:r>
        <w:rPr>
          <w:noProof/>
          <w:color w:val="000000" w:themeColor="text1"/>
        </w:rPr>
        <w:t>СЪВЕТЪТ НА ЕВРОПЕЙСКИЯ СЪЮЗ,</w:t>
      </w:r>
    </w:p>
    <w:p>
      <w:pPr>
        <w:rPr>
          <w:noProof/>
          <w:color w:val="000000" w:themeColor="text1"/>
        </w:rPr>
      </w:pPr>
      <w:r>
        <w:rPr>
          <w:noProof/>
          <w:color w:val="000000" w:themeColor="text1"/>
        </w:rPr>
        <w:t>като взе предвид Договора за функционирането на Европейския съюз, и по-специално член 187 и член 188, първа алинея от него,</w:t>
      </w:r>
    </w:p>
    <w:p>
      <w:pPr>
        <w:rPr>
          <w:noProof/>
          <w:color w:val="000000" w:themeColor="text1"/>
        </w:rPr>
      </w:pPr>
      <w:r>
        <w:rPr>
          <w:noProof/>
          <w:color w:val="000000" w:themeColor="text1"/>
        </w:rPr>
        <w:t>като взе предвид предложението на Европейската комисия,</w:t>
      </w:r>
    </w:p>
    <w:p>
      <w:pPr>
        <w:rPr>
          <w:noProof/>
          <w:color w:val="000000" w:themeColor="text1"/>
        </w:rPr>
      </w:pPr>
      <w:r>
        <w:rPr>
          <w:noProof/>
          <w:color w:val="000000" w:themeColor="text1"/>
        </w:rPr>
        <w:t>като взе предвид становището на Европейския парламент,</w:t>
      </w:r>
    </w:p>
    <w:p>
      <w:pPr>
        <w:rPr>
          <w:noProof/>
          <w:color w:val="000000" w:themeColor="text1"/>
        </w:rPr>
      </w:pPr>
      <w:r>
        <w:rPr>
          <w:noProof/>
          <w:color w:val="000000" w:themeColor="text1"/>
        </w:rPr>
        <w:t>като взе предвид становището на Европейския икономически и социален комитет,</w:t>
      </w:r>
    </w:p>
    <w:p>
      <w:pPr>
        <w:tabs>
          <w:tab w:val="left" w:pos="3075"/>
        </w:tabs>
        <w:rPr>
          <w:noProof/>
          <w:color w:val="000000" w:themeColor="text1"/>
        </w:rPr>
      </w:pPr>
      <w:r>
        <w:rPr>
          <w:noProof/>
          <w:color w:val="000000" w:themeColor="text1"/>
        </w:rPr>
        <w:t>като има предвид, че:</w:t>
      </w:r>
      <w:r>
        <w:rPr>
          <w:noProof/>
          <w:color w:val="000000" w:themeColor="text1"/>
        </w:rPr>
        <w:tab/>
      </w:r>
    </w:p>
    <w:p>
      <w:pPr>
        <w:pStyle w:val="ManualConsidrant"/>
        <w:rPr>
          <w:noProof/>
        </w:rPr>
      </w:pPr>
      <w:r>
        <w:t>(1)</w:t>
      </w:r>
      <w:r>
        <w:tab/>
      </w:r>
      <w:r>
        <w:rPr>
          <w:noProof/>
        </w:rPr>
        <w:t>С Регламент (ЕС) № xxx на Европейския парламент и на Съвета се създава „Хоризонт Европа“ — рамковата програма за научни изследвания и иновации (2021—2027 г.)</w:t>
      </w:r>
      <w:r>
        <w:rPr>
          <w:rStyle w:val="FootnoteReference"/>
          <w:noProof/>
          <w:color w:val="000000" w:themeColor="text1"/>
        </w:rPr>
        <w:footnoteReference w:id="15"/>
      </w:r>
      <w:r>
        <w:rPr>
          <w:noProof/>
        </w:rPr>
        <w:t xml:space="preserve">. Части от „Хоризонт Европа“ могат да бъдат изпълнени чрез европейски партньорства с партньори от частния и/или публичния сектор с цел постигане на възможно най-голямо въздействие на финансирането от Съюза и най-ефективен принос към целите на Съюза. </w:t>
      </w:r>
    </w:p>
    <w:p>
      <w:pPr>
        <w:pStyle w:val="ManualConsidrant"/>
        <w:rPr>
          <w:noProof/>
        </w:rPr>
      </w:pPr>
      <w:r>
        <w:t>(2)</w:t>
      </w:r>
      <w:r>
        <w:tab/>
      </w:r>
      <w:r>
        <w:rPr>
          <w:noProof/>
        </w:rPr>
        <w:t>На съвместните предприятия, създадени в рамките на „Хоризонт Европа“, може да се предоставя подкрепа в съответствие с Регламент (ЕС) № xxx на Европейския парламент и на Съвета и Решение xxx на Съвета</w:t>
      </w:r>
      <w:r>
        <w:rPr>
          <w:rStyle w:val="FootnoteReference"/>
          <w:noProof/>
          <w:color w:val="000000" w:themeColor="text1"/>
        </w:rPr>
        <w:footnoteReference w:id="16"/>
      </w:r>
      <w:r>
        <w:rPr>
          <w:noProof/>
        </w:rPr>
        <w:t>. Към такива партньорства следва да се пристъпва единствено когато с други части от програмата „Хоризонт Европа“, включително други форми на европейски партньорства, не биха се постигнали целите или не биха се генерирали необходимите очаквани въздействия, и ако това е оправдано от дългосрочна перспектива и висока степен на интеграция. Условията, при които се създават такива партньорства, са определени в посоченото решение.</w:t>
      </w:r>
    </w:p>
    <w:p>
      <w:pPr>
        <w:pStyle w:val="ManualConsidrant"/>
        <w:rPr>
          <w:noProof/>
        </w:rPr>
      </w:pPr>
      <w:r>
        <w:t>(3)</w:t>
      </w:r>
      <w:r>
        <w:tab/>
      </w:r>
      <w:r>
        <w:rPr>
          <w:noProof/>
        </w:rPr>
        <w:t>С Регламент (ЕС) № xxx на Европейския парламент и на Съвета се създава програмата „Цифрова Европа“</w:t>
      </w:r>
      <w:r>
        <w:rPr>
          <w:rStyle w:val="FootnoteReference"/>
          <w:noProof/>
          <w:color w:val="000000" w:themeColor="text1"/>
        </w:rPr>
        <w:footnoteReference w:id="17"/>
      </w:r>
      <w:r>
        <w:rPr>
          <w:noProof/>
        </w:rPr>
        <w:t>. Програмата „Цифрова Европа“ подкрепя изпълнението на проекти от общ интерес, с които се цели придобиването, внедряването и експлоатацията на инфраструктура на световно равнище от суперкомпютри, квантови компютри и данни, обединяването и свързването, както и разширяването на използването на услуги в областта на суперкомпютрите, и развитието на ключови умения.</w:t>
      </w:r>
    </w:p>
    <w:p>
      <w:pPr>
        <w:pStyle w:val="ManualConsidrant"/>
        <w:rPr>
          <w:noProof/>
        </w:rPr>
      </w:pPr>
      <w:r>
        <w:lastRenderedPageBreak/>
        <w:t>(4)</w:t>
      </w:r>
      <w:r>
        <w:tab/>
      </w:r>
      <w:r>
        <w:rPr>
          <w:noProof/>
        </w:rPr>
        <w:t>С Регламент (ЕС) № xxx на Европейския парламент и на Съвета се създаде Механизмът за свързване на Европа</w:t>
      </w:r>
      <w:r>
        <w:rPr>
          <w:rStyle w:val="FootnoteReference"/>
          <w:noProof/>
          <w:color w:val="000000" w:themeColor="text1"/>
        </w:rPr>
        <w:footnoteReference w:id="18"/>
      </w:r>
      <w:r>
        <w:rPr>
          <w:noProof/>
        </w:rPr>
        <w:t>. Механизмът за свързване на Европа дава възможност за осъществяването на проекти от общ интерес, които да бъдат подготвени и изпълнени в рамката на политиката за трансевропейски мрежи в секторите на транспорта, телекомуникациите и енергетиката. По-специално Механизмът за свързване на Европа подкрепя изпълнението на онези проекти от общ интерес, които са насочени към развитието и изграждането на нови инфраструктури и услуги или към модернизирането на съществуващите инфраструктури и услуги в секторите на транспорта, телекомуникациите и енергетиката. Механизмът за свързване на Европа допринася за подпомагане на инфраструктурите за цифрова свързаност от общ интерес, като носи значителни съпътстващи ползи за обществото.</w:t>
      </w:r>
    </w:p>
    <w:p>
      <w:pPr>
        <w:pStyle w:val="ManualConsidrant"/>
        <w:rPr>
          <w:noProof/>
        </w:rPr>
      </w:pPr>
      <w:r>
        <w:t>(5)</w:t>
      </w:r>
      <w:r>
        <w:tab/>
      </w:r>
      <w:r>
        <w:rPr>
          <w:noProof/>
        </w:rPr>
        <w:t>В съобщението на Комисията от 19 февруари 2020 г., озаглавено „Европейска стратегия за данните“, е очертана стратегия за следващите пет години за мерки на политиката и инвестиции, които да създадат предпоставки за икономика, основана на данни. В него се подчертава изграждането на общи европейски публични пространства на данни, които ще стимулират растежа и ще създават стойност. С подкрепата за изграждането на такива общи европейски пространства на данни и обединени, сигурни облачни инфраструктури би се гарантирало, че повече данни ще станат достъпни за използване в икономиката и в обществото, като същевременно дружествата и лицата, които генерират данните, ще продължат да упражняват контрол. Високопроизводителните изчислителни технологии и квантовите изчислителни технологии са съществена предпоставка за безпроблемното предоставяне на изчислителни ресурси с различни характеристики на производителност, необходими за максимален растеж и използване на общите европейски пространства на данни и обединените сигурни облачни инфраструктури за публични, промишлени и научни приложения.</w:t>
      </w:r>
    </w:p>
    <w:p>
      <w:pPr>
        <w:pStyle w:val="ManualConsidrant"/>
        <w:rPr>
          <w:noProof/>
        </w:rPr>
      </w:pPr>
      <w:r>
        <w:t>(6)</w:t>
      </w:r>
      <w:r>
        <w:tab/>
      </w:r>
      <w:r>
        <w:rPr>
          <w:noProof/>
        </w:rPr>
        <w:t>В съобщението на Комисията от 19 февруари 2020 г., озаглавено „Изграждане на цифровото бъдеще на Европа“, е представена цифровата стратегия на Европа, която е съсредоточена върху постигането на няколко ключови цели, за да се гарантира, че цифровите решения помагат на Европа да върви по свой собствен път към цифрова трансформация, която работи в полза на хората. Сред ключовите действия, предложени в нея, е инвестирането в изграждане и разгръщане на авангарден съвместен цифров капацитет, включително в областта на суперкомпютрите и квантовите технологии, както и разширяването на капацитета на Европа в областта на суперкомпютрите с цел разработване на иновативни решения за медицината, транспорта и околната среда.</w:t>
      </w:r>
    </w:p>
    <w:p>
      <w:pPr>
        <w:pStyle w:val="ManualConsidrant"/>
        <w:rPr>
          <w:noProof/>
        </w:rPr>
      </w:pPr>
      <w:r>
        <w:t>(7)</w:t>
      </w:r>
      <w:r>
        <w:tab/>
      </w:r>
      <w:r>
        <w:rPr>
          <w:noProof/>
        </w:rPr>
        <w:t>В съобщението на Комисията от 10 март 2020 г., озаглавено „Нова промишлена стратегия за Европа“, е отразена амбициозна промишлена стратегия, според която Европа трябва да поеме водещата роля в двойния преход към неутралност по отношение на климата и към цифрово лидерство. В съобщението се подчертава подкрепата, наред с другото, за разработването на главни базови технологии, които са от стратегическо значение за промишленото бъдеще на Европа, включително високопроизводителни изчислителни технологии и квантови технологии.</w:t>
      </w:r>
    </w:p>
    <w:p>
      <w:pPr>
        <w:pStyle w:val="ManualConsidrant"/>
        <w:rPr>
          <w:noProof/>
        </w:rPr>
      </w:pPr>
      <w:r>
        <w:lastRenderedPageBreak/>
        <w:t>(8)</w:t>
      </w:r>
      <w:r>
        <w:tab/>
      </w:r>
      <w:r>
        <w:rPr>
          <w:noProof/>
        </w:rPr>
        <w:t>В съобщението на Комисията от 27 май 2020 г., озаглавено „Часът на Европа: възстановяване и подготовка за следващото поколение“, стратегическият капацитет и редица способности в областта на цифровите технологии, които включват високопроизводителни компютри и квантови технологии, бяха определени като приоритет в Механизма за възстановяване и устойчивост, InvestEU и Механизма за стратегически инвестиции.</w:t>
      </w:r>
    </w:p>
    <w:p>
      <w:pPr>
        <w:pStyle w:val="ManualConsidrant"/>
        <w:rPr>
          <w:noProof/>
        </w:rPr>
      </w:pPr>
      <w:r>
        <w:t>(9)</w:t>
      </w:r>
      <w:r>
        <w:tab/>
      </w:r>
      <w:r>
        <w:rPr>
          <w:noProof/>
        </w:rPr>
        <w:t>Водещата роля на Европа в икономиката, основана на данни, нейните високи научни постижения и нейната промишлена сила все повече ще зависят от способността ѝ да разработва ключови високопроизводителни изчислителни технологии, както и да предоставя достъп до инфраструктура от суперкомпютри и данни на световно равнище и да запази настоящото си лидерство в областта на приложенията за високопроизводителни изчисления. Високопроизводителните изчислителни технологии са общоприета технология за цифровата трансформация на европейската икономика, която дава възможност на множество традиционни промишлени сектори да създават иновации с продукти и услуги с по-висока стойност. В комбинация с други авангардни цифрови технологии, като изкуствения интелект, големите информационни масиви и облачните технологии, високопроизводителните изчислителни технологии проправят пътя към иновативни обществени и промишлени приложения в критични за Европа области като персонализираната медицина, прогнозата за времето и изменението на климата, развитието на интелигентни и екологични технологии и транспорт, нови материали за чиста енергия, разработване и виртуално изпитване на лекарства, устойчиво земеделие или инженеринг и производство.</w:t>
      </w:r>
    </w:p>
    <w:p>
      <w:pPr>
        <w:pStyle w:val="ManualConsidrant"/>
        <w:rPr>
          <w:noProof/>
        </w:rPr>
      </w:pPr>
      <w:r>
        <w:t>(10)</w:t>
      </w:r>
      <w:r>
        <w:tab/>
      </w:r>
      <w:r>
        <w:rPr>
          <w:noProof/>
        </w:rPr>
        <w:t xml:space="preserve">Високопроизводителните изчислителни технологии са стратегически ресурс за разработването на политики, тъй като са в основата на приложения, които осигуряват средствата за разбиране и проектиране на ефикасни решения за справяне с множество сложни глобални предизвикателства и за управление на кризи. Високопроизводителните изчислителни технологии са от полза за ключови политики като Европейския зелен пакт, като осигуряват модели и инструменти за превръщането на нарастващия брой сложни екологични предизвикателства във възможности за социални иновации и икономически растеж. Пример за това е инициативата „Дестинация Земя“, която беше обявена в съобщенията на Комисията от 11 декември 2019 г. относно „Европейския зелен пакт“ и от 19 февруари 2020 г. относно „Европейската стратегия за данните“ и „Изграждане на цифровото бъдеще на Европа“. </w:t>
      </w:r>
    </w:p>
    <w:p>
      <w:pPr>
        <w:pStyle w:val="ManualConsidrant"/>
        <w:rPr>
          <w:noProof/>
        </w:rPr>
      </w:pPr>
      <w:r>
        <w:t>(11)</w:t>
      </w:r>
      <w:r>
        <w:tab/>
      </w:r>
      <w:r>
        <w:rPr>
          <w:noProof/>
        </w:rPr>
        <w:t xml:space="preserve">Глобални събития като пандемията от COVID-19 показаха значението на инвестирането във високопроизводителни изчислителни технологии и свързани със здравето платформи и инструменти за моделиране, тъй като те играят ключова роля в борбата срещу пандемията, често в комбинация с други цифрови технологии като големите информационни масиви и изкуствения интелект. Високопроизводителните изчислителни технологии се използват за ускоряване на откриването и производството на средства за лечение, за прогнозиране на разпространението на вируса, за подпомагане на планирането на разпределението на медицински материали и ресурси и за симулиране на изходните стойности след епидемията, за да се направи оценка на различните сценарии. Платформите и инструментите за моделиране в областта на високопроизводителните изчислителни технологии са от критично значение за </w:t>
      </w:r>
      <w:r>
        <w:rPr>
          <w:noProof/>
        </w:rPr>
        <w:lastRenderedPageBreak/>
        <w:t>настоящата и бъдещите пандемии и ще изиграят ключова роля в здравеопазването и персонализираната медицина.</w:t>
      </w:r>
    </w:p>
    <w:p>
      <w:pPr>
        <w:pStyle w:val="ManualConsidrant"/>
        <w:rPr>
          <w:noProof/>
        </w:rPr>
      </w:pPr>
      <w:r>
        <w:t>(12)</w:t>
      </w:r>
      <w:r>
        <w:tab/>
      </w:r>
      <w:r>
        <w:rPr>
          <w:noProof/>
        </w:rPr>
        <w:t xml:space="preserve">С Регламент (ЕС) 2018/1488 на Съвета от 28 септември 2018 г. беше създадено Съвместното предприятие EuroHPC, чиято мисия е да разработва, внедрява, разширява и поддържа в Съюза интегрирана инфраструктура от суперкомпютри и данни на световно равнище, както и да развива и подкрепя висококонкурентна и иновативна екосистема за високопроизводителни изчислителни технологии. </w:t>
      </w:r>
    </w:p>
    <w:p>
      <w:pPr>
        <w:pStyle w:val="ManualConsidrant"/>
        <w:rPr>
          <w:noProof/>
        </w:rPr>
      </w:pPr>
      <w:r>
        <w:t>(13)</w:t>
      </w:r>
      <w:r>
        <w:tab/>
      </w:r>
      <w:r>
        <w:rPr>
          <w:noProof/>
        </w:rPr>
        <w:t>Преразглеждането на регламента, за да се гарантира продължаването на инициативата, е своевременно с оглед на новостите в областта на високопроизводителните изчислителни технологии. Преразглеждането на Регламент (ЕС) 2018/1488 на Съвета е необходимо, за да се определят нова мисия и цели за Съвместното предприятие EuroHPC, като се вземе предвид анализът на основните социално-икономически и технологични фактори, които влияят върху бъдещото развитие на инфраструктурата, технологиите и приложенията в областта на високопроизводителните изчислителни технологии и данните в ЕС и по света, както и поуките, извлечени от текущата дейност на Съвместното предприятие EuroHPC. Те са подчертани в работния документ на службите на Комисията SWD(2020) xxx, придружаващ предложението на Комисията за регламент на Съвета. Преразглеждането също така дава възможност правилата на Съвместното предприятие EuroHPC да бъдат приведени в съответствие с новата правна рамка, и по-специално с регламента за „Хоризонт Европа“, както и с регламентите за програмата „Цифрова Европа“ и Механизма за свързване на Европа.</w:t>
      </w:r>
    </w:p>
    <w:p>
      <w:pPr>
        <w:pStyle w:val="ManualConsidrant"/>
        <w:rPr>
          <w:noProof/>
        </w:rPr>
      </w:pPr>
      <w:r>
        <w:t>(14)</w:t>
      </w:r>
      <w:r>
        <w:tab/>
      </w:r>
      <w:r>
        <w:rPr>
          <w:noProof/>
        </w:rPr>
        <w:t>За да може Съюзът да придобие необходимата изчислителна производителност, която да му позволи да поддържа своя научноизследователски и промишлен капацитет на най-високо равнище, инвестициите на държавите членки във високопроизводителни изчислителни технологии и квантови изчислителни технологии следва да бъдат съгласувани, а внедряването на такива технологии в промишлеността и на пазара следва да бъде подсилено, както в публичния, така и в частния сектор. Съюзът следва да повиши ефективността на процеса на превръщане на технологичните разработки в пазарно конкурентни европейски високопроизводителни изчислителни системи и квантови изчислителни системи с най-високо качество, които са ориентирани към търсенето и при които водещи са съображенията за тяхната приложимост, като установи ефективна връзка между доставката на технологии, съвместното проектиране с потребителите и съвместните обществени поръчки за системи на световно равнище и създаде екосистема на световно равнище в областта на високопроизводителните изчислителни и квантовите изчислителни технологии и приложения. Същевременно Съюзът следва да предостави възможност на европейската индустрия за доставки да се възползва от стимулиращия ефект на тези инвестиции, което да доведе до внедряването им в широкомащабните и нововъзникващи области на приложение като персонализираната медицина, изменението на климата, свързаното и автоматизираното управление на МПС или в други водещи пазари, които се основават на изкуствения интелект, технологиите на блоковите вериги, най-съвременната изчислителна техника или по-общо — на цифровизацията на европейската промишленост.</w:t>
      </w:r>
    </w:p>
    <w:p>
      <w:pPr>
        <w:pStyle w:val="ManualConsidrant"/>
        <w:rPr>
          <w:noProof/>
        </w:rPr>
      </w:pPr>
      <w:r>
        <w:t>(15)</w:t>
      </w:r>
      <w:r>
        <w:tab/>
      </w:r>
      <w:r>
        <w:rPr>
          <w:noProof/>
        </w:rPr>
        <w:t xml:space="preserve">За да могат Съюзът и неговите държави членки да постигнат технологична автономия в областта на ключовите цифрови технологии като високопроизводителните изчислителни технологии и квантовите изчислителни </w:t>
      </w:r>
      <w:r>
        <w:rPr>
          <w:noProof/>
        </w:rPr>
        <w:lastRenderedPageBreak/>
        <w:t>технологии, те следва да инвестират в следващо поколение суперкомпютърни технологии с ниска консумация на енергия, иновативен софтуер и авангардни суперкомпютърни системи за изчислителни технологии и квантови изчислителни технологии с производителност от порядъка на ексафлопс и повече, както и за иновативни приложения в областта на суперкомпютрите и данните за медицината, околната среда, производството и инженеринга. Това следва да позволи на европейската индустрия за доставки да процъфтява в редица ключови области на технологиите и приложенията, които надхвърлят високопроизводителните изчислителни технологии и квантовите изчислителни технологии, и в дългосрочен план да захранва с такива технологии по-широк кръг от пазари на ИКТ. Това също така би помогнало на науката и на потребителския отрасъл в областта на високопроизводителните изчислителни технологии и квантовите изчислителни технологии да претърпят цифрова трансформация и да увеличат своя иновационен потенциал.</w:t>
      </w:r>
    </w:p>
    <w:p>
      <w:pPr>
        <w:pStyle w:val="ManualConsidrant"/>
        <w:rPr>
          <w:noProof/>
        </w:rPr>
      </w:pPr>
      <w:r>
        <w:t>(16)</w:t>
      </w:r>
      <w:r>
        <w:tab/>
      </w:r>
      <w:r>
        <w:rPr>
          <w:noProof/>
        </w:rPr>
        <w:t>Следването на обща стратегическа визия на ЕС в областта на високопроизводителните изчислителни технологии и квантовите изчислителни технологии е от съществено значение за реализирането на амбицията на Съюза и неговите държави членки да си осигурят водеща роля и стратегическа автономия в сферата на цифровата икономика. Целта е в Европа да се създаде водеща, хиперсвързана, обединена и сигурна екосистема за услуги и инфраструктура за данни в областта на високопроизводителни изчислителни технологии и квантови изчислителни технологии, която ще създаде предпоставки за производството на иновативни и конкурентоспособни високопроизводителни изчислителни и квантови изчислителни системи, базирани на верига за доставки, която ще осигури компонентите, технологиите и знанията, необходими за ограничаване на риска от смущения.</w:t>
      </w:r>
    </w:p>
    <w:p>
      <w:pPr>
        <w:pStyle w:val="ManualConsidrant"/>
        <w:rPr>
          <w:noProof/>
        </w:rPr>
      </w:pPr>
      <w:r>
        <w:t>(17)</w:t>
      </w:r>
      <w:r>
        <w:tab/>
      </w:r>
      <w:r>
        <w:rPr>
          <w:noProof/>
        </w:rPr>
        <w:t>Съвместното предприятие представлява най-добрият инструмент за изпълнението на стратегическата визия на ЕС в областта на високопроизводителните изчислителни технологии и квантовите изчислителни технологии, чрез който се гарантира, че Съюзът се ползва от възможности на световно равнище в областта на суперкомпютрите, квантовите компютри и данните съобразно своя икономически потенциал, отговаря на нуждите на европейските потребители и разполага с необходимата стратегическа автономия в критичните високопроизводителни изчислителни технологии и квантови изчислителни технологии. Съвместното предприятие е най-добрият инструмент за преодоляване на съществуващите ограничения, описани в работния документ на службите на Комисията, придружаващ настоящия регламент, като същевременно дава възможност за постигане на най-високото икономическо, обществено и екологично въздействие и най-добрата защита на интересите на Съюза в областта на високопроизводителните изчислителни технологии и квантовите изчислителни технологии. То може да обединява ресурси от Съюза, държавите членки и държавите, асоциирани към „Хоризонт Европа“ и програмата „Цифрова Европа“ или Механизма за свързване на Европа, и от частния сектор. Може да прилага рамка за обществени поръчки и да експлоатира високопроизводителни изчислителни и квантови изчислителни системи на световно равнище. Може да поставя началото на научноизследователски и иновационни програми за разработването на европейски технологии и последващото им интегриране в суперкомпютърни системи на световно равнище.</w:t>
      </w:r>
    </w:p>
    <w:p>
      <w:pPr>
        <w:pStyle w:val="ManualConsidrant"/>
        <w:rPr>
          <w:noProof/>
        </w:rPr>
      </w:pPr>
      <w:r>
        <w:lastRenderedPageBreak/>
        <w:t>(18)</w:t>
      </w:r>
      <w:r>
        <w:tab/>
      </w:r>
      <w:r>
        <w:rPr>
          <w:noProof/>
        </w:rPr>
        <w:t>Съвместното предприятие EuroHPC е част от портфолиото на институционализираните партньорства в рамките на „Хоризонт Европа“, което следва да се стреми да укрепи научния капацитет на ЕС за справяне с възникващи заплахи и бъдещи предизвикателства в европейското научноизследователско пространство; да осигури ориентирани към устойчивост вериги на ЕС за създаване на стойност и стратегическа автономност на ЕС в областта на ключовите технологии и индустрии; и да подобри внедряването на иновативни решения за справяне с климатичните, екологичните, здравните и други глобални предизвикателства пред обществото в съответствие със стратегическите приоритети на Съюза, включително за постигане на неутралност по отношение на климата в ЕС през 2050 г.</w:t>
      </w:r>
    </w:p>
    <w:p>
      <w:pPr>
        <w:pStyle w:val="ManualConsidrant"/>
        <w:rPr>
          <w:noProof/>
        </w:rPr>
      </w:pPr>
      <w:r>
        <w:t>(19)</w:t>
      </w:r>
      <w:r>
        <w:tab/>
      </w:r>
      <w:r>
        <w:rPr>
          <w:noProof/>
        </w:rPr>
        <w:t>Съвместното предприятие следва да бъде създадено и да започне да функционира най-късно в началото на 2021 г. до 31 декември 2033 г. с цел Съюзът да се сдобие с обединена, сигурна и хиперсвързана инфраструктура от суперкомпютри на световно равнище и да развие необходимите технологии, приложения и умения за постигане на производителност от порядъка на ексафлопс в периода около 2022—2024 г., а за производителност над ексафлопс — около 2025—2027 г., като същевременно се насърчава европейска система на световно равнище за иновации в областта на високопроизводителните изчислителни технологии и квантовите изчислителни технологии.</w:t>
      </w:r>
    </w:p>
    <w:p>
      <w:pPr>
        <w:pStyle w:val="ManualConsidrant"/>
        <w:rPr>
          <w:noProof/>
        </w:rPr>
      </w:pPr>
      <w:r>
        <w:t>(20)</w:t>
      </w:r>
      <w:r>
        <w:tab/>
      </w:r>
      <w:r>
        <w:rPr>
          <w:noProof/>
        </w:rPr>
        <w:t>Публично-частното партньорство под формата на съвместно предприятие следва да съчетае финансовите и техническите средства, които имат съществено значение за овладяването на цялата сложност на все по-ускорените темпове на иновациите в тази област. Затова членовете на съвместното предприятие следва да бъдат Съюзът, държавите членки и държавите, асоциирани към „Хоризонт Европа“, програмата „Цифрова Европа“ или Механизма за свързване на Европа, които да се споразумеят за съвместна европейска инициатива в областта на високопроизводителните изчислителни технологии и квантовите изчислителни технологии; сдружения, които представляват участващите в тях образувания, и други организации с изричен и активен ангажимент да постигат научни и иновационни резултати, да разработват и внедряват високопроизводителни изчислителни или квантови изчислителни способности, или да допринасят за справяне с недостига на умения и да запазят съществуващото ноу-хау в областта на високопроизводителни изчислителни технологии и квантовите изчислителни технологии в Европа. Съвместното предприятие следва да бъде отворено за нови членове.</w:t>
      </w:r>
    </w:p>
    <w:p>
      <w:pPr>
        <w:pStyle w:val="ManualConsidrant"/>
        <w:rPr>
          <w:noProof/>
        </w:rPr>
      </w:pPr>
      <w:r>
        <w:t>(21)</w:t>
      </w:r>
      <w:r>
        <w:tab/>
      </w:r>
      <w:r>
        <w:rPr>
          <w:noProof/>
        </w:rPr>
        <w:t xml:space="preserve">Съюзът, участващите държави и частноправните членове на съвместното предприятие следва да правят поотделно финансови вноски за административните разходи на съвместното предприятие. </w:t>
      </w:r>
    </w:p>
    <w:p>
      <w:pPr>
        <w:pStyle w:val="ManualConsidrant"/>
        <w:rPr>
          <w:noProof/>
        </w:rPr>
      </w:pPr>
      <w:r>
        <w:t>(22)</w:t>
      </w:r>
      <w:r>
        <w:tab/>
      </w:r>
      <w:r>
        <w:rPr>
          <w:noProof/>
        </w:rPr>
        <w:t xml:space="preserve">С цел възстановяването на водещата позиция на Съюза в областта на високопроизводителните изчислителни технологии и разработването на цялостна екосистема за високопроизводителни изчислителни технологии и квантови изчислителни технологии заинтересованите страни от промишлеността и от научноизследователската област в частното сдружение „Европейска технологична платформа за високопроизводителни изчислителни технологии“ (ETP4HPC) създадоха през 2014 г. договорно публично-частно партньорство със Съюза. Неговата мисия е да създаде верига на стойността за европейски високопроизводителни изчислителни технологии на световно равнище, която да </w:t>
      </w:r>
      <w:r>
        <w:rPr>
          <w:noProof/>
        </w:rPr>
        <w:lastRenderedPageBreak/>
        <w:t>е конкурентоспособна в глобален план, като насърчава полезните взаимодействия между трите основни компонента на екосистемата за високопроизводителни изчислителни технологии, а именно разработване на технологии, приложения и инфраструктура за изчисления със суперкомпютър. Като се има предвид неговият експертен опит и обстоятелството, че обединява съответните частноправни заинтересовани страни в областта на високопроизводителните изчислителни технологии, частното сдружение ETP4HPC следва да може да бъде прието за член на съвместното предприятие.</w:t>
      </w:r>
    </w:p>
    <w:p>
      <w:pPr>
        <w:pStyle w:val="ManualConsidrant"/>
        <w:rPr>
          <w:noProof/>
        </w:rPr>
      </w:pPr>
      <w:r>
        <w:t>(23)</w:t>
      </w:r>
      <w:r>
        <w:tab/>
      </w:r>
      <w:r>
        <w:rPr>
          <w:noProof/>
        </w:rPr>
        <w:t>С оглед на укрепването на веригата на стойността в областта на данните, засилването на формирането на общност в тази област и осигуряването на почва за процъфтяваща икономика, основана на данните, в Съюза, заинтересованите страни от промишлеността и научните среди в Сдружението за популяризиране на стойността на големите информационни масиви (BDVA) създадоха през 2014 г. договорно публично-частно партньорство със Съюза. Като се има предвид неговият експертен опит и обстоятелството, че обединява съответните частноправни заинтересовани страни в областта на големите информационни масиви, BDVA следва да може да бъде прието за член на съвместното предприятие.</w:t>
      </w:r>
    </w:p>
    <w:p>
      <w:pPr>
        <w:pStyle w:val="ManualConsidrant"/>
        <w:rPr>
          <w:noProof/>
        </w:rPr>
      </w:pPr>
      <w:r>
        <w:t>(24)</w:t>
      </w:r>
      <w:r>
        <w:tab/>
      </w:r>
      <w:r>
        <w:rPr>
          <w:noProof/>
        </w:rPr>
        <w:t>Частните сдружения ETP4HPC и BDVA изразиха писмено желанието си да допринесат за изготвянето на технологичната стратегия на съвместното предприятие и да предоставят експертния си опит на разположение за постигане на целите на съвместното предприятие. Уместно е частните сдружения да приемат устава, който се съдържа в приложението към настоящия регламент чрез изрични писма в този смисъл.</w:t>
      </w:r>
    </w:p>
    <w:p>
      <w:pPr>
        <w:pStyle w:val="ManualConsidrant"/>
        <w:rPr>
          <w:noProof/>
        </w:rPr>
      </w:pPr>
      <w:r>
        <w:t>(25)</w:t>
      </w:r>
      <w:r>
        <w:tab/>
      </w:r>
      <w:r>
        <w:rPr>
          <w:noProof/>
        </w:rPr>
        <w:t>Съвместното предприятие следва да се занимава с ясно определени теми, които ще дадат възможност на академичните среди и на европейската промишленост като цяло да проектират, разработват и използват най-иновационните високопроизводителни изчислителни технологии и квантови изчислителни технологии и да изградят интегрирана и обединена сигурна мрежова инфраструктура в целия Съюз с капацитет за високопроизводителни изчисления и квантови изчисления на световно равнище, високоскоростна свързаност и водещи приложения и услуги, данни и софтуер, предназначени за учените и за други водещи потребители от промишлеността в Съюза, включително МСП и публичния сектор. Съвместното предприятие следва да се стреми към разработването и експлоатацията на технологии и инфраструктури от най-висок клас, които отговарят на високите изисквания на европейските потребители в научния, промишления и публичния сектор.</w:t>
      </w:r>
    </w:p>
    <w:p>
      <w:pPr>
        <w:pStyle w:val="ManualConsidrant"/>
        <w:rPr>
          <w:noProof/>
        </w:rPr>
      </w:pPr>
      <w:r>
        <w:t>(26)</w:t>
      </w:r>
      <w:r>
        <w:tab/>
      </w:r>
      <w:r>
        <w:rPr>
          <w:noProof/>
        </w:rPr>
        <w:t>Съвместното предприятие следва да допринесе за намаляване на недостига на специфични умения в целия Съюз, като се включи в мерки за повишаване на осведомеността и спомогне за натрупването на нови знания и човешки капитал.</w:t>
      </w:r>
    </w:p>
    <w:p>
      <w:pPr>
        <w:pStyle w:val="ManualConsidrant"/>
        <w:rPr>
          <w:noProof/>
        </w:rPr>
      </w:pPr>
      <w:r>
        <w:t>(27)</w:t>
      </w:r>
      <w:r>
        <w:tab/>
      </w:r>
      <w:r>
        <w:rPr>
          <w:noProof/>
        </w:rPr>
        <w:t xml:space="preserve">В съответствие с целите на външната политика и международните ангажименти на Съюза съвместното предприятие следва да улесни сътрудничеството между Съюза и международните участници, като определи стратегия за сътрудничество, включително за установяване и насърчаване на сътрудничеството в областта на научноизследователската и развойната дейност и развитието на умения, изпълнява действия от взаимна полза и гарантира политика за достъп до съответните високопроизводителни изчислителни и </w:t>
      </w:r>
      <w:r>
        <w:rPr>
          <w:noProof/>
        </w:rPr>
        <w:lastRenderedPageBreak/>
        <w:t xml:space="preserve">квантови изчислителни възможности и приложения, основан главно на реципрочност. </w:t>
      </w:r>
    </w:p>
    <w:p>
      <w:pPr>
        <w:pStyle w:val="ManualConsidrant"/>
        <w:rPr>
          <w:noProof/>
        </w:rPr>
      </w:pPr>
      <w:r>
        <w:t>(28)</w:t>
      </w:r>
      <w:r>
        <w:tab/>
      </w:r>
      <w:r>
        <w:rPr>
          <w:noProof/>
        </w:rPr>
        <w:t>Съвместното предприятие следва да има за цел да насърчава експлоатацията на всички произтичащи от това високопроизводителни изчислителни технологии в ЕС. То също така следва да има за цел да защитава инвестициите в придобитите от него суперкомпютри. Във връзка с това то следва да предприеме подходящи мерки, за да гарантира сигурността на веригата за доставки на придобитите технологии, която следва да обхваща целия жизнен цикъл на тези суперкомпютри.</w:t>
      </w:r>
    </w:p>
    <w:p>
      <w:pPr>
        <w:pStyle w:val="ManualConsidrant"/>
        <w:rPr>
          <w:noProof/>
        </w:rPr>
      </w:pPr>
      <w:r>
        <w:t>(29)</w:t>
      </w:r>
      <w:r>
        <w:tab/>
      </w:r>
      <w:r>
        <w:rPr>
          <w:noProof/>
        </w:rPr>
        <w:t>Съвместното предприятие следва да положи основата на по-дългосрочна визия и да изгради първата хибридна инфраструктура за високоскоростни изчислителни технологии в Европа, като интегрира класическите изчислителни архитектури с квантови изчислителни устройства. Необходима е структурирана и координирана финансова подкрепа на европейско равнище, за да се помогне на изследователските екипи и на европейските промишлени предприятия да постигат резултати на световно равнище, да се осигури бързо и широко промишлено оползотворяване на европейските научни изследвания и технологии в целия Съюз, което ще има важни последици за обществото, да се поделят рисковете и да се обединят силите чрез насочване на стратегии и инвестиции от общ европейски интерес.</w:t>
      </w:r>
    </w:p>
    <w:p>
      <w:pPr>
        <w:pStyle w:val="ManualConsidrant"/>
        <w:rPr>
          <w:noProof/>
        </w:rPr>
      </w:pPr>
      <w:r>
        <w:t>(30)</w:t>
      </w:r>
      <w:r>
        <w:tab/>
      </w:r>
      <w:r>
        <w:rPr>
          <w:noProof/>
        </w:rPr>
        <w:t>За да постигне своята цел за проектиране, разработване и експлоатация на най-иновационни високопроизводителни изчислителни технологии и квантови изчислителни технологии, съвместното предприятие следва да предоставя финансова подкрепа, по-специално под формата на безвъзмездни средства и обществени поръчки, възлагани след оповестяването на открити и конкурентни покани за представяне на предложения и за участие в търгове, на основата на годишни работни програми. Тази финансова подкрепа следва да бъде насочена по-специално към доказани слабости на пазара, които пречат на разработването на съответната програма, не следва да измества частните инвестиции и следва да има стимулиращ ефект за промяна на поведението на получателя.</w:t>
      </w:r>
    </w:p>
    <w:p>
      <w:pPr>
        <w:pStyle w:val="ManualConsidrant"/>
        <w:rPr>
          <w:noProof/>
        </w:rPr>
      </w:pPr>
      <w:r>
        <w:t>(31)</w:t>
      </w:r>
      <w:r>
        <w:tab/>
      </w:r>
      <w:r>
        <w:rPr>
          <w:noProof/>
        </w:rPr>
        <w:t xml:space="preserve">За да постигне целта си за увеличаване на иновативния потенциал на промишлеността и по-специално на МСП, да допринесе за намаляване на недостига на специфични умения, да допринесе за увеличаване на знанията и на човешкия капитал и да повиши способностите за високопроизводителни изчислителни технологии и квантови изчислителни технологии, съвместното предприятие следва да подкрепи създаването и в частност работата в мрежи и координацията на национални експертни центрове в областта на високопроизводителните изчислителни технологии в целия Съюз. Тези експертни центрове следва да предоставят услуги в областта на високопроизводителните изчислителни технологии и квантовите изчислителни технологии на предприятията, академичната общност и публичната администрация при поискване. Те следва най-вече да насърчават и осигуряват достъп до екосистемата за иновации в областта на високопроизводителните изчислителни технологии, да улесняват достъпа до суперкомпютрите и квантовите компютри, да допринасят за намаляването на значителния недостиг на технически експерти с опит, като предприемат действия за повишаване на осведомеността, организират обучения и информационни дейности и предприемат действия за работа в мрежа със заинтересованите страни и други специализирани експертни центрове за стимулиране на по-широки иновации, </w:t>
      </w:r>
      <w:r>
        <w:rPr>
          <w:noProof/>
        </w:rPr>
        <w:lastRenderedPageBreak/>
        <w:t>например чрез обмен на информация и популяризиране на случаи, в които са използвани най-добрите практики, или на опит в прилагането, като ползват съвместно своите съоръжения за обучение и натрупан опит, като улесняват съвместните разработки и обмена на паралелни кодове или като насърчават споделянето на иновативни приложения и инструменти за публични и частни потребители, особено МСП.</w:t>
      </w:r>
    </w:p>
    <w:p>
      <w:pPr>
        <w:pStyle w:val="ManualConsidrant"/>
        <w:rPr>
          <w:noProof/>
        </w:rPr>
      </w:pPr>
      <w:r>
        <w:t>(32)</w:t>
      </w:r>
      <w:r>
        <w:tab/>
      </w:r>
      <w:r>
        <w:rPr>
          <w:noProof/>
        </w:rPr>
        <w:t>Съвместното предприятие следва да осигури ориентирана към търсенето и ориентирана към потребителя рамка и да даде възможност за съвместен дизайн за придобиване на интегрирана, обединена, сигурна и хиперсвързана инфраструктура на световно равнище за услуги и данни в областта на суперкомпютрите и квантовите компютри в Съюза, за да се снабдят потребителите със стратегическия изчислителен ресурс, който им е необходим за разработването на нови, иновативни решения и за решаване на обществени, екологични, икономически и предизвикателства пред сигурността. За тази цел съвместното предприятие следва да допринесе за придобиването на суперкомпютри на световно равнище. Суперкомпютрите на съвместното предприятие, включително квантовите компютри, следва да бъдат монтирани в участваща държава, която е държава членка.</w:t>
      </w:r>
    </w:p>
    <w:p>
      <w:pPr>
        <w:pStyle w:val="ManualConsidrant"/>
        <w:rPr>
          <w:noProof/>
        </w:rPr>
      </w:pPr>
      <w:r>
        <w:t>(33)</w:t>
      </w:r>
      <w:r>
        <w:tab/>
      </w:r>
      <w:r>
        <w:rPr>
          <w:noProof/>
        </w:rPr>
        <w:t>Съвместното предприятие следва да осигури хиперсвързаността на всички инфраструктури от суперкомпютри и данни, на които е собственик или съсобственик, с помощта на най-съвременните мрежови технологии, за да ги направи широко достъпни в целия Съюз, и следва да свърже и обедини в обща платформа своята инфраструктура за данни в областта на суперкомпютрите и квантовите компютри, както и националните, регионалните и други изчислителни инфраструктури. Съвместното предприятие следва също така да осигури взаимосвързаността на обединените сигурни инфраструктури за услуги и данни в областта на суперкомпютрите и квантовите компютри с общите европейски пространства на данни и обединените сигурни облачни инфраструктури, обявени в съобщението на Комисията от 19 февруари 2020 г. относно „Европейска стратегия за данните“, за безпроблемно предоставяне на услуги на широк кръг публични и частни потребители в цяла Европа.</w:t>
      </w:r>
    </w:p>
    <w:p>
      <w:pPr>
        <w:pStyle w:val="ManualConsidrant"/>
        <w:rPr>
          <w:noProof/>
        </w:rPr>
      </w:pPr>
      <w:r>
        <w:t>(34)</w:t>
      </w:r>
      <w:r>
        <w:tab/>
      </w:r>
      <w:r>
        <w:rPr>
          <w:noProof/>
        </w:rPr>
        <w:t>„Хоризонт Европа“ и програмата „Цифрова Европа“ следва съответно да допринесат за преодоляването на разликите в Съюза в областта на научните изследвания и иновациите, както и за разгръщането на широкообхватен суперкомпютърен капацитет чрез насърчаване на полезното взаимодействие с европейските структурни и инвестиционни фондове (ЕСИФ). Затова съвместното предприятие следва да се стреми към развитие на тясно взаимодействие с ЕСИФ, които могат конкретно да подпомогнат укрепването на местния, регионалния и националния капацитет в областта на научните изследвания и иновациите.</w:t>
      </w:r>
    </w:p>
    <w:p>
      <w:pPr>
        <w:pStyle w:val="ManualConsidrant"/>
        <w:rPr>
          <w:noProof/>
        </w:rPr>
      </w:pPr>
      <w:r>
        <w:t>(35)</w:t>
      </w:r>
      <w:r>
        <w:tab/>
      </w:r>
      <w:r>
        <w:rPr>
          <w:noProof/>
        </w:rPr>
        <w:t xml:space="preserve">Съвместното предприятие следва да осигури благоприятна рамка, в която участващите държави, които са държави членки, да използват своите ЕСИФ за придобиването на инфраструктури за високопроизводителни изчислителни технологии, квантови изчислителни технологии и данни, и свързването им. Използването на ЕСИФ в дейностите на съвместното предприятие е от съществено значение за разработването в Съюза на интегрирана, обединена, сигурна и хиперсвързана инфраструктура на световно равнище за услуги и данни в областта на високопроизводителните изчислителни технологии и квантовите изчислителни технологии, тъй като ползите от такава </w:t>
      </w:r>
      <w:r>
        <w:rPr>
          <w:noProof/>
        </w:rPr>
        <w:lastRenderedPageBreak/>
        <w:t>инфраструктура се простират далеч отвъд потребителите от държавите членки. Ако държавите членки решат да използват ЕСИФ, за да участват в разходите за придобиване на суперкомпютрите и квантовите компютри на съвместното предприятие, съвместното предприятие следва да вземе предвид дела на Съюза в ЕСИФ на тази държава членка, като същевременно се отчете само националният дял в ЕСИФ като национална вноска в бюджета на съвместното предприятие.</w:t>
      </w:r>
    </w:p>
    <w:p>
      <w:pPr>
        <w:pStyle w:val="ManualConsidrant"/>
        <w:rPr>
          <w:noProof/>
        </w:rPr>
      </w:pPr>
      <w:r>
        <w:t>(36)</w:t>
      </w:r>
      <w:r>
        <w:tab/>
      </w:r>
      <w:r>
        <w:rPr>
          <w:noProof/>
        </w:rPr>
        <w:t>Вноската на Съюза от фондовете на програмата „Цифрова Европа“ следва да покрие отчасти разходите за придобиването на суперкомпютри от висок клас, квантови компютри, суперкомпютри от промишлен клас и суперкомпютри от среден клас с оглед на целта на съвместното предприятие да допринася за обединяването на ресурси за оборудването на Съюза със суперкомпютри и квантови компютри от най-висок клас. Допълнителните разходи за тези суперкомпютри и квантови компютри следва да се покриват от участващите държави или от частноправните членове, или консорциуми от частни партньори. Делът на времето на Съюза за достъп до тези суперкомпютри или квантови компютри следва да бъде правопропорционален на финансовата вноска на Съюза за придобиването на тези суперкомпютри и квантови компютри и не следва да надхвърля 50 % от общото време за достъп до тези суперкомпютри или квантови компютри.</w:t>
      </w:r>
    </w:p>
    <w:p>
      <w:pPr>
        <w:pStyle w:val="ManualConsidrant"/>
        <w:rPr>
          <w:noProof/>
        </w:rPr>
      </w:pPr>
      <w:r>
        <w:t>(37)</w:t>
      </w:r>
      <w:r>
        <w:tab/>
      </w:r>
      <w:r>
        <w:rPr>
          <w:noProof/>
        </w:rPr>
        <w:t>Съвместното предприятие следва да бъде собственик на придобитите от него суперкомпютри от висок клас или квантови компютри. Експлоатацията на всеки суперкомпютър или квантов компютър следва да бъде поверена на доставчик на хостинг. Доставчикът на хостинг следва да може да представлява и само една участваща държава, която е държава членка, или консорциум от участващи държави, осигуряващ хостинг. Доставчикът на хостинг следва да може да предложи точна предварителна преценка и да потвърди оперативните разходи за суперкомпютъра, като гарантира например функционалното и, доколкото е възможно, физическото разделение на суперкомпютрите от висок клас и квантовите компютри на съвместното предприятие и всички поддържани от него национални или регионални изчислителни системи. Доставчикът на хостинг следва да бъде избран от Управителния съвет на съвместното предприятие (наричан по-долу „Управителният съвет“) след покана за заявяване на интерес, оценена от независими експерти. След като бъде избран доставчик на хостинг, участващата държава, в която е установен доставчикът на хостинг или консорциумът, осигуряващ хостинг, следва да има правото да реши да покани други участващи държави да се присъединят и да допринесат за финансирането на суперкомпютъра от висок клас или квантовия компютър, който ще бъде инсталиран при избрания доставчик на хостинг. Евентуалното присъединяване на допълнителни участващи държави към избрания консорциум, осигуряващ хостинг, не следва да засяга времето за достъп на Съюза до суперкомпютрите. Вноските на участващите държави в консорциум, осигуряващ хостинг, за суперкомпютъра или квантовия компютър следва да се изразяват в дялове от времето за достъп до този суперкомпютър или квантов компютър. Участващите държави следва да се договорят помежду си за разпределението на техния дял от времето за достъп до суперкомпютъра или квантовия компютър.</w:t>
      </w:r>
    </w:p>
    <w:p>
      <w:pPr>
        <w:pStyle w:val="ManualConsidrant"/>
        <w:rPr>
          <w:noProof/>
        </w:rPr>
      </w:pPr>
      <w:r>
        <w:t>(38)</w:t>
      </w:r>
      <w:r>
        <w:tab/>
      </w:r>
      <w:r>
        <w:rPr>
          <w:noProof/>
        </w:rPr>
        <w:t xml:space="preserve">Съвместното предприятие следва да запази собствеността върху суперкомпютрите или квантовите компютри до тяхното амортизиране. Съвместното предприятие следва да може да прехвърли тази собственост на доставчика на хостинг за извеждане от експлоатация, обезвреждане или друга </w:t>
      </w:r>
      <w:r>
        <w:rPr>
          <w:noProof/>
        </w:rPr>
        <w:lastRenderedPageBreak/>
        <w:t>употреба. При прехвърляне на собствеността на доставчика на хостинг или при ликвидация на съвместното предприятие доставчикът на хостинг следва да възстанови на съвместното предприятие остатъчната стойност на суперкомпютъра или квантовия компютър.</w:t>
      </w:r>
    </w:p>
    <w:p>
      <w:pPr>
        <w:pStyle w:val="ManualConsidrant"/>
        <w:rPr>
          <w:noProof/>
        </w:rPr>
      </w:pPr>
      <w:r>
        <w:t>(39)</w:t>
      </w:r>
      <w:r>
        <w:tab/>
      </w:r>
      <w:r>
        <w:rPr>
          <w:noProof/>
        </w:rPr>
        <w:t xml:space="preserve">Съвместното предприятие следва да придобие суперкомпютрите от среден клас съвместно с участващите държави. Експлоатацията на всеки суперкомпютър от среден клас следва да бъде поверена на доставчик на хостинг. Доставчикът на хостинг следва да може да представлява и само една участваща държава, която е държава членка, или консорциум от участващи държави, осигуряващ хостинг. Съвместното предприятие следва да притежава частта, която съответства на дела на Съюза от финансовата вноска за разходите за това придобиване от фондовете на програмата „Цифрова Европа“. Доставчикът на хостинг следва да бъде избран от Управителния съвет след покана за заявяване на интерес, оценена от независими експерти. Делът на Съюза от времето за достъп до всеки суперкомпютър от среден клас следва да бъде правопропорционален на финансовата вноска на Съюза за разходите за придобиването на този суперкомпютър от среден клас, предоставена посредством фондовете на програмата „Цифрова Европа“. Съвместното предприятие следва да може да прехвърли собствеността си на доставчика на хостинг или при своята ликвидация. Доставчикът на хостинг следва да възстанови на съвместното предприятие остатъчната стойност на суперкомпютъра. </w:t>
      </w:r>
    </w:p>
    <w:p>
      <w:pPr>
        <w:pStyle w:val="ManualConsidrant"/>
        <w:rPr>
          <w:noProof/>
        </w:rPr>
      </w:pPr>
      <w:r>
        <w:t>(40)</w:t>
      </w:r>
      <w:r>
        <w:tab/>
      </w:r>
      <w:r>
        <w:rPr>
          <w:noProof/>
        </w:rPr>
        <w:t>Съвместното предприятие следва да може да придобива суперкомпютри от промишлен клас заедно с частноправните членове или с консорциум от частни партньори. Експлоатацията на всеки такъв суперкомпютър следва да бъде поверена на съществуващ доставчик на хостинг. Доставчикът на хостинг следва да може да се присъедини към частноправните членове или към консорциума от частни партньори за целите на придобиването и експлоатацията на такива суперкомпютри. Съвместното предприятие следва да притежава частта, която съответства на дела на Съюза от финансовата вноска за разходите за това придобиване от фондовете на програмата „Цифрова Европа“. Доставчикът на хостинг и свързаните с него частноправни членове или консорциум от частни партньори следва да бъде избран от Управителния съвет след покана за заявяване на интерес, оценена от независими експерти. Делът на Съюза от времето за достъп до такъв суперкомпютър следва да бъде правопропорционален на финансовата вноска на Съюза за разходите за придобиването на този суперкомпютър от промишлен клас, предоставена посредством фондовете на програмата „Цифрова Европа“. Съвместното предприятие следва да може да постигне споразумение с частноправните членове или с консорциума от частни партньори за продажбата на такъв суперкомпютър на друг субект или за извеждането му от експлоатация. Като алтернатива съвместното предприятие следва да може да прехвърли собствеността върху такъв суперкомпютър на частноправните членове или на консорциума от частни партньори. В този случай или в случай на ликвидация на съвместното предприятие, частноправните членове или консорциумът от частни партньори следва да възстановят на съвместното предприятие остатъчната стойност на дела на Съюза от суперкомпютъра. В случай че съвместното предприятие и частноправните членове, или консорциумът от частни партньори решат да пристъпят към извеждане от експлоатация на суперкомпютъра след пълната му амортизация, тези разходи следва да се покрият от частноправните членове или от консорциума от частни партньори.</w:t>
      </w:r>
    </w:p>
    <w:p>
      <w:pPr>
        <w:pStyle w:val="ManualConsidrant"/>
        <w:rPr>
          <w:noProof/>
        </w:rPr>
      </w:pPr>
      <w:r>
        <w:lastRenderedPageBreak/>
        <w:t>(41)</w:t>
      </w:r>
      <w:r>
        <w:tab/>
      </w:r>
      <w:r>
        <w:rPr>
          <w:noProof/>
        </w:rPr>
        <w:t>По отношение на суперкомпютрите от промишлен клас съвместното предприятие следва да отчете специфичните нужди на промишлените потребители, например процедури за достъп, качество и вид услуги, защита на данните, защита на индустриалните иновации и интелектуалната собственост, използваемост, доверие и други изисквания за поверителност и сигурност.</w:t>
      </w:r>
    </w:p>
    <w:p>
      <w:pPr>
        <w:pStyle w:val="ManualConsidrant"/>
        <w:rPr>
          <w:noProof/>
        </w:rPr>
      </w:pPr>
      <w:r>
        <w:t>(42)</w:t>
      </w:r>
      <w:r>
        <w:tab/>
      </w:r>
      <w:r>
        <w:rPr>
          <w:noProof/>
        </w:rPr>
        <w:t>При проектирането и експлоатацията на суперкомпютрите, финансирани от съвместното предприятие, следва да се има предвид енергийната ефективност и екологичната устойчивост, като се използват например технологии с ниска консумация на енергия, динамични техники за пестене на енергия и повторна употреба като модерно охлаждане и рециклиране на топлина.</w:t>
      </w:r>
    </w:p>
    <w:p>
      <w:pPr>
        <w:pStyle w:val="ManualConsidrant"/>
        <w:rPr>
          <w:noProof/>
        </w:rPr>
      </w:pPr>
      <w:r>
        <w:t>(43)</w:t>
      </w:r>
      <w:r>
        <w:tab/>
      </w:r>
      <w:r>
        <w:rPr>
          <w:noProof/>
        </w:rPr>
        <w:t>Суперкомпютрите на съвместното предприятие следва да се използват главно за граждански приложения за публични и частни потребители, пребиваващи, установени или намиращи се в държава членка или в държава, асоциирана към програмата „Цифрова Европа“ и към „Хоризонт Европа. Потребителите следва да получат време за достъп в съответствие с правилата на политиката за достъп, определени от Управителния съвет. Тези суперкомпютри следва също така да се използват при зачитане на международните споразумения, сключени от Съюза.</w:t>
      </w:r>
    </w:p>
    <w:p>
      <w:pPr>
        <w:pStyle w:val="ManualConsidrant"/>
        <w:rPr>
          <w:noProof/>
        </w:rPr>
      </w:pPr>
      <w:r>
        <w:t>(44)</w:t>
      </w:r>
      <w:r>
        <w:tab/>
      </w:r>
      <w:r>
        <w:rPr>
          <w:noProof/>
        </w:rPr>
        <w:t xml:space="preserve">Предоставянето на време за достъп на потребителите на суперкомпютрите следва да бъде безплатно за публичните потребители. То следва да бъде безплатно и за частните потребители по отношение на техните приложения, свързани с научноизследователски и иновационни дейности, финансирани от „Хоризонт Европа“ или от програмата „Цифрова Европа“, както и за частни иновационни дейности на МСП, според случая. Такова разпределение на времето за достъп следва да става главно въз основа на открити покани за заявяване на интерес, оповестени от съвместното предприятие и оценени от независими експерти. С изключение на потребителите от МСП, които са ангажирани с частни иновационни дейности, всички потребители, ползващи се от безплатно време за достъп до суперкомпютрите на съвместното предприятие, следва да възприемат открит научен подход и да разпространяват знанията, придобити чрез този достъп в съответствие с регламента за „Хоризонт Европа“. Време за достъп на потребителите за икономически дейности, различни от частните иновационни дейности на МСП (които са свързани със специфични пазарни неуспехи), следва да се предоставя срещу заплащане според времето на ползване, като заплащането се определя по пазарни цени. Предоставянето на време за достъп за такива икономически дейности следва да е разрешено, но ограничено, а размерът на дължимата такса следва да бъде определен от Управителния съвет. Правата на достъп следва да бъдат разпределени прозрачно. Управителният съвет следва да определи конкретни правила за безплатно предоставяне на време за достъп, където е уместно, и без покана за заявяване на интерес за инициативи, които Съюзът или Управителният съвет считат за стратегически. Показателни примери за стратегически инициативи на Съюза са: инициативата „Дестинация Земя“, водещият проект „Човешки мозък“, инициативата „1+ милион генома“, общите европейски пространства на данни, работещи в области от обществен интерес, и по-специално пространството за здравни данни, центровете за върхови постижения и експертните центрове в областта на високопроизводителните изчислителни технологии, центровете за цифрови иновации и др. По искане на Съюза съвместното предприятие следва да предостави време за пряк достъп, на временна или постоянна основа, за стратегически инициативи и съществуващи или бъдещи платформи за </w:t>
      </w:r>
      <w:r>
        <w:rPr>
          <w:noProof/>
        </w:rPr>
        <w:lastRenderedPageBreak/>
        <w:t>приложения, които счита за жизненоважни за предоставянето на услуги, свързани със здравето, или на други възлови услуги за извънредна подкрепа в полза на обществото, при спешни случаи или при управление на кризи, които Съюзът счита за съществено важни за своята сигурност и отбрана. Съвместното предприятие следва да има право да извършва ограничена по обем стопанска дейност за търговски цели. Достъпът следва да се предоставя на потребители, пребиваващи, установени или намиращи се в държава — членка на ЕС, или в държава, асоциирана към програмата „Цифрова Европа“ и към „Хоризонт Европа“. Правата на достъп следва да бъдат равнопоставени за всеки потребител и разпределени прозрачно. Управителният съвет следва да определя и да следи за спазването на правата за достъп в рамките на предоставения на Съюза дял от времето за достъп за всеки суперкомпютър.</w:t>
      </w:r>
    </w:p>
    <w:p>
      <w:pPr>
        <w:pStyle w:val="ManualConsidrant"/>
        <w:rPr>
          <w:noProof/>
        </w:rPr>
      </w:pPr>
      <w:r>
        <w:t>(45)</w:t>
      </w:r>
      <w:r>
        <w:tab/>
      </w:r>
      <w:r>
        <w:rPr>
          <w:noProof/>
        </w:rPr>
        <w:t>Следва да продължи да се предоставя достъп на потребителите, установени в Съюза или в държава, асоциирана към „Хоризонт 2020“, до дела на Съюза от времето за достъп до предшествениците на суперкомпютрите с производителност от порядъка на ексафлопс и производителност от порядъка на петафлопс, придобити от съвместното предприятие, създадено съгласно Регламент (ЕС) 2018/1488 на Съвета.</w:t>
      </w:r>
    </w:p>
    <w:p>
      <w:pPr>
        <w:pStyle w:val="ManualConsidrant"/>
        <w:rPr>
          <w:noProof/>
        </w:rPr>
      </w:pPr>
      <w:r>
        <w:t>(46)</w:t>
      </w:r>
      <w:r>
        <w:tab/>
      </w:r>
      <w:r>
        <w:rPr>
          <w:noProof/>
        </w:rPr>
        <w:t>Суперкомпютрите на съвместното предприятие следва да бъдат експлоатирани и ползвани в съответствие с Регламент (ЕС) 2016/679</w:t>
      </w:r>
      <w:r>
        <w:rPr>
          <w:rStyle w:val="FootnoteReference"/>
          <w:noProof/>
          <w:color w:val="000000" w:themeColor="text1"/>
        </w:rPr>
        <w:footnoteReference w:id="19"/>
      </w:r>
      <w:r>
        <w:rPr>
          <w:noProof/>
        </w:rPr>
        <w:t>, Директива 2002/58/ЕО</w:t>
      </w:r>
      <w:r>
        <w:rPr>
          <w:rStyle w:val="FootnoteReference"/>
          <w:noProof/>
          <w:color w:val="000000" w:themeColor="text1"/>
        </w:rPr>
        <w:footnoteReference w:id="20"/>
      </w:r>
      <w:r>
        <w:rPr>
          <w:noProof/>
        </w:rPr>
        <w:t xml:space="preserve"> и Директива (ЕС) 2016/943</w:t>
      </w:r>
      <w:r>
        <w:rPr>
          <w:rStyle w:val="FootnoteReference"/>
          <w:noProof/>
          <w:color w:val="000000" w:themeColor="text1"/>
        </w:rPr>
        <w:footnoteReference w:id="21"/>
      </w:r>
      <w:r>
        <w:rPr>
          <w:noProof/>
        </w:rPr>
        <w:t>.</w:t>
      </w:r>
    </w:p>
    <w:p>
      <w:pPr>
        <w:pStyle w:val="ManualConsidrant"/>
        <w:rPr>
          <w:noProof/>
        </w:rPr>
      </w:pPr>
      <w:r>
        <w:t>(47)</w:t>
      </w:r>
      <w:r>
        <w:tab/>
      </w:r>
      <w:r>
        <w:rPr>
          <w:noProof/>
        </w:rPr>
        <w:t>Управлението на съвместното предприятие следва да се осигури от два органа: Управителен съвет и Промишлен и научен консултативен съвет. Управителният съвет следва да бъде съставен от представители на Съюза и на участващите държави. Управителният съвет следва да отговаря за разработването на стратегическата политика и решенията за финансиране във връзка с дейността на съвместното предприятие, включително за всички дейности, свързани с възлагането на обществени поръчки. Промишленият и научен консултативен съвет следва да включва представители на академичните среди и промишлеността като потребители и доставчици на технологии. Той следва да предоставя независими становища на Управителния съвет относно стратегическата програма за научни изследвания и иновации, относно придобиването и експлоатацията на суперкомпютрите, собственост на съвместното предприятие, програмата за изграждане и разширяване на капацитета, програмата за дейностите по обединяване, свързаност и международно сътрудничество.</w:t>
      </w:r>
    </w:p>
    <w:p>
      <w:pPr>
        <w:pStyle w:val="ManualConsidrant"/>
        <w:rPr>
          <w:noProof/>
        </w:rPr>
      </w:pPr>
      <w:r>
        <w:t>(48)</w:t>
      </w:r>
      <w:r>
        <w:tab/>
      </w:r>
      <w:r>
        <w:rPr>
          <w:noProof/>
        </w:rPr>
        <w:t xml:space="preserve">По отношение на общите административни задачи на съвместното предприятие правото на глас на участващите държави следва да бъде разпределено поравно </w:t>
      </w:r>
      <w:r>
        <w:rPr>
          <w:noProof/>
        </w:rPr>
        <w:lastRenderedPageBreak/>
        <w:t>между тях. По отношение на задачите, съответстващи на създаването на частта от работната програма, свързана с придобиването на суперкомпютрите и квантовите компютри, избора на доставчик на хостинг и дейностите за обединяване и свързаност на съвместното предприятие, правото на глас на участващите държави, които са държави членки, следва да се основава на принципа на квалифицираното мнозинство. Участващите държави, които са държави, асоциирани към „Хоризонт Европа“, програмата „Цифрова Европа“ и Механизма за свързване на Европа, също следва да имат право на глас по отношение на съответните дейности, които са подкрепени с бюджетни пакети по линия на всяка от тези програми. По отношение на задачите, съответстващи на придобиването и експлоатацията на суперкомпютрите и квантовите компютри, само онези участващи държави и Съюзът, които допринасят с ресурси за тези задачи, следва да имат право на глас.</w:t>
      </w:r>
    </w:p>
    <w:p>
      <w:pPr>
        <w:pStyle w:val="ManualConsidrant"/>
        <w:rPr>
          <w:noProof/>
        </w:rPr>
      </w:pPr>
      <w:r>
        <w:t>(49)</w:t>
      </w:r>
      <w:r>
        <w:tab/>
      </w:r>
      <w:r>
        <w:rPr>
          <w:noProof/>
        </w:rPr>
        <w:t>Финансовата вноска на Съюза следва да се управлява в съответствие с принципа за добро финансово управление и съответните правила за непряко управление, посочени в Регламент (ЕС, Евратом) 2018/1046. Правилата, приложими към обявяването на процедури за възлагане на обществени поръчки от съвместното предприятие, следва да се посочват в неговите финансови правила.</w:t>
      </w:r>
    </w:p>
    <w:p>
      <w:pPr>
        <w:pStyle w:val="ManualConsidrant"/>
        <w:rPr>
          <w:noProof/>
        </w:rPr>
      </w:pPr>
      <w:r>
        <w:t>(50)</w:t>
      </w:r>
      <w:r>
        <w:tab/>
      </w:r>
      <w:r>
        <w:rPr>
          <w:noProof/>
        </w:rPr>
        <w:t>За развитието на иновативна и конкурентоспособна екосистема за европейски високопроизводителни изчислителни технологии и квантови изчислителни технологии съвместното предприятие следва да използва по подходящ начин обществените поръчки и инструментите за безвъзмездни средства, включително съвместни поръчки, поръчки на етапа преди търговската реализация и поръчки за иновационни решения.</w:t>
      </w:r>
    </w:p>
    <w:p>
      <w:pPr>
        <w:pStyle w:val="ManualConsidrant"/>
        <w:rPr>
          <w:noProof/>
        </w:rPr>
      </w:pPr>
      <w:r>
        <w:t>(51)</w:t>
      </w:r>
      <w:r>
        <w:tab/>
      </w:r>
      <w:r>
        <w:rPr>
          <w:noProof/>
        </w:rPr>
        <w:t>При оценката на цялостното въздействие на съвместното предприятие следва да се вземат предвид инвестициите на частноправните членове в непреки действия, като вноски в натура, състоящи се от допустимите разходи, извършени от тях при изпълнението на действията, минус вноските на съвместното предприятие, участващите държави или евентуални други вноски на Съюза за тези разходи. При оценката на цялостното въздействие на съвместното предприятие следва да се вземат предвид инвестициите на частноправните членове в други действия, като вноски в натура, състоящи се от допустимите разходи, извършени от тях при изпълнението на действията, минус вноските на съвместното предприятие, участващите държави или евентуални други вноски на Съюза за тези разходи.</w:t>
      </w:r>
    </w:p>
    <w:p>
      <w:pPr>
        <w:pStyle w:val="ManualConsidrant"/>
        <w:rPr>
          <w:noProof/>
        </w:rPr>
      </w:pPr>
      <w:r>
        <w:t>(52)</w:t>
      </w:r>
      <w:r>
        <w:tab/>
      </w:r>
      <w:r>
        <w:rPr>
          <w:noProof/>
        </w:rPr>
        <w:t>За да се гарантира равнопоставеност на всички предприятия, които работят на вътрешния пазар, финансирането от рамковите програми на Съюза следва да съответства на принципите за държавната помощ, така че да се осигури ефективност на публичните разходи и да не се допуснат изкривявания на пазара, като например изтласкване на частното финансиране, създаване на неефективни пазарни структури, запазване на неефективни фирми или изграждане на зависимост към субсидиите.</w:t>
      </w:r>
    </w:p>
    <w:p>
      <w:pPr>
        <w:pStyle w:val="ManualConsidrant"/>
        <w:rPr>
          <w:noProof/>
        </w:rPr>
      </w:pPr>
      <w:r>
        <w:t>(53)</w:t>
      </w:r>
      <w:r>
        <w:tab/>
      </w:r>
      <w:r>
        <w:rPr>
          <w:noProof/>
        </w:rPr>
        <w:t xml:space="preserve">Участието в непреки действия, финансирани от съвместното предприятие, следва да е съобразено с Регламент (ЕС) № xxx за създаване на „Хоризонт Европа“. Освен това съвместното предприятие следва да гарантира последователното спазване на тези правила на основата на съответните мерки, приети от Комисията. За да се гарантира подходящо съфинансиране на непреките действия от страна на участващите държави в съответствие с Регламент (ЕС) № xxx за създаване на „Хоризонт Европа“, участващите държави </w:t>
      </w:r>
      <w:r>
        <w:rPr>
          <w:noProof/>
        </w:rPr>
        <w:lastRenderedPageBreak/>
        <w:t>следва да допринесат със сума, която е поне равна на възстановените от съвместното предприятие средства за допустимите разходи на бенефициерите на действията. За тази цел максималните ставки на финансиране, определени в годишната работна програма на съвместното предприятие съгласно член 30 от Регламент (ЕС) № xxx за създаване на „Хоризонт Европа“, следва да бъдат фиксирани на съответното равнище.</w:t>
      </w:r>
    </w:p>
    <w:p>
      <w:pPr>
        <w:pStyle w:val="ManualConsidrant"/>
        <w:rPr>
          <w:noProof/>
        </w:rPr>
      </w:pPr>
      <w:r>
        <w:t>(54)</w:t>
      </w:r>
      <w:r>
        <w:tab/>
      </w:r>
      <w:r>
        <w:rPr>
          <w:noProof/>
        </w:rPr>
        <w:t xml:space="preserve">При предоставянето на финансова подкрепа за дейностите по програмата „Цифрова Европа“ следва да се спазват правилата на Регламент (ЕС) № xxx за създаване на „Цифрова Европа“. </w:t>
      </w:r>
    </w:p>
    <w:p>
      <w:pPr>
        <w:pStyle w:val="ManualConsidrant"/>
        <w:rPr>
          <w:noProof/>
        </w:rPr>
      </w:pPr>
      <w:r>
        <w:t>(55)</w:t>
      </w:r>
      <w:r>
        <w:tab/>
      </w:r>
      <w:r>
        <w:rPr>
          <w:noProof/>
        </w:rPr>
        <w:t>При предоставянето на финансова подкрепа за дейностите по Механизма за свързване на Европа следва да се спазват правилата на Регламент (ЕС) № xxx за създаване на Механизъм за свързване на Европа.</w:t>
      </w:r>
    </w:p>
    <w:p>
      <w:pPr>
        <w:pStyle w:val="ManualConsidrant"/>
        <w:rPr>
          <w:noProof/>
        </w:rPr>
      </w:pPr>
      <w:r>
        <w:t>(56)</w:t>
      </w:r>
      <w:r>
        <w:tab/>
      </w:r>
      <w:r>
        <w:rPr>
          <w:noProof/>
        </w:rPr>
        <w:t>Финансовите интереси на Съюза и на останалите членове на съвместното предприятие следва да бъдат защитени чрез пропорционални мерки по време на целия разходен цикъл, включително предотвратяване, разкриване и разследване на нередности, възстановяване на изгубени, недължимо платени или неправилно използвани средства, и при необходимост, налагане на административни и финансови санкции в съответствие с Регламент (ЕС, Евратом) 2018/1046.</w:t>
      </w:r>
    </w:p>
    <w:p>
      <w:pPr>
        <w:pStyle w:val="ManualConsidrant"/>
        <w:rPr>
          <w:noProof/>
        </w:rPr>
      </w:pPr>
      <w:r>
        <w:t>(57)</w:t>
      </w:r>
      <w:r>
        <w:tab/>
      </w:r>
      <w:r>
        <w:rPr>
          <w:noProof/>
        </w:rPr>
        <w:t>Съвместното предприятие следва да работи открито и прозрачно, като своевременно предоставя цялата съответна информация и популяризира дейностите си, включително с дейности по информиране и разпространение на информацията на по-широката общественост. Процедурният правилник на органите на съвместното предприятие следва да бъде обществено достъпен.</w:t>
      </w:r>
    </w:p>
    <w:p>
      <w:pPr>
        <w:pStyle w:val="ManualConsidrant"/>
        <w:rPr>
          <w:noProof/>
        </w:rPr>
      </w:pPr>
      <w:r>
        <w:t>(58)</w:t>
      </w:r>
      <w:r>
        <w:tab/>
      </w:r>
      <w:r>
        <w:rPr>
          <w:noProof/>
        </w:rPr>
        <w:t xml:space="preserve">За целите на опростяването административната тежест следва да бъде намалена за всички страни. Следва да се избягват повтарящи се одити и непропорционално високи изисквания за документиране и отчетност. </w:t>
      </w:r>
    </w:p>
    <w:p>
      <w:pPr>
        <w:pStyle w:val="ManualConsidrant"/>
        <w:rPr>
          <w:noProof/>
        </w:rPr>
      </w:pPr>
      <w:r>
        <w:t>(59)</w:t>
      </w:r>
      <w:r>
        <w:tab/>
      </w:r>
      <w:r>
        <w:rPr>
          <w:noProof/>
        </w:rPr>
        <w:t xml:space="preserve">В съответствие с регламента за „Хоризонт Европа“ участващите държави следва да поверят на съвместното предприятие разходването на своите вноски в полза на участниците от тяхната държава в непреки действия. Бенефициентите следва да подпишат единно споразумение за отпускане на безвъзмездни средства със съвместното предприятие в съответствие с правилата на „Хоризонт Европа“, програмата „Цифрова Европа“ или Механизма за свързване на Европа, включително и със съответната рамка за правата на интелектуална собственост, в зависимост от програмата на Съюза, по която се подкрепя съответната дейност, свързана с безвъзмездните средства. Съвместното предприятие следва да обработва декларациите за направени разходи и да извършва плащанията към бенефициерите. </w:t>
      </w:r>
    </w:p>
    <w:p>
      <w:pPr>
        <w:pStyle w:val="ManualConsidrant"/>
        <w:rPr>
          <w:noProof/>
        </w:rPr>
      </w:pPr>
      <w:r>
        <w:t>(60)</w:t>
      </w:r>
      <w:r>
        <w:tab/>
      </w:r>
      <w:r>
        <w:rPr>
          <w:noProof/>
        </w:rPr>
        <w:t xml:space="preserve">При разходването от страна на съвместното предприятие на вноските на участващите държави в полза на техните национални участници в непреките действия следва да се има предвид, че участващите държави трябва да спазват стриктни национални бюджетни правила. Във връзка с това участващите държави и съвместното предприятие следва да сключат правно обвързващи споразумения, с които участващите държави се задължават да заплащат пълния размер на своите вноски за непреки действия през целия жизнен цикъл на инициативата. Тези споразумения следва да бъдат сключени в контекста на годишната бюджетна процедура и програма на съвместното предприятие. Управителният съвет следва да приеме годишната работна програма, като </w:t>
      </w:r>
      <w:r>
        <w:rPr>
          <w:noProof/>
        </w:rPr>
        <w:lastRenderedPageBreak/>
        <w:t>надлежно вземе предвид тези споразумения. Разпоредителят с бюджетни кредити следва да поеме бюджетните и правните задължения за тези непреки действия едва след това и в съответствие с финансовите правила на съвместното предприятие.</w:t>
      </w:r>
    </w:p>
    <w:p>
      <w:pPr>
        <w:pStyle w:val="ManualConsidrant"/>
        <w:rPr>
          <w:noProof/>
        </w:rPr>
      </w:pPr>
      <w:r>
        <w:t>(61)</w:t>
      </w:r>
      <w:r>
        <w:tab/>
      </w:r>
      <w:r>
        <w:rPr>
          <w:noProof/>
        </w:rPr>
        <w:t>Вътрешният одитор на Комисията следва да упражнява същите правомощия по отношение на съвместното предприятие, каквито упражнява по отношение на Комисията.</w:t>
      </w:r>
    </w:p>
    <w:p>
      <w:pPr>
        <w:pStyle w:val="ManualConsidrant"/>
        <w:rPr>
          <w:noProof/>
        </w:rPr>
      </w:pPr>
      <w:r>
        <w:t>(62)</w:t>
      </w:r>
      <w:r>
        <w:tab/>
      </w:r>
      <w:r>
        <w:rPr>
          <w:noProof/>
        </w:rPr>
        <w:t>Комисията, съвместното предприятие, Сметната палата, Европейската служба за борба с измамите (OLAF) и Европейската прокуратура (EPPO) следва да имат достъп до цялата необходима информация и до помещенията, за да извършват одити и разследвания във връзка с безвъзмездните средства, договорите и споразуменията, подписани от съвместното предприятие.</w:t>
      </w:r>
    </w:p>
    <w:p>
      <w:pPr>
        <w:pStyle w:val="ManualConsidrant"/>
        <w:rPr>
          <w:noProof/>
        </w:rPr>
      </w:pPr>
      <w:r>
        <w:t>(63)</w:t>
      </w:r>
      <w:r>
        <w:tab/>
      </w:r>
      <w:r>
        <w:rPr>
          <w:noProof/>
        </w:rPr>
        <w:t>Всички покани за представяне на предложения и за участие в търгове, оповестени по настоящия регламент, следва да са съобразени с продължителността на „Хоризонт Европа“, програмата „Цифрова Европа“ и Механизма за свързване на Европа, което е приложимо, освен в надлежно обосновани случаи. Всички процедури за възлагане на поръчки за придобиването на суперкомпютри и квантови компютри на съвместното предприятие следва да се провеждат в съответствие с приложимите разпоредби на програмата „Цифрова Европа“.</w:t>
      </w:r>
    </w:p>
    <w:p>
      <w:pPr>
        <w:pStyle w:val="ManualConsidrant"/>
        <w:rPr>
          <w:noProof/>
        </w:rPr>
      </w:pPr>
      <w:r>
        <w:t>(64)</w:t>
      </w:r>
      <w:r>
        <w:tab/>
      </w:r>
      <w:r>
        <w:rPr>
          <w:noProof/>
        </w:rPr>
        <w:t>Комисията следва да направи междинна и заключителна оценка на съвместното предприятие с помощта на независими експерти. От съображения за прозрачност докладът на съответните независими експерти следва да бъде оповестен публично в съответствие с приложимите правила.</w:t>
      </w:r>
    </w:p>
    <w:p>
      <w:pPr>
        <w:pStyle w:val="ManualConsidrant"/>
        <w:rPr>
          <w:noProof/>
        </w:rPr>
      </w:pPr>
      <w:r>
        <w:t>(65)</w:t>
      </w:r>
      <w:r>
        <w:tab/>
      </w:r>
      <w:r>
        <w:rPr>
          <w:noProof/>
        </w:rPr>
        <w:t>Тъй като целите на настоящия регламент, а именно — укрепване на капацитета за научни изследвания и иновации, развитие на дейностите по изграждане и разширяване на суперкомпютърния капацитет, обединяване, свързаност и международно сътрудничество, както и придобиване на суперкомпютри на световно равнище и осигуряване на достъп до инфраструктура за услуги и данни в областта на високопроизводителните изчислителни технологии и квантовите изчислителни технологии в целия Съюз с помощта на съвместно предприятие — не може да се постигнат в достатъчна степен от държавите членки, а може по съображения за избягване на ненужно дублиране, запазване на критичната маса и гарантиране на оптимално използване на обществените финансови средства да се постигнат по-добре на равнището на Съюза, Съюзът може да приеме мерки в съответствие с принципа на субсидиарност съгласно член 5 от Договора за Европейския съюз (ДЕС). В съответствие с принципа на пропорционалност, уреден в същия член, настоящият регламент не надхвърля необходимото за постигане на тези цели,</w:t>
      </w:r>
    </w:p>
    <w:p>
      <w:pPr>
        <w:pStyle w:val="Formuledadoption"/>
        <w:rPr>
          <w:noProof/>
          <w:color w:val="000000" w:themeColor="text1"/>
        </w:rPr>
      </w:pPr>
      <w:r>
        <w:rPr>
          <w:noProof/>
          <w:color w:val="000000" w:themeColor="text1"/>
        </w:rPr>
        <w:t>ПРИЕ НАСТОЯЩИЯ РЕГЛАМЕНТ:</w:t>
      </w:r>
    </w:p>
    <w:p>
      <w:pPr>
        <w:rPr>
          <w:noProof/>
          <w:color w:val="000000" w:themeColor="text1"/>
        </w:rPr>
      </w:pPr>
    </w:p>
    <w:p>
      <w:pPr>
        <w:pStyle w:val="Titrearticle"/>
        <w:rPr>
          <w:noProof/>
          <w:color w:val="000000" w:themeColor="text1"/>
        </w:rPr>
      </w:pPr>
      <w:r>
        <w:rPr>
          <w:noProof/>
          <w:color w:val="000000" w:themeColor="text1"/>
        </w:rPr>
        <w:t>Член 1</w:t>
      </w:r>
    </w:p>
    <w:p>
      <w:pPr>
        <w:jc w:val="center"/>
        <w:rPr>
          <w:b/>
          <w:noProof/>
          <w:color w:val="000000" w:themeColor="text1"/>
        </w:rPr>
      </w:pPr>
      <w:r>
        <w:rPr>
          <w:b/>
          <w:noProof/>
          <w:color w:val="000000" w:themeColor="text1"/>
        </w:rPr>
        <w:t>Създаване</w:t>
      </w:r>
    </w:p>
    <w:p>
      <w:pPr>
        <w:pStyle w:val="Point0"/>
        <w:rPr>
          <w:noProof/>
        </w:rPr>
      </w:pPr>
      <w:r>
        <w:t>(1)</w:t>
      </w:r>
      <w:r>
        <w:tab/>
      </w:r>
      <w:r>
        <w:rPr>
          <w:noProof/>
        </w:rPr>
        <w:t xml:space="preserve">За целите на изпълнението на инициативата за европейски високопроизводителни изчислителни технологии с настоящия регламент се </w:t>
      </w:r>
      <w:r>
        <w:rPr>
          <w:noProof/>
        </w:rPr>
        <w:lastRenderedPageBreak/>
        <w:t>създава съвместно предприятие по смисъла на член 187 от Договора за функционирането на Европейския съюз (ДФЕС) („Съвместно предприятие за европейски високопроизводителни изчислителни технологии“, наричано по-долу „съвместното предприятие“).</w:t>
      </w:r>
    </w:p>
    <w:p>
      <w:pPr>
        <w:pStyle w:val="Point0"/>
        <w:rPr>
          <w:noProof/>
        </w:rPr>
      </w:pPr>
      <w:r>
        <w:t>(2)</w:t>
      </w:r>
      <w:r>
        <w:tab/>
      </w:r>
      <w:r>
        <w:rPr>
          <w:noProof/>
        </w:rPr>
        <w:t>За да се вземе предвид продължителността на европейската рамкова програма за научни изследвания и иновации („Хоризонт Европа“), създадена с Регламент (ЕС) № xxx, програмата „Цифрова Европа“, създадена с Регламент (ЕС) № ххх, и Механизма за свързване на Европа (МСЕ), създаден с Регламент (ЕС) № xxx, поканите за представяне на предложения и за участие в търгове по настоящия регламент се оповестяват до 31 декември 2027 г. В надлежно обосновани случаи поканите за представяне на предложения или за участие в търгове може да бъдат оповестени до 31 декември 2028 г.</w:t>
      </w:r>
    </w:p>
    <w:p>
      <w:pPr>
        <w:pStyle w:val="Point0"/>
        <w:rPr>
          <w:noProof/>
        </w:rPr>
      </w:pPr>
      <w:r>
        <w:t>(3)</w:t>
      </w:r>
      <w:r>
        <w:tab/>
      </w:r>
      <w:r>
        <w:rPr>
          <w:noProof/>
        </w:rPr>
        <w:t>Съвместното предприятие притежава правосубектност. Във всяка държава членка то притежава най-широката правоспособност, която се предоставя на юридическите лица съгласно законите на тази държава членка. То може, по-специално, да придобива и да се разпорежда с движимо и недвижимо имущество и може да бъде страна в съдебни производства.</w:t>
      </w:r>
    </w:p>
    <w:p>
      <w:pPr>
        <w:pStyle w:val="Point0"/>
        <w:rPr>
          <w:noProof/>
        </w:rPr>
      </w:pPr>
      <w:r>
        <w:t>(4)</w:t>
      </w:r>
      <w:r>
        <w:tab/>
      </w:r>
      <w:r>
        <w:rPr>
          <w:noProof/>
        </w:rPr>
        <w:t>Седалището на съвместното предприятие е в Люксембург.</w:t>
      </w:r>
    </w:p>
    <w:p>
      <w:pPr>
        <w:pStyle w:val="Point0"/>
        <w:rPr>
          <w:noProof/>
        </w:rPr>
      </w:pPr>
      <w:r>
        <w:t>(5)</w:t>
      </w:r>
      <w:r>
        <w:tab/>
      </w:r>
      <w:r>
        <w:rPr>
          <w:noProof/>
        </w:rPr>
        <w:t>Уставът на съвместното предприятие (наричан по-долу „уставът“) се съдържа в приложението.</w:t>
      </w:r>
    </w:p>
    <w:p>
      <w:pPr>
        <w:pStyle w:val="Titrearticle"/>
        <w:spacing w:before="240"/>
        <w:rPr>
          <w:noProof/>
          <w:color w:val="000000" w:themeColor="text1"/>
        </w:rPr>
      </w:pPr>
      <w:r>
        <w:rPr>
          <w:noProof/>
          <w:color w:val="000000" w:themeColor="text1"/>
        </w:rPr>
        <w:t>Член 2</w:t>
      </w:r>
    </w:p>
    <w:p>
      <w:pPr>
        <w:pStyle w:val="NormalCentered"/>
        <w:spacing w:before="0" w:after="240"/>
        <w:rPr>
          <w:b/>
          <w:bCs/>
          <w:noProof/>
          <w:color w:val="000000" w:themeColor="text1"/>
        </w:rPr>
      </w:pPr>
      <w:r>
        <w:rPr>
          <w:b/>
          <w:bCs/>
          <w:noProof/>
          <w:color w:val="000000" w:themeColor="text1"/>
        </w:rPr>
        <w:t>Определения</w:t>
      </w:r>
    </w:p>
    <w:p>
      <w:pPr>
        <w:spacing w:before="0"/>
        <w:rPr>
          <w:noProof/>
          <w:color w:val="000000" w:themeColor="text1"/>
        </w:rPr>
      </w:pPr>
      <w:r>
        <w:rPr>
          <w:noProof/>
          <w:color w:val="000000" w:themeColor="text1"/>
        </w:rPr>
        <w:t>За целите на настоящия регламент се прилагат следните определения:</w:t>
      </w:r>
    </w:p>
    <w:p>
      <w:pPr>
        <w:pStyle w:val="Point0"/>
        <w:rPr>
          <w:noProof/>
        </w:rPr>
      </w:pPr>
      <w:r>
        <w:t>(1)</w:t>
      </w:r>
      <w:r>
        <w:tab/>
      </w:r>
      <w:r>
        <w:rPr>
          <w:noProof/>
        </w:rPr>
        <w:t>„приемателно изпитване“ означава изпитване, което се провежда, за да се определи дали даден суперкомпютър на СП EuroHPC отговаря на изискванията за спецификацията на системата;</w:t>
      </w:r>
    </w:p>
    <w:p>
      <w:pPr>
        <w:pStyle w:val="Point0"/>
        <w:rPr>
          <w:noProof/>
        </w:rPr>
      </w:pPr>
      <w:r>
        <w:t>(2)</w:t>
      </w:r>
      <w:r>
        <w:tab/>
      </w:r>
      <w:r>
        <w:rPr>
          <w:noProof/>
        </w:rPr>
        <w:t>„време за достъп“ означава изчислителното време на даден суперкомпютър, което се предоставя на потребител или на група потребители за изпълнение на техните компютърни програми;</w:t>
      </w:r>
    </w:p>
    <w:p>
      <w:pPr>
        <w:pStyle w:val="Point0"/>
        <w:rPr>
          <w:noProof/>
        </w:rPr>
      </w:pPr>
      <w:r>
        <w:t>(3)</w:t>
      </w:r>
      <w:r>
        <w:tab/>
      </w:r>
      <w:r>
        <w:rPr>
          <w:noProof/>
        </w:rPr>
        <w:t xml:space="preserve">„свързан субект“ означава всеки правен субект съгласно определението в член 187, параграф 1 от Регламент (ЕС, Евратом) 2018/1046; </w:t>
      </w:r>
    </w:p>
    <w:p>
      <w:pPr>
        <w:pStyle w:val="Point0"/>
        <w:rPr>
          <w:noProof/>
        </w:rPr>
      </w:pPr>
      <w:r>
        <w:t>(4)</w:t>
      </w:r>
      <w:r>
        <w:tab/>
      </w:r>
      <w:r>
        <w:rPr>
          <w:noProof/>
        </w:rPr>
        <w:t>„център за върхови постижения“ в областта на високопроизводителните технологии означава инициатива за насърчаване на използването на бъдещи изчислителни способности с екстремна производителност, които позволяват на потребителските общности, в сътрудничество с други заинтересовани страни в областта на ВИТ, да разширят съществуващите паралелни кодове и да постигнат производителност от порядъка на ексафлопс или екстремна производителност;</w:t>
      </w:r>
    </w:p>
    <w:p>
      <w:pPr>
        <w:pStyle w:val="Point0"/>
        <w:rPr>
          <w:noProof/>
        </w:rPr>
      </w:pPr>
      <w:r>
        <w:t>(5)</w:t>
      </w:r>
      <w:r>
        <w:tab/>
      </w:r>
      <w:r>
        <w:rPr>
          <w:noProof/>
        </w:rPr>
        <w:t>„съвместно проектиране“ е колективен подход между доставчиците на технологии и потребителите, участващи в съвместен и повтарящ се процес на проектиране за разработването на нови технологии, приложения и системи;</w:t>
      </w:r>
    </w:p>
    <w:p>
      <w:pPr>
        <w:pStyle w:val="Point0"/>
        <w:rPr>
          <w:noProof/>
        </w:rPr>
      </w:pPr>
      <w:r>
        <w:t>(6)</w:t>
      </w:r>
      <w:r>
        <w:tab/>
      </w:r>
      <w:r>
        <w:rPr>
          <w:noProof/>
        </w:rPr>
        <w:t xml:space="preserve">„експертен център“ в областта на високопроизводителните изчислителни технологии (ВИТ) означава правен субект, установен в участваща държава, който предлага на потребители от бранша, включително на МСП, </w:t>
      </w:r>
      <w:r>
        <w:rPr>
          <w:noProof/>
        </w:rPr>
        <w:lastRenderedPageBreak/>
        <w:t>академичните среди и публичната администрация, достъп при поискване до суперкомпютрите и до най-новите технологии, инструменти, приложения и услуги в областта на високопроизводителните изчислителни технологии и предлага експертни познания, умения, обучение, работа в мрежа и информационни дейности;</w:t>
      </w:r>
    </w:p>
    <w:p>
      <w:pPr>
        <w:pStyle w:val="Point0"/>
        <w:rPr>
          <w:noProof/>
        </w:rPr>
      </w:pPr>
      <w:r>
        <w:t>(7)</w:t>
      </w:r>
      <w:r>
        <w:tab/>
      </w:r>
      <w:r>
        <w:rPr>
          <w:noProof/>
        </w:rPr>
        <w:t>„конфликт на интереси“ означава ситуация, свързана с финансов участник или друго лице, както е посочено в член 61 от Регламент (ЕС, Евратом) 2018/1046;</w:t>
      </w:r>
    </w:p>
    <w:p>
      <w:pPr>
        <w:pStyle w:val="Point0"/>
        <w:rPr>
          <w:noProof/>
        </w:rPr>
      </w:pPr>
      <w:r>
        <w:t>(8)</w:t>
      </w:r>
      <w:r>
        <w:tab/>
      </w:r>
      <w:r>
        <w:rPr>
          <w:noProof/>
        </w:rPr>
        <w:t>„участващо образувание“ означава образувание, което влиза в състава на частноправен член на съвместното предприятие съгласно предвиденото в устава на съответния частноправен член;</w:t>
      </w:r>
    </w:p>
    <w:p>
      <w:pPr>
        <w:pStyle w:val="Point0"/>
        <w:rPr>
          <w:noProof/>
        </w:rPr>
      </w:pPr>
      <w:r>
        <w:t>(9)</w:t>
      </w:r>
      <w:r>
        <w:tab/>
      </w:r>
      <w:r>
        <w:rPr>
          <w:noProof/>
        </w:rPr>
        <w:t>„консорциум от частни партньори“ означава сдружение на европейски юридически лица, обединяващи се с цел придобиване съвместно със Съвместното предприятие EuroHPC на суперкомпютър от промишлен клас; един или повече от тези частни партньори може да участват в частноправните членове на съвместното предприятие;</w:t>
      </w:r>
    </w:p>
    <w:p>
      <w:pPr>
        <w:pStyle w:val="Point0"/>
        <w:rPr>
          <w:noProof/>
        </w:rPr>
      </w:pPr>
      <w:r>
        <w:t>(10)</w:t>
      </w:r>
      <w:r>
        <w:tab/>
      </w:r>
      <w:r>
        <w:rPr>
          <w:noProof/>
        </w:rPr>
        <w:t xml:space="preserve"> „суперкомпютър на СП EuroHPC“ означава всяка изчислителна система, която е изцяло собственост на съвместното предприятие или е съсобственост с други участващи държави, частноправни членове или консорциум от частни партньори. Един суперкомпютър на СП EuroHPC може да бъде класически суперкомпютър (суперкомпютър от висок клас, суперкомпютър от промишлен клас или суперкомпютър от среден клас), хибриден класически квантов компютър, квантов компютър или квантов симулатор;</w:t>
      </w:r>
    </w:p>
    <w:p>
      <w:pPr>
        <w:pStyle w:val="Point0"/>
        <w:rPr>
          <w:noProof/>
        </w:rPr>
      </w:pPr>
      <w:r>
        <w:t>(11)</w:t>
      </w:r>
      <w:r>
        <w:tab/>
      </w:r>
      <w:r>
        <w:rPr>
          <w:noProof/>
        </w:rPr>
        <w:t>„производителност от порядъка на ексафлопс“ означава ниво на производителност, при което могат да се извършват десет на осемнадесета степен операции в секунда (или 1 ексафлопс);</w:t>
      </w:r>
    </w:p>
    <w:p>
      <w:pPr>
        <w:pStyle w:val="Point0"/>
        <w:rPr>
          <w:noProof/>
        </w:rPr>
      </w:pPr>
      <w:r>
        <w:t>(12)</w:t>
      </w:r>
      <w:r>
        <w:tab/>
      </w:r>
      <w:r>
        <w:rPr>
          <w:noProof/>
        </w:rPr>
        <w:t xml:space="preserve">„суперкомпютър от висок клас“ означава изчислителна система на световно равнище, разработена с най-модерните технологии, налични в даден момент от времето, и постигаща нива на производителност поне от порядъка на ексафлопс или повече (т.е. производителност над ексафлопс) за приложения за решаване на задачи с по-голяма сложност; </w:t>
      </w:r>
    </w:p>
    <w:p>
      <w:pPr>
        <w:pStyle w:val="Point0"/>
        <w:rPr>
          <w:noProof/>
        </w:rPr>
      </w:pPr>
      <w:r>
        <w:t>(13)</w:t>
      </w:r>
      <w:r>
        <w:tab/>
      </w:r>
      <w:r>
        <w:rPr>
          <w:noProof/>
        </w:rPr>
        <w:t xml:space="preserve">„консорциум, осигуряващ хостинг“ означава група участващи държави, частноправни членове или консорциум от частни партньори, които са се договорили да допринасят за придобиването и експлоатацията на суперкомпютър на СП EuroHPC, включително всички организации, представляващи тези участващи държави; </w:t>
      </w:r>
    </w:p>
    <w:p>
      <w:pPr>
        <w:pStyle w:val="Point0"/>
        <w:rPr>
          <w:noProof/>
        </w:rPr>
      </w:pPr>
      <w:r>
        <w:t>(14)</w:t>
      </w:r>
      <w:r>
        <w:tab/>
      </w:r>
      <w:r>
        <w:rPr>
          <w:noProof/>
        </w:rPr>
        <w:t xml:space="preserve">„доставчик на хостинг“ означава правен субект, който разполага с материална база за хостинг и експлоатация на суперкомпютър на СП EuroHPC и който е установен в участваща държава, която е държава членка; </w:t>
      </w:r>
    </w:p>
    <w:p>
      <w:pPr>
        <w:pStyle w:val="Point0"/>
        <w:rPr>
          <w:noProof/>
        </w:rPr>
      </w:pPr>
      <w:r>
        <w:t>(15)</w:t>
      </w:r>
      <w:r>
        <w:tab/>
      </w:r>
      <w:r>
        <w:rPr>
          <w:noProof/>
        </w:rPr>
        <w:t>„хиперсвързан“ означава комуникационен капацитет за прехвърляне на данни със скорост от 10 на дванадесета степен бита в секунда (1 терабит в секунда) или по-висока;</w:t>
      </w:r>
    </w:p>
    <w:p>
      <w:pPr>
        <w:pStyle w:val="Point0"/>
        <w:rPr>
          <w:noProof/>
        </w:rPr>
      </w:pPr>
      <w:r>
        <w:t>(16)</w:t>
      </w:r>
      <w:r>
        <w:tab/>
      </w:r>
      <w:r>
        <w:rPr>
          <w:noProof/>
        </w:rPr>
        <w:t xml:space="preserve">„суперкомпютър от промишлен клас“ означава суперкомпютър, специално проектиран в съответствие с изискванията за сигурност, поверителност и цялост на данните на промишлените потребители, които са по-високи, отколкото тези при научната употреба; </w:t>
      </w:r>
    </w:p>
    <w:p>
      <w:pPr>
        <w:pStyle w:val="Point0"/>
        <w:rPr>
          <w:noProof/>
        </w:rPr>
      </w:pPr>
      <w:r>
        <w:lastRenderedPageBreak/>
        <w:t>(17)</w:t>
      </w:r>
      <w:r>
        <w:tab/>
      </w:r>
      <w:r>
        <w:rPr>
          <w:noProof/>
        </w:rPr>
        <w:t>„вноски в натура за непреки действия“, финансирани по линия на „Хоризонт Европа“, означава вноските на участващата държава или на частноправните членове на съвместното предприятие, или на участващи в тях образувания или свързани с тях субекти, състоящи се от допустимите разходи, извършени от тях при изпълнението на непреките действия, минус вноските на съвместното предприятие, участващите държави или евентуални други вноски на Съюза за тези разходи;</w:t>
      </w:r>
    </w:p>
    <w:p>
      <w:pPr>
        <w:pStyle w:val="Point0"/>
        <w:rPr>
          <w:noProof/>
        </w:rPr>
      </w:pPr>
      <w:r>
        <w:t>(18)</w:t>
      </w:r>
      <w:r>
        <w:tab/>
      </w:r>
      <w:r>
        <w:rPr>
          <w:noProof/>
        </w:rPr>
        <w:t>„вноски в натура за действия“, финансирани по линия на програмата „Цифрова Европа“ или Механизма за свързване на Европа, означава вноските на участващата държава или на частноправните членове на съвместното предприятие, или на участващи в тях образувания или свързани с тях субекти, състоящи се от допустимите разходи, извършени от тях при изпълнението на част от дейностите на съвместното предприятие, минус вноските на съвместното предприятие, участващите държави или евентуални други вноски на Съюза за тези разходи;</w:t>
      </w:r>
    </w:p>
    <w:p>
      <w:pPr>
        <w:pStyle w:val="Point0"/>
        <w:rPr>
          <w:noProof/>
        </w:rPr>
      </w:pPr>
      <w:r>
        <w:t>(19)</w:t>
      </w:r>
      <w:r>
        <w:tab/>
      </w:r>
      <w:r>
        <w:rPr>
          <w:noProof/>
        </w:rPr>
        <w:t>„суперкомпютър от среден клас“ означава суперкомпютър на световно равнище с най-много едно ниво на производителност по-ниско от суперкомпютър от висок клас;</w:t>
      </w:r>
    </w:p>
    <w:p>
      <w:pPr>
        <w:pStyle w:val="Point0"/>
        <w:rPr>
          <w:noProof/>
        </w:rPr>
      </w:pPr>
      <w:r>
        <w:t>(20)</w:t>
      </w:r>
      <w:r>
        <w:tab/>
      </w:r>
      <w:r>
        <w:rPr>
          <w:noProof/>
        </w:rPr>
        <w:t>„национален експертен център в областта на високопроизводителните изчислителни технологии“ означава правен субект, установен в участваща държава, която е държава членка, който е свързан с националния суперкомпютърен център на държавата членка, предлага на потребители от бранша, включително МСП, академичните среди и публичната администрация достъп при поискване до суперкомпютрите и до най-новите технологии, инструменти, приложения и услуги в областта на високопроизводителните изчислителни технологии и предлага експертни познания, умения, обучение, работа в мрежа и информационни дейности;</w:t>
      </w:r>
    </w:p>
    <w:p>
      <w:pPr>
        <w:pStyle w:val="Point0"/>
        <w:rPr>
          <w:noProof/>
        </w:rPr>
      </w:pPr>
      <w:r>
        <w:t>(21)</w:t>
      </w:r>
      <w:r>
        <w:tab/>
      </w:r>
      <w:r>
        <w:rPr>
          <w:noProof/>
        </w:rPr>
        <w:t>„държава наблюдател“ означава държава, която има право да участва в действията на съвместното предприятие, финансирани по линия на „Хоризонт Европа“ или на програмата „Цифрова Европа“, и не е участваща държава;</w:t>
      </w:r>
    </w:p>
    <w:p>
      <w:pPr>
        <w:pStyle w:val="Point0"/>
        <w:rPr>
          <w:noProof/>
        </w:rPr>
      </w:pPr>
      <w:r>
        <w:t>(22)</w:t>
      </w:r>
      <w:r>
        <w:tab/>
      </w:r>
      <w:r>
        <w:rPr>
          <w:noProof/>
        </w:rPr>
        <w:t>„участваща държава“ означава държава, която членува в съвместното предприятие;</w:t>
      </w:r>
    </w:p>
    <w:p>
      <w:pPr>
        <w:pStyle w:val="Point0"/>
        <w:rPr>
          <w:noProof/>
        </w:rPr>
      </w:pPr>
      <w:r>
        <w:t>(23)</w:t>
      </w:r>
      <w:r>
        <w:tab/>
      </w:r>
      <w:r>
        <w:rPr>
          <w:noProof/>
        </w:rPr>
        <w:t>„ниво на производителност“ означава броят операции с плаваща запетая в секунда (флопс), които даден суперкомпютър може да изпълни;</w:t>
      </w:r>
    </w:p>
    <w:p>
      <w:pPr>
        <w:pStyle w:val="Point0"/>
        <w:rPr>
          <w:noProof/>
        </w:rPr>
      </w:pPr>
      <w:r>
        <w:t>(24)</w:t>
      </w:r>
      <w:r>
        <w:tab/>
      </w:r>
      <w:r>
        <w:rPr>
          <w:noProof/>
        </w:rPr>
        <w:t>„частноправен член“ означава всеки член на съвместното предприятие, различен от Съюза или от участващите държави;</w:t>
      </w:r>
    </w:p>
    <w:p>
      <w:pPr>
        <w:pStyle w:val="Point0"/>
        <w:rPr>
          <w:noProof/>
        </w:rPr>
      </w:pPr>
      <w:r>
        <w:t>(25)</w:t>
      </w:r>
      <w:r>
        <w:tab/>
      </w:r>
      <w:r>
        <w:rPr>
          <w:noProof/>
        </w:rPr>
        <w:t>„квантов компютър“ е изчислително устройство, което използва законите на квантовата механика за решаване на определени конкретни задачи, като по този начин се използват по-малко изчислителни ресурси отколкото при класическите компютри;</w:t>
      </w:r>
    </w:p>
    <w:p>
      <w:pPr>
        <w:pStyle w:val="Point0"/>
        <w:rPr>
          <w:noProof/>
        </w:rPr>
      </w:pPr>
      <w:r>
        <w:t>(26)</w:t>
      </w:r>
      <w:r>
        <w:tab/>
      </w:r>
      <w:r>
        <w:rPr>
          <w:noProof/>
        </w:rPr>
        <w:t xml:space="preserve">„квантов симулатор“ означава силно контролируемо квантово устройство, което позволява да се получи представа за свойствата на сложни квантови системи или да се решат специфични изчислителни задачи, недостижими за класическите компютри; </w:t>
      </w:r>
    </w:p>
    <w:p>
      <w:pPr>
        <w:pStyle w:val="Point0"/>
        <w:rPr>
          <w:noProof/>
        </w:rPr>
      </w:pPr>
      <w:r>
        <w:t>(27)</w:t>
      </w:r>
      <w:r>
        <w:tab/>
      </w:r>
      <w:r>
        <w:rPr>
          <w:noProof/>
        </w:rPr>
        <w:t xml:space="preserve">„сигурност на веригата за доставки“ на суперкомпютър на СП EuroHPC означава мерките, които трябва да бъдат включени при избора на доставчик на </w:t>
      </w:r>
      <w:r>
        <w:rPr>
          <w:noProof/>
        </w:rPr>
        <w:lastRenderedPageBreak/>
        <w:t xml:space="preserve">този суперкомпютър, за да се осигури наличността на компоненти, технологии, системи и ноу-хау, необходими за придобиването и експлоатацията на този суперкомпютър; това включва мерки за намаляване на дългосрочните рискове, свързани с евентуални прекъсвания на доставките на такива компоненти, технологии и системи, включително промени в цените или по-ниска производителност, или алтернативни източници на доставка. Сигурността на веригата за доставки обхваща целия жизнен цикъл на суперкомпютъра на СП EuroHPC; </w:t>
      </w:r>
    </w:p>
    <w:p>
      <w:pPr>
        <w:pStyle w:val="Point0"/>
        <w:rPr>
          <w:noProof/>
        </w:rPr>
      </w:pPr>
      <w:r>
        <w:t>(28)</w:t>
      </w:r>
      <w:r>
        <w:tab/>
      </w:r>
      <w:r>
        <w:rPr>
          <w:noProof/>
        </w:rPr>
        <w:t>„стратегическа програма за научни изследвания и иновации“ означава документът, предоставен от частноправните членове, обхващащ продължителността на „Хоризонт Европа“, с който се определят ключовите приоритети и жизненоважните технологии и иновации, необходими за постигане на целите на съвместното предприятие;</w:t>
      </w:r>
    </w:p>
    <w:p>
      <w:pPr>
        <w:pStyle w:val="Point0"/>
        <w:rPr>
          <w:noProof/>
        </w:rPr>
      </w:pPr>
      <w:r>
        <w:t>(29)</w:t>
      </w:r>
      <w:r>
        <w:tab/>
      </w:r>
      <w:r>
        <w:rPr>
          <w:noProof/>
        </w:rPr>
        <w:t xml:space="preserve">„суперкомпютърни изчисления“ означава изчисления с нива на производителност, изискващи масивна интеграция на отделните изчислителни елементи, включително квантови компоненти, за решаване на проблеми, които не могат да бъдат обработени от стандартни изчислителни системи; </w:t>
      </w:r>
    </w:p>
    <w:p>
      <w:pPr>
        <w:pStyle w:val="Point0"/>
        <w:rPr>
          <w:noProof/>
        </w:rPr>
      </w:pPr>
      <w:r>
        <w:t>(30)</w:t>
      </w:r>
      <w:r>
        <w:tab/>
      </w:r>
      <w:r>
        <w:rPr>
          <w:noProof/>
        </w:rPr>
        <w:t>„общи разходи за собственост“ на суперкомпютър на СП EuroHPC означава разходите за придобиването плюс експлоатационните разходи, включително поддръжката, докато собствеността върху суперкомпютъра не бъде прехвърлена на доставчика на хостинг или той не бъде продаден или изведен от експлоатация без прехвърляне на собствеността;</w:t>
      </w:r>
    </w:p>
    <w:p>
      <w:pPr>
        <w:pStyle w:val="Point0"/>
        <w:rPr>
          <w:noProof/>
        </w:rPr>
      </w:pPr>
      <w:r>
        <w:t>(31)</w:t>
      </w:r>
      <w:r>
        <w:tab/>
      </w:r>
      <w:r>
        <w:rPr>
          <w:noProof/>
        </w:rPr>
        <w:t>„работна програма“ означава документът, посочен в член 2, точка 20 от Регламент (ЕС) № xxx за създаване на „Хоризонт Европа“, или, когато е приложимо, документът, който изпълнява функциите на работна програма, посочен в член ххх от Регламент (ЕС) № ххх за създаване на програмата „Цифрова Европа“ или в член ххх от Регламент (ЕС) № ххх за създаване на Механизъм за свързване на Европа.</w:t>
      </w:r>
    </w:p>
    <w:p>
      <w:pPr>
        <w:pStyle w:val="Titrearticle"/>
        <w:spacing w:before="240"/>
        <w:rPr>
          <w:noProof/>
          <w:color w:val="000000" w:themeColor="text1"/>
        </w:rPr>
      </w:pPr>
      <w:r>
        <w:rPr>
          <w:noProof/>
          <w:color w:val="000000" w:themeColor="text1"/>
        </w:rPr>
        <w:t>Член 3</w:t>
      </w:r>
    </w:p>
    <w:p>
      <w:pPr>
        <w:pStyle w:val="NormalCentered"/>
        <w:spacing w:before="0" w:after="240"/>
        <w:rPr>
          <w:b/>
          <w:bCs/>
          <w:noProof/>
          <w:color w:val="000000" w:themeColor="text1"/>
        </w:rPr>
      </w:pPr>
      <w:r>
        <w:rPr>
          <w:b/>
          <w:bCs/>
          <w:noProof/>
          <w:color w:val="000000" w:themeColor="text1"/>
        </w:rPr>
        <w:t>Мисия и цели</w:t>
      </w:r>
    </w:p>
    <w:p>
      <w:pPr>
        <w:pStyle w:val="Point0"/>
        <w:rPr>
          <w:noProof/>
        </w:rPr>
      </w:pPr>
      <w:r>
        <w:t>(1)</w:t>
      </w:r>
      <w:r>
        <w:tab/>
      </w:r>
      <w:r>
        <w:rPr>
          <w:noProof/>
        </w:rPr>
        <w:t>Мисията на съвместното предприятие е в Съюза да се разработи, внедри, разшири и поддържа водеща обединена, сигурна и хиперсвързана екосистема за услуги и инфраструктура за данни в областта на суперкомпютрите и квантовите компютри; да се подкрепи производството на иновативни и конкурентоспособни суперкомпютърни системи въз основа на верига за доставки, с която ще се осигурят компоненти, технологии и знания, ограничаващи риска от прекъсвания, и разработването на широка гама от приложения, оптимизирани за тези системи; да се разшири използването на тази инфраструктура от суперкомпютри, като се даде достъп до нея на голям брой публични и частни потребители, както и да се подкрепи развитието на ключови умения за европейската наука и промишленост.</w:t>
      </w:r>
    </w:p>
    <w:p>
      <w:pPr>
        <w:pStyle w:val="Point0"/>
        <w:rPr>
          <w:noProof/>
        </w:rPr>
      </w:pPr>
      <w:r>
        <w:t>(2)</w:t>
      </w:r>
      <w:r>
        <w:tab/>
      </w:r>
      <w:r>
        <w:rPr>
          <w:noProof/>
        </w:rPr>
        <w:t>Съвместното предприятие има следните общи цели:</w:t>
      </w:r>
    </w:p>
    <w:p>
      <w:pPr>
        <w:pStyle w:val="Point1"/>
        <w:rPr>
          <w:noProof/>
        </w:rPr>
      </w:pPr>
      <w:r>
        <w:rPr>
          <w:noProof/>
        </w:rPr>
        <w:t>а)</w:t>
      </w:r>
      <w:r>
        <w:rPr>
          <w:noProof/>
        </w:rPr>
        <w:tab/>
        <w:t xml:space="preserve">да допринася за изпълнението на Регламент (ЕС) № xxx за създаване на „Хоризонт Европа“, и по-специално член 3 от него, да постигне научно, икономическо, </w:t>
      </w:r>
      <w:r>
        <w:rPr>
          <w:noProof/>
          <w:color w:val="000000" w:themeColor="text1"/>
        </w:rPr>
        <w:t>екологично,</w:t>
      </w:r>
      <w:r>
        <w:rPr>
          <w:noProof/>
        </w:rPr>
        <w:t xml:space="preserve"> технологично и обществено въздействие с инвестициите на Съюза в областта на научните изследвания и </w:t>
      </w:r>
      <w:r>
        <w:rPr>
          <w:noProof/>
        </w:rPr>
        <w:lastRenderedPageBreak/>
        <w:t xml:space="preserve">иновациите, така че да бъдат укрепени научните и технологични основи на Съюза, да изпълнява стратегическите приоритети на Съюза, да допринася за реализирането на целите и политиките на ЕС и за справяне с глобалните предизвикателства, включително по отношение на целите за устойчиво развитие, като се следват принципите на Програма 2030 и на Парижкото споразумение; </w:t>
      </w:r>
    </w:p>
    <w:p>
      <w:pPr>
        <w:pStyle w:val="Point1"/>
        <w:rPr>
          <w:noProof/>
        </w:rPr>
      </w:pPr>
      <w:r>
        <w:rPr>
          <w:noProof/>
        </w:rPr>
        <w:t>б)</w:t>
      </w:r>
      <w:r>
        <w:rPr>
          <w:noProof/>
        </w:rPr>
        <w:tab/>
        <w:t>да развива тясно сътрудничество и да осигурява координация с други европейски партньорства, включително чрез съвместни покани, както и да търси полезни взаимодействия със съответните дейности и програми на равнището на Съюза, на национално и регионално равнище, и по-специално с тези, които подкрепят внедряването на иновативни решения, образованието и регионалното развитие, където е уместно;</w:t>
      </w:r>
    </w:p>
    <w:p>
      <w:pPr>
        <w:pStyle w:val="Point1"/>
        <w:rPr>
          <w:noProof/>
        </w:rPr>
      </w:pPr>
      <w:r>
        <w:rPr>
          <w:noProof/>
        </w:rPr>
        <w:t>в)</w:t>
      </w:r>
      <w:r>
        <w:rPr>
          <w:noProof/>
        </w:rPr>
        <w:tab/>
        <w:t xml:space="preserve">да разработи, внедри, разшири и поддържа в Съюза интегрирана, ориентирана към търсенето и потребителите, хиперсвързана инфраструктура от суперкомпютри и данни на световно равнище; </w:t>
      </w:r>
    </w:p>
    <w:p>
      <w:pPr>
        <w:pStyle w:val="Point1"/>
        <w:rPr>
          <w:noProof/>
        </w:rPr>
      </w:pPr>
      <w:r>
        <w:rPr>
          <w:noProof/>
        </w:rPr>
        <w:t>г)</w:t>
      </w:r>
      <w:r>
        <w:rPr>
          <w:noProof/>
        </w:rPr>
        <w:tab/>
        <w:t xml:space="preserve">да обедини хиперсвързаната инфраструктура от суперкомпютри и данни и да я свърже с европейските пространства на данни и облачната екосистема за предоставяне на изчислителни услуги и услуги за данни на широк кръг публични и частни потребители в Европа; </w:t>
      </w:r>
    </w:p>
    <w:p>
      <w:pPr>
        <w:pStyle w:val="Point1"/>
        <w:rPr>
          <w:noProof/>
        </w:rPr>
      </w:pPr>
      <w:r>
        <w:rPr>
          <w:noProof/>
        </w:rPr>
        <w:t>д)</w:t>
      </w:r>
      <w:r>
        <w:rPr>
          <w:noProof/>
        </w:rPr>
        <w:tab/>
        <w:t xml:space="preserve">да продължава да развива и подкрепя висококонкурентна и иновативна екосистема за суперкомпютри и данни в Европа, допринасяща за водещата позиция и технологичната автономност на Съюза в сферата на цифровата икономика, която е способна да произвежда автономно изчислителни технологии и архитектури и да ги интегрира във водещи изчислителни системи и авангардни приложения, оптимизирани за тези системи; </w:t>
      </w:r>
    </w:p>
    <w:p>
      <w:pPr>
        <w:pStyle w:val="Point1"/>
        <w:rPr>
          <w:noProof/>
        </w:rPr>
      </w:pPr>
      <w:r>
        <w:rPr>
          <w:noProof/>
        </w:rPr>
        <w:t>е)</w:t>
      </w:r>
      <w:r>
        <w:rPr>
          <w:noProof/>
        </w:rPr>
        <w:tab/>
        <w:t xml:space="preserve">да разшири използването на услуги в областта на суперкомпютрите и развитието на ключови умения, от които се нуждаят европейската наука и промишленост. </w:t>
      </w:r>
    </w:p>
    <w:p>
      <w:pPr>
        <w:pStyle w:val="Point0"/>
        <w:rPr>
          <w:noProof/>
        </w:rPr>
      </w:pPr>
      <w:r>
        <w:t>(3)</w:t>
      </w:r>
      <w:r>
        <w:tab/>
      </w:r>
      <w:r>
        <w:rPr>
          <w:noProof/>
        </w:rPr>
        <w:t>Съвместното предприятие допринася за защитата на интересите на Съюза при закупуване на суперкомпютри и подпомагане на развитието на високопроизводителни изчислителни технологии, системи и приложения. То създава условия за съвместно проектиране с цел придобиването на суперкомпютри на световно равнище, като същевременно с това гарантира сигурността на веригата за доставки на закупените технологии и системи. То допринася за технологичната автономност на Съюза, като подпомага развитието на технологиите и приложенията, укрепващи европейската верига за доставки на технологии в областта на ВИТ, и насърчава тяхното интегриране в суперкомпютърни системи, с които се отговаря на голям брой обществени и индустриални нужди.</w:t>
      </w:r>
    </w:p>
    <w:p>
      <w:pPr>
        <w:pStyle w:val="Titrearticle"/>
        <w:spacing w:before="240"/>
        <w:rPr>
          <w:noProof/>
          <w:color w:val="000000" w:themeColor="text1"/>
        </w:rPr>
      </w:pPr>
      <w:r>
        <w:rPr>
          <w:noProof/>
          <w:color w:val="000000" w:themeColor="text1"/>
        </w:rPr>
        <w:t>Член 4</w:t>
      </w:r>
    </w:p>
    <w:p>
      <w:pPr>
        <w:spacing w:before="0"/>
        <w:jc w:val="center"/>
        <w:rPr>
          <w:noProof/>
          <w:color w:val="000000" w:themeColor="text1"/>
        </w:rPr>
      </w:pPr>
      <w:r>
        <w:rPr>
          <w:b/>
          <w:bCs/>
          <w:noProof/>
          <w:color w:val="000000" w:themeColor="text1"/>
        </w:rPr>
        <w:t xml:space="preserve">Стълбове на дейност </w:t>
      </w:r>
    </w:p>
    <w:p>
      <w:pPr>
        <w:pStyle w:val="Point0"/>
        <w:rPr>
          <w:noProof/>
        </w:rPr>
      </w:pPr>
      <w:r>
        <w:t>(1)</w:t>
      </w:r>
      <w:r>
        <w:tab/>
      </w:r>
      <w:r>
        <w:rPr>
          <w:noProof/>
        </w:rPr>
        <w:t>Съвместното предприятие изпълнява мисията, посочена в член 3, съобразно следните стълбове на дейност:</w:t>
      </w:r>
    </w:p>
    <w:p>
      <w:pPr>
        <w:pStyle w:val="Point1"/>
        <w:rPr>
          <w:noProof/>
        </w:rPr>
      </w:pPr>
      <w:r>
        <w:rPr>
          <w:noProof/>
        </w:rPr>
        <w:t>а)</w:t>
      </w:r>
      <w:r>
        <w:rPr>
          <w:noProof/>
        </w:rPr>
        <w:tab/>
        <w:t>Административният стълб обхваща общите дейности по функционирането и управлението на съвместното предприятие.</w:t>
      </w:r>
    </w:p>
    <w:p>
      <w:pPr>
        <w:pStyle w:val="Point1"/>
        <w:rPr>
          <w:noProof/>
        </w:rPr>
      </w:pPr>
      <w:r>
        <w:rPr>
          <w:noProof/>
        </w:rPr>
        <w:lastRenderedPageBreak/>
        <w:t>б)</w:t>
      </w:r>
      <w:r>
        <w:rPr>
          <w:noProof/>
        </w:rPr>
        <w:tab/>
        <w:t>Инфраструктурният стълб обхваща дейностите по придобиването, внедряването и експлоатацията на сигурна, хиперсвързана инфраструктура на световно равнище за суперкомпютри, квантови компютри и данни, включително насърчаване на въвеждането и системното използване на резултатите от научните изследвания и иновациите, генерирани в Съюза.</w:t>
      </w:r>
    </w:p>
    <w:p>
      <w:pPr>
        <w:pStyle w:val="Point1"/>
        <w:rPr>
          <w:noProof/>
        </w:rPr>
      </w:pPr>
      <w:r>
        <w:rPr>
          <w:noProof/>
        </w:rPr>
        <w:t>в)</w:t>
      </w:r>
      <w:r>
        <w:rPr>
          <w:noProof/>
        </w:rPr>
        <w:tab/>
        <w:t>Стълбът за обединяване на услугите в областта на суперкомпютрите обхваща всички дейности по предоставянето на достъп за целия ЕС до обединени и сигурни ресурси и услуги в областта на суперкомпютрите и данните в цяла Европа за научноизследователската и научната общност, промишлеността (включително МСП) и публичния сектор. По-специално това включва:</w:t>
      </w:r>
    </w:p>
    <w:p>
      <w:pPr>
        <w:pStyle w:val="Point2"/>
        <w:rPr>
          <w:noProof/>
          <w:color w:val="000000" w:themeColor="text1"/>
        </w:rPr>
      </w:pPr>
      <w:r>
        <w:rPr>
          <w:noProof/>
          <w:color w:val="000000" w:themeColor="text1"/>
        </w:rPr>
        <w:t>i)</w:t>
      </w:r>
      <w:r>
        <w:rPr>
          <w:noProof/>
          <w:color w:val="000000" w:themeColor="text1"/>
        </w:rPr>
        <w:tab/>
        <w:t>подкрепа за взаимосвързаността на високопроизводителните изчисления, квантовите изчисления и ресурсите за данни, притежавани изцяло или частично от Съвместното предприятие EuroHPC или предоставяни на доброволна основа от участващите държави;</w:t>
      </w:r>
    </w:p>
    <w:p>
      <w:pPr>
        <w:pStyle w:val="Point2"/>
        <w:rPr>
          <w:noProof/>
          <w:color w:val="000000" w:themeColor="text1"/>
        </w:rPr>
      </w:pPr>
      <w:r>
        <w:rPr>
          <w:noProof/>
          <w:color w:val="000000" w:themeColor="text1"/>
        </w:rPr>
        <w:t>ii)</w:t>
      </w:r>
      <w:r>
        <w:rPr>
          <w:noProof/>
          <w:color w:val="000000" w:themeColor="text1"/>
        </w:rPr>
        <w:tab/>
        <w:t>подкрепа за взаимосвързаността на инфраструктури за данни в областта на суперкомпютрите и квантовите компютри чрез общите европейски пространства на данни на Съюза и обединените и сигурни облачни инфраструктури;</w:t>
      </w:r>
    </w:p>
    <w:p>
      <w:pPr>
        <w:pStyle w:val="Point2"/>
        <w:rPr>
          <w:noProof/>
          <w:color w:val="000000" w:themeColor="text1"/>
        </w:rPr>
      </w:pPr>
      <w:r>
        <w:rPr>
          <w:noProof/>
          <w:color w:val="000000" w:themeColor="text1"/>
        </w:rPr>
        <w:t>iii)</w:t>
      </w:r>
      <w:r>
        <w:rPr>
          <w:noProof/>
          <w:color w:val="000000" w:themeColor="text1"/>
        </w:rPr>
        <w:tab/>
        <w:t xml:space="preserve">подкрепа за развитието, придобиването и експлоатацията на платформа за безпроблемно обединяване и сигурно предоставяне на инфраструктура за услуги и данни в областта на суперкомпютрите и квантовите компютри, с която се създава точка за достъп на едно гише за всяка услуга в областта на суперкомпютрите или данните, управлявана от съвместното предприятие, като по този начин се предоставя на всеки потребител единна точка за достъп. </w:t>
      </w:r>
    </w:p>
    <w:p>
      <w:pPr>
        <w:pStyle w:val="Point1"/>
        <w:rPr>
          <w:noProof/>
        </w:rPr>
      </w:pPr>
      <w:r>
        <w:rPr>
          <w:noProof/>
        </w:rPr>
        <w:t>г)</w:t>
      </w:r>
      <w:r>
        <w:rPr>
          <w:noProof/>
        </w:rPr>
        <w:tab/>
        <w:t>Технологичният стълб включва дейностите в подкрепа на амбициозна научноизследователска и иновационна програма за разработване на конкурентна и иновативна суперкомпютърна екосистема на световно равнище, засягащи хардуерни и софтуерни технологии и тяхното интегриране в изчислителни системи, които обхващат цялата научна и промишлена верига за създаване на стойност с цел осигуряване на технологичната автономност на Съюза. Специално внимание се обръща на енергийно ефективните високопроизводителни изчислителни технологии. Дейностите са насочени, наред с другото, към:</w:t>
      </w:r>
    </w:p>
    <w:p>
      <w:pPr>
        <w:pStyle w:val="Point2"/>
        <w:rPr>
          <w:noProof/>
          <w:color w:val="000000" w:themeColor="text1"/>
        </w:rPr>
      </w:pPr>
      <w:r>
        <w:rPr>
          <w:noProof/>
          <w:color w:val="000000" w:themeColor="text1"/>
        </w:rPr>
        <w:t>i)</w:t>
      </w:r>
      <w:r>
        <w:rPr>
          <w:noProof/>
          <w:color w:val="000000" w:themeColor="text1"/>
        </w:rPr>
        <w:tab/>
        <w:t xml:space="preserve">микропроцесорни компоненти с ниска консумация на енергия и свързаните с тях технологии, като например нови алгоритми, програмни кодове, инструменти и среди; </w:t>
      </w:r>
    </w:p>
    <w:p>
      <w:pPr>
        <w:pStyle w:val="Point2"/>
        <w:rPr>
          <w:noProof/>
          <w:color w:val="000000" w:themeColor="text1"/>
        </w:rPr>
      </w:pPr>
      <w:r>
        <w:rPr>
          <w:noProof/>
          <w:color w:val="000000" w:themeColor="text1"/>
        </w:rPr>
        <w:t>ii)</w:t>
      </w:r>
      <w:r>
        <w:rPr>
          <w:noProof/>
          <w:color w:val="000000" w:themeColor="text1"/>
        </w:rPr>
        <w:tab/>
        <w:t>нововъзникващи изчислителни парадигми и тяхното интегриране във водещи суперкомпютърни системи, включително високопроизводителни изчислителни и квантови изчислителни системи чрез подход за съвместно проектиране. Тези технологии са свързани с разработването, придобиването и внедряването на суперкомпютри от висок клас, включително квантови компютри, и инфраструктури;</w:t>
      </w:r>
    </w:p>
    <w:p>
      <w:pPr>
        <w:pStyle w:val="Point2"/>
        <w:rPr>
          <w:noProof/>
          <w:color w:val="000000" w:themeColor="text1"/>
        </w:rPr>
      </w:pPr>
      <w:r>
        <w:rPr>
          <w:noProof/>
          <w:color w:val="000000" w:themeColor="text1"/>
        </w:rPr>
        <w:lastRenderedPageBreak/>
        <w:t>iii)</w:t>
      </w:r>
      <w:r>
        <w:rPr>
          <w:noProof/>
          <w:color w:val="000000" w:themeColor="text1"/>
        </w:rPr>
        <w:tab/>
        <w:t xml:space="preserve">технологии и системи за свързването и експлоатацията на класическите суперкомпютърни системи с други, често спомагателни изчислителни технологии, като например невроморфни или квантови изчислителни технологии, и гарантира тяхната ефективна работа. </w:t>
      </w:r>
    </w:p>
    <w:p>
      <w:pPr>
        <w:pStyle w:val="Point1"/>
        <w:rPr>
          <w:noProof/>
        </w:rPr>
      </w:pPr>
      <w:r>
        <w:rPr>
          <w:noProof/>
        </w:rPr>
        <w:t>д)</w:t>
      </w:r>
      <w:r>
        <w:rPr>
          <w:noProof/>
        </w:rPr>
        <w:tab/>
        <w:t>Стълбът за приложенията обхваща дейностите за реализиране и поддържане на европейски върхови постижения в областта на ключовите приложения за изчисления и данни, и кодове за науката, промишлеността (включително МСП) и публичния сектор, включително:</w:t>
      </w:r>
    </w:p>
    <w:p>
      <w:pPr>
        <w:pStyle w:val="Point2"/>
        <w:rPr>
          <w:noProof/>
          <w:color w:val="000000" w:themeColor="text1"/>
        </w:rPr>
      </w:pPr>
      <w:r>
        <w:rPr>
          <w:noProof/>
          <w:color w:val="000000" w:themeColor="text1"/>
        </w:rPr>
        <w:t>i)</w:t>
      </w:r>
      <w:r>
        <w:rPr>
          <w:noProof/>
          <w:color w:val="000000" w:themeColor="text1"/>
        </w:rPr>
        <w:tab/>
        <w:t>приложения за публични и частни потребители, които използват възможностите на суперкомпютрите от висок клас и тяхното сближаване с усъвършенствани цифрови технологии като изкуствен интелект, високопроизводителен анализ на данни, облачни технологии и др. чрез съвместното проектиране, разработване и оптимизиране на мащабни високопроизводителни изчислителни и нововъзникващи кодове и приложения на водещия пазар;</w:t>
      </w:r>
    </w:p>
    <w:p>
      <w:pPr>
        <w:pStyle w:val="Point2"/>
        <w:rPr>
          <w:noProof/>
          <w:color w:val="000000" w:themeColor="text1"/>
        </w:rPr>
      </w:pPr>
      <w:r>
        <w:rPr>
          <w:noProof/>
          <w:color w:val="000000" w:themeColor="text1"/>
        </w:rPr>
        <w:t>ii)</w:t>
      </w:r>
      <w:r>
        <w:rPr>
          <w:noProof/>
          <w:color w:val="000000" w:themeColor="text1"/>
        </w:rPr>
        <w:tab/>
        <w:t xml:space="preserve">подкрепа, наред с другото, за центрове за върхови постижения в областта на приложенията на високопроизводителните изчислителни технологии, големи пилотни демонстрационни проекти с използване на високопроизводителни изчислителни технологии и системи за изпитване на приложения и услуги за големи информационни масиви в широк кръг от научни и промишлени сектори. </w:t>
      </w:r>
    </w:p>
    <w:p>
      <w:pPr>
        <w:pStyle w:val="Point1"/>
        <w:rPr>
          <w:noProof/>
        </w:rPr>
      </w:pPr>
      <w:r>
        <w:rPr>
          <w:noProof/>
        </w:rPr>
        <w:t>е)</w:t>
      </w:r>
      <w:r>
        <w:rPr>
          <w:noProof/>
        </w:rPr>
        <w:tab/>
        <w:t xml:space="preserve">Стълбът за разширяване на употребата и уменията, с който се цели насърчаване на върховите постижения в областта на суперкомпютрите, квантовите компютри и използването на данни и умения, като се вземат предвид полезните взаимодействия с други програми и инструменти, и по-специално програмата „Цифрова Европа“, разширяване на научното и промишленото използване на суперкомпютърни ресурси и приложения за данни и насърчаване на промишления достъп и използването на инфраструктурата от суперкомпютри и данни за иновации, адаптирани към нуждите на промишлеността; както и осигуряване на компетентна водеща научна общност и квалифицирана работна сила в Европа за постигане на водеща позиция в науката и цифрова трансформация на промишлеността, включително подкрепата и работата в мрежа на националните експертни центрове в областта на високопроизводителните изчислителни технологии и националните центрове за върхови постижения в областта на високопроизводителните изчислителни технологии. </w:t>
      </w:r>
    </w:p>
    <w:p>
      <w:pPr>
        <w:pStyle w:val="Point1"/>
        <w:rPr>
          <w:noProof/>
        </w:rPr>
      </w:pPr>
      <w:r>
        <w:rPr>
          <w:noProof/>
        </w:rPr>
        <w:t>ж)</w:t>
      </w:r>
      <w:r>
        <w:rPr>
          <w:noProof/>
        </w:rPr>
        <w:tab/>
        <w:t>Международно сътрудничество: В съответствие с целите на външната политика и международните ангажименти на Съюза, определяне, изпълнение и участие в дейности, свързани с насърчаването на международното сътрудничество в областта на суперкомпютрите за справяне с глобални научни и обществени предизвикателства, като същевременно с това се насърчава конкурентоспособността на европейската екосистема за доставки и потребители в областта на ВИТ.</w:t>
      </w:r>
    </w:p>
    <w:p>
      <w:pPr>
        <w:pStyle w:val="Point0"/>
        <w:rPr>
          <w:noProof/>
          <w:szCs w:val="24"/>
        </w:rPr>
      </w:pPr>
      <w:r>
        <w:t>(2)</w:t>
      </w:r>
      <w:r>
        <w:tab/>
      </w:r>
      <w:r>
        <w:rPr>
          <w:noProof/>
        </w:rPr>
        <w:t xml:space="preserve">В допълнение към дейностите, изброени в параграф 1, на съвместното предприятие може да бъде поверено изпълнението на допълнителни задачи в </w:t>
      </w:r>
      <w:r>
        <w:rPr>
          <w:noProof/>
        </w:rPr>
        <w:lastRenderedPageBreak/>
        <w:t>случай на кумулативно, допълващо или комбинирано финансиране между програми на Съюза в съответствие със съответната работна програма на Комисията.</w:t>
      </w:r>
      <w:r>
        <w:rPr>
          <w:noProof/>
          <w:szCs w:val="24"/>
        </w:rPr>
        <w:t xml:space="preserve"> </w:t>
      </w:r>
    </w:p>
    <w:p>
      <w:pPr>
        <w:pStyle w:val="Titrearticle"/>
        <w:spacing w:before="240"/>
        <w:rPr>
          <w:noProof/>
          <w:color w:val="000000" w:themeColor="text1"/>
        </w:rPr>
      </w:pPr>
      <w:r>
        <w:rPr>
          <w:noProof/>
          <w:color w:val="000000" w:themeColor="text1"/>
        </w:rPr>
        <w:t>Член 5</w:t>
      </w:r>
    </w:p>
    <w:p>
      <w:pPr>
        <w:pStyle w:val="NormalCentered"/>
        <w:spacing w:before="0" w:after="240"/>
        <w:rPr>
          <w:b/>
          <w:bCs/>
          <w:noProof/>
          <w:color w:val="000000" w:themeColor="text1"/>
        </w:rPr>
      </w:pPr>
      <w:r>
        <w:rPr>
          <w:b/>
          <w:bCs/>
          <w:noProof/>
          <w:color w:val="000000" w:themeColor="text1"/>
        </w:rPr>
        <w:t>Финансова вноска на Съюза</w:t>
      </w:r>
    </w:p>
    <w:p>
      <w:pPr>
        <w:pStyle w:val="Point0"/>
        <w:rPr>
          <w:noProof/>
        </w:rPr>
      </w:pPr>
      <w:r>
        <w:t>(1)</w:t>
      </w:r>
      <w:r>
        <w:tab/>
      </w:r>
      <w:r>
        <w:rPr>
          <w:noProof/>
        </w:rPr>
        <w:t>Финансовата вноска на Съюза в съвместното предприятие, включително бюджетни кредити за ЕАСТ, е на стойност до EUR [XXXXX], включително до EUR [XXXXX] за административни разходи, разпределени както следва:</w:t>
      </w:r>
    </w:p>
    <w:p>
      <w:pPr>
        <w:pStyle w:val="Point1"/>
        <w:rPr>
          <w:noProof/>
        </w:rPr>
      </w:pPr>
      <w:r>
        <w:rPr>
          <w:noProof/>
        </w:rPr>
        <w:t>а)</w:t>
      </w:r>
      <w:r>
        <w:rPr>
          <w:noProof/>
        </w:rPr>
        <w:tab/>
        <w:t>до EUR [XXXXX] по линия на „Хоризонт Европа“ [бюджетът ще бъде определен на по-късен етап в съответствие със стратегическото планиране и програмиране на „Хоризонт Европа“];</w:t>
      </w:r>
    </w:p>
    <w:p>
      <w:pPr>
        <w:pStyle w:val="Point1"/>
        <w:rPr>
          <w:noProof/>
        </w:rPr>
      </w:pPr>
      <w:r>
        <w:rPr>
          <w:noProof/>
        </w:rPr>
        <w:t>б)</w:t>
      </w:r>
      <w:r>
        <w:rPr>
          <w:noProof/>
        </w:rPr>
        <w:tab/>
        <w:t>до EUR [2 400 000 000] по линия на програмата „Цифрова Европа“;</w:t>
      </w:r>
    </w:p>
    <w:p>
      <w:pPr>
        <w:pStyle w:val="Point1"/>
        <w:rPr>
          <w:noProof/>
        </w:rPr>
      </w:pPr>
      <w:r>
        <w:rPr>
          <w:noProof/>
        </w:rPr>
        <w:t>в)</w:t>
      </w:r>
      <w:r>
        <w:rPr>
          <w:noProof/>
        </w:rPr>
        <w:tab/>
        <w:t>до EUR [200 000 000] по линия на Механизма за свързване на Европа.</w:t>
      </w:r>
    </w:p>
    <w:p>
      <w:pPr>
        <w:pStyle w:val="Point0"/>
        <w:rPr>
          <w:noProof/>
        </w:rPr>
      </w:pPr>
      <w:r>
        <w:t>(2)</w:t>
      </w:r>
      <w:r>
        <w:tab/>
      </w:r>
      <w:r>
        <w:rPr>
          <w:noProof/>
        </w:rPr>
        <w:t>Финансовата вноска на Съюза по параграф 1 се изплаща от бюджетните кредити в общия бюджет на Съюза, разпределени за специфичната програма.</w:t>
      </w:r>
    </w:p>
    <w:p>
      <w:pPr>
        <w:pStyle w:val="Point0"/>
        <w:rPr>
          <w:noProof/>
        </w:rPr>
      </w:pPr>
      <w:r>
        <w:t>(3)</w:t>
      </w:r>
      <w:r>
        <w:tab/>
      </w:r>
      <w:r>
        <w:rPr>
          <w:noProof/>
        </w:rPr>
        <w:t xml:space="preserve">Допълнителните средства на Съюза, с които се допълва вноската, посочена в параграф 1, може да бъдат разпределени на съвместното предприятие за подпомагането на дейности, свързани с научни изследвания и иновации, както и с внедряване на иновативни решения. </w:t>
      </w:r>
    </w:p>
    <w:p>
      <w:pPr>
        <w:pStyle w:val="Point0"/>
        <w:rPr>
          <w:noProof/>
        </w:rPr>
      </w:pPr>
      <w:r>
        <w:t>(4)</w:t>
      </w:r>
      <w:r>
        <w:tab/>
      </w:r>
      <w:r>
        <w:rPr>
          <w:noProof/>
        </w:rPr>
        <w:t>Вноските от програми на Съюза, съответстващи на допълнителни дейности, поверени на съвместното предприятие в съответствие с параграф 3 от настоящия член, не се отчитат при изчисляването на максималната финансова вноска на Съюза.</w:t>
      </w:r>
    </w:p>
    <w:p>
      <w:pPr>
        <w:pStyle w:val="Point0"/>
        <w:rPr>
          <w:noProof/>
        </w:rPr>
      </w:pPr>
      <w:r>
        <w:t>(5)</w:t>
      </w:r>
      <w:r>
        <w:tab/>
      </w:r>
      <w:r>
        <w:rPr>
          <w:noProof/>
        </w:rPr>
        <w:t xml:space="preserve">Допълнителните средства на Съюза, с които се допълва вноската, посочена в параграф 1, може да бъдат разпределени на съвместното предприятие от държавите, асоциирани към „Хоризонт Европа“, програмата „Цифрова Европа и Механизма за свързване на Европа съгласно споразуменията за асоцииране. </w:t>
      </w:r>
    </w:p>
    <w:p>
      <w:pPr>
        <w:pStyle w:val="Point0"/>
        <w:rPr>
          <w:noProof/>
        </w:rPr>
      </w:pPr>
      <w:r>
        <w:t>(6)</w:t>
      </w:r>
      <w:r>
        <w:tab/>
      </w:r>
      <w:r>
        <w:rPr>
          <w:noProof/>
        </w:rPr>
        <w:t>Финансовата вноска на Съюза, посочена в параграф 1, буква а), се използва, за да може съвместното предприятие да осигури финансова подкрепа за непреки действия, както е определено в член xxx от регламента за „Хоризонт Европа“, които да съответстват на програмата за научни изследвания и иновации.</w:t>
      </w:r>
    </w:p>
    <w:p>
      <w:pPr>
        <w:pStyle w:val="Point0"/>
        <w:rPr>
          <w:noProof/>
        </w:rPr>
      </w:pPr>
      <w:r>
        <w:t>(7)</w:t>
      </w:r>
      <w:r>
        <w:tab/>
      </w:r>
      <w:r>
        <w:rPr>
          <w:noProof/>
        </w:rPr>
        <w:t>Финансовата вноска на Съюза, посочена в параграф 1, буква б), се използва за изграждането на капацитет в целия Съюз, включително придобиването и експлоатацията на високопроизводителни компютри, квантови компютри или квантови симулатори, обединяването на инфраструктурата за услуги и данни в областта на високопроизводителните изчислителни технологии и квантовите изчислителни технологии и разширяването на използването им, както и развитието на усъвършенствани умения и обучение.</w:t>
      </w:r>
    </w:p>
    <w:p>
      <w:pPr>
        <w:pStyle w:val="Point0"/>
        <w:rPr>
          <w:noProof/>
        </w:rPr>
      </w:pPr>
      <w:r>
        <w:t>(8)</w:t>
      </w:r>
      <w:r>
        <w:tab/>
      </w:r>
      <w:r>
        <w:rPr>
          <w:noProof/>
        </w:rPr>
        <w:t>Финансовата вноска на Съюза, посочена в параграф 1, буква в), се изплаща от бюджетните кредити за плащания от общия бюджет на Съюза, разпределени за Механизма за свързване на Европа, и се използва за свързване на ресурсите за високопроизводителни изчислителни технологии и данни и за създаване на интегрирана общоевропейска, хиперсвързана инфраструктура за високопроизводителни изчислителни технологии и данни.</w:t>
      </w:r>
    </w:p>
    <w:p>
      <w:pPr>
        <w:pStyle w:val="Titrearticle"/>
        <w:spacing w:before="240"/>
        <w:rPr>
          <w:noProof/>
          <w:color w:val="000000" w:themeColor="text1"/>
        </w:rPr>
      </w:pPr>
      <w:r>
        <w:rPr>
          <w:noProof/>
          <w:color w:val="000000" w:themeColor="text1"/>
        </w:rPr>
        <w:lastRenderedPageBreak/>
        <w:t>Член 6</w:t>
      </w:r>
    </w:p>
    <w:p>
      <w:pPr>
        <w:pStyle w:val="NormalCentered"/>
        <w:spacing w:before="0" w:after="240"/>
        <w:rPr>
          <w:b/>
          <w:bCs/>
          <w:noProof/>
          <w:color w:val="000000" w:themeColor="text1"/>
        </w:rPr>
      </w:pPr>
      <w:r>
        <w:rPr>
          <w:b/>
          <w:bCs/>
          <w:noProof/>
          <w:color w:val="000000" w:themeColor="text1"/>
        </w:rPr>
        <w:t>Други вноски от Съюза</w:t>
      </w:r>
    </w:p>
    <w:p>
      <w:pPr>
        <w:spacing w:before="0"/>
        <w:rPr>
          <w:noProof/>
          <w:color w:val="000000" w:themeColor="text1"/>
        </w:rPr>
      </w:pPr>
      <w:r>
        <w:rPr>
          <w:noProof/>
          <w:color w:val="000000" w:themeColor="text1"/>
        </w:rPr>
        <w:t>Вноските от програми на Съюза, различни от посочените в член 5, параграф 1, които са част от съфинансирането на Съюза за програма, изпълнявана от някоя от участващите държави, не се отчитат при изчисляването на максималната финансова вноска на Съюза, посочена в член 5.</w:t>
      </w:r>
    </w:p>
    <w:p>
      <w:pPr>
        <w:pStyle w:val="Titrearticle"/>
        <w:spacing w:before="240"/>
        <w:rPr>
          <w:noProof/>
          <w:color w:val="000000" w:themeColor="text1"/>
        </w:rPr>
      </w:pPr>
      <w:r>
        <w:rPr>
          <w:noProof/>
          <w:color w:val="000000" w:themeColor="text1"/>
        </w:rPr>
        <w:t>Член 7</w:t>
      </w:r>
    </w:p>
    <w:p>
      <w:pPr>
        <w:pStyle w:val="NormalCentered"/>
        <w:spacing w:before="0" w:after="240"/>
        <w:rPr>
          <w:b/>
          <w:bCs/>
          <w:noProof/>
          <w:color w:val="000000" w:themeColor="text1"/>
        </w:rPr>
      </w:pPr>
      <w:r>
        <w:rPr>
          <w:b/>
          <w:bCs/>
          <w:noProof/>
          <w:color w:val="000000" w:themeColor="text1"/>
        </w:rPr>
        <w:t>Вноски от членове, различни от Съюза</w:t>
      </w:r>
    </w:p>
    <w:p>
      <w:pPr>
        <w:pStyle w:val="Point0"/>
        <w:rPr>
          <w:noProof/>
        </w:rPr>
      </w:pPr>
      <w:r>
        <w:t>(1)</w:t>
      </w:r>
      <w:r>
        <w:tab/>
      </w:r>
      <w:r>
        <w:rPr>
          <w:noProof/>
        </w:rPr>
        <w:t>Участващите държави правят обща вноска, която е поне равна на размера на вноската на Съюза, посочена в член 5 от настоящия регламент, включително вноска в размер до EUR [XXXXX] за административни разходи [равна на размера на вноската на Съюза за административните разходи, посочена в член 5 от настоящия регламент]. Участващите държави уреждат помежду си начина, по който ще предоставят своя колективен принос.</w:t>
      </w:r>
    </w:p>
    <w:p>
      <w:pPr>
        <w:pStyle w:val="Point0"/>
        <w:rPr>
          <w:noProof/>
        </w:rPr>
      </w:pPr>
      <w:r>
        <w:t>(2)</w:t>
      </w:r>
      <w:r>
        <w:tab/>
      </w:r>
      <w:r>
        <w:rPr>
          <w:noProof/>
        </w:rPr>
        <w:t xml:space="preserve">Частноправните членове на съвместното предприятие заплащат или организират заплащането на вноски от участващите в тях образувания и свързаните с тях субекти в размер на поне EUR [XXXXX] за съвместното предприятие, включително до EUR [XXXXX] за административни разходи [равно на 22,22 % от размера на вноската на Съюза за административни разходи, посочени в член 5 от настоящия регламент]. </w:t>
      </w:r>
    </w:p>
    <w:p>
      <w:pPr>
        <w:pStyle w:val="Point0"/>
        <w:rPr>
          <w:noProof/>
        </w:rPr>
      </w:pPr>
      <w:r>
        <w:t>(3)</w:t>
      </w:r>
      <w:r>
        <w:tab/>
      </w:r>
      <w:r>
        <w:rPr>
          <w:noProof/>
        </w:rPr>
        <w:t xml:space="preserve">Вноските по параграфи 1 и 2 от настоящия член се състоят от вноски съгласно член 15 от устава. </w:t>
      </w:r>
    </w:p>
    <w:p>
      <w:pPr>
        <w:pStyle w:val="Point0"/>
        <w:rPr>
          <w:noProof/>
        </w:rPr>
      </w:pPr>
      <w:r>
        <w:t>(4)</w:t>
      </w:r>
      <w:r>
        <w:tab/>
      </w:r>
      <w:r>
        <w:rPr>
          <w:noProof/>
        </w:rPr>
        <w:t xml:space="preserve">Вноските по член 15, параграф 3, буква е) от устава може да бъдат предоставени от всяка участваща държава в полза на бенефициерите, установени в същата участваща държава. Участващите държави може да допълват вноската на съвместното предприятие в рамките на максималната ставка за възстановяване на разходите, определена в член 30 от Регламент (ЕС) № ххх за създаване на „Хоризонт Европа“, в член ххх от Регламента (ЕС) № ххх за създаване на програмата „Цифрова Европа“ и в член ххх от Регламент (ЕС) № ххх за създаване на Механизъм за свързване на Европа. Тези вноски не засягат правилата по отношение на държавната помощ. </w:t>
      </w:r>
    </w:p>
    <w:p>
      <w:pPr>
        <w:pStyle w:val="Point0"/>
        <w:rPr>
          <w:noProof/>
        </w:rPr>
      </w:pPr>
      <w:r>
        <w:t>(5)</w:t>
      </w:r>
      <w:r>
        <w:tab/>
      </w:r>
      <w:r>
        <w:rPr>
          <w:noProof/>
        </w:rPr>
        <w:t xml:space="preserve">Членовете на съвместното предприятие, различни от Съюза, докладват на Управителния съвет до 31 януари всяка година, както е определено в член 15 от устава, за стойността на вноските по параграфи 1 и 2 от настоящия член за предходната финансова година. </w:t>
      </w:r>
    </w:p>
    <w:p>
      <w:pPr>
        <w:pStyle w:val="Point0"/>
        <w:rPr>
          <w:noProof/>
        </w:rPr>
      </w:pPr>
      <w:r>
        <w:t>(6)</w:t>
      </w:r>
      <w:r>
        <w:tab/>
      </w:r>
      <w:r>
        <w:rPr>
          <w:noProof/>
        </w:rPr>
        <w:t xml:space="preserve">За целите на оценката на вноските по член 15, параграф 3, букви б)—е) от устава разходите се определят в съответствие с обичайните практики за осчетоводяване на разходите на съответните субекти, приложимите счетоводни стандарти в държавата, където е установен субектът, и приложимите международни счетоводни стандарти и международни стандарти за финансова отчетност. Разходите се заверяват от независим външен одитор, определен от съответния субект. Методът на оценяване може да бъде проверен от съвместното предприятие, ако при заверяването се появи несигурност. Ако въпреки това несигурността остане, съвместното предприятие може да извърши одит на метода на оценка. </w:t>
      </w:r>
    </w:p>
    <w:p>
      <w:pPr>
        <w:pStyle w:val="Point0"/>
        <w:rPr>
          <w:noProof/>
        </w:rPr>
      </w:pPr>
      <w:r>
        <w:lastRenderedPageBreak/>
        <w:t>(7)</w:t>
      </w:r>
      <w:r>
        <w:tab/>
      </w:r>
      <w:r>
        <w:rPr>
          <w:noProof/>
        </w:rPr>
        <w:t xml:space="preserve">Комисията може да прекрати, да намали пропорционално или да спре временно финансовата вноска на Съюза в съвместното предприятие, или да започне производство по ликвидация на предприятието съгласно член 24 от устава в следните случаи: </w:t>
      </w:r>
    </w:p>
    <w:p>
      <w:pPr>
        <w:pStyle w:val="Point1"/>
        <w:rPr>
          <w:noProof/>
        </w:rPr>
      </w:pPr>
      <w:r>
        <w:rPr>
          <w:noProof/>
        </w:rPr>
        <w:t>а)</w:t>
      </w:r>
      <w:r>
        <w:rPr>
          <w:noProof/>
        </w:rPr>
        <w:tab/>
        <w:t>ако съвместното предприятие не отговаря на условията за вноската на Съюза, или</w:t>
      </w:r>
    </w:p>
    <w:p>
      <w:pPr>
        <w:pStyle w:val="Point1"/>
        <w:rPr>
          <w:noProof/>
        </w:rPr>
      </w:pPr>
      <w:r>
        <w:rPr>
          <w:noProof/>
        </w:rPr>
        <w:t>б)</w:t>
      </w:r>
      <w:r>
        <w:rPr>
          <w:noProof/>
        </w:rPr>
        <w:tab/>
        <w:t xml:space="preserve">ако членове, различни от Съюза, или участващи в тях образувания, или свързани с тях субекти, не правят вноски, правят само частични вноски или не спазват сроковете по отношение на вноските, посочени в параграфи 1 и 2 от настоящия член, или </w:t>
      </w:r>
    </w:p>
    <w:p>
      <w:pPr>
        <w:pStyle w:val="Point1"/>
        <w:rPr>
          <w:noProof/>
        </w:rPr>
      </w:pPr>
      <w:r>
        <w:rPr>
          <w:noProof/>
        </w:rPr>
        <w:t>в)</w:t>
      </w:r>
      <w:r>
        <w:rPr>
          <w:noProof/>
        </w:rPr>
        <w:tab/>
        <w:t>в резултат на оценките, посочени в член 22.</w:t>
      </w:r>
    </w:p>
    <w:p>
      <w:pPr>
        <w:pStyle w:val="Text1"/>
        <w:rPr>
          <w:noProof/>
        </w:rPr>
      </w:pPr>
      <w:r>
        <w:rPr>
          <w:noProof/>
        </w:rPr>
        <w:t xml:space="preserve">Решението на Комисията за прекратяване, пропорционално намаляване или временно спиране на финансовата вноска на Съюза не възпрепятства възстановяването на допустимите разходи, извършени от членовете, различни от Съюза, преди съвместното предприятие да бъде уведомено за решението. </w:t>
      </w:r>
    </w:p>
    <w:p>
      <w:pPr>
        <w:pStyle w:val="Titrearticle"/>
        <w:spacing w:before="240"/>
        <w:rPr>
          <w:noProof/>
          <w:color w:val="000000" w:themeColor="text1"/>
        </w:rPr>
      </w:pPr>
      <w:r>
        <w:rPr>
          <w:noProof/>
          <w:color w:val="000000" w:themeColor="text1"/>
        </w:rPr>
        <w:t>Член 8</w:t>
      </w:r>
    </w:p>
    <w:p>
      <w:pPr>
        <w:pStyle w:val="NormalCentered"/>
        <w:spacing w:before="0" w:after="240"/>
        <w:rPr>
          <w:b/>
          <w:bCs/>
          <w:noProof/>
          <w:color w:val="000000" w:themeColor="text1"/>
        </w:rPr>
      </w:pPr>
      <w:r>
        <w:rPr>
          <w:b/>
          <w:bCs/>
          <w:noProof/>
          <w:color w:val="000000" w:themeColor="text1"/>
        </w:rPr>
        <w:t>Доставчик на хостинг</w:t>
      </w:r>
    </w:p>
    <w:p>
      <w:pPr>
        <w:pStyle w:val="Point0"/>
        <w:rPr>
          <w:noProof/>
        </w:rPr>
      </w:pPr>
      <w:r>
        <w:t>(1)</w:t>
      </w:r>
      <w:r>
        <w:tab/>
      </w:r>
      <w:r>
        <w:rPr>
          <w:noProof/>
        </w:rPr>
        <w:t xml:space="preserve">Суперкомпютрите на СП EuroHPC се разполагат в участваща държава, която е държава членка. Една участваща държава предоставя хостинг за повече от един суперкомпютър на СП EuroHPC само ако са изминали повече от две години между придобиването на суперкомпютрите или ако те са от различни технологии (класическа/квантова). </w:t>
      </w:r>
    </w:p>
    <w:p>
      <w:pPr>
        <w:pStyle w:val="Point0"/>
        <w:rPr>
          <w:noProof/>
        </w:rPr>
      </w:pPr>
      <w:r>
        <w:t>(2)</w:t>
      </w:r>
      <w:r>
        <w:tab/>
      </w:r>
      <w:r>
        <w:rPr>
          <w:noProof/>
        </w:rPr>
        <w:t xml:space="preserve">По отношение на суперкомпютрите на СП EuroHPC, посочени в членове 10, 11 и 13 от настоящия регламент, доставчикът на хостинг може да представлява участваща държава, която е държава членка, или консорциум, осигуряващ хостинг. Доставчикът на хостинг и компетентните органи на държавата или държавите, участващи в консорциум за хостинг, сключват споразумение за тази цел. </w:t>
      </w:r>
    </w:p>
    <w:p>
      <w:pPr>
        <w:pStyle w:val="Point0"/>
        <w:rPr>
          <w:noProof/>
        </w:rPr>
      </w:pPr>
      <w:r>
        <w:t>(3)</w:t>
      </w:r>
      <w:r>
        <w:tab/>
      </w:r>
      <w:r>
        <w:rPr>
          <w:noProof/>
        </w:rPr>
        <w:t xml:space="preserve">Съвместното предприятие възлага на доставчик на хостинг експлоатацията на всеки отделен суперкомпютър на СП EuroHPC, който е изцяло собственост на съвместното предприятие или е съсобственост в съответствие с членове 10, 11 и 13 от настоящия регламент. </w:t>
      </w:r>
    </w:p>
    <w:p>
      <w:pPr>
        <w:pStyle w:val="Point0"/>
        <w:rPr>
          <w:noProof/>
        </w:rPr>
      </w:pPr>
      <w:r>
        <w:t>(4)</w:t>
      </w:r>
      <w:r>
        <w:tab/>
      </w:r>
      <w:r>
        <w:rPr>
          <w:noProof/>
        </w:rPr>
        <w:t>Доставчиците на хостинг, посочени в параграф 2 от настоящия член, се избират в съответствие с параграф 5 от настоящия член и с финансовите правила на съвместното предприятие, посочени в член 17 от настоящия регламент.</w:t>
      </w:r>
    </w:p>
    <w:p>
      <w:pPr>
        <w:pStyle w:val="Point0"/>
        <w:rPr>
          <w:noProof/>
        </w:rPr>
      </w:pPr>
      <w:r>
        <w:t>(5)</w:t>
      </w:r>
      <w:r>
        <w:tab/>
      </w:r>
      <w:r>
        <w:rPr>
          <w:noProof/>
        </w:rPr>
        <w:t xml:space="preserve">След оповестяването на покана за заявяване на интерес доставчикът на хостинг, посочен в параграф 2 от настоящия член, и съответната участваща държава, в която е установен доставчикът на хостинг, или съответният консорциум, осигуряващ хостинг, се избират от Управителния съвет посредством справедлив и прозрачен процес, който се основава, наред с другото, на следните критерии: </w:t>
      </w:r>
    </w:p>
    <w:p>
      <w:pPr>
        <w:pStyle w:val="Point1"/>
        <w:rPr>
          <w:noProof/>
        </w:rPr>
      </w:pPr>
      <w:r>
        <w:rPr>
          <w:noProof/>
        </w:rPr>
        <w:t>а)</w:t>
      </w:r>
      <w:r>
        <w:rPr>
          <w:noProof/>
        </w:rPr>
        <w:tab/>
        <w:t xml:space="preserve">съответствие с общите спецификации на системата, определени в поканата за заявяване на интерес; </w:t>
      </w:r>
    </w:p>
    <w:p>
      <w:pPr>
        <w:pStyle w:val="Point1"/>
        <w:rPr>
          <w:noProof/>
        </w:rPr>
      </w:pPr>
      <w:r>
        <w:rPr>
          <w:noProof/>
        </w:rPr>
        <w:lastRenderedPageBreak/>
        <w:t>б)</w:t>
      </w:r>
      <w:r>
        <w:rPr>
          <w:noProof/>
        </w:rPr>
        <w:tab/>
        <w:t>общите разходи за собствеността на суперкомпютъра на СП EuroHPC, включително точна прогноза и метод за проверка на оперативните разходи на този суперкомпютър по време на жизнения му цикъл;</w:t>
      </w:r>
    </w:p>
    <w:p>
      <w:pPr>
        <w:pStyle w:val="Point1"/>
        <w:rPr>
          <w:noProof/>
        </w:rPr>
      </w:pPr>
      <w:r>
        <w:rPr>
          <w:noProof/>
        </w:rPr>
        <w:t>в)</w:t>
      </w:r>
      <w:r>
        <w:rPr>
          <w:noProof/>
        </w:rPr>
        <w:tab/>
        <w:t xml:space="preserve">опит на доставчика на хостинг с инсталирането и експлоатацията на подобни системи; </w:t>
      </w:r>
    </w:p>
    <w:p>
      <w:pPr>
        <w:pStyle w:val="Point1"/>
        <w:rPr>
          <w:noProof/>
        </w:rPr>
      </w:pPr>
      <w:r>
        <w:rPr>
          <w:noProof/>
        </w:rPr>
        <w:t>г)</w:t>
      </w:r>
      <w:r>
        <w:rPr>
          <w:noProof/>
        </w:rPr>
        <w:tab/>
        <w:t xml:space="preserve">качество на физическата и ИТ инфраструктура в съоръженията на доставчика на хостинг, нейната сигурност и свързаност с останалата част на Съюза; </w:t>
      </w:r>
    </w:p>
    <w:p>
      <w:pPr>
        <w:pStyle w:val="Point1"/>
        <w:rPr>
          <w:noProof/>
        </w:rPr>
      </w:pPr>
      <w:r>
        <w:rPr>
          <w:noProof/>
        </w:rPr>
        <w:t>д)</w:t>
      </w:r>
      <w:r>
        <w:rPr>
          <w:noProof/>
        </w:rPr>
        <w:tab/>
        <w:t xml:space="preserve">качество на услугата за потребителите, а именно способността да се спазва споразумението за ниво на обслужване, което е част от документацията в процедурата за подбор; </w:t>
      </w:r>
    </w:p>
    <w:p>
      <w:pPr>
        <w:pStyle w:val="Point1"/>
        <w:rPr>
          <w:noProof/>
        </w:rPr>
      </w:pPr>
      <w:r>
        <w:rPr>
          <w:noProof/>
        </w:rPr>
        <w:t>е)</w:t>
      </w:r>
      <w:r>
        <w:rPr>
          <w:noProof/>
        </w:rPr>
        <w:tab/>
        <w:t xml:space="preserve">представяне на подходящ документ, който да доказва ангажимента на държавата членка, в която е установен доставчикът на хостинг, или на компетентните органи на държавите, участващи в консорциума, осигуряващ хостинг, да покриват дела от общите разходи за собственост на суперкомпютъра на СП EuroHPC, които не са покрити от вноската на Съюза, предвидена в член 5, или евентуалните други вноски на Съюза, предвидени в член 6, до прехвърляне на собствеността от съвместното предприятие на доставчика на хостинг или до продажбата или извеждането от експлоатация на суперкомпютъра, ако не бъде извършено прехвърляне на собствеността. </w:t>
      </w:r>
    </w:p>
    <w:p>
      <w:pPr>
        <w:pStyle w:val="Point0"/>
        <w:rPr>
          <w:noProof/>
        </w:rPr>
      </w:pPr>
      <w:r>
        <w:t>(6)</w:t>
      </w:r>
      <w:r>
        <w:tab/>
      </w:r>
      <w:r>
        <w:rPr>
          <w:noProof/>
        </w:rPr>
        <w:t xml:space="preserve">По отношение на суперкомпютрите от промишлен клас на СП EuroHPC, посочени в член 12 от настоящия регламент, доставчикът на хостинг се присъединява към частноправните членове или към консорциум от частни партньори за целите на придобиването и експлоатацията на такива суперкомпютри или дялове на суперкомпютри на СП EuroHPC. Доставчикът на хостинг сключва споразумение с частноправните членове или с консорциума от частни партньори за тази цел. </w:t>
      </w:r>
    </w:p>
    <w:p>
      <w:pPr>
        <w:pStyle w:val="Point1"/>
        <w:rPr>
          <w:noProof/>
        </w:rPr>
      </w:pPr>
      <w:r>
        <w:rPr>
          <w:noProof/>
        </w:rPr>
        <w:t>а)</w:t>
      </w:r>
      <w:r>
        <w:rPr>
          <w:noProof/>
        </w:rPr>
        <w:tab/>
        <w:t xml:space="preserve">Съвместното предприятие възлага на доставчика на хостинг експлоатацията на всеки отделен суперкомпютър от промишлен клас на СП EuroHPC, който е съсобственост в съответствие с член 12 от настоящия регламент. </w:t>
      </w:r>
    </w:p>
    <w:p>
      <w:pPr>
        <w:pStyle w:val="Point1"/>
        <w:rPr>
          <w:noProof/>
        </w:rPr>
      </w:pPr>
      <w:r>
        <w:rPr>
          <w:noProof/>
        </w:rPr>
        <w:t>б)</w:t>
      </w:r>
      <w:r>
        <w:rPr>
          <w:noProof/>
        </w:rPr>
        <w:tab/>
        <w:t>Доставчиците на хостинг се избират в съответствие с параграф 5 от настоящия член и с финансовите правила на съвместното предприятие, посочени в член 17 от настоящия регламент.</w:t>
      </w:r>
    </w:p>
    <w:p>
      <w:pPr>
        <w:pStyle w:val="Point1"/>
        <w:rPr>
          <w:noProof/>
        </w:rPr>
      </w:pPr>
      <w:r>
        <w:rPr>
          <w:noProof/>
        </w:rPr>
        <w:t>в)</w:t>
      </w:r>
      <w:r>
        <w:rPr>
          <w:noProof/>
        </w:rPr>
        <w:tab/>
        <w:t>След покана за заявяване на интерес доставчикът на хостинг и свързаните с него частноправни членове или консорциум от частни партньори се избират от Управителния съвет посредством справедлив и прозрачен процес, който се основава, наред с другото, на критериите, изложени в параграф 5, букви а)—д) от настоящия член, както и на следния допълнителен критерий:</w:t>
      </w:r>
    </w:p>
    <w:p>
      <w:pPr>
        <w:pStyle w:val="Text2"/>
        <w:rPr>
          <w:noProof/>
        </w:rPr>
      </w:pPr>
      <w:r>
        <w:rPr>
          <w:noProof/>
        </w:rPr>
        <w:t>представяне на подходящ документ, който да доказва ангажимента на частноправните членове или на консорциума от частни партньори да покрият дела от общите разходи за собственост на суперкомпютъра на СП EuroHPC, който не е покрит от вноската на Съюза, предвидена в член 5, или евентуалните други вноски на Съюза, предвидени в член 6.</w:t>
      </w:r>
    </w:p>
    <w:p>
      <w:pPr>
        <w:pStyle w:val="Point0"/>
        <w:rPr>
          <w:noProof/>
        </w:rPr>
      </w:pPr>
      <w:r>
        <w:lastRenderedPageBreak/>
        <w:t>(7)</w:t>
      </w:r>
      <w:r>
        <w:tab/>
      </w:r>
      <w:r>
        <w:rPr>
          <w:noProof/>
        </w:rPr>
        <w:t>Избраният доставчик на хостинг може да реши да покани, след предварителното съгласие на Европейската комисия, допълнителни участващи държави или частноправни членове, или консорциум от частни партньори, които да се присъединят към консорциума, осигуряващ хостинг. Финансовата вноски или вноската в натура, или какъвто и да е друг ангажимент на присъединяващите се участващи държави или частноправни членове, не засягат финансовата вноска на Съюза и съответните права на собственост и процент от времето за достъп, разпределени на Съюза по отношение на този суперкомпютър на СП EuroHPC, както е определено в членове 10, 11, 12 и 13.</w:t>
      </w:r>
    </w:p>
    <w:p>
      <w:pPr>
        <w:pStyle w:val="Titrearticle"/>
        <w:spacing w:before="240"/>
        <w:rPr>
          <w:noProof/>
          <w:color w:val="000000" w:themeColor="text1"/>
        </w:rPr>
      </w:pPr>
      <w:r>
        <w:rPr>
          <w:noProof/>
          <w:color w:val="000000" w:themeColor="text1"/>
        </w:rPr>
        <w:t>Член 9</w:t>
      </w:r>
    </w:p>
    <w:p>
      <w:pPr>
        <w:pStyle w:val="NormalCentered"/>
        <w:spacing w:before="0" w:after="240"/>
        <w:rPr>
          <w:b/>
          <w:bCs/>
          <w:noProof/>
          <w:color w:val="000000" w:themeColor="text1"/>
        </w:rPr>
      </w:pPr>
      <w:r>
        <w:rPr>
          <w:b/>
          <w:bCs/>
          <w:noProof/>
          <w:color w:val="000000" w:themeColor="text1"/>
        </w:rPr>
        <w:t>Споразумение за хостинг</w:t>
      </w:r>
    </w:p>
    <w:p>
      <w:pPr>
        <w:pStyle w:val="Point0"/>
        <w:rPr>
          <w:noProof/>
        </w:rPr>
      </w:pPr>
      <w:r>
        <w:t>(1)</w:t>
      </w:r>
      <w:r>
        <w:tab/>
      </w:r>
      <w:r>
        <w:rPr>
          <w:noProof/>
        </w:rPr>
        <w:t xml:space="preserve">Съвместното предприятие сключва споразумение за хостинг с всеки избран доставчик на хостинг преди началото на процедурата за придобиване на суперкомпютър на СП EuroHPC. </w:t>
      </w:r>
    </w:p>
    <w:p>
      <w:pPr>
        <w:pStyle w:val="Point0"/>
        <w:rPr>
          <w:noProof/>
        </w:rPr>
      </w:pPr>
      <w:r>
        <w:t>(2)</w:t>
      </w:r>
      <w:r>
        <w:tab/>
      </w:r>
      <w:r>
        <w:rPr>
          <w:noProof/>
        </w:rPr>
        <w:t xml:space="preserve">Споразумението за хостинг включва по-специално следните елементи по отношение на суперкомпютрите на СП EuroHPC: </w:t>
      </w:r>
    </w:p>
    <w:p>
      <w:pPr>
        <w:pStyle w:val="Point1"/>
        <w:rPr>
          <w:noProof/>
        </w:rPr>
      </w:pPr>
      <w:r>
        <w:rPr>
          <w:noProof/>
        </w:rPr>
        <w:t>а)</w:t>
      </w:r>
      <w:r>
        <w:rPr>
          <w:noProof/>
        </w:rPr>
        <w:tab/>
        <w:t xml:space="preserve">правата и задълженията по време на процедурата за придобиване на суперкомпютъра, включително приемателните изпитвания на суперкомпютъра; </w:t>
      </w:r>
    </w:p>
    <w:p>
      <w:pPr>
        <w:pStyle w:val="Point1"/>
        <w:rPr>
          <w:noProof/>
        </w:rPr>
      </w:pPr>
      <w:r>
        <w:rPr>
          <w:noProof/>
        </w:rPr>
        <w:t>б)</w:t>
      </w:r>
      <w:r>
        <w:rPr>
          <w:noProof/>
        </w:rPr>
        <w:tab/>
        <w:t xml:space="preserve">условията за поемане на отговорност за експлоатацията на суперкомпютъра; </w:t>
      </w:r>
    </w:p>
    <w:p>
      <w:pPr>
        <w:pStyle w:val="Point1"/>
        <w:rPr>
          <w:noProof/>
        </w:rPr>
      </w:pPr>
      <w:r>
        <w:rPr>
          <w:noProof/>
        </w:rPr>
        <w:t>в)</w:t>
      </w:r>
      <w:r>
        <w:rPr>
          <w:noProof/>
        </w:rPr>
        <w:tab/>
        <w:t xml:space="preserve">качеството на услугата, предлагана на потребителите при експлоатацията на суперкомпютъра съгласно споразумението за нивото на обслужване; </w:t>
      </w:r>
    </w:p>
    <w:p>
      <w:pPr>
        <w:pStyle w:val="Point1"/>
        <w:rPr>
          <w:noProof/>
        </w:rPr>
      </w:pPr>
      <w:r>
        <w:rPr>
          <w:noProof/>
        </w:rPr>
        <w:t>г)</w:t>
      </w:r>
      <w:r>
        <w:rPr>
          <w:noProof/>
        </w:rPr>
        <w:tab/>
        <w:t xml:space="preserve">плановете по отношение на енергийната ефективност и екологичната устойчивост на суперкомпютъра; </w:t>
      </w:r>
    </w:p>
    <w:p>
      <w:pPr>
        <w:pStyle w:val="Point1"/>
        <w:rPr>
          <w:noProof/>
        </w:rPr>
      </w:pPr>
      <w:r>
        <w:rPr>
          <w:noProof/>
        </w:rPr>
        <w:t>д)</w:t>
      </w:r>
      <w:r>
        <w:rPr>
          <w:noProof/>
        </w:rPr>
        <w:tab/>
        <w:t xml:space="preserve">условията за достъп във връзка с дела на Съюза от времето за достъп до суперкомпютъра според решението на Управителния съвет в съответствие с член 15; </w:t>
      </w:r>
    </w:p>
    <w:p>
      <w:pPr>
        <w:pStyle w:val="Point1"/>
        <w:rPr>
          <w:noProof/>
        </w:rPr>
      </w:pPr>
      <w:r>
        <w:rPr>
          <w:noProof/>
        </w:rPr>
        <w:t>е)</w:t>
      </w:r>
      <w:r>
        <w:rPr>
          <w:noProof/>
        </w:rPr>
        <w:tab/>
        <w:t xml:space="preserve">начина на отчитане на времето за достъп; </w:t>
      </w:r>
    </w:p>
    <w:p>
      <w:pPr>
        <w:pStyle w:val="Point1"/>
        <w:rPr>
          <w:noProof/>
        </w:rPr>
      </w:pPr>
      <w:r>
        <w:rPr>
          <w:noProof/>
        </w:rPr>
        <w:t>ж)</w:t>
      </w:r>
      <w:r>
        <w:rPr>
          <w:noProof/>
        </w:rPr>
        <w:tab/>
        <w:t xml:space="preserve">дела от общите разходи за собственост, за който доставчикът на хостинг се задължава да уреди да бъде покрит от участващата държава, в която е установен доставчикът на хостинг, или от държавите, участващи в консорциума, осигуряващ хостинг; </w:t>
      </w:r>
    </w:p>
    <w:p>
      <w:pPr>
        <w:pStyle w:val="Point1"/>
        <w:rPr>
          <w:noProof/>
        </w:rPr>
      </w:pPr>
      <w:r>
        <w:rPr>
          <w:noProof/>
        </w:rPr>
        <w:t>з)</w:t>
      </w:r>
      <w:r>
        <w:rPr>
          <w:noProof/>
        </w:rPr>
        <w:tab/>
        <w:t xml:space="preserve">условията за прехвърляне на собствеността съгласно член 10, параграф 4, член 11, параграф 5, член 12, параграф 5 и член 13, параграф 4, включително — в случая със суперкомпютрите на СП EuroHPC — правилата за изчисляване на тяхната остатъчна стойност и за извеждането им от експлоатация; </w:t>
      </w:r>
    </w:p>
    <w:p>
      <w:pPr>
        <w:pStyle w:val="Point1"/>
        <w:rPr>
          <w:noProof/>
        </w:rPr>
      </w:pPr>
      <w:r>
        <w:rPr>
          <w:noProof/>
        </w:rPr>
        <w:t>и)</w:t>
      </w:r>
      <w:r>
        <w:rPr>
          <w:noProof/>
        </w:rPr>
        <w:tab/>
        <w:t xml:space="preserve">задължението на доставчика на хостинг да предоставя достъп до суперкомпютрите на СП EuroHPC и да осигурява тяхната сигурност, защитата на личните данни в съответствие с Регламент (ЕС) 2016/679, неприкосновеността на личния живот в областта на електронните комуникации в съответствие с Директива 2002/58/ЕО, опазването на търговската тайна в съответствие с Директива (ЕС) 2016/943 и защитата </w:t>
      </w:r>
      <w:r>
        <w:rPr>
          <w:noProof/>
        </w:rPr>
        <w:lastRenderedPageBreak/>
        <w:t xml:space="preserve">на поверителността на всички други данни, за които се отнася задължението за опазване на професионална тайна; </w:t>
      </w:r>
    </w:p>
    <w:p>
      <w:pPr>
        <w:pStyle w:val="Point1"/>
        <w:rPr>
          <w:noProof/>
        </w:rPr>
      </w:pPr>
      <w:r>
        <w:rPr>
          <w:noProof/>
        </w:rPr>
        <w:t>й)</w:t>
      </w:r>
      <w:r>
        <w:rPr>
          <w:noProof/>
        </w:rPr>
        <w:tab/>
        <w:t xml:space="preserve">задължението на доставчика на хостинг да въведе сертифицирана одитна процедура, която да обхваща разходите за експлоатация на суперкомпютъра на СП EuroHPC и времето за достъп на потребителите; </w:t>
      </w:r>
    </w:p>
    <w:p>
      <w:pPr>
        <w:pStyle w:val="Point1"/>
        <w:rPr>
          <w:noProof/>
        </w:rPr>
      </w:pPr>
      <w:r>
        <w:rPr>
          <w:noProof/>
        </w:rPr>
        <w:t>к)</w:t>
      </w:r>
      <w:r>
        <w:rPr>
          <w:noProof/>
        </w:rPr>
        <w:tab/>
        <w:t xml:space="preserve">задължението на доставчика на хостинг да представя до 31 януари всяка година на Управителния съвет доклад от одита и данни за използването на времето за достъп за предходната финансова година; </w:t>
      </w:r>
    </w:p>
    <w:p>
      <w:pPr>
        <w:pStyle w:val="Point1"/>
        <w:rPr>
          <w:noProof/>
        </w:rPr>
      </w:pPr>
      <w:r>
        <w:rPr>
          <w:noProof/>
        </w:rPr>
        <w:t>л)</w:t>
      </w:r>
      <w:r>
        <w:rPr>
          <w:noProof/>
        </w:rPr>
        <w:tab/>
        <w:t xml:space="preserve">специални условия, приложими когато доставчикът на хостинг експлоатира суперкомпютър на СП EuroHPC за промишлени цели. </w:t>
      </w:r>
    </w:p>
    <w:p>
      <w:pPr>
        <w:pStyle w:val="Point0"/>
        <w:rPr>
          <w:noProof/>
        </w:rPr>
      </w:pPr>
      <w:r>
        <w:t>(3)</w:t>
      </w:r>
      <w:r>
        <w:tab/>
      </w:r>
      <w:r>
        <w:rPr>
          <w:noProof/>
        </w:rPr>
        <w:t xml:space="preserve">Споразумението за хостинг се урежда от правото на Съюза, като по всякакви въпроси, които не са обхванати от настоящия регламент или от друг правен акт на Съюза, се прилага правото на държавата членка, в която се намира доставчикът на хостинг. </w:t>
      </w:r>
    </w:p>
    <w:p>
      <w:pPr>
        <w:pStyle w:val="Point0"/>
        <w:rPr>
          <w:noProof/>
        </w:rPr>
      </w:pPr>
      <w:r>
        <w:t>(4)</w:t>
      </w:r>
      <w:r>
        <w:tab/>
      </w:r>
      <w:r>
        <w:rPr>
          <w:noProof/>
        </w:rPr>
        <w:t xml:space="preserve">Споразумението за хостинг съдържа арбитражна клауза по смисъла на член 272 ДФЕС, с която на Съда на Европейския съюз се дава компетентност по всички въпроси, обхванати от споразумението. </w:t>
      </w:r>
    </w:p>
    <w:p>
      <w:pPr>
        <w:pStyle w:val="Point0"/>
        <w:rPr>
          <w:noProof/>
        </w:rPr>
      </w:pPr>
      <w:r>
        <w:t>(5)</w:t>
      </w:r>
      <w:r>
        <w:tab/>
      </w:r>
      <w:r>
        <w:rPr>
          <w:noProof/>
        </w:rPr>
        <w:t>След сключването на споразумението за хостинг и без да се засяга параграф 2 от настоящия член съвместното предприятие, с подкрепата на избрания доставчик на хостинг, започва процедурите за придобиването на суперкомпютър на СП EuroHPC в съответствие с финансовите правила на съвместното предприятие, посочени в член 17.</w:t>
      </w:r>
    </w:p>
    <w:p>
      <w:pPr>
        <w:pStyle w:val="Point0"/>
        <w:rPr>
          <w:noProof/>
        </w:rPr>
      </w:pPr>
      <w:r>
        <w:t>(6)</w:t>
      </w:r>
      <w:r>
        <w:tab/>
      </w:r>
      <w:r>
        <w:rPr>
          <w:noProof/>
        </w:rPr>
        <w:t>За суперкомпютри от среден клас — след сключването на споразумението за хостинг съвместното предприятие или доставчикът на хостинг започва процедурите за придобиването на суперкомпютър на СП EuroHPC от името и на двете договарящи страни, в съответствие с финансовите правила на съвместното предприятие, посочени в член 17.</w:t>
      </w:r>
    </w:p>
    <w:p>
      <w:pPr>
        <w:pStyle w:val="Titrearticle"/>
        <w:spacing w:before="240"/>
        <w:rPr>
          <w:noProof/>
          <w:color w:val="000000" w:themeColor="text1"/>
        </w:rPr>
      </w:pPr>
      <w:r>
        <w:rPr>
          <w:noProof/>
          <w:color w:val="000000" w:themeColor="text1"/>
        </w:rPr>
        <w:t>Член 10</w:t>
      </w:r>
    </w:p>
    <w:p>
      <w:pPr>
        <w:pStyle w:val="NormalCentered"/>
        <w:spacing w:before="0" w:after="240"/>
        <w:rPr>
          <w:b/>
          <w:bCs/>
          <w:noProof/>
          <w:color w:val="000000" w:themeColor="text1"/>
        </w:rPr>
      </w:pPr>
      <w:r>
        <w:rPr>
          <w:b/>
          <w:bCs/>
          <w:noProof/>
          <w:color w:val="000000" w:themeColor="text1"/>
        </w:rPr>
        <w:t xml:space="preserve">Придобиване и собственост на суперкомпютри от висок клас </w:t>
      </w:r>
    </w:p>
    <w:p>
      <w:pPr>
        <w:pStyle w:val="Point0"/>
        <w:rPr>
          <w:noProof/>
        </w:rPr>
      </w:pPr>
      <w:r>
        <w:t>(1)</w:t>
      </w:r>
      <w:r>
        <w:tab/>
      </w:r>
      <w:r>
        <w:rPr>
          <w:noProof/>
        </w:rPr>
        <w:t xml:space="preserve">Съвместното предприятие придобива суперкомпютрите от висок клас и става техен собственик. </w:t>
      </w:r>
    </w:p>
    <w:p>
      <w:pPr>
        <w:pStyle w:val="Point0"/>
        <w:rPr>
          <w:noProof/>
        </w:rPr>
      </w:pPr>
      <w:r>
        <w:t>(2)</w:t>
      </w:r>
      <w:r>
        <w:tab/>
      </w:r>
      <w:r>
        <w:rPr>
          <w:noProof/>
        </w:rPr>
        <w:t xml:space="preserve">Финансовата вноска на Съюза, посочена в член 5, параграф 1, покрива до 50 % от разходите за придобиване плюс до 50 % от оперативните разходи за суперкомпютрите от висок клас. </w:t>
      </w:r>
    </w:p>
    <w:p>
      <w:pPr>
        <w:pStyle w:val="Text1"/>
        <w:rPr>
          <w:noProof/>
          <w:color w:val="000000" w:themeColor="text1"/>
        </w:rPr>
      </w:pPr>
      <w:r>
        <w:rPr>
          <w:noProof/>
          <w:color w:val="000000" w:themeColor="text1"/>
        </w:rPr>
        <w:t>Останалата част от общите разходи за собственост на суперкомпютрите от висок клас се покрива от участващата държава, в която е установен доставчикът на хостинг, или от държавите, участващи в консорциума, осигуряващ хостинг, като евентуално се допълва от вноските, посочени в член 6.</w:t>
      </w:r>
    </w:p>
    <w:p>
      <w:pPr>
        <w:pStyle w:val="Point0"/>
        <w:rPr>
          <w:noProof/>
        </w:rPr>
      </w:pPr>
      <w:r>
        <w:t>(3)</w:t>
      </w:r>
      <w:r>
        <w:tab/>
      </w:r>
      <w:r>
        <w:rPr>
          <w:noProof/>
        </w:rPr>
        <w:t xml:space="preserve">При избора на доставчик на суперкомпютъра от висок клас следва да се обърне внимание на </w:t>
      </w:r>
      <w:r>
        <w:rPr>
          <w:noProof/>
          <w:szCs w:val="24"/>
        </w:rPr>
        <w:t>сигурността на веригата за доставки</w:t>
      </w:r>
      <w:r>
        <w:rPr>
          <w:noProof/>
        </w:rPr>
        <w:t xml:space="preserve">. </w:t>
      </w:r>
    </w:p>
    <w:p>
      <w:pPr>
        <w:pStyle w:val="Point0"/>
        <w:rPr>
          <w:noProof/>
        </w:rPr>
      </w:pPr>
      <w:r>
        <w:t>(4)</w:t>
      </w:r>
      <w:r>
        <w:tab/>
      </w:r>
      <w:r>
        <w:rPr>
          <w:noProof/>
        </w:rPr>
        <w:t xml:space="preserve">Без да се засяга ликвидацията на съвместното предприятие, както е посочено в член 24, параграф 4 от устава, най-рано пет години след като съвместното предприятие е провело успешно приемателно изпитване на суперкомпютрите </w:t>
      </w:r>
      <w:r>
        <w:rPr>
          <w:noProof/>
        </w:rPr>
        <w:lastRenderedPageBreak/>
        <w:t xml:space="preserve">от висок клас, монтирани при доставчик на хостинг, собствеността на суперкомпютъра от висок клас може да бъде прехвърлена на съответния доставчик на хостинг, суперкомпютърът може да бъде продаден на друго образувание или да бъде изведен от експлоатация с решение на Управителния съвет и в съответствие със споразумението за хостинг. При прехвърляне на собствеността на суперкомпютър от висок клас доставчикът на хостинг възстановява на съвместното предприятие остатъчната стойност на прехвърления суперкомпютър. Ако собствеността не се прехвърля на доставчика на хостинг, а е взето решение за извеждане от експлоатация, съответните разходи се поделят поравно между съвместното предприятие и доставчика на хостинг. Съвместното предприятие не отговаря за разходите, направени след прехвърлянето на собствеността върху суперкомпютъра от висок клас или след неговата продажба или извеждане от експлоатация. </w:t>
      </w:r>
    </w:p>
    <w:p>
      <w:pPr>
        <w:pStyle w:val="Titrearticle"/>
        <w:spacing w:before="240"/>
        <w:rPr>
          <w:noProof/>
          <w:color w:val="000000" w:themeColor="text1"/>
        </w:rPr>
      </w:pPr>
      <w:r>
        <w:rPr>
          <w:noProof/>
          <w:color w:val="000000" w:themeColor="text1"/>
        </w:rPr>
        <w:t>Член 11</w:t>
      </w:r>
    </w:p>
    <w:p>
      <w:pPr>
        <w:pStyle w:val="NormalCentered"/>
        <w:spacing w:before="0" w:after="240"/>
        <w:rPr>
          <w:b/>
          <w:bCs/>
          <w:noProof/>
          <w:color w:val="000000" w:themeColor="text1"/>
        </w:rPr>
      </w:pPr>
      <w:r>
        <w:rPr>
          <w:b/>
          <w:bCs/>
          <w:noProof/>
          <w:color w:val="000000" w:themeColor="text1"/>
        </w:rPr>
        <w:t>Придобиване и собственост на квантови компютри и квантови симулатори</w:t>
      </w:r>
    </w:p>
    <w:p>
      <w:pPr>
        <w:pStyle w:val="Point0"/>
        <w:rPr>
          <w:noProof/>
        </w:rPr>
      </w:pPr>
      <w:r>
        <w:t>(1)</w:t>
      </w:r>
      <w:r>
        <w:tab/>
      </w:r>
      <w:r>
        <w:rPr>
          <w:noProof/>
        </w:rPr>
        <w:t xml:space="preserve">Съвместното предприятие придобива квантови компютри и квантови симулатори, които могат да варират от пилотни и експериментални системи до прототипи и операционни системи като самостоятелни машини или такива, хибридизирани с високопроизводителни изчислителни машини от висок или от среден клас и достъпни през облака, и става техен собственик. </w:t>
      </w:r>
    </w:p>
    <w:p>
      <w:pPr>
        <w:pStyle w:val="Point0"/>
        <w:rPr>
          <w:noProof/>
        </w:rPr>
      </w:pPr>
      <w:r>
        <w:t>(2)</w:t>
      </w:r>
      <w:r>
        <w:tab/>
      </w:r>
      <w:r>
        <w:rPr>
          <w:noProof/>
        </w:rPr>
        <w:t xml:space="preserve">Финансовата вноска на Съюза, посочена в член 5, параграф 1, покрива до 50 % от разходите за придобиване плюс до 50 % от оперативните разходи за квантовите компютри и квантовите симулатори. </w:t>
      </w:r>
    </w:p>
    <w:p>
      <w:pPr>
        <w:pStyle w:val="Text1"/>
        <w:rPr>
          <w:noProof/>
          <w:color w:val="000000" w:themeColor="text1"/>
        </w:rPr>
      </w:pPr>
      <w:r>
        <w:rPr>
          <w:noProof/>
          <w:color w:val="000000" w:themeColor="text1"/>
        </w:rPr>
        <w:t>Останалата част от общите разходи за собственост на квантовите компютри и квантовите симулатори се покрива от участващата държава, в която е установен доставчикът на хостинг, или от държавите, участващи в консорциума, осигуряващ хостинг, като евентуално се допълва от вноските, посочени в член 6.</w:t>
      </w:r>
    </w:p>
    <w:p>
      <w:pPr>
        <w:pStyle w:val="Point0"/>
        <w:rPr>
          <w:noProof/>
        </w:rPr>
      </w:pPr>
      <w:r>
        <w:t>(3)</w:t>
      </w:r>
      <w:r>
        <w:tab/>
      </w:r>
      <w:r>
        <w:rPr>
          <w:noProof/>
        </w:rPr>
        <w:t xml:space="preserve">При избора на доставчик на квантовите компютри и квантовите симулатори следва да се обърне внимание на </w:t>
      </w:r>
      <w:r>
        <w:rPr>
          <w:noProof/>
          <w:szCs w:val="24"/>
        </w:rPr>
        <w:t>сигурността на веригата за доставки</w:t>
      </w:r>
      <w:r>
        <w:rPr>
          <w:noProof/>
        </w:rPr>
        <w:t xml:space="preserve">. </w:t>
      </w:r>
    </w:p>
    <w:p>
      <w:pPr>
        <w:pStyle w:val="Point0"/>
        <w:rPr>
          <w:noProof/>
        </w:rPr>
      </w:pPr>
      <w:r>
        <w:t>(4)</w:t>
      </w:r>
      <w:r>
        <w:tab/>
      </w:r>
      <w:r>
        <w:rPr>
          <w:noProof/>
        </w:rPr>
        <w:t>Квантовите компютри и квантовите симулатори се намират в доставчик на хостинг на суперкомпютър на СП EuroHPC или в суперкомпютърен център от ниво-0, разположен в Съюза.</w:t>
      </w:r>
    </w:p>
    <w:p>
      <w:pPr>
        <w:pStyle w:val="Point0"/>
        <w:rPr>
          <w:noProof/>
        </w:rPr>
      </w:pPr>
      <w:r>
        <w:t>(5)</w:t>
      </w:r>
      <w:r>
        <w:tab/>
      </w:r>
      <w:r>
        <w:rPr>
          <w:noProof/>
        </w:rPr>
        <w:t xml:space="preserve">Без да се засяга ликвидацията на съвместното предприятие, както е посочено в член 24, параграф 4 от устава, най-рано четири години след успешното приемателно изпитване на квантовия компютър или на квантовия симулатор, монтирани при доставчик на хостинг, собствеността на квантовия компютър или на квантовия симулатор може да бъде прехвърлена на този доставчик на хостинг, компютърът или симулаторът може да бъде продаден на друго образувание или да бъде изведен от експлоатация с решение на Управителния съвет и в съответствие със споразумението за хостинг. При прехвърляне на собствеността на квантов компютър или на квантов симулатор доставчикът на хостинг възстановява на съвместното предприятие остатъчната стойност на прехвърления суперкомпютър. Ако собствеността не се прехвърля на доставчика на хостинг, а е взето решение за извеждане от експлоатация, съответните разходи се поделят поравно между съвместното предприятие и </w:t>
      </w:r>
      <w:r>
        <w:rPr>
          <w:noProof/>
        </w:rPr>
        <w:lastRenderedPageBreak/>
        <w:t>доставчика на хостинг. Съвместното предприятие не отговаря за разходите, направени след прехвърлянето на собствеността на квантовия компютър или на квантовия симулатор или след неговата продажба или извеждане от експлоатация.</w:t>
      </w:r>
    </w:p>
    <w:p>
      <w:pPr>
        <w:pStyle w:val="Titrearticle"/>
        <w:spacing w:before="240"/>
        <w:rPr>
          <w:noProof/>
          <w:color w:val="000000" w:themeColor="text1"/>
        </w:rPr>
      </w:pPr>
      <w:r>
        <w:rPr>
          <w:noProof/>
          <w:color w:val="000000" w:themeColor="text1"/>
        </w:rPr>
        <w:t>Член 12</w:t>
      </w:r>
    </w:p>
    <w:p>
      <w:pPr>
        <w:pStyle w:val="NormalCentered"/>
        <w:spacing w:before="0" w:after="240"/>
        <w:rPr>
          <w:b/>
          <w:bCs/>
          <w:noProof/>
          <w:color w:val="000000" w:themeColor="text1"/>
        </w:rPr>
      </w:pPr>
      <w:r>
        <w:rPr>
          <w:b/>
          <w:bCs/>
          <w:noProof/>
          <w:color w:val="000000" w:themeColor="text1"/>
        </w:rPr>
        <w:t>Придобиване и собственост на суперкомпютри на СП EuroHPC от промишлен клас</w:t>
      </w:r>
    </w:p>
    <w:p>
      <w:pPr>
        <w:pStyle w:val="Point0"/>
        <w:rPr>
          <w:noProof/>
        </w:rPr>
      </w:pPr>
      <w:r>
        <w:t>(1)</w:t>
      </w:r>
      <w:r>
        <w:tab/>
      </w:r>
      <w:r>
        <w:rPr>
          <w:noProof/>
        </w:rPr>
        <w:t xml:space="preserve">Съвместното предприятие придобива, заедно с частноправните членове или с консорциум от частни партньори, суперкомпютри или дялове от суперкомпютри на СП EuroHPC, предназначени главно за използване от промишлеността, и става техен собственик или съсобственик с частноправните членове или с консорциум от частни партньори. </w:t>
      </w:r>
    </w:p>
    <w:p>
      <w:pPr>
        <w:pStyle w:val="Point0"/>
        <w:rPr>
          <w:noProof/>
        </w:rPr>
      </w:pPr>
      <w:r>
        <w:t>(2)</w:t>
      </w:r>
      <w:r>
        <w:tab/>
      </w:r>
      <w:r>
        <w:rPr>
          <w:noProof/>
        </w:rPr>
        <w:t>Финансовата вноска на Съюза, посочена в член 5, параграф 1, покрива до 35 % от разходите за придобиване на суперкомпютрите на СП EuroHPC или дяловете от суперкомпютрите на СП EuroHPC. Останалата част от общите разходи за собствеността на суперкомпютрите на СП EuroHPC или дяловете от суперкомпютрите на СП EuroHPC се покрива от частноправните членове или от консорциума от частни партньори.</w:t>
      </w:r>
    </w:p>
    <w:p>
      <w:pPr>
        <w:pStyle w:val="Point0"/>
        <w:rPr>
          <w:noProof/>
        </w:rPr>
      </w:pPr>
      <w:r>
        <w:t>(3)</w:t>
      </w:r>
      <w:r>
        <w:tab/>
      </w:r>
      <w:r>
        <w:rPr>
          <w:noProof/>
        </w:rPr>
        <w:t xml:space="preserve">При избора на доставчик на суперкомпютър на СП EuroHPC от промишлен клас следва да се обърне внимание на </w:t>
      </w:r>
      <w:r>
        <w:rPr>
          <w:noProof/>
          <w:szCs w:val="24"/>
        </w:rPr>
        <w:t>сигурността на веригата за доставки</w:t>
      </w:r>
      <w:r>
        <w:rPr>
          <w:noProof/>
        </w:rPr>
        <w:t xml:space="preserve">. </w:t>
      </w:r>
    </w:p>
    <w:p>
      <w:pPr>
        <w:pStyle w:val="Point0"/>
        <w:rPr>
          <w:noProof/>
        </w:rPr>
      </w:pPr>
      <w:r>
        <w:t>(4)</w:t>
      </w:r>
      <w:r>
        <w:tab/>
      </w:r>
      <w:r>
        <w:rPr>
          <w:noProof/>
        </w:rPr>
        <w:t>Суперкомпютрите на СП EuroHPC или дяловете от суперкомпютри на СП EuroHPC за промишлена употреба се хостват от доставчик на хостинг на суперкомпютър на СП EuroHPC.</w:t>
      </w:r>
    </w:p>
    <w:p>
      <w:pPr>
        <w:pStyle w:val="Point0"/>
        <w:rPr>
          <w:noProof/>
        </w:rPr>
      </w:pPr>
      <w:r>
        <w:t>(5)</w:t>
      </w:r>
      <w:r>
        <w:tab/>
      </w:r>
      <w:r>
        <w:rPr>
          <w:noProof/>
        </w:rPr>
        <w:t>Без да се засяга ликвидацията на съвместното предприятие, както е посочено в член 24, параграф 4 от устава, най-рано четири години след успешното приемателно изпитване на суперкомпютрите на СП EuroHPC, монтирани при доставчик на хостинг, собствеността на суперкомпютъра на СП EuroHPC може да бъде прехвърлена на частноправните членове или на консорциума от частни партньори, суперкомпютърът може да бъде продаден на друго образувание или да бъде изведен от експлоатация с решение на Управителния съвет и със съгласието на частноправните членове или консорциума от частни партньори. В случай на прехвърляне на собствеността на суперкомпютър на СП EuroHPC частноправните членове или консорциумът от частни партньори възстановяват на съвместното предприятие остатъчната стойност на прехвърления суперкомпютър на СП EuroHPC. Ако собствеността не се прехвърля на частноправните членове или на консорциума от частни партньори, а е взето решение за извеждане от експлоатация, съответните разходи се покриват от частноправните членове или от консорциума от частни партньори. Съвместното предприятие не отговаря за разходите, направени след прехвърлянето на собствеността върху суперкомпютъра на СП EuroHPC или след неговата продажба или извеждане от експлоатация.</w:t>
      </w:r>
    </w:p>
    <w:p>
      <w:pPr>
        <w:pStyle w:val="Titrearticle"/>
        <w:spacing w:before="240"/>
        <w:rPr>
          <w:noProof/>
          <w:color w:val="000000" w:themeColor="text1"/>
        </w:rPr>
      </w:pPr>
      <w:r>
        <w:rPr>
          <w:noProof/>
          <w:color w:val="000000" w:themeColor="text1"/>
        </w:rPr>
        <w:t>Член 13</w:t>
      </w:r>
    </w:p>
    <w:p>
      <w:pPr>
        <w:pStyle w:val="NormalCentered"/>
        <w:spacing w:before="0" w:after="240"/>
        <w:rPr>
          <w:b/>
          <w:bCs/>
          <w:noProof/>
          <w:color w:val="000000" w:themeColor="text1"/>
        </w:rPr>
      </w:pPr>
      <w:r>
        <w:rPr>
          <w:b/>
          <w:bCs/>
          <w:noProof/>
          <w:color w:val="000000" w:themeColor="text1"/>
        </w:rPr>
        <w:t>Придобиване и собственост на суперкомпютри от среден клас</w:t>
      </w:r>
    </w:p>
    <w:p>
      <w:pPr>
        <w:pStyle w:val="Point0"/>
        <w:rPr>
          <w:noProof/>
        </w:rPr>
      </w:pPr>
      <w:r>
        <w:lastRenderedPageBreak/>
        <w:t>(1)</w:t>
      </w:r>
      <w:r>
        <w:tab/>
      </w:r>
      <w:r>
        <w:rPr>
          <w:noProof/>
        </w:rPr>
        <w:t xml:space="preserve">Съвместното предприятие придобива суперкомпютрите от среден клас съвместно с възлагащите органи от участващата държава, в която е установен доставчикът на хостинг, или с възлагащите органи от държавите, участващи в консорциума, осигуряващ хостинг, и става техен съсобственик. </w:t>
      </w:r>
    </w:p>
    <w:p>
      <w:pPr>
        <w:pStyle w:val="Point0"/>
        <w:rPr>
          <w:noProof/>
        </w:rPr>
      </w:pPr>
      <w:r>
        <w:t>(2)</w:t>
      </w:r>
      <w:r>
        <w:tab/>
      </w:r>
      <w:r>
        <w:rPr>
          <w:noProof/>
        </w:rPr>
        <w:t>Финансовата вноска на Съюза, посочена в член 5, параграф 1, покрива до 35 % от разходите за придобиване на суперкомпютрите от среден клас. Останалата част от общите разходи за собственост на суперкомпютрите от среден клас се покрива от участващата държава, в която е установен доставчикът на хостинг, или от държавите, участващи в консорциума, осигуряващ хостинг, като евентуално се допълва от вноските, посочени в член 6.</w:t>
      </w:r>
    </w:p>
    <w:p>
      <w:pPr>
        <w:pStyle w:val="Point0"/>
        <w:rPr>
          <w:noProof/>
        </w:rPr>
      </w:pPr>
      <w:r>
        <w:t>(3)</w:t>
      </w:r>
      <w:r>
        <w:tab/>
      </w:r>
      <w:r>
        <w:rPr>
          <w:noProof/>
        </w:rPr>
        <w:t xml:space="preserve">При избора на доставчик на суперкомпютъра от среден клас следва да се обърне внимание на </w:t>
      </w:r>
      <w:r>
        <w:rPr>
          <w:noProof/>
          <w:szCs w:val="24"/>
        </w:rPr>
        <w:t>сигурността на веригата за доставки</w:t>
      </w:r>
      <w:r>
        <w:rPr>
          <w:noProof/>
        </w:rPr>
        <w:t>.</w:t>
      </w:r>
    </w:p>
    <w:p>
      <w:pPr>
        <w:pStyle w:val="Point0"/>
        <w:rPr>
          <w:noProof/>
        </w:rPr>
      </w:pPr>
      <w:r>
        <w:t>(4)</w:t>
      </w:r>
      <w:r>
        <w:tab/>
      </w:r>
      <w:r>
        <w:rPr>
          <w:noProof/>
        </w:rPr>
        <w:t>Без да се засяга ликвидацията на съвместното предприятие, както е посочено в член 24, параграф 4 от устава, частта от собствеността върху суперкомпютъра, която се притежава от съвместното предприятие, се прехвърля на доставчика на хостинг след пълната амортизация на суперкомпютъра. Доставчикът на хостинг възстановява на съвместното предприятие остатъчната стойност на прехвърления суперкомпютър. Съвместното предприятие не отговаря за разходите, направени след прехвърлянето на собствеността на суперкомпютъра от среден клас.</w:t>
      </w:r>
    </w:p>
    <w:p>
      <w:pPr>
        <w:pStyle w:val="Titrearticle"/>
        <w:spacing w:before="120"/>
        <w:rPr>
          <w:noProof/>
          <w:color w:val="000000" w:themeColor="text1"/>
        </w:rPr>
      </w:pPr>
      <w:r>
        <w:rPr>
          <w:noProof/>
          <w:color w:val="000000" w:themeColor="text1"/>
        </w:rPr>
        <w:t>Член 14</w:t>
      </w:r>
    </w:p>
    <w:p>
      <w:pPr>
        <w:pStyle w:val="NormalCentered"/>
        <w:spacing w:before="0" w:after="240"/>
        <w:rPr>
          <w:b/>
          <w:bCs/>
          <w:noProof/>
          <w:color w:val="000000" w:themeColor="text1"/>
        </w:rPr>
      </w:pPr>
      <w:r>
        <w:rPr>
          <w:b/>
          <w:bCs/>
          <w:noProof/>
          <w:color w:val="000000" w:themeColor="text1"/>
        </w:rPr>
        <w:t>Използване на суперкомпютрите на СП EuroHPC</w:t>
      </w:r>
    </w:p>
    <w:p>
      <w:pPr>
        <w:pStyle w:val="Point0"/>
        <w:rPr>
          <w:noProof/>
        </w:rPr>
      </w:pPr>
      <w:r>
        <w:t>(1)</w:t>
      </w:r>
      <w:r>
        <w:tab/>
      </w:r>
      <w:r>
        <w:rPr>
          <w:noProof/>
        </w:rPr>
        <w:t>Използването на суперкомпютрите на СП EuroHPC е открито за потребители от публичния и от частния сектор и е насочено главно към граждански приложения. С изключение на суперкомпютрите от промишлен клас, суперкомпютрите на СП EuroHPC се използват главно за научноизследователски и иновационни цели по програми, финансирани от публичния сектор, за приложения от публичния сектор и за частни иновационни дейности на МСП, според случая.</w:t>
      </w:r>
    </w:p>
    <w:p>
      <w:pPr>
        <w:pStyle w:val="Point0"/>
        <w:rPr>
          <w:noProof/>
        </w:rPr>
      </w:pPr>
      <w:r>
        <w:t>(2)</w:t>
      </w:r>
      <w:r>
        <w:tab/>
      </w:r>
      <w:r>
        <w:rPr>
          <w:noProof/>
        </w:rPr>
        <w:t xml:space="preserve">Управителният съвет определя общите условия за достъп за използване на суперкомпютрите на СП EuroHPC съгласно член 15 и може да определи конкретни условия за достъп за различните видове потребители или приложения. Сигурността и качеството на услугата са еднакви за всички потребители във всяка потребителска категория, с изключение на суперкомпютрите на СП EuroHPC от промишлен клас, чиято сигурност и качество на услугата отговарят на промишлените изисквания в съответствие с член 12, параграф 1 от настоящия регламент. </w:t>
      </w:r>
    </w:p>
    <w:p>
      <w:pPr>
        <w:pStyle w:val="Point0"/>
        <w:rPr>
          <w:noProof/>
        </w:rPr>
      </w:pPr>
      <w:r>
        <w:t>(3)</w:t>
      </w:r>
      <w:r>
        <w:tab/>
      </w:r>
      <w:r>
        <w:rPr>
          <w:noProof/>
        </w:rPr>
        <w:t>Потребители, пребиваващи, установени или намиращи се в държава членка или в държава, асоциирана към „Хоризонт 2020“, получават достъп до дела на Съюза от времето за достъп до суперкомпютрите, придобити от съвместното предприятие, създадено с Регламент (ЕС) 2018/1488 на Съвета.</w:t>
      </w:r>
    </w:p>
    <w:p>
      <w:pPr>
        <w:pStyle w:val="Point0"/>
        <w:rPr>
          <w:noProof/>
        </w:rPr>
      </w:pPr>
      <w:r>
        <w:t>(4)</w:t>
      </w:r>
      <w:r>
        <w:tab/>
      </w:r>
      <w:r>
        <w:rPr>
          <w:noProof/>
        </w:rPr>
        <w:t xml:space="preserve">Потребители, пребиваващи, установени или намиращи се в държава членка или в държава, асоциирана към програмата „Цифрова Европа“ и към „Хоризонт Европа“, получават време за достъп до суперкомпютрите на СП EuroHPC, придобити след 2020 г. </w:t>
      </w:r>
    </w:p>
    <w:p>
      <w:pPr>
        <w:pStyle w:val="Point0"/>
        <w:rPr>
          <w:noProof/>
        </w:rPr>
      </w:pPr>
      <w:r>
        <w:lastRenderedPageBreak/>
        <w:t>(5)</w:t>
      </w:r>
      <w:r>
        <w:tab/>
      </w:r>
      <w:r>
        <w:rPr>
          <w:noProof/>
        </w:rPr>
        <w:t>В надлежно обосновани случаи, като взема предвид интересите на Съюза, Управителният съвет решава да предостави време за достъп до суперкомпютрите на СП EuroHPC на субекти, пребиваващи, установени или намиращи се в някоя трета държава, и на международни организации.</w:t>
      </w:r>
    </w:p>
    <w:p>
      <w:pPr>
        <w:pStyle w:val="Titrearticle"/>
        <w:spacing w:before="240"/>
        <w:rPr>
          <w:noProof/>
          <w:color w:val="000000" w:themeColor="text1"/>
        </w:rPr>
      </w:pPr>
      <w:r>
        <w:rPr>
          <w:noProof/>
          <w:color w:val="000000" w:themeColor="text1"/>
        </w:rPr>
        <w:t>Член 15</w:t>
      </w:r>
    </w:p>
    <w:p>
      <w:pPr>
        <w:pStyle w:val="NormalCentered"/>
        <w:spacing w:before="0" w:after="240"/>
        <w:rPr>
          <w:b/>
          <w:bCs/>
          <w:noProof/>
          <w:color w:val="000000" w:themeColor="text1"/>
        </w:rPr>
      </w:pPr>
      <w:r>
        <w:rPr>
          <w:b/>
          <w:bCs/>
          <w:noProof/>
          <w:color w:val="000000" w:themeColor="text1"/>
        </w:rPr>
        <w:t>Разпределение на времето на Съюза за достъп до суперкомпютрите на СП EuroHPC</w:t>
      </w:r>
    </w:p>
    <w:p>
      <w:pPr>
        <w:pStyle w:val="Point0"/>
        <w:rPr>
          <w:noProof/>
        </w:rPr>
      </w:pPr>
      <w:r>
        <w:t>(1)</w:t>
      </w:r>
      <w:r>
        <w:tab/>
      </w:r>
      <w:r>
        <w:rPr>
          <w:noProof/>
        </w:rPr>
        <w:t>Делът на Съюза от времето за достъп до всеки суперкомпютър на СП EuroHPC е правопропорционален на финансовата вноска на Съюза, посочена в член 5, параграф 1, в общите разходи за собственост на суперкомпютъра и не надхвърля 50 % от общото време за достъп до него.</w:t>
      </w:r>
    </w:p>
    <w:p>
      <w:pPr>
        <w:pStyle w:val="Point0"/>
        <w:rPr>
          <w:noProof/>
        </w:rPr>
      </w:pPr>
      <w:r>
        <w:t>(2)</w:t>
      </w:r>
      <w:r>
        <w:tab/>
      </w:r>
      <w:r>
        <w:rPr>
          <w:noProof/>
        </w:rPr>
        <w:t>Делът на Съюза от времето за достъп до всеки суперкомпютър от среден клас е правопропорционален на финансовата вноска на Съюза, посочена в член 5, параграф 1, в общите разходи за придобиване на суперкомпютъра и не надхвърля 35 % от общото време за достъп до него.</w:t>
      </w:r>
    </w:p>
    <w:p>
      <w:pPr>
        <w:pStyle w:val="Point0"/>
        <w:rPr>
          <w:noProof/>
        </w:rPr>
      </w:pPr>
      <w:r>
        <w:t>(3)</w:t>
      </w:r>
      <w:r>
        <w:tab/>
      </w:r>
      <w:r>
        <w:rPr>
          <w:noProof/>
        </w:rPr>
        <w:t>Делът на Съюза от времето за достъп до всеки суперкомпютър на СП EuroHPC от промишлен клас е правопропорционален на финансовата вноска на Съюза, посочена в член 5, параграф 1, в общите разходи за придобиване на суперкомпютъра и не надхвърля 35 % от общото време за достъп до него.</w:t>
      </w:r>
    </w:p>
    <w:p>
      <w:pPr>
        <w:pStyle w:val="Point0"/>
        <w:rPr>
          <w:noProof/>
        </w:rPr>
      </w:pPr>
      <w:r>
        <w:t>(4)</w:t>
      </w:r>
      <w:r>
        <w:tab/>
      </w:r>
      <w:r>
        <w:rPr>
          <w:noProof/>
        </w:rPr>
        <w:t>На всяка участваща държава, в която е установен доставчик на хостинг, или на всяка държава, участваща в консорциум, осигуряващ хостинг, се разпределя дял от оставащото време за достъп до всеки суперкомпютър на СП EuroHPC. В случай на консорциум, осигуряващ хостинг, участващите държави се договарят помежду си за разпределението на времето за достъп до суперкомпютъра.</w:t>
      </w:r>
    </w:p>
    <w:p>
      <w:pPr>
        <w:pStyle w:val="Point0"/>
        <w:rPr>
          <w:noProof/>
        </w:rPr>
      </w:pPr>
      <w:r>
        <w:t>(5)</w:t>
      </w:r>
      <w:r>
        <w:tab/>
      </w:r>
      <w:r>
        <w:rPr>
          <w:noProof/>
        </w:rPr>
        <w:t xml:space="preserve">Управителният съвет определя правата за достъп до дела на Съюза от времето за достъп до суперкомпютрите на СП EuroHPC. </w:t>
      </w:r>
    </w:p>
    <w:p>
      <w:pPr>
        <w:pStyle w:val="Point0"/>
        <w:rPr>
          <w:noProof/>
        </w:rPr>
      </w:pPr>
      <w:r>
        <w:t>(6)</w:t>
      </w:r>
      <w:r>
        <w:tab/>
      </w:r>
      <w:r>
        <w:rPr>
          <w:noProof/>
        </w:rPr>
        <w:t xml:space="preserve">Използването на дела на Съюза от времето за достъп до суперкомпютрите на СП EuroHPC е безплатно за потребителите от публичния сектор, посочени в член 14, параграф 4 от настоящия регламент. То ще бъде безплатно и за промишлените потребители по отношение на приложенията, свързани с научноизследователски и иновационни дейности, финансирани от „Хоризонт Европа“ или от програмата „Цифрова Европа“, както и за частни иновационни дейности на МСП, според случая. Като водещ принцип, разпределението на времето за достъп за такива дейности следва да се основава на честен и прозрачен процес на партньорска проверка, определен от Управителния съвет след оповестяването от съвместното предприятие на постоянно отворени покани за заявяване на интерес. </w:t>
      </w:r>
    </w:p>
    <w:p>
      <w:pPr>
        <w:pStyle w:val="Point0"/>
        <w:rPr>
          <w:noProof/>
        </w:rPr>
      </w:pPr>
      <w:r>
        <w:t>(7)</w:t>
      </w:r>
      <w:r>
        <w:tab/>
      </w:r>
      <w:r>
        <w:rPr>
          <w:noProof/>
        </w:rPr>
        <w:t>С изключение на потребителите от МСП, които са ангажирани с частни иновационни дейности, останалите потребители възприемат открит научен подход за разпространение на знанията, придобити чрез достъп до суперкомпютрите на съвместното предприятие, в съответствие с член ххх от регламента за „Хоризонт Европа“. Управителният съвет определя допълнително правилата, приложими за открития научен подход.</w:t>
      </w:r>
    </w:p>
    <w:p>
      <w:pPr>
        <w:pStyle w:val="Point0"/>
        <w:rPr>
          <w:noProof/>
        </w:rPr>
      </w:pPr>
      <w:r>
        <w:t>(8)</w:t>
      </w:r>
      <w:r>
        <w:tab/>
      </w:r>
      <w:r>
        <w:rPr>
          <w:noProof/>
        </w:rPr>
        <w:t xml:space="preserve">Управителният съвет определя конкретни правила за условията за достъп, които се отклоняват от водещите принципи, посочени в параграф 6 от </w:t>
      </w:r>
      <w:r>
        <w:rPr>
          <w:noProof/>
        </w:rPr>
        <w:lastRenderedPageBreak/>
        <w:t xml:space="preserve">настоящия член. Те се отнасят до разпределението на времето за достъп за проекти и дейности, които Съюзът или Управителният съвет считат за стратегически. </w:t>
      </w:r>
    </w:p>
    <w:p>
      <w:pPr>
        <w:pStyle w:val="Point0"/>
        <w:rPr>
          <w:noProof/>
        </w:rPr>
      </w:pPr>
      <w:r>
        <w:t>(9)</w:t>
      </w:r>
      <w:r>
        <w:tab/>
      </w:r>
      <w:r>
        <w:rPr>
          <w:noProof/>
        </w:rPr>
        <w:t>По искане на Съюза изпълнителният директор предоставя директен достъп до суперкомпютрите на СП EuroHPC за инициативи, които Съюзът счита за жизненоважни за предоставянето на услуги, свързани със здравето, или на други възлови услуги за извънредна подкрепа в полза на обществото, при спешни случаи или при управление на кризи, които Съюзът счита за съществено важни за своята сигурност и отбрана. Условията и редът за осъществяване на такъв достъп се определят в условията за достъп, приети от Управителния съвет.</w:t>
      </w:r>
    </w:p>
    <w:p>
      <w:pPr>
        <w:pStyle w:val="Point0"/>
        <w:rPr>
          <w:noProof/>
        </w:rPr>
      </w:pPr>
      <w:r>
        <w:t>(10)</w:t>
      </w:r>
      <w:r>
        <w:tab/>
      </w:r>
      <w:r>
        <w:rPr>
          <w:noProof/>
        </w:rPr>
        <w:t>Управителният съвет определя условията, които ще се прилагат за промишлена употреба, за да се предостави достъп до сигурни ресурси за високопроизводителни изчислителни технологии и данни за приложения, различни от посочените в параграф 6 от настоящия член.</w:t>
      </w:r>
    </w:p>
    <w:p>
      <w:pPr>
        <w:pStyle w:val="Point0"/>
        <w:rPr>
          <w:noProof/>
        </w:rPr>
      </w:pPr>
      <w:r>
        <w:t>(11)</w:t>
      </w:r>
      <w:r>
        <w:tab/>
      </w:r>
      <w:r>
        <w:rPr>
          <w:noProof/>
        </w:rPr>
        <w:t>Управителният съвет наблюдава редовно предоставеното време на Съюза за достъп по участващи държави, както и по категории потребители, включително за търговски цели. Той може да реши:</w:t>
      </w:r>
    </w:p>
    <w:p>
      <w:pPr>
        <w:pStyle w:val="Point1"/>
        <w:rPr>
          <w:noProof/>
        </w:rPr>
      </w:pPr>
      <w:r>
        <w:rPr>
          <w:noProof/>
        </w:rPr>
        <w:t>а)</w:t>
      </w:r>
      <w:r>
        <w:rPr>
          <w:noProof/>
        </w:rPr>
        <w:tab/>
        <w:t>да адаптира времето за достъп по категории дейности или потребители с цел оптимизиране на способностите за използване на суперкомпютрите на СП EuroHPC;</w:t>
      </w:r>
    </w:p>
    <w:p>
      <w:pPr>
        <w:pStyle w:val="Point1"/>
        <w:rPr>
          <w:noProof/>
        </w:rPr>
      </w:pPr>
      <w:r>
        <w:rPr>
          <w:noProof/>
        </w:rPr>
        <w:t>б)</w:t>
      </w:r>
      <w:r>
        <w:rPr>
          <w:noProof/>
        </w:rPr>
        <w:tab/>
        <w:t>да предложи допълнителни мерки за подкрепа, така че да осигури справедливи възможности за достъп на потребителите с цел да се повиши нивото на техните умения и експертни познания в областта на високопроизводителните изчислителни системи.</w:t>
      </w:r>
    </w:p>
    <w:p>
      <w:pPr>
        <w:pStyle w:val="Titrearticle"/>
        <w:spacing w:before="240"/>
        <w:rPr>
          <w:noProof/>
          <w:color w:val="000000" w:themeColor="text1"/>
        </w:rPr>
      </w:pPr>
      <w:r>
        <w:rPr>
          <w:noProof/>
          <w:color w:val="000000" w:themeColor="text1"/>
        </w:rPr>
        <w:t>Член 16</w:t>
      </w:r>
    </w:p>
    <w:p>
      <w:pPr>
        <w:pStyle w:val="NormalCentered"/>
        <w:spacing w:before="0" w:after="240"/>
        <w:rPr>
          <w:b/>
          <w:bCs/>
          <w:noProof/>
          <w:color w:val="000000" w:themeColor="text1"/>
        </w:rPr>
      </w:pPr>
      <w:r>
        <w:rPr>
          <w:b/>
          <w:bCs/>
          <w:noProof/>
          <w:color w:val="000000" w:themeColor="text1"/>
        </w:rPr>
        <w:t>Време на Съюза за достъп до суперкомпютрите на СП EuroHPC за търговски цели</w:t>
      </w:r>
    </w:p>
    <w:p>
      <w:pPr>
        <w:pStyle w:val="Point0"/>
        <w:rPr>
          <w:noProof/>
        </w:rPr>
      </w:pPr>
      <w:r>
        <w:t>(1)</w:t>
      </w:r>
      <w:r>
        <w:tab/>
      </w:r>
      <w:r>
        <w:rPr>
          <w:noProof/>
        </w:rPr>
        <w:t xml:space="preserve">По отношение на промишлените потребители за търговски цели се прилагат специални условия. Услугата за търговска употреба се заплаща според ползваното време, като заплащането се определя по пазарни цени. Размерът на таксата се определя от Управителния съвет. </w:t>
      </w:r>
    </w:p>
    <w:p>
      <w:pPr>
        <w:pStyle w:val="Point0"/>
        <w:rPr>
          <w:noProof/>
        </w:rPr>
      </w:pPr>
      <w:r>
        <w:t>(2)</w:t>
      </w:r>
      <w:r>
        <w:tab/>
      </w:r>
      <w:r>
        <w:rPr>
          <w:noProof/>
        </w:rPr>
        <w:t xml:space="preserve">Таксите, събрани от търговското ползване на времето на Съюза за достъп, представляват приход в бюджета на съвместното предприятие и се използват за покриване на оперативните разходи на съвместното предприятие. </w:t>
      </w:r>
    </w:p>
    <w:p>
      <w:pPr>
        <w:pStyle w:val="Point0"/>
        <w:rPr>
          <w:noProof/>
        </w:rPr>
      </w:pPr>
      <w:r>
        <w:t>(3)</w:t>
      </w:r>
      <w:r>
        <w:tab/>
      </w:r>
      <w:r>
        <w:rPr>
          <w:noProof/>
        </w:rPr>
        <w:t xml:space="preserve">Времето за достъп, предоставено за търговски услуги, не надхвърля 20 % от общото време за достъп на Съюза до всеки суперкомпютър на СП EuroHPC. Управителният съвет взема решение за разпределяне на времето на Съюза за достъп за потребителите на търговски услуги, като взема предвид резултатите от наблюдението, посочено в член 15, параграф 10. </w:t>
      </w:r>
    </w:p>
    <w:p>
      <w:pPr>
        <w:pStyle w:val="Point0"/>
        <w:rPr>
          <w:noProof/>
        </w:rPr>
      </w:pPr>
      <w:r>
        <w:t>(4)</w:t>
      </w:r>
      <w:r>
        <w:tab/>
      </w:r>
      <w:r>
        <w:rPr>
          <w:noProof/>
        </w:rPr>
        <w:t xml:space="preserve">Качеството на търговските услуги е еднакво за всички потребители. </w:t>
      </w:r>
    </w:p>
    <w:p>
      <w:pPr>
        <w:pStyle w:val="Titrearticle"/>
        <w:spacing w:before="240"/>
        <w:rPr>
          <w:noProof/>
          <w:color w:val="000000" w:themeColor="text1"/>
        </w:rPr>
      </w:pPr>
      <w:r>
        <w:rPr>
          <w:noProof/>
          <w:color w:val="000000" w:themeColor="text1"/>
        </w:rPr>
        <w:t>Член 17</w:t>
      </w:r>
    </w:p>
    <w:p>
      <w:pPr>
        <w:pStyle w:val="NormalCentered"/>
        <w:spacing w:before="0" w:after="240"/>
        <w:rPr>
          <w:b/>
          <w:bCs/>
          <w:noProof/>
          <w:color w:val="000000" w:themeColor="text1"/>
        </w:rPr>
      </w:pPr>
      <w:r>
        <w:rPr>
          <w:b/>
          <w:bCs/>
          <w:noProof/>
          <w:color w:val="000000" w:themeColor="text1"/>
        </w:rPr>
        <w:t>Финансови правила</w:t>
      </w:r>
    </w:p>
    <w:p>
      <w:pPr>
        <w:pStyle w:val="Point0"/>
        <w:rPr>
          <w:noProof/>
        </w:rPr>
      </w:pPr>
      <w:r>
        <w:lastRenderedPageBreak/>
        <w:t>(1)</w:t>
      </w:r>
      <w:r>
        <w:tab/>
      </w:r>
      <w:r>
        <w:rPr>
          <w:noProof/>
        </w:rPr>
        <w:t>Съвместното предприятие приема свои специални финансови правила в съответствие с член 71 от Регламент (ЕС, Евратом) 2018/1046.</w:t>
      </w:r>
    </w:p>
    <w:p>
      <w:pPr>
        <w:pStyle w:val="Point0"/>
        <w:rPr>
          <w:noProof/>
        </w:rPr>
      </w:pPr>
      <w:r>
        <w:t>(2)</w:t>
      </w:r>
      <w:r>
        <w:tab/>
      </w:r>
      <w:r>
        <w:rPr>
          <w:noProof/>
        </w:rPr>
        <w:t>Финансовите правила се публикуват на уебсайта на съвместното предприятие.</w:t>
      </w:r>
    </w:p>
    <w:p>
      <w:pPr>
        <w:pStyle w:val="Titrearticle"/>
        <w:spacing w:before="240"/>
        <w:rPr>
          <w:noProof/>
          <w:color w:val="000000" w:themeColor="text1"/>
        </w:rPr>
      </w:pPr>
      <w:r>
        <w:rPr>
          <w:noProof/>
          <w:color w:val="000000" w:themeColor="text1"/>
        </w:rPr>
        <w:t>Член 18</w:t>
      </w:r>
    </w:p>
    <w:p>
      <w:pPr>
        <w:pStyle w:val="NormalCentered"/>
        <w:spacing w:before="0" w:after="240"/>
        <w:rPr>
          <w:b/>
          <w:bCs/>
          <w:noProof/>
          <w:color w:val="000000" w:themeColor="text1"/>
        </w:rPr>
      </w:pPr>
      <w:r>
        <w:rPr>
          <w:b/>
          <w:bCs/>
          <w:noProof/>
          <w:color w:val="000000" w:themeColor="text1"/>
        </w:rPr>
        <w:t>Персонал</w:t>
      </w:r>
    </w:p>
    <w:p>
      <w:pPr>
        <w:pStyle w:val="Point0"/>
        <w:rPr>
          <w:noProof/>
        </w:rPr>
      </w:pPr>
      <w:r>
        <w:t>(1)</w:t>
      </w:r>
      <w:r>
        <w:tab/>
      </w:r>
      <w:r>
        <w:rPr>
          <w:noProof/>
        </w:rPr>
        <w:t>По отношение на персонала на съвместното предприятие се прилагат Правилникът за длъжностните лица и Условията за работа на другите служители на Европейския съюз, посочени в Регламент (ЕИО, Евратом, ЕОВС) № 259/68 на Съвета</w:t>
      </w:r>
      <w:r>
        <w:rPr>
          <w:rStyle w:val="FootnoteReference"/>
          <w:noProof/>
          <w:color w:val="000000" w:themeColor="text1"/>
        </w:rPr>
        <w:footnoteReference w:id="22"/>
      </w:r>
      <w:r>
        <w:rPr>
          <w:noProof/>
        </w:rPr>
        <w:t xml:space="preserve"> (наричани по-долу „Правилникът за длъжностните лица“ и „Условията за работа“), и правилата, приети съвместно от институциите на Съюза за целите на прилагането на посочения правилник и условията за работа. </w:t>
      </w:r>
    </w:p>
    <w:p>
      <w:pPr>
        <w:pStyle w:val="Point0"/>
        <w:rPr>
          <w:noProof/>
        </w:rPr>
      </w:pPr>
      <w:r>
        <w:t>(2)</w:t>
      </w:r>
      <w:r>
        <w:tab/>
      </w:r>
      <w:r>
        <w:rPr>
          <w:noProof/>
        </w:rPr>
        <w:t xml:space="preserve">Управителният съвет упражнява по отношение на персонала на съвместното предприятие правомощията, които са предоставени на органа по назначаване в Правилника за длъжностните лица и Условията за работа, за сключване на договори (наричани по-долу „правомощия на органа по назначаване“). </w:t>
      </w:r>
    </w:p>
    <w:p>
      <w:pPr>
        <w:pStyle w:val="Point0"/>
        <w:rPr>
          <w:noProof/>
        </w:rPr>
      </w:pPr>
      <w:r>
        <w:t>(3)</w:t>
      </w:r>
      <w:r>
        <w:tab/>
      </w:r>
      <w:r>
        <w:rPr>
          <w:noProof/>
        </w:rPr>
        <w:t>Управителният съвет приема в съответствие с член 110 от Правилника за длъжностните лица решение на основата на член 2, параграф 1 от Правилника за длъжностните лица и на член 6 от Условията за работа относно делегирането на съответните правомощия на органа по назначаване на изпълнителния директор и определянето на условията, при които делегирането може да бъде прекратено. Изпълнителният директор е упълномощен да делегира тези правомощия на други лица.</w:t>
      </w:r>
    </w:p>
    <w:p>
      <w:pPr>
        <w:pStyle w:val="Point0"/>
        <w:rPr>
          <w:noProof/>
        </w:rPr>
      </w:pPr>
      <w:r>
        <w:t>(4)</w:t>
      </w:r>
      <w:r>
        <w:tab/>
      </w:r>
      <w:r>
        <w:rPr>
          <w:noProof/>
        </w:rPr>
        <w:t>При извънредни обстоятелства Управителният съвет може със свое решение временно да прекрати делегирането на правомощията на органа по назначаване на изпълнителния директор и съответно на делегираните вторично от него правомощия. В такива случаи самият Управителен съвет упражнява правомощията на органа по назначаване или ги делегира на някой от своите членове или на някой служител на съвместното предприятие, различен от изпълнителния директор.</w:t>
      </w:r>
    </w:p>
    <w:p>
      <w:pPr>
        <w:pStyle w:val="Point0"/>
        <w:rPr>
          <w:noProof/>
        </w:rPr>
      </w:pPr>
      <w:r>
        <w:t>(5)</w:t>
      </w:r>
      <w:r>
        <w:tab/>
      </w:r>
      <w:r>
        <w:rPr>
          <w:noProof/>
        </w:rPr>
        <w:t xml:space="preserve">Управителният съвет приема необходимите мерки за изпълнение на Правилника за длъжностните лица и Условията за работа, посочени в член 110 от Правилника за длъжностните лица. </w:t>
      </w:r>
    </w:p>
    <w:p>
      <w:pPr>
        <w:pStyle w:val="Point0"/>
        <w:rPr>
          <w:noProof/>
        </w:rPr>
      </w:pPr>
      <w:r>
        <w:t>(6)</w:t>
      </w:r>
      <w:r>
        <w:tab/>
      </w:r>
      <w:r>
        <w:rPr>
          <w:noProof/>
        </w:rPr>
        <w:t xml:space="preserve">Човешките ресурси се посочват в щатното разписание на съвместното предприятие, в което се определят броят на временните длъжности по функционални групи и по класове, както и броят на служителите по договор, изразен в брой на еквивалентите на пълно работно време в съответствие с годишния бюджет. </w:t>
      </w:r>
    </w:p>
    <w:p>
      <w:pPr>
        <w:pStyle w:val="Point0"/>
        <w:rPr>
          <w:noProof/>
        </w:rPr>
      </w:pPr>
      <w:r>
        <w:t>(7)</w:t>
      </w:r>
      <w:r>
        <w:tab/>
      </w:r>
      <w:r>
        <w:rPr>
          <w:noProof/>
        </w:rPr>
        <w:t xml:space="preserve">Персоналът на съвместното предприятие се състои от срочно наети служители и договорно наети служители. </w:t>
      </w:r>
    </w:p>
    <w:p>
      <w:pPr>
        <w:pStyle w:val="Point0"/>
        <w:rPr>
          <w:noProof/>
        </w:rPr>
      </w:pPr>
      <w:r>
        <w:lastRenderedPageBreak/>
        <w:t>(8)</w:t>
      </w:r>
      <w:r>
        <w:tab/>
      </w:r>
      <w:r>
        <w:rPr>
          <w:noProof/>
        </w:rPr>
        <w:t xml:space="preserve">Всички разходи във връзка с персонала се поемат от съвместното предприятие. </w:t>
      </w:r>
    </w:p>
    <w:p>
      <w:pPr>
        <w:pStyle w:val="Titrearticle"/>
        <w:spacing w:before="240"/>
        <w:rPr>
          <w:noProof/>
          <w:color w:val="000000" w:themeColor="text1"/>
        </w:rPr>
      </w:pPr>
      <w:r>
        <w:rPr>
          <w:noProof/>
          <w:color w:val="000000" w:themeColor="text1"/>
        </w:rPr>
        <w:t>Член 19</w:t>
      </w:r>
    </w:p>
    <w:p>
      <w:pPr>
        <w:pStyle w:val="NormalCentered"/>
        <w:spacing w:before="0" w:after="240"/>
        <w:rPr>
          <w:b/>
          <w:bCs/>
          <w:noProof/>
          <w:color w:val="000000" w:themeColor="text1"/>
        </w:rPr>
      </w:pPr>
      <w:r>
        <w:rPr>
          <w:b/>
          <w:bCs/>
          <w:noProof/>
          <w:color w:val="000000" w:themeColor="text1"/>
        </w:rPr>
        <w:t>Командировани национални експерти и стажанти</w:t>
      </w:r>
    </w:p>
    <w:p>
      <w:pPr>
        <w:pStyle w:val="Point0"/>
        <w:rPr>
          <w:noProof/>
        </w:rPr>
      </w:pPr>
      <w:r>
        <w:t>(1)</w:t>
      </w:r>
      <w:r>
        <w:tab/>
      </w:r>
      <w:r>
        <w:rPr>
          <w:noProof/>
        </w:rPr>
        <w:t xml:space="preserve">Съвместното предприятие може да ползва командировани национални експерти и стажанти, които не са служители на съвместното предприятие. Броят на командированите национални експерти, изразен в еквиваленти на пълно работно време, се добавя към информацията за човешките ресурси по член 18, параграф 4 в съответствие с годишния бюджет. </w:t>
      </w:r>
    </w:p>
    <w:p>
      <w:pPr>
        <w:pStyle w:val="Point0"/>
        <w:rPr>
          <w:noProof/>
        </w:rPr>
      </w:pPr>
      <w:r>
        <w:t>(2)</w:t>
      </w:r>
      <w:r>
        <w:tab/>
      </w:r>
      <w:r>
        <w:rPr>
          <w:noProof/>
        </w:rPr>
        <w:t xml:space="preserve">Управителният съвет приема решение относно правилата за командироване на национални експерти в съвместното предприятие и за използване на стажанти. </w:t>
      </w:r>
    </w:p>
    <w:p>
      <w:pPr>
        <w:pStyle w:val="Titrearticle"/>
        <w:spacing w:before="240"/>
        <w:rPr>
          <w:noProof/>
          <w:color w:val="000000" w:themeColor="text1"/>
        </w:rPr>
      </w:pPr>
      <w:r>
        <w:rPr>
          <w:noProof/>
          <w:color w:val="000000" w:themeColor="text1"/>
        </w:rPr>
        <w:t>Член 20</w:t>
      </w:r>
    </w:p>
    <w:p>
      <w:pPr>
        <w:pStyle w:val="NormalCentered"/>
        <w:spacing w:before="0" w:after="240"/>
        <w:rPr>
          <w:b/>
          <w:bCs/>
          <w:noProof/>
          <w:color w:val="000000" w:themeColor="text1"/>
        </w:rPr>
      </w:pPr>
      <w:r>
        <w:rPr>
          <w:b/>
          <w:bCs/>
          <w:noProof/>
          <w:color w:val="000000" w:themeColor="text1"/>
        </w:rPr>
        <w:t>Привилегии и имунитети</w:t>
      </w:r>
    </w:p>
    <w:p>
      <w:pPr>
        <w:spacing w:before="0"/>
        <w:rPr>
          <w:noProof/>
          <w:color w:val="000000" w:themeColor="text1"/>
        </w:rPr>
      </w:pPr>
      <w:r>
        <w:rPr>
          <w:noProof/>
          <w:color w:val="000000" w:themeColor="text1"/>
        </w:rPr>
        <w:t>Към съвместното предприятие и неговия персонал се прилага Протокол № 7 относно привилегиите и имунитетите на Европейския съюз, приложен към Договора за Европейския съюз и Договора за функционирането на Европейския съюз.</w:t>
      </w:r>
    </w:p>
    <w:p>
      <w:pPr>
        <w:pStyle w:val="Titrearticle"/>
        <w:spacing w:before="240"/>
        <w:rPr>
          <w:noProof/>
          <w:color w:val="000000" w:themeColor="text1"/>
        </w:rPr>
      </w:pPr>
      <w:r>
        <w:rPr>
          <w:noProof/>
          <w:color w:val="000000" w:themeColor="text1"/>
        </w:rPr>
        <w:t>Член 21</w:t>
      </w:r>
    </w:p>
    <w:p>
      <w:pPr>
        <w:pStyle w:val="NormalCentered"/>
        <w:spacing w:before="0" w:after="240"/>
        <w:rPr>
          <w:b/>
          <w:bCs/>
          <w:noProof/>
          <w:color w:val="000000" w:themeColor="text1"/>
        </w:rPr>
      </w:pPr>
      <w:r>
        <w:rPr>
          <w:b/>
          <w:bCs/>
          <w:noProof/>
          <w:color w:val="000000" w:themeColor="text1"/>
        </w:rPr>
        <w:t>Отговорност на съвместното предприятие</w:t>
      </w:r>
    </w:p>
    <w:p>
      <w:pPr>
        <w:pStyle w:val="Point0"/>
        <w:rPr>
          <w:noProof/>
        </w:rPr>
      </w:pPr>
      <w:r>
        <w:t>(1)</w:t>
      </w:r>
      <w:r>
        <w:tab/>
      </w:r>
      <w:r>
        <w:rPr>
          <w:noProof/>
        </w:rPr>
        <w:t xml:space="preserve">Договорната отговорност на съвместното предприятие се урежда от съответните договорни разпоредби и от приложимото право към съответното споразумение, решение или договор. </w:t>
      </w:r>
    </w:p>
    <w:p>
      <w:pPr>
        <w:pStyle w:val="Point0"/>
        <w:rPr>
          <w:noProof/>
        </w:rPr>
      </w:pPr>
      <w:r>
        <w:t>(2)</w:t>
      </w:r>
      <w:r>
        <w:tab/>
      </w:r>
      <w:r>
        <w:rPr>
          <w:noProof/>
        </w:rPr>
        <w:t xml:space="preserve">В случай на извъндоговорна отговорност съвместното предприятие действа в съответствие с основните принципи, общи за правните системи на държавите членки, и поправя всички вреди, причинени от неговия персонал при изпълнението на задълженията му. </w:t>
      </w:r>
    </w:p>
    <w:p>
      <w:pPr>
        <w:pStyle w:val="Point0"/>
        <w:rPr>
          <w:noProof/>
        </w:rPr>
      </w:pPr>
      <w:r>
        <w:t>(3)</w:t>
      </w:r>
      <w:r>
        <w:tab/>
      </w:r>
      <w:r>
        <w:rPr>
          <w:noProof/>
        </w:rPr>
        <w:t xml:space="preserve">Всички плащания от страна на съвместното предприятие, свързани с отговорността, посочена в параграфи 1 и 2, както и разходите и разноските, направени във връзка с това, се смятат за разходи на съвместното предприятие и се покриват от неговите средства. </w:t>
      </w:r>
    </w:p>
    <w:p>
      <w:pPr>
        <w:pStyle w:val="Point0"/>
        <w:rPr>
          <w:noProof/>
        </w:rPr>
      </w:pPr>
      <w:r>
        <w:t>(4)</w:t>
      </w:r>
      <w:r>
        <w:tab/>
      </w:r>
      <w:r>
        <w:rPr>
          <w:noProof/>
        </w:rPr>
        <w:t xml:space="preserve">Съвместното предприятие носи цялата отговорност за изпълнението на своите задължения. </w:t>
      </w:r>
    </w:p>
    <w:p>
      <w:pPr>
        <w:pStyle w:val="Point0"/>
        <w:rPr>
          <w:noProof/>
        </w:rPr>
      </w:pPr>
      <w:r>
        <w:t>(5)</w:t>
      </w:r>
      <w:r>
        <w:tab/>
      </w:r>
      <w:r>
        <w:rPr>
          <w:noProof/>
        </w:rPr>
        <w:t xml:space="preserve">Съвместното предприятие не носи отговорност за каквито и да е вреди, произтичащи от действията на доставчика на хостинг във връзка с експлоатацията от негова страна на суперкомпютрите, притежавани от съвместното предприятие. </w:t>
      </w:r>
    </w:p>
    <w:p>
      <w:pPr>
        <w:pStyle w:val="Titrearticle"/>
        <w:spacing w:before="240"/>
        <w:rPr>
          <w:noProof/>
          <w:color w:val="000000" w:themeColor="text1"/>
        </w:rPr>
      </w:pPr>
      <w:r>
        <w:rPr>
          <w:noProof/>
          <w:color w:val="000000" w:themeColor="text1"/>
        </w:rPr>
        <w:t>Член 22</w:t>
      </w:r>
    </w:p>
    <w:p>
      <w:pPr>
        <w:pStyle w:val="NormalCentered"/>
        <w:spacing w:before="0" w:after="240"/>
        <w:rPr>
          <w:b/>
          <w:bCs/>
          <w:noProof/>
          <w:color w:val="000000" w:themeColor="text1"/>
        </w:rPr>
      </w:pPr>
      <w:r>
        <w:rPr>
          <w:b/>
          <w:bCs/>
          <w:noProof/>
          <w:color w:val="000000" w:themeColor="text1"/>
        </w:rPr>
        <w:t>Мониторинг и оценка</w:t>
      </w:r>
    </w:p>
    <w:p>
      <w:pPr>
        <w:pStyle w:val="Point0"/>
        <w:rPr>
          <w:noProof/>
        </w:rPr>
      </w:pPr>
      <w:r>
        <w:t>(1)</w:t>
      </w:r>
      <w:r>
        <w:tab/>
      </w:r>
      <w:r>
        <w:rPr>
          <w:noProof/>
        </w:rPr>
        <w:t xml:space="preserve">Дейността на съвместното предприятие е обект на непрекъснат мониторинг и периодични прегледи в съответствие с неговите финансови правила с цел да се осигури най-голямо въздействие и високи постижения, както и най-ефикасно използване на ресурсите. Резултатите от мониторинга и периодичните </w:t>
      </w:r>
      <w:r>
        <w:rPr>
          <w:noProof/>
        </w:rPr>
        <w:lastRenderedPageBreak/>
        <w:t xml:space="preserve">прегледи се включват в оценките на съвместното предприятие като част от оценките на „Хоризонт Европа“. </w:t>
      </w:r>
    </w:p>
    <w:p>
      <w:pPr>
        <w:pStyle w:val="Point0"/>
        <w:rPr>
          <w:noProof/>
        </w:rPr>
      </w:pPr>
      <w:r>
        <w:t>(2)</w:t>
      </w:r>
      <w:r>
        <w:tab/>
      </w:r>
      <w:r>
        <w:rPr>
          <w:noProof/>
        </w:rPr>
        <w:t xml:space="preserve">Съвместното предприятие организира непрекъснат мониторинг на своите управленски дейности и периодични прегледи на постиженията, резултатите и въздействията на проектите, изпълнявани в съответствие с член 45 и приложение III от Регламент (ЕС) № xxx за създаване на „Хоризонт Европа“. </w:t>
      </w:r>
    </w:p>
    <w:p>
      <w:pPr>
        <w:pStyle w:val="Point0"/>
        <w:rPr>
          <w:noProof/>
        </w:rPr>
      </w:pPr>
      <w:r>
        <w:t>(3)</w:t>
      </w:r>
      <w:r>
        <w:tab/>
      </w:r>
      <w:r>
        <w:rPr>
          <w:noProof/>
        </w:rPr>
        <w:t xml:space="preserve">Оценките на операциите на съвместните предприятия се извършват своевременно, за да се включат в цялостните междинни и окончателни оценки на „Хоризонт Европа“ и в свързания с тях процес на вземане на решения, както е посочено в член 47 от Регламент (ЕС) № ххх за създаване на „Хоризонт Европа“. </w:t>
      </w:r>
    </w:p>
    <w:p>
      <w:pPr>
        <w:pStyle w:val="Point0"/>
        <w:rPr>
          <w:noProof/>
        </w:rPr>
      </w:pPr>
      <w:r>
        <w:t>(4)</w:t>
      </w:r>
      <w:r>
        <w:tab/>
      </w:r>
      <w:r>
        <w:rPr>
          <w:noProof/>
        </w:rPr>
        <w:t xml:space="preserve">Комисията извършва междинна оценка на всяко съвместно предприятие като част от междинната оценка на „Хоризонт Европа“, както е посочено в член 47 от Регламент (ЕС) № ххх за създаване на „Хоризонт Европа“. Тази оценка се извършва с помощта на независими експерти въз основа на прозрачен процес, когато има достатъчно налична информация за изпълнението на „Хоризонт Европа“, но не по-късно от четири години след началото на изпълнението на „Хоризонт Европа“. При оценката се разглежда как съвместното предприятие изпълнява мисията си в съответствие със своите икономически, технологични, научни, обществени и политически цели, включително цели, свързани с климата, и се оценява ефективността, ефикасността, уместността, съгласуваността и добавената стойност за Съюза от неговите дейности като част от „Хоризонт Европа“, неговите полезни взаимодействия и взаимно допълване със съответните европейски, национални и, където е приложимо, регионални инициативи, включително полезните взаимодействия с други части на „Хоризонт Европа“ (напр. мисии, клъстери или тематични/специфични програми). Ще бъде обърнато специално внимание на въздействията, постигнати на равнището на Съюза и на национално равнище, като се вземе предвид компонентът на полезните взаимодействия и модернизирането на политиките. При оценките също така се разглежда дългосрочното научно, обществено и икономическо въздействие на съвместното предприятие, въздействието, имащо отношение към политиката, най-ефективният режим на политическа намеса за всяко бъдещо действие, както и позиционирането на всяко евентуално подновяване на съвместното предприятие в цялостния пейзаж на европейските партньорства и неговите политически приоритети. </w:t>
      </w:r>
    </w:p>
    <w:p>
      <w:pPr>
        <w:pStyle w:val="Point0"/>
        <w:rPr>
          <w:noProof/>
        </w:rPr>
      </w:pPr>
      <w:r>
        <w:t>(5)</w:t>
      </w:r>
      <w:r>
        <w:tab/>
      </w:r>
      <w:r>
        <w:rPr>
          <w:noProof/>
        </w:rPr>
        <w:t xml:space="preserve">Въз основа на заключенията от междинната оценка по параграф 1 от настоящия член Комисията може да предприема действия в съответствие с член 7, параграф 7 или други подходящи действия. </w:t>
      </w:r>
    </w:p>
    <w:p>
      <w:pPr>
        <w:pStyle w:val="Point0"/>
        <w:rPr>
          <w:noProof/>
        </w:rPr>
      </w:pPr>
      <w:r>
        <w:t>(6)</w:t>
      </w:r>
      <w:r>
        <w:tab/>
      </w:r>
      <w:r>
        <w:rPr>
          <w:noProof/>
        </w:rPr>
        <w:t xml:space="preserve">Комисията може да извършва допълнителни оценки по теми или въпроси от стратегическо значение с помощта на външни независими експерти, избрани въз основа на прозрачен процес, с цел да разгледа постигнатия от съвместното предприятие напредък по набелязаните цели, да определи факторите, допринасящи за изпълнението на дейностите, и да установи най-добри практики. Като извършва посочените допълнителни оценки, Комисията в пълна степен взема предвид административните последици за съвместното предприятие. </w:t>
      </w:r>
    </w:p>
    <w:p>
      <w:pPr>
        <w:pStyle w:val="Point0"/>
        <w:rPr>
          <w:noProof/>
        </w:rPr>
      </w:pPr>
      <w:r>
        <w:t>(7)</w:t>
      </w:r>
      <w:r>
        <w:tab/>
      </w:r>
      <w:r>
        <w:rPr>
          <w:noProof/>
        </w:rPr>
        <w:t xml:space="preserve">Съвместното предприятие извършва периодични прегледи на своята дейност, които да послужат като източник на информация при извършването на </w:t>
      </w:r>
      <w:r>
        <w:rPr>
          <w:noProof/>
        </w:rPr>
        <w:lastRenderedPageBreak/>
        <w:t xml:space="preserve">междинните и окончателните оценки на съвместното предприятие като част от оценките на „Хоризонт Европа“, посочени в член 47 от Регламент (ЕС) № ххх за създаване на „Хоризонт Европа“. </w:t>
      </w:r>
    </w:p>
    <w:p>
      <w:pPr>
        <w:pStyle w:val="Point0"/>
        <w:rPr>
          <w:noProof/>
        </w:rPr>
      </w:pPr>
      <w:r>
        <w:t>(8)</w:t>
      </w:r>
      <w:r>
        <w:tab/>
      </w:r>
      <w:r>
        <w:rPr>
          <w:noProof/>
        </w:rPr>
        <w:t xml:space="preserve">Периодичните прегледи и оценки служат като източник на информация при вземане на решение за прекратяването или евентуалното подновяване на съвместното предприятие в съответствие с приложение III от Регламент (ЕС) № xxx за създаване на „Хоризонт Европа“. В срок от шест месеца след ликвидацията на съвместното предприятие, но не по-късно от две години след началото на производството по ликвидация, посочено в член 24 от Устава, Комисията извършва окончателна оценка на съвместното предприятие. Резултатите от окончателната оценка се представят на Европейския парламент и на Съвета. </w:t>
      </w:r>
    </w:p>
    <w:p>
      <w:pPr>
        <w:pStyle w:val="Point0"/>
        <w:rPr>
          <w:noProof/>
        </w:rPr>
      </w:pPr>
      <w:r>
        <w:t>(9)</w:t>
      </w:r>
      <w:r>
        <w:tab/>
      </w:r>
      <w:r>
        <w:rPr>
          <w:noProof/>
        </w:rPr>
        <w:t xml:space="preserve">Комисията съобщава резултатите от оценките на съвместното предприятие, в които се включват заключенията от оценката и наблюденията на Комисията като част от оценките на „Хоризонт Европа“, посочени в член 47 от Регламент (ЕС) № ххх за създаване на „Хоризонт Европа“, на Европейския парламент, Съвета, Европейския икономически и социален комитет и Комитета на регионите. </w:t>
      </w:r>
    </w:p>
    <w:p>
      <w:pPr>
        <w:pStyle w:val="Titrearticle"/>
        <w:spacing w:before="240"/>
        <w:rPr>
          <w:noProof/>
          <w:color w:val="000000" w:themeColor="text1"/>
        </w:rPr>
      </w:pPr>
      <w:r>
        <w:rPr>
          <w:noProof/>
          <w:color w:val="000000" w:themeColor="text1"/>
        </w:rPr>
        <w:t>Член 23</w:t>
      </w:r>
    </w:p>
    <w:p>
      <w:pPr>
        <w:pStyle w:val="NormalCentered"/>
        <w:spacing w:before="0" w:after="240"/>
        <w:rPr>
          <w:b/>
          <w:bCs/>
          <w:noProof/>
          <w:color w:val="000000" w:themeColor="text1"/>
        </w:rPr>
      </w:pPr>
      <w:r>
        <w:rPr>
          <w:b/>
          <w:bCs/>
          <w:noProof/>
          <w:color w:val="000000" w:themeColor="text1"/>
        </w:rPr>
        <w:t>Компетентност на Съда на Европейския съюз и приложимо право</w:t>
      </w:r>
    </w:p>
    <w:p>
      <w:pPr>
        <w:pStyle w:val="Point0"/>
        <w:rPr>
          <w:noProof/>
        </w:rPr>
      </w:pPr>
      <w:r>
        <w:t>(1)</w:t>
      </w:r>
      <w:r>
        <w:tab/>
      </w:r>
      <w:r>
        <w:rPr>
          <w:noProof/>
        </w:rPr>
        <w:t xml:space="preserve">Съдът на Европейския съюз е компетентен: </w:t>
      </w:r>
    </w:p>
    <w:p>
      <w:pPr>
        <w:pStyle w:val="Point1"/>
        <w:rPr>
          <w:noProof/>
        </w:rPr>
      </w:pPr>
      <w:r>
        <w:rPr>
          <w:noProof/>
        </w:rPr>
        <w:t>а)</w:t>
      </w:r>
      <w:r>
        <w:rPr>
          <w:noProof/>
        </w:rPr>
        <w:tab/>
        <w:t xml:space="preserve">съгласно арбитражни клаузи, съдържащи се в сключените от съвместното предприятие споразумения или договори, или в неговите решения; </w:t>
      </w:r>
    </w:p>
    <w:p>
      <w:pPr>
        <w:pStyle w:val="Point1"/>
        <w:rPr>
          <w:noProof/>
        </w:rPr>
      </w:pPr>
      <w:r>
        <w:rPr>
          <w:noProof/>
        </w:rPr>
        <w:t>б)</w:t>
      </w:r>
      <w:r>
        <w:rPr>
          <w:noProof/>
        </w:rPr>
        <w:tab/>
        <w:t xml:space="preserve">при спорове, свързани с обезщетение за вреди, причинени от членовете на персонала на съвместното предприятие при изпълнение на техните задължения; </w:t>
      </w:r>
    </w:p>
    <w:p>
      <w:pPr>
        <w:pStyle w:val="Point1"/>
        <w:rPr>
          <w:noProof/>
        </w:rPr>
      </w:pPr>
      <w:r>
        <w:rPr>
          <w:noProof/>
        </w:rPr>
        <w:t>в)</w:t>
      </w:r>
      <w:r>
        <w:rPr>
          <w:noProof/>
        </w:rPr>
        <w:tab/>
        <w:t>при спорове между съвместното предприятие и членове на персонала в обхвата и при условията, предвидени в Правилника за длъжностните лица или Условията за работа.</w:t>
      </w:r>
    </w:p>
    <w:p>
      <w:pPr>
        <w:pStyle w:val="Point0"/>
        <w:rPr>
          <w:noProof/>
        </w:rPr>
      </w:pPr>
      <w:r>
        <w:t>(2)</w:t>
      </w:r>
      <w:r>
        <w:tab/>
      </w:r>
      <w:r>
        <w:rPr>
          <w:noProof/>
        </w:rPr>
        <w:t xml:space="preserve">По всички въпроси, които не са обхванати от настоящия регламент или друг акт от правото на Съюза, се прилага правото на държавата членка, в която се намира седалището на съвместното предприятие. </w:t>
      </w:r>
    </w:p>
    <w:p>
      <w:pPr>
        <w:keepNext/>
        <w:spacing w:before="240"/>
        <w:jc w:val="center"/>
        <w:rPr>
          <w:i/>
          <w:iCs/>
          <w:noProof/>
          <w:color w:val="000000" w:themeColor="text1"/>
        </w:rPr>
      </w:pPr>
      <w:r>
        <w:rPr>
          <w:i/>
          <w:iCs/>
          <w:noProof/>
          <w:color w:val="000000" w:themeColor="text1"/>
        </w:rPr>
        <w:t>Член 24</w:t>
      </w:r>
    </w:p>
    <w:p>
      <w:pPr>
        <w:jc w:val="center"/>
        <w:rPr>
          <w:b/>
          <w:noProof/>
          <w:color w:val="000000" w:themeColor="text1"/>
        </w:rPr>
      </w:pPr>
      <w:r>
        <w:rPr>
          <w:b/>
          <w:noProof/>
          <w:color w:val="000000" w:themeColor="text1"/>
        </w:rPr>
        <w:t>Жалби до омбудсмана</w:t>
      </w:r>
    </w:p>
    <w:p>
      <w:pPr>
        <w:spacing w:before="0"/>
        <w:rPr>
          <w:noProof/>
          <w:color w:val="000000" w:themeColor="text1"/>
        </w:rPr>
      </w:pPr>
      <w:r>
        <w:rPr>
          <w:iCs/>
          <w:noProof/>
          <w:color w:val="000000" w:themeColor="text1"/>
        </w:rPr>
        <w:t>Решенията, които се взимат от съвместното предприятие при изпълнението на настоящия регламент, могат да се обжалват пред омбудсмана в съответствие с член 228 ДФЕС</w:t>
      </w:r>
      <w:r>
        <w:rPr>
          <w:i/>
          <w:iCs/>
          <w:noProof/>
          <w:color w:val="000000" w:themeColor="text1"/>
        </w:rPr>
        <w:t>.</w:t>
      </w:r>
      <w:r>
        <w:rPr>
          <w:noProof/>
          <w:color w:val="000000" w:themeColor="text1"/>
        </w:rPr>
        <w:t xml:space="preserve"> </w:t>
      </w:r>
    </w:p>
    <w:p>
      <w:pPr>
        <w:pStyle w:val="Titrearticle"/>
        <w:spacing w:before="240"/>
        <w:rPr>
          <w:noProof/>
          <w:color w:val="000000" w:themeColor="text1"/>
        </w:rPr>
      </w:pPr>
      <w:r>
        <w:rPr>
          <w:noProof/>
          <w:color w:val="000000" w:themeColor="text1"/>
        </w:rPr>
        <w:t>Член 25</w:t>
      </w:r>
    </w:p>
    <w:p>
      <w:pPr>
        <w:pStyle w:val="NormalCentered"/>
        <w:spacing w:before="0" w:after="240"/>
        <w:rPr>
          <w:b/>
          <w:bCs/>
          <w:noProof/>
          <w:color w:val="000000" w:themeColor="text1"/>
        </w:rPr>
      </w:pPr>
      <w:r>
        <w:rPr>
          <w:b/>
          <w:bCs/>
          <w:noProof/>
          <w:color w:val="000000" w:themeColor="text1"/>
        </w:rPr>
        <w:t>Последващи одити</w:t>
      </w:r>
    </w:p>
    <w:p>
      <w:pPr>
        <w:pStyle w:val="Point0"/>
        <w:rPr>
          <w:noProof/>
        </w:rPr>
      </w:pPr>
      <w:r>
        <w:t>(1)</w:t>
      </w:r>
      <w:r>
        <w:tab/>
      </w:r>
      <w:r>
        <w:rPr>
          <w:noProof/>
        </w:rPr>
        <w:t xml:space="preserve">Последващи одити на разходите за действия, финансирани от бюджета на „Хоризонт Европа“, се извършват в съответствие с член 48 от Регламент (ЕС) № ххх за създаване на „Хоризонт Европа“, като част от непреки </w:t>
      </w:r>
      <w:r>
        <w:rPr>
          <w:noProof/>
        </w:rPr>
        <w:lastRenderedPageBreak/>
        <w:t xml:space="preserve">действия на „Хоризонт Европа“, по-специално в съответствие с одитната стратегия, упомената в член 48, параграф 2 от посочения регламент. </w:t>
      </w:r>
    </w:p>
    <w:p>
      <w:pPr>
        <w:pStyle w:val="Point0"/>
        <w:rPr>
          <w:noProof/>
        </w:rPr>
      </w:pPr>
      <w:r>
        <w:t>(2)</w:t>
      </w:r>
      <w:r>
        <w:tab/>
      </w:r>
      <w:r>
        <w:rPr>
          <w:noProof/>
        </w:rPr>
        <w:t>Съвместното предприятие извършва последващи одити на разходите за дейностите, финансирани от бюджета на „Цифрова Европа“, в съответствие с член xxx от Регламент (ЕС) № ххх за създаване на програмата „Цифрова Европа“.</w:t>
      </w:r>
    </w:p>
    <w:p>
      <w:pPr>
        <w:pStyle w:val="Point0"/>
        <w:rPr>
          <w:noProof/>
        </w:rPr>
      </w:pPr>
      <w:r>
        <w:t>(3)</w:t>
      </w:r>
      <w:r>
        <w:tab/>
      </w:r>
      <w:r>
        <w:rPr>
          <w:noProof/>
        </w:rPr>
        <w:t>Съвместното предприятие извършва последващи одити на разходите за дейностите, финансирани от бюджета на Механизма за свързване на Европа, в съответствие с член xxx от Регламент (ЕС) № ххх за създаване на Механизъм за свързване на Европа, като част от действията на Механизма за свързване на Европа.</w:t>
      </w:r>
    </w:p>
    <w:p>
      <w:pPr>
        <w:pStyle w:val="Titrearticle"/>
        <w:spacing w:before="240"/>
        <w:rPr>
          <w:noProof/>
          <w:color w:val="000000" w:themeColor="text1"/>
        </w:rPr>
      </w:pPr>
      <w:r>
        <w:rPr>
          <w:noProof/>
          <w:color w:val="000000" w:themeColor="text1"/>
        </w:rPr>
        <w:t>Член 26</w:t>
      </w:r>
    </w:p>
    <w:p>
      <w:pPr>
        <w:pStyle w:val="NormalCentered"/>
        <w:spacing w:before="0"/>
        <w:rPr>
          <w:b/>
          <w:bCs/>
          <w:noProof/>
          <w:color w:val="000000" w:themeColor="text1"/>
        </w:rPr>
      </w:pPr>
      <w:r>
        <w:rPr>
          <w:b/>
          <w:bCs/>
          <w:noProof/>
          <w:color w:val="000000" w:themeColor="text1"/>
        </w:rPr>
        <w:t>Защита на финансовите интереси</w:t>
      </w:r>
      <w:r>
        <w:rPr>
          <w:noProof/>
          <w:color w:val="000000" w:themeColor="text1"/>
        </w:rPr>
        <w:t xml:space="preserve"> </w:t>
      </w:r>
      <w:r>
        <w:rPr>
          <w:b/>
          <w:bCs/>
          <w:noProof/>
          <w:color w:val="000000" w:themeColor="text1"/>
        </w:rPr>
        <w:t>на членовете</w:t>
      </w:r>
    </w:p>
    <w:p>
      <w:pPr>
        <w:pStyle w:val="Point0"/>
        <w:rPr>
          <w:noProof/>
          <w:szCs w:val="24"/>
        </w:rPr>
      </w:pPr>
      <w:r>
        <w:t>(1)</w:t>
      </w:r>
      <w:r>
        <w:tab/>
      </w:r>
      <w:r>
        <w:rPr>
          <w:noProof/>
        </w:rPr>
        <w:t>Съвместното предприятие предоставя на служителите на Комисията и на други оправомощени от съответното съвместно предприятие или от Комисията лица, както и на Сметната палата, достъп до своите обекти и помещения и до цялата информация, включително в електронен формат, необходима за извършване на техните одити.</w:t>
      </w:r>
      <w:r>
        <w:rPr>
          <w:noProof/>
          <w:szCs w:val="24"/>
        </w:rPr>
        <w:t xml:space="preserve"> </w:t>
      </w:r>
    </w:p>
    <w:p>
      <w:pPr>
        <w:pStyle w:val="Point0"/>
        <w:rPr>
          <w:noProof/>
          <w:szCs w:val="24"/>
        </w:rPr>
      </w:pPr>
      <w:r>
        <w:t>(2)</w:t>
      </w:r>
      <w:r>
        <w:tab/>
      </w:r>
      <w:r>
        <w:rPr>
          <w:noProof/>
        </w:rPr>
        <w:t>Европейската служба за борба с измамите (OLAF) и Европейската прокуратура (EPPO) могат да извършват разследвания, включително проверки и инспекции на място, в съответствие с разпоредбите и процедурите, предвидени в Регламент (Евратом, ЕО) № 2185/96</w:t>
      </w:r>
      <w:r>
        <w:rPr>
          <w:rStyle w:val="FootnoteReference"/>
          <w:noProof/>
          <w:color w:val="000000" w:themeColor="text1"/>
        </w:rPr>
        <w:footnoteReference w:id="23"/>
      </w:r>
      <w:r>
        <w:rPr>
          <w:noProof/>
        </w:rPr>
        <w:t xml:space="preserve"> на Съвета и Регламент (ЕС, Евратом) № 883/2013 на Европейския парламент и на Съвета</w:t>
      </w:r>
      <w:r>
        <w:rPr>
          <w:rStyle w:val="FootnoteReference"/>
          <w:noProof/>
          <w:color w:val="000000" w:themeColor="text1"/>
        </w:rPr>
        <w:footnoteReference w:id="24"/>
      </w:r>
      <w:r>
        <w:rPr>
          <w:noProof/>
        </w:rPr>
        <w:t>, за да се установи дали е налице измама, корупция или друга незаконна дейност, накърняваща финансовите интереси на Съюза, във връзка със споразумение, решение или договор, финансирани съгласно настоящия регламент.</w:t>
      </w:r>
      <w:r>
        <w:rPr>
          <w:noProof/>
          <w:szCs w:val="24"/>
        </w:rPr>
        <w:t xml:space="preserve"> </w:t>
      </w:r>
    </w:p>
    <w:p>
      <w:pPr>
        <w:pStyle w:val="Point0"/>
        <w:rPr>
          <w:noProof/>
        </w:rPr>
      </w:pPr>
      <w:r>
        <w:t>(3)</w:t>
      </w:r>
      <w:r>
        <w:tab/>
      </w:r>
      <w:r>
        <w:rPr>
          <w:noProof/>
        </w:rPr>
        <w:t>Без да се засягат параграфи 1 и 2, споразуменията, решенията и договорите, сключени в резултат на прилагането на настоящия регламент, съдържат разпоредби, с които Комисията, съответното съвместно предприятие, Сметната палата, Европейската прокуратура и OLAF изрично се оправомощават да извършват такива одити, проверки на място и разследвания в съответствие с тяхната компетентност.</w:t>
      </w:r>
    </w:p>
    <w:p>
      <w:pPr>
        <w:pStyle w:val="Point0"/>
        <w:rPr>
          <w:noProof/>
        </w:rPr>
      </w:pPr>
      <w:r>
        <w:t>(4)</w:t>
      </w:r>
      <w:r>
        <w:tab/>
      </w:r>
      <w:r>
        <w:rPr>
          <w:noProof/>
        </w:rPr>
        <w:t>Съвместното предприятие гарантира, че финансовите интереси на неговите членове са защитени по подходящ начин, като упражнява или възлага на други упражняването на подходящ вътрешен и външен контрол.</w:t>
      </w:r>
    </w:p>
    <w:p>
      <w:pPr>
        <w:pStyle w:val="Point0"/>
        <w:rPr>
          <w:noProof/>
        </w:rPr>
      </w:pPr>
      <w:r>
        <w:t>(5)</w:t>
      </w:r>
      <w:r>
        <w:tab/>
      </w:r>
      <w:r>
        <w:rPr>
          <w:noProof/>
        </w:rPr>
        <w:t xml:space="preserve">Съвместното предприятие се присъединява към Междуинституционалното споразумение от 25 май 1999 г. между Европейския парламент, Съвета и Комисията относно вътрешните разследвания, извършвани от Европейската </w:t>
      </w:r>
      <w:r>
        <w:rPr>
          <w:noProof/>
        </w:rPr>
        <w:lastRenderedPageBreak/>
        <w:t>служба за борба с измамите (OLAF).</w:t>
      </w:r>
      <w:r>
        <w:rPr>
          <w:rStyle w:val="FootnoteReference"/>
          <w:noProof/>
          <w:color w:val="000000" w:themeColor="text1"/>
        </w:rPr>
        <w:footnoteReference w:id="25"/>
      </w:r>
      <w:r>
        <w:rPr>
          <w:noProof/>
        </w:rPr>
        <w:t xml:space="preserve"> Съвместното предприятие предприема необходимите мерки за улесняване на вътрешните разследвания, извършвани от OLAF.</w:t>
      </w:r>
    </w:p>
    <w:p>
      <w:pPr>
        <w:pStyle w:val="Titrearticle"/>
        <w:spacing w:before="240"/>
        <w:rPr>
          <w:noProof/>
          <w:color w:val="000000" w:themeColor="text1"/>
        </w:rPr>
      </w:pPr>
      <w:r>
        <w:rPr>
          <w:noProof/>
          <w:color w:val="000000" w:themeColor="text1"/>
        </w:rPr>
        <w:t>Член 27</w:t>
      </w:r>
    </w:p>
    <w:p>
      <w:pPr>
        <w:pStyle w:val="NormalCentered"/>
        <w:spacing w:before="0" w:after="240"/>
        <w:rPr>
          <w:b/>
          <w:bCs/>
          <w:noProof/>
          <w:color w:val="000000" w:themeColor="text1"/>
        </w:rPr>
      </w:pPr>
      <w:r>
        <w:rPr>
          <w:b/>
          <w:bCs/>
          <w:noProof/>
          <w:color w:val="000000" w:themeColor="text1"/>
        </w:rPr>
        <w:t>Поверителност</w:t>
      </w:r>
    </w:p>
    <w:p>
      <w:pPr>
        <w:spacing w:before="0"/>
        <w:rPr>
          <w:noProof/>
          <w:color w:val="000000" w:themeColor="text1"/>
        </w:rPr>
      </w:pPr>
      <w:r>
        <w:rPr>
          <w:noProof/>
          <w:color w:val="000000" w:themeColor="text1"/>
        </w:rPr>
        <w:t>Съвместното предприятие гарантира защитата на чувствителна информация, разкриването на която би навредило на интересите на неговите членове или на участниците в дейностите на съвместното предприятие.</w:t>
      </w:r>
    </w:p>
    <w:p>
      <w:pPr>
        <w:pStyle w:val="Titrearticle"/>
        <w:spacing w:before="240"/>
        <w:rPr>
          <w:noProof/>
          <w:color w:val="000000" w:themeColor="text1"/>
        </w:rPr>
      </w:pPr>
      <w:r>
        <w:rPr>
          <w:noProof/>
          <w:color w:val="000000" w:themeColor="text1"/>
        </w:rPr>
        <w:t>Член 28</w:t>
      </w:r>
    </w:p>
    <w:p>
      <w:pPr>
        <w:pStyle w:val="NormalCentered"/>
        <w:spacing w:before="0" w:after="240"/>
        <w:rPr>
          <w:b/>
          <w:bCs/>
          <w:noProof/>
          <w:color w:val="000000" w:themeColor="text1"/>
        </w:rPr>
      </w:pPr>
      <w:r>
        <w:rPr>
          <w:b/>
          <w:bCs/>
          <w:noProof/>
          <w:color w:val="000000" w:themeColor="text1"/>
        </w:rPr>
        <w:t>Прозрачност</w:t>
      </w:r>
    </w:p>
    <w:p>
      <w:pPr>
        <w:widowControl w:val="0"/>
        <w:spacing w:before="0"/>
        <w:rPr>
          <w:noProof/>
          <w:color w:val="000000" w:themeColor="text1"/>
        </w:rPr>
      </w:pPr>
      <w:r>
        <w:rPr>
          <w:noProof/>
          <w:color w:val="000000" w:themeColor="text1"/>
        </w:rPr>
        <w:t>Регламент (ЕО) № 1049/2001 на Европейския парламент и на Съвета</w:t>
      </w:r>
      <w:r>
        <w:rPr>
          <w:rStyle w:val="FootnoteReference"/>
          <w:noProof/>
          <w:color w:val="000000" w:themeColor="text1"/>
        </w:rPr>
        <w:footnoteReference w:id="26"/>
      </w:r>
      <w:r>
        <w:rPr>
          <w:noProof/>
          <w:color w:val="000000" w:themeColor="text1"/>
        </w:rPr>
        <w:t xml:space="preserve"> се прилага по отношение на документите, съхранявани от съвместното предприятие.</w:t>
      </w:r>
    </w:p>
    <w:p>
      <w:pPr>
        <w:pStyle w:val="Titrearticle"/>
        <w:spacing w:before="240"/>
        <w:rPr>
          <w:noProof/>
          <w:color w:val="000000" w:themeColor="text1"/>
        </w:rPr>
      </w:pPr>
      <w:r>
        <w:rPr>
          <w:noProof/>
          <w:color w:val="000000" w:themeColor="text1"/>
        </w:rPr>
        <w:t>Член 29</w:t>
      </w:r>
    </w:p>
    <w:p>
      <w:pPr>
        <w:pStyle w:val="NormalCentered"/>
        <w:spacing w:before="0" w:after="240"/>
        <w:rPr>
          <w:b/>
          <w:bCs/>
          <w:noProof/>
          <w:color w:val="000000" w:themeColor="text1"/>
        </w:rPr>
      </w:pPr>
      <w:r>
        <w:rPr>
          <w:b/>
          <w:bCs/>
          <w:noProof/>
          <w:color w:val="000000" w:themeColor="text1"/>
        </w:rPr>
        <w:t>Обработка на личните данни</w:t>
      </w:r>
    </w:p>
    <w:p>
      <w:pPr>
        <w:spacing w:before="0"/>
        <w:rPr>
          <w:noProof/>
          <w:color w:val="000000" w:themeColor="text1"/>
        </w:rPr>
      </w:pPr>
      <w:r>
        <w:rPr>
          <w:noProof/>
          <w:color w:val="000000" w:themeColor="text1"/>
        </w:rPr>
        <w:t>Когато изпълнението на настоящия регламент изисква обработването на лични данни, те се обработват в съответствие с Регламент (ЕС) 2018/1725 на Европейския парламент и на Съвета</w:t>
      </w:r>
      <w:r>
        <w:rPr>
          <w:rStyle w:val="FootnoteReference"/>
          <w:noProof/>
          <w:color w:val="000000" w:themeColor="text1"/>
        </w:rPr>
        <w:footnoteReference w:id="27"/>
      </w:r>
      <w:r>
        <w:rPr>
          <w:noProof/>
          <w:color w:val="000000" w:themeColor="text1"/>
        </w:rPr>
        <w:t>.</w:t>
      </w:r>
    </w:p>
    <w:p>
      <w:pPr>
        <w:pStyle w:val="Titrearticle"/>
        <w:spacing w:before="240"/>
        <w:rPr>
          <w:noProof/>
          <w:color w:val="000000" w:themeColor="text1"/>
        </w:rPr>
      </w:pPr>
      <w:r>
        <w:rPr>
          <w:noProof/>
          <w:color w:val="000000" w:themeColor="text1"/>
        </w:rPr>
        <w:t>Член 30</w:t>
      </w:r>
    </w:p>
    <w:p>
      <w:pPr>
        <w:jc w:val="center"/>
        <w:rPr>
          <w:b/>
          <w:noProof/>
          <w:color w:val="000000" w:themeColor="text1"/>
        </w:rPr>
      </w:pPr>
      <w:r>
        <w:rPr>
          <w:b/>
          <w:noProof/>
          <w:color w:val="000000" w:themeColor="text1"/>
        </w:rPr>
        <w:t>Достъп до резултати и информация за предложения</w:t>
      </w:r>
    </w:p>
    <w:p>
      <w:pPr>
        <w:pStyle w:val="Point0"/>
        <w:rPr>
          <w:noProof/>
        </w:rPr>
      </w:pPr>
      <w:r>
        <w:t>(1)</w:t>
      </w:r>
      <w:r>
        <w:tab/>
      </w:r>
      <w:r>
        <w:rPr>
          <w:noProof/>
        </w:rPr>
        <w:t>Съвместното предприятие предоставя достъп на институциите на Съюза и на органите, службите или агенциите на Съюза до цялата информация, свързана с непреките действия, които финансира. Тази информация включва резултати на бенефициери, които участват в непреки действия на съвместното предприятие, или всякаква друга информация, която бъде счетена за необходима за разработването, изпълнението, мониторинга и оценката на политики или програми на Съюза. Тези права на достъп са ограничени до употреба с нетърговска и неконкурентна цел и отговарят на приложимите правила за поверителност.</w:t>
      </w:r>
    </w:p>
    <w:p>
      <w:pPr>
        <w:pStyle w:val="Point0"/>
        <w:rPr>
          <w:noProof/>
        </w:rPr>
      </w:pPr>
      <w:r>
        <w:t>(2)</w:t>
      </w:r>
      <w:r>
        <w:tab/>
      </w:r>
      <w:r>
        <w:rPr>
          <w:noProof/>
        </w:rPr>
        <w:t xml:space="preserve">Съвместното предприятие предоставя на Европейската комисия информацията, съдържаща се в представените предложения, за целите на разработването, прилагането, мониторинга и оценката на политиките или програмите на Съюза. </w:t>
      </w:r>
    </w:p>
    <w:p>
      <w:pPr>
        <w:pStyle w:val="Titrearticle"/>
        <w:spacing w:before="240"/>
        <w:rPr>
          <w:noProof/>
          <w:color w:val="000000" w:themeColor="text1"/>
        </w:rPr>
      </w:pPr>
      <w:r>
        <w:rPr>
          <w:noProof/>
          <w:color w:val="000000" w:themeColor="text1"/>
        </w:rPr>
        <w:lastRenderedPageBreak/>
        <w:t>Член 31</w:t>
      </w:r>
    </w:p>
    <w:p>
      <w:pPr>
        <w:pStyle w:val="NormalCentered"/>
        <w:spacing w:before="0" w:after="240"/>
        <w:rPr>
          <w:b/>
          <w:bCs/>
          <w:noProof/>
          <w:color w:val="000000" w:themeColor="text1"/>
        </w:rPr>
      </w:pPr>
      <w:r>
        <w:rPr>
          <w:b/>
          <w:bCs/>
          <w:noProof/>
          <w:color w:val="000000" w:themeColor="text1"/>
        </w:rPr>
        <w:t>Правила за участие и разпространение, приложими към непреките действия, финансирани по „Хоризонт Европа“</w:t>
      </w:r>
    </w:p>
    <w:p>
      <w:pPr>
        <w:spacing w:before="0"/>
        <w:rPr>
          <w:noProof/>
          <w:color w:val="000000" w:themeColor="text1"/>
        </w:rPr>
      </w:pPr>
      <w:r>
        <w:rPr>
          <w:noProof/>
          <w:color w:val="000000" w:themeColor="text1"/>
        </w:rPr>
        <w:t>Към непреките действия, финансирани от съвместното предприятие по „Хоризонт Европа“, се прилага Регламент (ЕС) № xxx за създаване на „Хоризонт Европа“. В съответствие с този регламент съвместното предприятие се смята за финансиращ орган и предоставя финансова подкрепа за непреките действия, посочени в член 1 от устава.</w:t>
      </w:r>
    </w:p>
    <w:p>
      <w:pPr>
        <w:spacing w:before="0"/>
        <w:rPr>
          <w:noProof/>
          <w:color w:val="000000" w:themeColor="text1"/>
        </w:rPr>
      </w:pPr>
      <w:r>
        <w:rPr>
          <w:noProof/>
          <w:color w:val="000000" w:themeColor="text1"/>
        </w:rPr>
        <w:t>Регламент (ЕС) № xxx за създаване на „Хоризонт Европа“ се прилага също и за непреки действия, финансирани от вноските на участващите държави, посочени в член 15, параграф 3, буква е) от устава.</w:t>
      </w:r>
    </w:p>
    <w:p>
      <w:pPr>
        <w:pStyle w:val="Titrearticle"/>
        <w:spacing w:before="240"/>
        <w:rPr>
          <w:noProof/>
          <w:color w:val="000000" w:themeColor="text1"/>
        </w:rPr>
      </w:pPr>
      <w:r>
        <w:rPr>
          <w:noProof/>
          <w:color w:val="000000" w:themeColor="text1"/>
        </w:rPr>
        <w:t>Член 32</w:t>
      </w:r>
    </w:p>
    <w:p>
      <w:pPr>
        <w:pStyle w:val="NormalCentered"/>
        <w:spacing w:before="0" w:after="240"/>
        <w:rPr>
          <w:b/>
          <w:bCs/>
          <w:noProof/>
          <w:color w:val="000000" w:themeColor="text1"/>
        </w:rPr>
      </w:pPr>
      <w:r>
        <w:rPr>
          <w:b/>
          <w:bCs/>
          <w:noProof/>
          <w:color w:val="000000" w:themeColor="text1"/>
        </w:rPr>
        <w:t>Правила, приложими за дейностите, финансирани по линия на Механизма за свързване на Европа</w:t>
      </w:r>
    </w:p>
    <w:p>
      <w:pPr>
        <w:spacing w:before="0"/>
        <w:rPr>
          <w:noProof/>
          <w:color w:val="000000" w:themeColor="text1"/>
        </w:rPr>
      </w:pPr>
      <w:r>
        <w:rPr>
          <w:noProof/>
          <w:color w:val="000000" w:themeColor="text1"/>
        </w:rPr>
        <w:t>Към дейностите, финансирани от съвместното предприятие по линия на Механизма за свързване на Европа, се прилага Регламент (ЕС) № xxx за създаване на Механизъм за свързване на Европа.</w:t>
      </w:r>
    </w:p>
    <w:p>
      <w:pPr>
        <w:pStyle w:val="Titrearticle"/>
        <w:spacing w:before="240"/>
        <w:rPr>
          <w:noProof/>
          <w:color w:val="000000" w:themeColor="text1"/>
        </w:rPr>
      </w:pPr>
      <w:r>
        <w:rPr>
          <w:noProof/>
          <w:color w:val="000000" w:themeColor="text1"/>
        </w:rPr>
        <w:t>Член 33</w:t>
      </w:r>
    </w:p>
    <w:p>
      <w:pPr>
        <w:pStyle w:val="NormalCentered"/>
        <w:spacing w:before="0" w:after="240"/>
        <w:rPr>
          <w:b/>
          <w:bCs/>
          <w:noProof/>
          <w:color w:val="000000" w:themeColor="text1"/>
        </w:rPr>
      </w:pPr>
      <w:r>
        <w:rPr>
          <w:b/>
          <w:bCs/>
          <w:noProof/>
          <w:color w:val="000000" w:themeColor="text1"/>
        </w:rPr>
        <w:t>Правила, приложими към дейностите, финансирани по линия на програмата „Цифрова Европа“</w:t>
      </w:r>
    </w:p>
    <w:p>
      <w:pPr>
        <w:spacing w:before="0"/>
        <w:rPr>
          <w:noProof/>
          <w:color w:val="000000" w:themeColor="text1"/>
        </w:rPr>
      </w:pPr>
      <w:r>
        <w:rPr>
          <w:noProof/>
          <w:color w:val="000000" w:themeColor="text1"/>
        </w:rPr>
        <w:t>Към дейностите, финансирани от съвместното предприятие по линия на програмата „Цифрова Европа“, се прилага Регламент (ЕС) № xxx за създаване на програмата „Цифрова Европа“.</w:t>
      </w:r>
    </w:p>
    <w:p>
      <w:pPr>
        <w:pStyle w:val="Titrearticle"/>
        <w:spacing w:before="240"/>
        <w:rPr>
          <w:noProof/>
          <w:color w:val="000000" w:themeColor="text1"/>
        </w:rPr>
      </w:pPr>
      <w:r>
        <w:rPr>
          <w:noProof/>
          <w:color w:val="000000" w:themeColor="text1"/>
        </w:rPr>
        <w:t>Член 34</w:t>
      </w:r>
    </w:p>
    <w:p>
      <w:pPr>
        <w:pStyle w:val="NormalCentered"/>
        <w:spacing w:before="0" w:after="240"/>
        <w:rPr>
          <w:b/>
          <w:bCs/>
          <w:noProof/>
          <w:color w:val="000000" w:themeColor="text1"/>
        </w:rPr>
      </w:pPr>
      <w:r>
        <w:rPr>
          <w:b/>
          <w:bCs/>
          <w:noProof/>
          <w:color w:val="000000" w:themeColor="text1"/>
        </w:rPr>
        <w:t>Подкрепа от приемащата държава членка</w:t>
      </w:r>
    </w:p>
    <w:p>
      <w:pPr>
        <w:spacing w:before="0"/>
        <w:rPr>
          <w:noProof/>
          <w:color w:val="000000" w:themeColor="text1"/>
        </w:rPr>
      </w:pPr>
      <w:r>
        <w:rPr>
          <w:noProof/>
          <w:color w:val="000000" w:themeColor="text1"/>
        </w:rPr>
        <w:t>Между съвместното предприятие и държавата членка, където се намира неговото седалище, може да се сключи административно споразумение относно привилегиите и имунитетите, както и друг вид подкрепа, която да се предоставя от тази държава на съвместното предприятие.</w:t>
      </w:r>
    </w:p>
    <w:p>
      <w:pPr>
        <w:pStyle w:val="Titrearticle"/>
        <w:rPr>
          <w:noProof/>
          <w:color w:val="000000" w:themeColor="text1"/>
        </w:rPr>
      </w:pPr>
      <w:r>
        <w:rPr>
          <w:noProof/>
          <w:color w:val="000000" w:themeColor="text1"/>
        </w:rPr>
        <w:t>Член 35</w:t>
      </w:r>
    </w:p>
    <w:p>
      <w:pPr>
        <w:spacing w:before="0" w:after="240"/>
        <w:jc w:val="center"/>
        <w:rPr>
          <w:b/>
          <w:noProof/>
          <w:color w:val="000000" w:themeColor="text1"/>
        </w:rPr>
      </w:pPr>
      <w:r>
        <w:rPr>
          <w:b/>
          <w:noProof/>
          <w:color w:val="000000" w:themeColor="text1"/>
        </w:rPr>
        <w:t xml:space="preserve">Отмяна </w:t>
      </w:r>
    </w:p>
    <w:p>
      <w:pPr>
        <w:pStyle w:val="Point0"/>
        <w:rPr>
          <w:noProof/>
        </w:rPr>
      </w:pPr>
      <w:r>
        <w:t>(1)</w:t>
      </w:r>
      <w:r>
        <w:tab/>
      </w:r>
      <w:r>
        <w:rPr>
          <w:noProof/>
        </w:rPr>
        <w:t>Без да се засягат действията, предприети съгласно Регламент (ЕС) 2018/1488, включително годишните планове за изпълнение и финансовите задължения, свързани с тези действия, Регламент (ЕС) 2018/1488 се отменя.</w:t>
      </w:r>
    </w:p>
    <w:p>
      <w:pPr>
        <w:pStyle w:val="Text1"/>
        <w:rPr>
          <w:noProof/>
          <w:color w:val="000000" w:themeColor="text1"/>
        </w:rPr>
      </w:pPr>
      <w:r>
        <w:rPr>
          <w:noProof/>
          <w:color w:val="000000" w:themeColor="text1"/>
        </w:rPr>
        <w:t xml:space="preserve">Действията, предприети съгласно членове 10, 11, 13 и 14 от Регламент (ЕС) 2018/1488, както и съгласно членове 6 и 7 от устава, приложен към този регламент, продължават да се прилагат до тяхното приключване и доколкото е необходимо. </w:t>
      </w:r>
    </w:p>
    <w:p>
      <w:pPr>
        <w:pStyle w:val="Text1"/>
        <w:rPr>
          <w:noProof/>
          <w:color w:val="000000" w:themeColor="text1"/>
        </w:rPr>
      </w:pPr>
      <w:r>
        <w:rPr>
          <w:noProof/>
          <w:color w:val="000000" w:themeColor="text1"/>
        </w:rPr>
        <w:t xml:space="preserve">Действията, произтичащи от покани за представяне на предложения и за участие в търгове, предвидени в приетите съгласно Регламент (ЕС) 2018/1488 </w:t>
      </w:r>
      <w:r>
        <w:rPr>
          <w:noProof/>
          <w:color w:val="000000" w:themeColor="text1"/>
        </w:rPr>
        <w:lastRenderedPageBreak/>
        <w:t>годишни планове за изпълнение, също се считат за действия, започнати по силата на посочения регламент.</w:t>
      </w:r>
    </w:p>
    <w:p>
      <w:pPr>
        <w:pStyle w:val="Point0"/>
        <w:rPr>
          <w:noProof/>
        </w:rPr>
      </w:pPr>
      <w:r>
        <w:t>(2)</w:t>
      </w:r>
      <w:r>
        <w:tab/>
      </w:r>
      <w:r>
        <w:rPr>
          <w:noProof/>
        </w:rPr>
        <w:t>Всички позовавания на Регламент (ЕС) 2018/1488 се тълкуват като позовавания на настоящия регламент.</w:t>
      </w:r>
    </w:p>
    <w:p>
      <w:pPr>
        <w:keepNext/>
        <w:jc w:val="center"/>
        <w:rPr>
          <w:i/>
          <w:iCs/>
          <w:noProof/>
          <w:color w:val="000000" w:themeColor="text1"/>
        </w:rPr>
      </w:pPr>
      <w:r>
        <w:rPr>
          <w:i/>
          <w:iCs/>
          <w:noProof/>
          <w:color w:val="000000" w:themeColor="text1"/>
        </w:rPr>
        <w:t>Член 36</w:t>
      </w:r>
    </w:p>
    <w:p>
      <w:pPr>
        <w:jc w:val="center"/>
        <w:rPr>
          <w:b/>
          <w:noProof/>
          <w:color w:val="000000" w:themeColor="text1"/>
        </w:rPr>
      </w:pPr>
      <w:r>
        <w:rPr>
          <w:b/>
          <w:noProof/>
          <w:color w:val="000000" w:themeColor="text1"/>
        </w:rPr>
        <w:t>Преходни разпоредби</w:t>
      </w:r>
    </w:p>
    <w:p>
      <w:pPr>
        <w:pStyle w:val="Point0"/>
        <w:rPr>
          <w:noProof/>
        </w:rPr>
      </w:pPr>
      <w:r>
        <w:t>(1)</w:t>
      </w:r>
      <w:r>
        <w:tab/>
      </w:r>
      <w:r>
        <w:rPr>
          <w:noProof/>
        </w:rPr>
        <w:t xml:space="preserve">Настоящият регламент не засяга правата и задълженията на служители, наети съгласно Регламент (ЕС) 2018/1488. </w:t>
      </w:r>
    </w:p>
    <w:p>
      <w:pPr>
        <w:pStyle w:val="Point0"/>
        <w:rPr>
          <w:noProof/>
        </w:rPr>
      </w:pPr>
      <w:r>
        <w:t>(2)</w:t>
      </w:r>
      <w:r>
        <w:tab/>
      </w:r>
      <w:r>
        <w:rPr>
          <w:noProof/>
        </w:rPr>
        <w:t>За тази цел трудовите договори на персонала се продължават съгласно настоящия регламент в съответствие с Правилника за длъжностните лица и Условията за работа на другите служители.</w:t>
      </w:r>
    </w:p>
    <w:p>
      <w:pPr>
        <w:pStyle w:val="Point0"/>
        <w:rPr>
          <w:noProof/>
        </w:rPr>
      </w:pPr>
      <w:r>
        <w:t>(3)</w:t>
      </w:r>
      <w:r>
        <w:tab/>
      </w:r>
      <w:r>
        <w:rPr>
          <w:noProof/>
        </w:rPr>
        <w:t xml:space="preserve">На изпълнителния директор, назначен съгласно Регламент (ЕС) 2018/1488, се възлага за оставащия срок от мандата изпълнението на функциите на изпълнителен директор, предвидено в настоящия регламент, считано от влизането в сила на настоящия регламент. Останалите договорни условия остават непроменени. </w:t>
      </w:r>
    </w:p>
    <w:p>
      <w:pPr>
        <w:pStyle w:val="Point0"/>
        <w:rPr>
          <w:noProof/>
        </w:rPr>
      </w:pPr>
      <w:r>
        <w:t>(4)</w:t>
      </w:r>
      <w:r>
        <w:tab/>
      </w:r>
      <w:r>
        <w:rPr>
          <w:noProof/>
        </w:rPr>
        <w:t xml:space="preserve">Освен ако между членовете не е уговорено друго, всички права и задължения, включително активи, дългове или пасиви на членовете, поддържани съгласно Регламент (ЕС) 2018/1488, се прехвърлят на членовете съгласно настоящия регламент. </w:t>
      </w:r>
    </w:p>
    <w:p>
      <w:pPr>
        <w:pStyle w:val="Point0"/>
        <w:rPr>
          <w:noProof/>
        </w:rPr>
      </w:pPr>
      <w:r>
        <w:t>(5)</w:t>
      </w:r>
      <w:r>
        <w:tab/>
      </w:r>
      <w:r>
        <w:rPr>
          <w:noProof/>
        </w:rPr>
        <w:t>На първото си заседание след влизането в сила на настоящия регламент Управителният съвет на съвместното предприятие приема списък с решенията, приети съгласно Регламент (ЕС) 2018/1488, които продължават да се прилагат съгласно настоящия регламент. Всички неусвоени бюджетни кредити съгласно Регламент 2018/1488 се прехвърлят на Съвместното предприятие EuroHPC, създадено съгласно настоящия регламент.</w:t>
      </w:r>
    </w:p>
    <w:p>
      <w:pPr>
        <w:pStyle w:val="Point0"/>
        <w:rPr>
          <w:noProof/>
        </w:rPr>
      </w:pPr>
      <w:r>
        <w:t>(6)</w:t>
      </w:r>
      <w:r>
        <w:tab/>
      </w:r>
      <w:r>
        <w:rPr>
          <w:noProof/>
        </w:rPr>
        <w:t>Всички права и задължения, включително активи, дългове или пасиви на съвместното предприятие, както и всички неусвоени бюджетни кредити съгласно Регламент (ЕС) 2018/1488, се прехвърлят на Съвместното предприятие EuroHPC, създадено съгласно настоящия регламент.</w:t>
      </w:r>
    </w:p>
    <w:p>
      <w:pPr>
        <w:pStyle w:val="Titrearticle"/>
        <w:spacing w:before="120"/>
        <w:rPr>
          <w:noProof/>
          <w:color w:val="000000" w:themeColor="text1"/>
        </w:rPr>
      </w:pPr>
      <w:r>
        <w:rPr>
          <w:noProof/>
          <w:color w:val="000000" w:themeColor="text1"/>
        </w:rPr>
        <w:t>Член 37</w:t>
      </w:r>
    </w:p>
    <w:p>
      <w:pPr>
        <w:pStyle w:val="NormalCentered"/>
        <w:spacing w:before="0" w:after="240"/>
        <w:rPr>
          <w:b/>
          <w:bCs/>
          <w:noProof/>
          <w:color w:val="000000" w:themeColor="text1"/>
        </w:rPr>
      </w:pPr>
      <w:r>
        <w:rPr>
          <w:b/>
          <w:bCs/>
          <w:noProof/>
          <w:color w:val="000000" w:themeColor="text1"/>
        </w:rPr>
        <w:t>Влизане в сила</w:t>
      </w:r>
    </w:p>
    <w:p>
      <w:pPr>
        <w:spacing w:before="0"/>
        <w:rPr>
          <w:noProof/>
          <w:color w:val="000000" w:themeColor="text1"/>
        </w:rPr>
      </w:pPr>
      <w:r>
        <w:rPr>
          <w:noProof/>
          <w:color w:val="000000" w:themeColor="text1"/>
        </w:rPr>
        <w:t xml:space="preserve">Настоящият регламент влиза в сила на двадесетия ден след деня на публикуването му в </w:t>
      </w:r>
      <w:r>
        <w:rPr>
          <w:i/>
          <w:iCs/>
          <w:noProof/>
          <w:color w:val="000000" w:themeColor="text1"/>
        </w:rPr>
        <w:t>Официален вестник на Европейския съюз</w:t>
      </w:r>
      <w:r>
        <w:rPr>
          <w:noProof/>
          <w:color w:val="000000" w:themeColor="text1"/>
        </w:rPr>
        <w:t xml:space="preserve">. </w:t>
      </w:r>
    </w:p>
    <w:p>
      <w:pPr>
        <w:spacing w:before="0"/>
        <w:rPr>
          <w:noProof/>
          <w:color w:val="000000" w:themeColor="text1"/>
        </w:rPr>
      </w:pPr>
    </w:p>
    <w:p>
      <w:pPr>
        <w:pStyle w:val="Applicationdirecte"/>
        <w:spacing w:before="0"/>
        <w:rPr>
          <w:noProof/>
          <w:color w:val="000000" w:themeColor="text1"/>
        </w:rPr>
      </w:pPr>
      <w:r>
        <w:rPr>
          <w:noProof/>
          <w:color w:val="000000" w:themeColor="text1"/>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color w:val="000000" w:themeColor="text1"/>
        </w:rPr>
      </w:pPr>
      <w:r>
        <w:rPr>
          <w:noProof/>
          <w:color w:val="000000" w:themeColor="text1"/>
        </w:rPr>
        <w:t>За Съвета</w:t>
      </w:r>
    </w:p>
    <w:p>
      <w:pPr>
        <w:pStyle w:val="Personnequisigne"/>
        <w:rPr>
          <w:noProof/>
          <w:color w:val="000000" w:themeColor="text1"/>
        </w:rPr>
      </w:pPr>
      <w:r>
        <w:rPr>
          <w:noProof/>
          <w:color w:val="000000" w:themeColor="text1"/>
        </w:rPr>
        <w:t xml:space="preserve">Председател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2018/1488 на Съвета за създаване на Съвместно предприятие за европейски високопроизводителни изчислителни технологии</w:t>
      </w:r>
    </w:p>
  </w:footnote>
  <w:footnote w:id="2">
    <w:p>
      <w:pPr>
        <w:pStyle w:val="FootnoteText"/>
      </w:pPr>
      <w:r>
        <w:rPr>
          <w:rStyle w:val="FootnoteReference"/>
        </w:rPr>
        <w:footnoteRef/>
      </w:r>
      <w:r>
        <w:tab/>
        <w:t>Вж. съображение 12 от преамбюла. „Съвместното предприятие следва да бъде създадено и да започне работа най-късно в началото на 2019 г., за да бъде постигната целта Съюзът да разполага с инфраструктура с близка до ексафлопс производителност до 2020 г., и да се разработят необходимите технологии и приложения за достигане на производителност от порядъка на ексафлопс около 2023 до 2025 г.“</w:t>
      </w:r>
    </w:p>
  </w:footnote>
  <w:footnote w:id="3">
    <w:p>
      <w:pPr>
        <w:pStyle w:val="FootnoteText"/>
      </w:pPr>
      <w:r>
        <w:rPr>
          <w:rStyle w:val="FootnoteReference"/>
        </w:rPr>
        <w:footnoteRef/>
      </w:r>
      <w:r>
        <w:tab/>
        <w:t>SWD(2018) 6 final</w:t>
      </w:r>
    </w:p>
  </w:footnote>
  <w:footnote w:id="4">
    <w:p>
      <w:pPr>
        <w:pStyle w:val="FootnoteText"/>
      </w:pPr>
      <w:r>
        <w:rPr>
          <w:rStyle w:val="FootnoteReference"/>
        </w:rPr>
        <w:footnoteRef/>
      </w:r>
      <w:r>
        <w:tab/>
        <w:t>COM(2018) 434 final, SEC(2018) 289 final, SWD(2018) 306 final</w:t>
      </w:r>
    </w:p>
  </w:footnote>
  <w:footnote w:id="5">
    <w:p>
      <w:pPr>
        <w:pStyle w:val="FootnoteText"/>
      </w:pPr>
      <w:r>
        <w:rPr>
          <w:rStyle w:val="FootnoteReference"/>
        </w:rPr>
        <w:footnoteRef/>
      </w:r>
      <w:r>
        <w:tab/>
        <w:t>Държавите, участващи в настоящия състав на Съвместното предприятие EuroHPC, са: Австрия, Белгия, България, Хърватия, Кипър, Чехия, Дания, Естония, Финландия, Франция, Германия, Гърция, Унгария, Исландия, Ирландия, Италия, Латвия, Литва, Люксембург, Черна гора, Нидерландия, Северна Македония, Норвегия, Полша, Португалия, Румъния, Словакия, Словения, Испания, Швеция, Швейцария и Турция.</w:t>
      </w:r>
    </w:p>
  </w:footnote>
  <w:footnote w:id="6">
    <w:p>
      <w:pPr>
        <w:pStyle w:val="FootnoteText"/>
      </w:pPr>
      <w:r>
        <w:rPr>
          <w:rStyle w:val="FootnoteReference"/>
        </w:rPr>
        <w:footnoteRef/>
      </w:r>
      <w:r>
        <w:tab/>
      </w:r>
      <w:hyperlink r:id="rId1" w:history="1">
        <w:r>
          <w:rPr>
            <w:rStyle w:val="Hyperlink"/>
          </w:rPr>
          <w:t>https://eurohpc-ju.europa.eu/documents/EuroHPC_RIAG_Strategic_Agenda_2019.pdf</w:t>
        </w:r>
      </w:hyperlink>
      <w:r>
        <w:t xml:space="preserve"> </w:t>
      </w:r>
    </w:p>
  </w:footnote>
  <w:footnote w:id="7">
    <w:p>
      <w:pPr>
        <w:pStyle w:val="FootnoteText"/>
      </w:pPr>
      <w:r>
        <w:rPr>
          <w:rStyle w:val="FootnoteReference"/>
        </w:rPr>
        <w:footnoteRef/>
      </w:r>
      <w:r>
        <w:tab/>
      </w:r>
      <w:hyperlink r:id="rId2" w:history="1">
        <w:r>
          <w:rPr>
            <w:rStyle w:val="Hyperlink"/>
          </w:rPr>
          <w:t>https://eurohpc-ju.europa.eu/documents/EuroHPC_INFRAG_Multiannual_Strategic_Agenda_2019.pdf</w:t>
        </w:r>
      </w:hyperlink>
      <w:r>
        <w:t xml:space="preserve"> </w:t>
      </w:r>
    </w:p>
  </w:footnote>
  <w:footnote w:id="8">
    <w:p>
      <w:pPr>
        <w:pStyle w:val="FootnoteText"/>
      </w:pPr>
      <w:r>
        <w:rPr>
          <w:rStyle w:val="FootnoteReference"/>
        </w:rPr>
        <w:footnoteRef/>
      </w:r>
      <w:r>
        <w:tab/>
      </w:r>
      <w:hyperlink r:id="rId3" w:history="1">
        <w:r>
          <w:rPr>
            <w:rStyle w:val="Hyperlink"/>
          </w:rPr>
          <w:t>https://www.etp4hpc.eu/pujades/files/ETP4HPC_SRA4_2020_web(1).pdf</w:t>
        </w:r>
      </w:hyperlink>
      <w:r>
        <w:t xml:space="preserve"> </w:t>
      </w:r>
    </w:p>
  </w:footnote>
  <w:footnote w:id="9">
    <w:p>
      <w:pPr>
        <w:pStyle w:val="FootnoteText"/>
      </w:pPr>
      <w:r>
        <w:rPr>
          <w:rStyle w:val="FootnoteReference"/>
        </w:rPr>
        <w:footnoteRef/>
      </w:r>
      <w:r>
        <w:tab/>
        <w:t>COM(2020) 66 final</w:t>
      </w:r>
    </w:p>
  </w:footnote>
  <w:footnote w:id="10">
    <w:p>
      <w:pPr>
        <w:pStyle w:val="FootnoteText"/>
      </w:pPr>
      <w:r>
        <w:rPr>
          <w:rStyle w:val="FootnoteReference"/>
        </w:rPr>
        <w:footnoteRef/>
      </w:r>
      <w:r>
        <w:tab/>
        <w:t xml:space="preserve">Вж. бележка под линия </w:t>
      </w:r>
      <w:r>
        <w:fldChar w:fldCharType="begin"/>
      </w:r>
      <w:r>
        <w:instrText xml:space="preserve"> NOTEREF _Ref44506179 \h </w:instrText>
      </w:r>
      <w:r>
        <w:fldChar w:fldCharType="separate"/>
      </w:r>
      <w:r>
        <w:rPr>
          <w:b/>
          <w:bCs/>
        </w:rPr>
        <w:t>Error! Bookmark not defined.</w:t>
      </w:r>
      <w:r>
        <w:fldChar w:fldCharType="end"/>
      </w:r>
      <w:r>
        <w:t xml:space="preserve"> по-горе.</w:t>
      </w:r>
    </w:p>
  </w:footnote>
  <w:footnote w:id="11">
    <w:p>
      <w:pPr>
        <w:pStyle w:val="FootnoteText"/>
      </w:pPr>
      <w:r>
        <w:rPr>
          <w:rStyle w:val="FootnoteReference"/>
        </w:rPr>
        <w:footnoteRef/>
      </w:r>
      <w:r>
        <w:tab/>
        <w:t xml:space="preserve">Вж. бележка под линия </w:t>
      </w:r>
      <w:r>
        <w:fldChar w:fldCharType="begin"/>
      </w:r>
      <w:r>
        <w:instrText xml:space="preserve"> NOTEREF _Ref44506507 \h </w:instrText>
      </w:r>
      <w:r>
        <w:fldChar w:fldCharType="separate"/>
      </w:r>
      <w:r>
        <w:rPr>
          <w:b/>
          <w:bCs/>
        </w:rPr>
        <w:t>Error! Bookmark not defined.</w:t>
      </w:r>
      <w:r>
        <w:fldChar w:fldCharType="end"/>
      </w:r>
      <w:r>
        <w:t xml:space="preserve"> по-горе.</w:t>
      </w:r>
    </w:p>
  </w:footnote>
  <w:footnote w:id="12">
    <w:p>
      <w:pPr>
        <w:pStyle w:val="FootnoteText"/>
      </w:pPr>
      <w:r>
        <w:rPr>
          <w:rStyle w:val="FootnoteReference"/>
        </w:rPr>
        <w:footnoteRef/>
      </w:r>
      <w:r>
        <w:tab/>
        <w:t>COM(2020) 456 final</w:t>
      </w:r>
    </w:p>
  </w:footnote>
  <w:footnote w:id="13">
    <w:p>
      <w:pPr>
        <w:pStyle w:val="FootnoteText"/>
      </w:pPr>
      <w:r>
        <w:rPr>
          <w:rStyle w:val="FootnoteReference"/>
        </w:rPr>
        <w:footnoteRef/>
      </w:r>
      <w:r>
        <w:tab/>
        <w:t>COM(2018) 434 final, SEC(2018) 289 final, SWD(2018) 306 final</w:t>
      </w:r>
    </w:p>
  </w:footnote>
  <w:footnote w:id="14">
    <w:p>
      <w:pPr>
        <w:pStyle w:val="FootnoteText"/>
      </w:pPr>
      <w:r>
        <w:rPr>
          <w:rStyle w:val="FootnoteReference"/>
        </w:rPr>
        <w:footnoteRef/>
      </w:r>
      <w:r>
        <w:tab/>
      </w:r>
      <w:hyperlink r:id="rId4" w:history="1">
        <w:r>
          <w:rPr>
            <w:rStyle w:val="Hyperlink"/>
          </w:rPr>
          <w:t>https://www.etp4hpc.eu/sra-020.html</w:t>
        </w:r>
      </w:hyperlink>
      <w:r>
        <w:t xml:space="preserve"> </w:t>
      </w:r>
    </w:p>
  </w:footnote>
  <w:footnote w:id="15">
    <w:p>
      <w:pPr>
        <w:pStyle w:val="FootnoteText"/>
      </w:pPr>
      <w:r>
        <w:rPr>
          <w:rStyle w:val="FootnoteReference"/>
        </w:rPr>
        <w:footnoteRef/>
      </w:r>
      <w:r>
        <w:tab/>
        <w:t>[…]</w:t>
      </w:r>
    </w:p>
  </w:footnote>
  <w:footnote w:id="16">
    <w:p>
      <w:pPr>
        <w:pStyle w:val="FootnoteText"/>
      </w:pPr>
      <w:r>
        <w:rPr>
          <w:rStyle w:val="FootnoteReference"/>
        </w:rPr>
        <w:footnoteRef/>
      </w:r>
      <w:r>
        <w:tab/>
        <w:t>[…]</w:t>
      </w:r>
    </w:p>
  </w:footnote>
  <w:footnote w:id="17">
    <w:p>
      <w:pPr>
        <w:pStyle w:val="FootnoteText"/>
      </w:pPr>
      <w:r>
        <w:rPr>
          <w:rStyle w:val="FootnoteReference"/>
        </w:rPr>
        <w:footnoteRef/>
      </w:r>
      <w:r>
        <w:tab/>
        <w:t>[…]</w:t>
      </w:r>
    </w:p>
  </w:footnote>
  <w:footnote w:id="18">
    <w:p>
      <w:pPr>
        <w:pStyle w:val="FootnoteText"/>
      </w:pPr>
      <w:r>
        <w:rPr>
          <w:rStyle w:val="FootnoteReference"/>
        </w:rPr>
        <w:footnoteRef/>
      </w:r>
      <w:r>
        <w:tab/>
        <w:t>[…]</w:t>
      </w:r>
    </w:p>
  </w:footnote>
  <w:footnote w:id="19">
    <w:p>
      <w:pPr>
        <w:pStyle w:val="FootnoteText"/>
        <w:spacing w:after="60"/>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20">
    <w:p>
      <w:pPr>
        <w:pStyle w:val="FootnoteText"/>
        <w:spacing w:after="60"/>
      </w:pPr>
      <w:r>
        <w:rPr>
          <w:rStyle w:val="FootnoteReference"/>
        </w:rPr>
        <w:footnoteRef/>
      </w:r>
      <w:r>
        <w:tab/>
        <w:t>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(OВ L 201, 31.7.2002 г., стр. 37).</w:t>
      </w:r>
    </w:p>
  </w:footnote>
  <w:footnote w:id="21">
    <w:p>
      <w:pPr>
        <w:pStyle w:val="FootnoteText"/>
        <w:spacing w:after="60"/>
      </w:pPr>
      <w:r>
        <w:rPr>
          <w:rStyle w:val="FootnoteReference"/>
        </w:rPr>
        <w:footnoteRef/>
      </w:r>
      <w:r>
        <w:tab/>
        <w:t>Директива (ЕС) 2016/943 на Европейския парламент и на Съвета от 8 юни 2016 г. относно защитата на неразкрити ноу-хау и търговска информация (търговски тайни) срещу тяхното незаконно придобиване, използване и разкриване (ОВ L 157, 15.6.2016 г., стр. 1).</w:t>
      </w:r>
    </w:p>
  </w:footnote>
  <w:footnote w:id="22">
    <w:p>
      <w:pPr>
        <w:pStyle w:val="FootnoteText"/>
        <w:spacing w:after="60"/>
      </w:pPr>
      <w:r>
        <w:rPr>
          <w:rStyle w:val="FootnoteReference"/>
          <w:lang w:val="en-US"/>
        </w:rPr>
        <w:footnoteRef/>
      </w:r>
      <w:r>
        <w:tab/>
        <w:t>Регламент (ЕИО, Евратом, ЕОВС) № 259/68 на Съвета от 29 февруари 1968 г. относно определяне на Правилника за длъжностните лица и Условията за работа на другите служители на Европейските общности и относно постановяване на специални мерки, временно приложими за длъжностни лица на Комисията (ОВ L 56, 4.3.1968 г., стр. 1).</w:t>
      </w:r>
    </w:p>
  </w:footnote>
  <w:footnote w:id="23">
    <w:p>
      <w:pPr>
        <w:pStyle w:val="FootnoteText"/>
        <w:spacing w:after="60"/>
      </w:pPr>
      <w:r>
        <w:rPr>
          <w:rStyle w:val="FootnoteReference"/>
        </w:rPr>
        <w:footnoteRef/>
      </w:r>
      <w:r>
        <w:tab/>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L 292, 15.11.1996 г., стр. 2).</w:t>
      </w:r>
    </w:p>
  </w:footnote>
  <w:footnote w:id="24">
    <w:p>
      <w:pPr>
        <w:pStyle w:val="FootnoteText"/>
        <w:spacing w:after="60"/>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25">
    <w:p>
      <w:pPr>
        <w:pStyle w:val="FootnoteText"/>
        <w:spacing w:after="60"/>
      </w:pPr>
      <w:r>
        <w:rPr>
          <w:rStyle w:val="FootnoteReference"/>
        </w:rPr>
        <w:footnoteRef/>
      </w:r>
      <w:r>
        <w:tab/>
        <w:t>ОВ L 136, 31.5.1999 г., стр. 15.</w:t>
      </w:r>
    </w:p>
  </w:footnote>
  <w:footnote w:id="26">
    <w:p>
      <w:pPr>
        <w:pStyle w:val="FootnoteText"/>
        <w:spacing w:after="60"/>
      </w:pPr>
      <w:r>
        <w:rPr>
          <w:rStyle w:val="FootnoteReference"/>
          <w:lang w:val="en-US"/>
        </w:rPr>
        <w:footnoteRef/>
      </w:r>
      <w:r>
        <w:tab/>
        <w:t>Регламент (ЕО) № 1049/2001 на Европейския парламент и на Съвета от 30 май 2001 г. относно публичния достъп до документи на Европейския парламент, на Съвета и на Комисията (ОВ L 145, 31.5.2001 г., стр. 43).</w:t>
      </w:r>
    </w:p>
  </w:footnote>
  <w:footnote w:id="27">
    <w:p>
      <w:pPr>
        <w:pStyle w:val="FootnoteText"/>
        <w:spacing w:after="60"/>
      </w:pPr>
      <w:r>
        <w:rPr>
          <w:rStyle w:val="FootnoteReference"/>
        </w:rPr>
        <w:footnoteRef/>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 L 295, 21.11.2018 г., стр.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31682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2229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D638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9A2D59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FC61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05C2D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C8C916"/>
    <w:lvl w:ilvl="0">
      <w:start w:val="1"/>
      <w:numFmt w:val="decimal"/>
      <w:pStyle w:val="ListNumber"/>
      <w:lvlText w:val="%1."/>
      <w:lvlJc w:val="left"/>
      <w:pPr>
        <w:tabs>
          <w:tab w:val="num" w:pos="360"/>
        </w:tabs>
        <w:ind w:left="360" w:hanging="360"/>
      </w:pPr>
    </w:lvl>
  </w:abstractNum>
  <w:abstractNum w:abstractNumId="7">
    <w:nsid w:val="FFFFFF89"/>
    <w:multiLevelType w:val="singleLevel"/>
    <w:tmpl w:val="4484E7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num>
  <w:num w:numId="38">
    <w:abstractNumId w:val="18"/>
  </w:num>
  <w:num w:numId="39">
    <w:abstractNumId w:val="12"/>
  </w:num>
  <w:num w:numId="40">
    <w:abstractNumId w:val="20"/>
  </w:num>
  <w:num w:numId="41">
    <w:abstractNumId w:val="11"/>
  </w:num>
  <w:num w:numId="42">
    <w:abstractNumId w:val="13"/>
  </w:num>
  <w:num w:numId="43">
    <w:abstractNumId w:val="9"/>
  </w:num>
  <w:num w:numId="44">
    <w:abstractNumId w:val="19"/>
  </w:num>
  <w:num w:numId="45">
    <w:abstractNumId w:val="8"/>
  </w:num>
  <w:num w:numId="46">
    <w:abstractNumId w:val="14"/>
  </w:num>
  <w:num w:numId="47">
    <w:abstractNumId w:val="16"/>
  </w:num>
  <w:num w:numId="48">
    <w:abstractNumId w:val="17"/>
  </w:num>
  <w:num w:numId="49">
    <w:abstractNumId w:val="10"/>
  </w:num>
  <w:num w:numId="50">
    <w:abstractNumId w:val="15"/>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0 13:12:0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A3FADC3-CBA5-4DAA-9BDF-3128B3A1CEFD"/>
    <w:docVar w:name="LW_COVERPAGE_TYPE" w:val="1"/>
    <w:docVar w:name="LW_CROSSREFERENCE" w:val="{SWD(2020) 179 final}"/>
    <w:docVar w:name="LW_DocType" w:val="COM"/>
    <w:docVar w:name="LW_EMISSION" w:val="18.9.2020"/>
    <w:docVar w:name="LW_EMISSION_ISODATE" w:val="2020-09-18"/>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60"/>
    <w:docVar w:name="LW_REF.II.NEW.CP_YEAR" w:val="2020"/>
    <w:docVar w:name="LW_REF.INST.NEW" w:val="COM"/>
    <w:docVar w:name="LW_REF.INST.NEW_ADOPTED" w:val="final"/>
    <w:docVar w:name="LW_REF.INST.NEW_TEXT" w:val="(2020) 5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76?\u1083?\u1086?\u1078?\u1077?\u1085?\u1080?\u1077? \u1079?\u1072?"/>
    <w:docVar w:name="LW_STATUT.CP" w:val="\u1055?\u1088?\u1077?\u1076?\u1083?\u1086?\u1078?\u1077?\u1085?\u1080?\u1077? \u1079?\u1072?"/>
    <w:docVar w:name="LW_SUPERTITRE" w:val="&lt;UNUSED&gt;"/>
    <w:docVar w:name="LW_TITRE.OBJ" w:val="\u1079?\u1072? \u1089?\u1098?\u1079?\u1076?\u1072?\u1074?\u1072?\u1085?\u1077? \u1085?\u1072? \u1057?\u1098?\u1074?\u1084?\u1077?\u1089?\u1090?\u1085?\u1086? \u1087?\u1088?\u1077?\u1076?\u1087?\u1088?\u1080?\u1103?\u1090?\u1080?\u1077? \u1079?\u1072? \u1077?\u1074?\u1088?\u1086?\u1087?\u1077?\u1081?\u1089?\u1082?\u1080? \u1074?\u1080?\u1089?\u1086?\u1082?\u1086?\u1087?\u1088?\u1086?\u1080?\u1079?\u1074?\u1086?\u1076?\u1080?\u1090?\u1077?\u1083?\u1085?\u1080? \u1080?\u1079?\u1095?\u1080?\u1089?\u1083?\u1080?\u1090?\u1077?\u1083?\u1085?\u1080? \u1090?\u1077?\u1093?\u1085?\u1086?\u1083?\u1086?\u1075?\u1080?\u1080?"/>
    <w:docVar w:name="LW_TITRE.OBJ.CP" w:val="\u1079?\u1072? \u1089?\u1098?\u1079?\u1076?\u1072?\u1074?\u1072?\u1085?\u1077? \u1085?\u1072? \u1057?\u1098?\u1074?\u1084?\u1077?\u1089?\u1090?\u1085?\u1086? \u1087?\u1088?\u1077?\u1076?\u1087?\u1088?\u1080?\u1103?\u1090?\u1080?\u1077? \u1079?\u1072? \u1077?\u1074?\u1088?\u1086?\u1087?\u1077?\u1081?\u1089?\u1082?\u1080? \u1074?\u1080?\u1089?\u1086?\u1082?\u1086?\u1087?\u1088?\u1086?\u1080?\u1079?\u1074?\u1086?\u1076?\u1080?\u1090?\u1077?\u1083?\u1085?\u1080? \u1080?\u1079?\u1095?\u1080?\u1089?\u1083?\u1080?\u1090?\u1077?\u1083?\u1085?\u1080? \u1090?\u1077?\u1093?\u1085?\u1086?\u1083?\u1086?\u1075?\u1080?\u1080?"/>
    <w:docVar w:name="LW_TYPE.DOC" w:val="\u1056?\u1045?\u1043?\u1051?\u1040?\u1052?\u1045?\u1053?\u1058? \u1053?\u1040? \u1057?\u1066?\u1042?\u1045?\u1058?\u1040?"/>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0"/>
    <w:lsdException w:name="caption" w:qFormat="1"/>
    <w:lsdException w:name="footnote reference"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bg-BG" w:eastAsia="en-GB"/>
    </w:rPr>
  </w:style>
  <w:style w:type="character" w:customStyle="1" w:styleId="Heading6Char">
    <w:name w:val="Heading 6 Char"/>
    <w:basedOn w:val="DefaultParagraphFont"/>
    <w:link w:val="Heading6"/>
    <w:uiPriority w:val="99"/>
    <w:rPr>
      <w:rFonts w:ascii="Arial" w:eastAsiaTheme="minorEastAsia" w:hAnsi="Arial" w:cs="Arial"/>
      <w:i/>
      <w:iCs/>
      <w:lang w:val="bg-BG"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bg-BG"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bg-BG"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bg-BG"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paragraph" w:styleId="Caption">
    <w:name w:val="caption"/>
    <w:basedOn w:val="Normal"/>
    <w:next w:val="Normal"/>
    <w:uiPriority w:val="99"/>
    <w:qFormat/>
    <w:pPr>
      <w:autoSpaceDE w:val="0"/>
      <w:autoSpaceDN w:val="0"/>
    </w:pPr>
    <w:rPr>
      <w:rFonts w:eastAsiaTheme="minorEastAsia"/>
      <w:b/>
      <w:bCs/>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autoSpaceDE w:val="0"/>
      <w:autoSpaceDN w:val="0"/>
    </w:pPr>
    <w:rPr>
      <w:rFonts w:eastAsiaTheme="minorEastAsia"/>
      <w:sz w:val="20"/>
      <w:szCs w:val="20"/>
      <w:lang w:eastAsia="en-GB"/>
    </w:rPr>
  </w:style>
  <w:style w:type="character" w:customStyle="1" w:styleId="CommentTextChar">
    <w:name w:val="Comment Text Char"/>
    <w:basedOn w:val="DefaultParagraphFont"/>
    <w:link w:val="CommentText"/>
    <w:rPr>
      <w:rFonts w:ascii="Times New Roman" w:eastAsiaTheme="minorEastAsia" w:hAnsi="Times New Roman" w:cs="Times New Roman"/>
      <w:sz w:val="20"/>
      <w:szCs w:val="20"/>
      <w:lang w:val="bg-BG"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en-GB"/>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eastAsia="en-GB"/>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bg-B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bg-BG" w:eastAsia="en-GB"/>
    </w:rPr>
  </w:style>
  <w:style w:type="character" w:styleId="Hyperlink">
    <w:name w:val="Hyperlink"/>
    <w:rPr>
      <w:color w:val="0000FF"/>
      <w:u w:val="single"/>
    </w:rPr>
  </w:style>
  <w:style w:type="paragraph" w:styleId="EndnoteText">
    <w:name w:val="endnote text"/>
    <w:basedOn w:val="Normal"/>
    <w:link w:val="EndnoteTextChar"/>
    <w:pPr>
      <w:spacing w:before="0"/>
      <w:jc w:val="left"/>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bg-BG"/>
    </w:rPr>
  </w:style>
  <w:style w:type="character" w:styleId="EndnoteReference">
    <w:name w:val="endnote reference"/>
    <w:rPr>
      <w:vertAlign w:val="superscript"/>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lang w:eastAsia="en-GB"/>
    </w:rPr>
  </w:style>
  <w:style w:type="character" w:customStyle="1" w:styleId="bold">
    <w:name w:val="bold"/>
    <w:rPr>
      <w:b/>
      <w:bCs/>
    </w:rPr>
  </w:style>
  <w:style w:type="paragraph" w:customStyle="1" w:styleId="ti-grseq-1">
    <w:name w:val="ti-grseq-1"/>
    <w:basedOn w:val="Normal"/>
    <w:pPr>
      <w:spacing w:before="240"/>
    </w:pPr>
    <w:rPr>
      <w:rFonts w:eastAsiaTheme="minorEastAsia"/>
      <w:b/>
      <w:bCs/>
      <w:szCs w:val="24"/>
      <w:lang w:eastAsia="en-GB"/>
    </w:rPr>
  </w:style>
  <w:style w:type="paragraph" w:styleId="ListParagraph">
    <w:name w:val="List Paragraph"/>
    <w:basedOn w:val="Normal"/>
    <w:uiPriority w:val="34"/>
    <w:qFormat/>
    <w:pPr>
      <w:spacing w:before="0" w:after="0"/>
      <w:ind w:left="720"/>
      <w:jc w:val="left"/>
    </w:pPr>
    <w:rPr>
      <w:rFonts w:ascii="Calibri" w:eastAsia="Calibri" w:hAnsi="Calibri" w:cs="Calibri"/>
      <w:sz w:val="22"/>
    </w:rPr>
  </w:style>
  <w:style w:type="character" w:styleId="Emphasis">
    <w:name w:val="Emphasis"/>
    <w:uiPriority w:val="20"/>
    <w:qFormat/>
    <w:rPr>
      <w:i/>
      <w:iCs/>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mtop">
    <w:name w:val="mtop"/>
    <w:basedOn w:val="Normal"/>
    <w:pPr>
      <w:spacing w:before="100" w:beforeAutospacing="1" w:after="100" w:afterAutospacing="1"/>
      <w:jc w:val="lef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0"/>
    <w:lsdException w:name="caption" w:qFormat="1"/>
    <w:lsdException w:name="footnote reference"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bg-BG" w:eastAsia="en-GB"/>
    </w:rPr>
  </w:style>
  <w:style w:type="character" w:customStyle="1" w:styleId="Heading6Char">
    <w:name w:val="Heading 6 Char"/>
    <w:basedOn w:val="DefaultParagraphFont"/>
    <w:link w:val="Heading6"/>
    <w:uiPriority w:val="99"/>
    <w:rPr>
      <w:rFonts w:ascii="Arial" w:eastAsiaTheme="minorEastAsia" w:hAnsi="Arial" w:cs="Arial"/>
      <w:i/>
      <w:iCs/>
      <w:lang w:val="bg-BG"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bg-BG"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bg-BG"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bg-BG"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paragraph" w:styleId="Caption">
    <w:name w:val="caption"/>
    <w:basedOn w:val="Normal"/>
    <w:next w:val="Normal"/>
    <w:uiPriority w:val="99"/>
    <w:qFormat/>
    <w:pPr>
      <w:autoSpaceDE w:val="0"/>
      <w:autoSpaceDN w:val="0"/>
    </w:pPr>
    <w:rPr>
      <w:rFonts w:eastAsiaTheme="minorEastAsia"/>
      <w:b/>
      <w:bCs/>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autoSpaceDE w:val="0"/>
      <w:autoSpaceDN w:val="0"/>
    </w:pPr>
    <w:rPr>
      <w:rFonts w:eastAsiaTheme="minorEastAsia"/>
      <w:sz w:val="20"/>
      <w:szCs w:val="20"/>
      <w:lang w:eastAsia="en-GB"/>
    </w:rPr>
  </w:style>
  <w:style w:type="character" w:customStyle="1" w:styleId="CommentTextChar">
    <w:name w:val="Comment Text Char"/>
    <w:basedOn w:val="DefaultParagraphFont"/>
    <w:link w:val="CommentText"/>
    <w:rPr>
      <w:rFonts w:ascii="Times New Roman" w:eastAsiaTheme="minorEastAsia" w:hAnsi="Times New Roman" w:cs="Times New Roman"/>
      <w:sz w:val="20"/>
      <w:szCs w:val="20"/>
      <w:lang w:val="bg-BG"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en-GB"/>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eastAsia="en-GB"/>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bg-B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bg-BG" w:eastAsia="en-GB"/>
    </w:rPr>
  </w:style>
  <w:style w:type="character" w:styleId="Hyperlink">
    <w:name w:val="Hyperlink"/>
    <w:rPr>
      <w:color w:val="0000FF"/>
      <w:u w:val="single"/>
    </w:rPr>
  </w:style>
  <w:style w:type="paragraph" w:styleId="EndnoteText">
    <w:name w:val="endnote text"/>
    <w:basedOn w:val="Normal"/>
    <w:link w:val="EndnoteTextChar"/>
    <w:pPr>
      <w:spacing w:before="0"/>
      <w:jc w:val="left"/>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bg-BG"/>
    </w:rPr>
  </w:style>
  <w:style w:type="character" w:styleId="EndnoteReference">
    <w:name w:val="endnote reference"/>
    <w:rPr>
      <w:vertAlign w:val="superscript"/>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lang w:eastAsia="en-GB"/>
    </w:rPr>
  </w:style>
  <w:style w:type="character" w:customStyle="1" w:styleId="bold">
    <w:name w:val="bold"/>
    <w:rPr>
      <w:b/>
      <w:bCs/>
    </w:rPr>
  </w:style>
  <w:style w:type="paragraph" w:customStyle="1" w:styleId="ti-grseq-1">
    <w:name w:val="ti-grseq-1"/>
    <w:basedOn w:val="Normal"/>
    <w:pPr>
      <w:spacing w:before="240"/>
    </w:pPr>
    <w:rPr>
      <w:rFonts w:eastAsiaTheme="minorEastAsia"/>
      <w:b/>
      <w:bCs/>
      <w:szCs w:val="24"/>
      <w:lang w:eastAsia="en-GB"/>
    </w:rPr>
  </w:style>
  <w:style w:type="paragraph" w:styleId="ListParagraph">
    <w:name w:val="List Paragraph"/>
    <w:basedOn w:val="Normal"/>
    <w:uiPriority w:val="34"/>
    <w:qFormat/>
    <w:pPr>
      <w:spacing w:before="0" w:after="0"/>
      <w:ind w:left="720"/>
      <w:jc w:val="left"/>
    </w:pPr>
    <w:rPr>
      <w:rFonts w:ascii="Calibri" w:eastAsia="Calibri" w:hAnsi="Calibri" w:cs="Calibri"/>
      <w:sz w:val="22"/>
    </w:rPr>
  </w:style>
  <w:style w:type="character" w:styleId="Emphasis">
    <w:name w:val="Emphasis"/>
    <w:uiPriority w:val="20"/>
    <w:qFormat/>
    <w:rPr>
      <w:i/>
      <w:iCs/>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mtop">
    <w:name w:val="mtop"/>
    <w:basedOn w:val="Normal"/>
    <w:pPr>
      <w:spacing w:before="100" w:beforeAutospacing="1" w:after="100" w:afterAutospacing="1"/>
      <w:jc w:val="lef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71503">
      <w:bodyDiv w:val="1"/>
      <w:marLeft w:val="0"/>
      <w:marRight w:val="0"/>
      <w:marTop w:val="0"/>
      <w:marBottom w:val="0"/>
      <w:divBdr>
        <w:top w:val="none" w:sz="0" w:space="0" w:color="auto"/>
        <w:left w:val="none" w:sz="0" w:space="0" w:color="auto"/>
        <w:bottom w:val="none" w:sz="0" w:space="0" w:color="auto"/>
        <w:right w:val="none" w:sz="0" w:space="0" w:color="auto"/>
      </w:divBdr>
    </w:div>
    <w:div w:id="281153547">
      <w:bodyDiv w:val="1"/>
      <w:marLeft w:val="0"/>
      <w:marRight w:val="0"/>
      <w:marTop w:val="0"/>
      <w:marBottom w:val="0"/>
      <w:divBdr>
        <w:top w:val="none" w:sz="0" w:space="0" w:color="auto"/>
        <w:left w:val="none" w:sz="0" w:space="0" w:color="auto"/>
        <w:bottom w:val="none" w:sz="0" w:space="0" w:color="auto"/>
        <w:right w:val="none" w:sz="0" w:space="0" w:color="auto"/>
      </w:divBdr>
    </w:div>
    <w:div w:id="579752922">
      <w:bodyDiv w:val="1"/>
      <w:marLeft w:val="0"/>
      <w:marRight w:val="0"/>
      <w:marTop w:val="0"/>
      <w:marBottom w:val="0"/>
      <w:divBdr>
        <w:top w:val="none" w:sz="0" w:space="0" w:color="auto"/>
        <w:left w:val="none" w:sz="0" w:space="0" w:color="auto"/>
        <w:bottom w:val="none" w:sz="0" w:space="0" w:color="auto"/>
        <w:right w:val="none" w:sz="0" w:space="0" w:color="auto"/>
      </w:divBdr>
      <w:divsChild>
        <w:div w:id="2134982398">
          <w:marLeft w:val="0"/>
          <w:marRight w:val="0"/>
          <w:marTop w:val="0"/>
          <w:marBottom w:val="0"/>
          <w:divBdr>
            <w:top w:val="none" w:sz="0" w:space="0" w:color="auto"/>
            <w:left w:val="none" w:sz="0" w:space="0" w:color="auto"/>
            <w:bottom w:val="none" w:sz="0" w:space="0" w:color="auto"/>
            <w:right w:val="none" w:sz="0" w:space="0" w:color="auto"/>
          </w:divBdr>
          <w:divsChild>
            <w:div w:id="1937667884">
              <w:marLeft w:val="0"/>
              <w:marRight w:val="0"/>
              <w:marTop w:val="0"/>
              <w:marBottom w:val="0"/>
              <w:divBdr>
                <w:top w:val="none" w:sz="0" w:space="0" w:color="auto"/>
                <w:left w:val="none" w:sz="0" w:space="0" w:color="auto"/>
                <w:bottom w:val="none" w:sz="0" w:space="0" w:color="auto"/>
                <w:right w:val="none" w:sz="0" w:space="0" w:color="auto"/>
              </w:divBdr>
            </w:div>
          </w:divsChild>
        </w:div>
        <w:div w:id="497310117">
          <w:marLeft w:val="0"/>
          <w:marRight w:val="0"/>
          <w:marTop w:val="0"/>
          <w:marBottom w:val="0"/>
          <w:divBdr>
            <w:top w:val="none" w:sz="0" w:space="0" w:color="auto"/>
            <w:left w:val="none" w:sz="0" w:space="0" w:color="auto"/>
            <w:bottom w:val="none" w:sz="0" w:space="0" w:color="auto"/>
            <w:right w:val="none" w:sz="0" w:space="0" w:color="auto"/>
          </w:divBdr>
          <w:divsChild>
            <w:div w:id="137039436">
              <w:marLeft w:val="0"/>
              <w:marRight w:val="0"/>
              <w:marTop w:val="0"/>
              <w:marBottom w:val="0"/>
              <w:divBdr>
                <w:top w:val="none" w:sz="0" w:space="0" w:color="auto"/>
                <w:left w:val="none" w:sz="0" w:space="0" w:color="auto"/>
                <w:bottom w:val="none" w:sz="0" w:space="0" w:color="auto"/>
                <w:right w:val="none" w:sz="0" w:space="0" w:color="auto"/>
              </w:divBdr>
            </w:div>
            <w:div w:id="123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4278">
      <w:bodyDiv w:val="1"/>
      <w:marLeft w:val="0"/>
      <w:marRight w:val="0"/>
      <w:marTop w:val="0"/>
      <w:marBottom w:val="0"/>
      <w:divBdr>
        <w:top w:val="none" w:sz="0" w:space="0" w:color="auto"/>
        <w:left w:val="none" w:sz="0" w:space="0" w:color="auto"/>
        <w:bottom w:val="none" w:sz="0" w:space="0" w:color="auto"/>
        <w:right w:val="none" w:sz="0" w:space="0" w:color="auto"/>
      </w:divBdr>
    </w:div>
    <w:div w:id="91679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tp4hpc.eu/pujades/files/ETP4HPC_SRA4_2020_web(1).pdf" TargetMode="External"/><Relationship Id="rId2" Type="http://schemas.openxmlformats.org/officeDocument/2006/relationships/hyperlink" Target="https://eurohpc-ju.europa.eu/documents/EuroHPC_INFRAG_Multiannual_Strategic_Agenda_2019.pdf" TargetMode="External"/><Relationship Id="rId1" Type="http://schemas.openxmlformats.org/officeDocument/2006/relationships/hyperlink" Target="https://eurohpc-ju.europa.eu/documents/EuroHPC_RIAG_Strategic_Agenda_2019.pdf" TargetMode="External"/><Relationship Id="rId4" Type="http://schemas.openxmlformats.org/officeDocument/2006/relationships/hyperlink" Target="https://www.etp4hpc.eu/sra-02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6CA9342-EA7D-4789-B794-075FEE04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53</Pages>
  <Words>20432</Words>
  <Characters>126478</Characters>
  <Application>Microsoft Office Word</Application>
  <DocSecurity>0</DocSecurity>
  <Lines>2299</Lines>
  <Paragraphs>540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2020-10-19T09:53:00Z</dcterms:created>
  <dcterms:modified xsi:type="dcterms:W3CDTF">2020-10-20T11:12:00Z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SJ-016</vt:lpwstr>
  </property>
  <property fmtid="{D5CDD505-2E9C-101B-9397-08002B2CF9AE}" pid="7" name="DQCStatus">
    <vt:lpwstr>Green (DQC version 03)</vt:lpwstr>
  </property>
  <property fmtid="{D5CDD505-2E9C-101B-9397-08002B2CF9AE}" pid="8" name="Category">
    <vt:lpwstr>COM/PL/ORG</vt:lpwstr>
  </property>
</Properties>
</file>