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62238C9-8D33-4F10-A365-EF41F42957B7" style="width:450.75pt;height:42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09" w:footer="709" w:gutter="0"/>
          <w:pgNumType w:start="1"/>
          <w:cols w:space="720"/>
          <w:docGrid w:linePitch="360"/>
        </w:sectPr>
      </w:pPr>
    </w:p>
    <w:p>
      <w:pPr>
        <w:jc w:val="center"/>
        <w:rPr>
          <w:noProof/>
          <w:color w:val="4F81BD" w:themeColor="accent1"/>
        </w:rPr>
      </w:pPr>
      <w:bookmarkStart w:id="1" w:name="_GoBack"/>
      <w:bookmarkEnd w:id="1"/>
    </w:p>
    <w:p>
      <w:pPr>
        <w:pStyle w:val="TOCHeading"/>
        <w:rPr>
          <w:noProof/>
        </w:rPr>
      </w:pPr>
      <w:r>
        <w:rPr>
          <w:noProof/>
        </w:rPr>
        <w:t>ЗАКОНОДАТЕЛНА ФИНАНСОВА ОБОСНОВКА</w:t>
      </w:r>
    </w:p>
    <w:p>
      <w:pPr>
        <w:spacing w:before="0" w:after="200" w:line="276" w:lineRule="auto"/>
        <w:jc w:val="left"/>
        <w:rPr>
          <w:b/>
          <w:noProof/>
          <w:sz w:val="28"/>
        </w:rPr>
      </w:pPr>
      <w:r>
        <w:rPr>
          <w:noProof/>
        </w:rPr>
        <w:br w:type="page"/>
      </w:r>
    </w:p>
    <w:bookmarkStart w:id="2" w:name="_Toc514941970" w:displacedByCustomXml="next"/>
    <w:sdt>
      <w:sdtPr>
        <w:rPr>
          <w:b w:val="0"/>
          <w:noProof/>
          <w:sz w:val="24"/>
        </w:rPr>
        <w:id w:val="-1693053952"/>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lang w:val="de-AT" w:eastAsia="de-AT"/>
            </w:rPr>
          </w:pPr>
          <w:r>
            <w:rPr>
              <w:b/>
              <w:bCs/>
              <w:noProof/>
            </w:rPr>
            <w:fldChar w:fldCharType="begin"/>
          </w:r>
          <w:r>
            <w:rPr>
              <w:b/>
              <w:bCs/>
              <w:noProof/>
            </w:rPr>
            <w:instrText xml:space="preserve"> TOC \o "1-3" \h \z \u </w:instrText>
          </w:r>
          <w:r>
            <w:rPr>
              <w:b/>
              <w:bCs/>
              <w:noProof/>
            </w:rPr>
            <w:fldChar w:fldCharType="separate"/>
          </w:r>
          <w:hyperlink w:anchor="_Toc53761771" w:history="1">
            <w:r>
              <w:rPr>
                <w:rStyle w:val="Hyperlink"/>
                <w:noProof/>
              </w:rPr>
              <w:t>1.</w:t>
            </w:r>
            <w:r>
              <w:rPr>
                <w:rFonts w:asciiTheme="minorHAnsi" w:eastAsiaTheme="minorEastAsia" w:hAnsiTheme="minorHAnsi" w:cstheme="minorBidi"/>
                <w:noProof/>
                <w:sz w:val="22"/>
                <w:lang w:val="de-AT" w:eastAsia="de-AT"/>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_Toc53761771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72" w:history="1">
            <w:r>
              <w:rPr>
                <w:rStyle w:val="Hyperlink"/>
                <w:noProof/>
              </w:rPr>
              <w:t>1.1.</w:t>
            </w:r>
            <w:r>
              <w:rPr>
                <w:rFonts w:asciiTheme="minorHAnsi" w:eastAsiaTheme="minorEastAsia" w:hAnsiTheme="minorHAnsi" w:cstheme="minorBidi"/>
                <w:noProof/>
                <w:sz w:val="22"/>
                <w:lang w:val="de-AT" w:eastAsia="de-AT"/>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_Toc53761772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73" w:history="1">
            <w:r>
              <w:rPr>
                <w:rStyle w:val="Hyperlink"/>
                <w:noProof/>
              </w:rPr>
              <w:t>1.2.</w:t>
            </w:r>
            <w:r>
              <w:rPr>
                <w:rFonts w:asciiTheme="minorHAnsi" w:eastAsiaTheme="minorEastAsia" w:hAnsiTheme="minorHAnsi" w:cstheme="minorBidi"/>
                <w:noProof/>
                <w:sz w:val="22"/>
                <w:lang w:val="de-AT" w:eastAsia="de-AT"/>
              </w:rPr>
              <w:tab/>
            </w:r>
            <w:r>
              <w:rPr>
                <w:rStyle w:val="Hyperlink"/>
                <w:noProof/>
              </w:rPr>
              <w:t xml:space="preserve">Съответни области на политиката </w:t>
            </w:r>
            <w:r>
              <w:rPr>
                <w:rStyle w:val="Hyperlink"/>
                <w:i/>
                <w:noProof/>
              </w:rPr>
              <w:t>(програмен клъстер)</w:t>
            </w:r>
            <w:r>
              <w:rPr>
                <w:noProof/>
                <w:webHidden/>
              </w:rPr>
              <w:tab/>
            </w:r>
            <w:r>
              <w:rPr>
                <w:noProof/>
                <w:webHidden/>
              </w:rPr>
              <w:fldChar w:fldCharType="begin"/>
            </w:r>
            <w:r>
              <w:rPr>
                <w:noProof/>
                <w:webHidden/>
              </w:rPr>
              <w:instrText xml:space="preserve"> PAGEREF _Toc53761773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74" w:history="1">
            <w:r>
              <w:rPr>
                <w:rStyle w:val="Hyperlink"/>
                <w:noProof/>
              </w:rPr>
              <w:t>1.3.</w:t>
            </w:r>
            <w:r>
              <w:rPr>
                <w:rFonts w:asciiTheme="minorHAnsi" w:eastAsiaTheme="minorEastAsia" w:hAnsiTheme="minorHAnsi" w:cstheme="minorBidi"/>
                <w:noProof/>
                <w:sz w:val="22"/>
                <w:lang w:val="de-AT" w:eastAsia="de-AT"/>
              </w:rPr>
              <w:tab/>
            </w:r>
            <w:r>
              <w:rPr>
                <w:rStyle w:val="Hyperlink"/>
                <w:noProof/>
              </w:rPr>
              <w:t>Предложението/инициативата е във връзка с:</w:t>
            </w:r>
            <w:r>
              <w:rPr>
                <w:noProof/>
                <w:webHidden/>
              </w:rPr>
              <w:tab/>
            </w:r>
            <w:r>
              <w:rPr>
                <w:noProof/>
                <w:webHidden/>
              </w:rPr>
              <w:fldChar w:fldCharType="begin"/>
            </w:r>
            <w:r>
              <w:rPr>
                <w:noProof/>
                <w:webHidden/>
              </w:rPr>
              <w:instrText xml:space="preserve"> PAGEREF _Toc53761774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75" w:history="1">
            <w:r>
              <w:rPr>
                <w:rStyle w:val="Hyperlink"/>
                <w:noProof/>
              </w:rPr>
              <w:t>1.4.</w:t>
            </w:r>
            <w:r>
              <w:rPr>
                <w:rFonts w:asciiTheme="minorHAnsi" w:eastAsiaTheme="minorEastAsia" w:hAnsiTheme="minorHAnsi" w:cstheme="minorBidi"/>
                <w:noProof/>
                <w:sz w:val="22"/>
                <w:lang w:val="de-AT" w:eastAsia="de-AT"/>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_Toc53761775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76" w:history="1">
            <w:r>
              <w:rPr>
                <w:rStyle w:val="Hyperlink"/>
                <w:noProof/>
              </w:rPr>
              <w:t>1.4.1.</w:t>
            </w:r>
            <w:r>
              <w:rPr>
                <w:rFonts w:asciiTheme="minorHAnsi" w:eastAsiaTheme="minorEastAsia" w:hAnsiTheme="minorHAnsi" w:cstheme="minorBidi"/>
                <w:noProof/>
                <w:sz w:val="22"/>
                <w:lang w:val="de-AT" w:eastAsia="de-AT"/>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_Toc53761776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77" w:history="1">
            <w:r>
              <w:rPr>
                <w:rStyle w:val="Hyperlink"/>
                <w:noProof/>
              </w:rPr>
              <w:t>1.4.2.</w:t>
            </w:r>
            <w:r>
              <w:rPr>
                <w:rFonts w:asciiTheme="minorHAnsi" w:eastAsiaTheme="minorEastAsia" w:hAnsiTheme="minorHAnsi" w:cstheme="minorBidi"/>
                <w:noProof/>
                <w:sz w:val="22"/>
                <w:lang w:val="de-AT" w:eastAsia="de-AT"/>
              </w:rPr>
              <w:tab/>
            </w:r>
            <w:r>
              <w:rPr>
                <w:rStyle w:val="Hyperlink"/>
                <w:noProof/>
              </w:rPr>
              <w:t>Добавена стойност от участието на Съюза</w:t>
            </w:r>
            <w:r>
              <w:rPr>
                <w:noProof/>
                <w:webHidden/>
              </w:rPr>
              <w:tab/>
            </w:r>
            <w:r>
              <w:rPr>
                <w:noProof/>
                <w:webHidden/>
              </w:rPr>
              <w:fldChar w:fldCharType="begin"/>
            </w:r>
            <w:r>
              <w:rPr>
                <w:noProof/>
                <w:webHidden/>
              </w:rPr>
              <w:instrText xml:space="preserve"> PAGEREF _Toc53761777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78" w:history="1">
            <w:r>
              <w:rPr>
                <w:rStyle w:val="Hyperlink"/>
                <w:noProof/>
              </w:rPr>
              <w:t>1.4.3.</w:t>
            </w:r>
            <w:r>
              <w:rPr>
                <w:rFonts w:asciiTheme="minorHAnsi" w:eastAsiaTheme="minorEastAsia" w:hAnsiTheme="minorHAnsi" w:cstheme="minorBidi"/>
                <w:noProof/>
                <w:sz w:val="22"/>
                <w:lang w:val="de-AT" w:eastAsia="de-AT"/>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_Toc53761778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79" w:history="1">
            <w:r>
              <w:rPr>
                <w:rStyle w:val="Hyperlink"/>
                <w:noProof/>
              </w:rPr>
              <w:t>1.4.4.</w:t>
            </w:r>
            <w:r>
              <w:rPr>
                <w:rFonts w:asciiTheme="minorHAnsi" w:eastAsiaTheme="minorEastAsia" w:hAnsiTheme="minorHAnsi" w:cstheme="minorBidi"/>
                <w:noProof/>
                <w:sz w:val="22"/>
                <w:lang w:val="de-AT" w:eastAsia="de-AT"/>
              </w:rPr>
              <w:tab/>
            </w:r>
            <w:r>
              <w:rPr>
                <w:rStyle w:val="Hyperlink"/>
                <w:noProof/>
              </w:rPr>
              <w:t>Съвместимост и евентуално полезно взаимодействие с други подходящи инструменти</w:t>
            </w:r>
            <w:r>
              <w:rPr>
                <w:noProof/>
                <w:webHidden/>
              </w:rPr>
              <w:tab/>
            </w:r>
            <w:r>
              <w:rPr>
                <w:noProof/>
                <w:webHidden/>
              </w:rPr>
              <w:fldChar w:fldCharType="begin"/>
            </w:r>
            <w:r>
              <w:rPr>
                <w:noProof/>
                <w:webHidden/>
              </w:rPr>
              <w:instrText xml:space="preserve"> PAGEREF _Toc53761779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80" w:history="1">
            <w:r>
              <w:rPr>
                <w:rStyle w:val="Hyperlink"/>
                <w:noProof/>
              </w:rPr>
              <w:t>1.5.</w:t>
            </w:r>
            <w:r>
              <w:rPr>
                <w:rFonts w:asciiTheme="minorHAnsi" w:eastAsiaTheme="minorEastAsia" w:hAnsiTheme="minorHAnsi" w:cstheme="minorBidi"/>
                <w:noProof/>
                <w:sz w:val="22"/>
                <w:lang w:val="de-AT" w:eastAsia="de-AT"/>
              </w:rPr>
              <w:tab/>
            </w:r>
            <w:r>
              <w:rPr>
                <w:rStyle w:val="Hyperlink"/>
                <w:noProof/>
              </w:rPr>
              <w:t>Срок на действие и финансово отражение</w:t>
            </w:r>
            <w:r>
              <w:rPr>
                <w:noProof/>
                <w:webHidden/>
              </w:rPr>
              <w:tab/>
            </w:r>
            <w:r>
              <w:rPr>
                <w:noProof/>
                <w:webHidden/>
              </w:rPr>
              <w:fldChar w:fldCharType="begin"/>
            </w:r>
            <w:r>
              <w:rPr>
                <w:noProof/>
                <w:webHidden/>
              </w:rPr>
              <w:instrText xml:space="preserve"> PAGEREF _Toc53761780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81" w:history="1">
            <w:r>
              <w:rPr>
                <w:rStyle w:val="Hyperlink"/>
                <w:noProof/>
              </w:rPr>
              <w:t>1.6.</w:t>
            </w:r>
            <w:r>
              <w:rPr>
                <w:rFonts w:asciiTheme="minorHAnsi" w:eastAsiaTheme="minorEastAsia" w:hAnsiTheme="minorHAnsi" w:cstheme="minorBidi"/>
                <w:noProof/>
                <w:sz w:val="22"/>
                <w:lang w:val="de-AT" w:eastAsia="de-AT"/>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_Toc53761781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de-AT" w:eastAsia="de-AT"/>
            </w:rPr>
          </w:pPr>
          <w:hyperlink w:anchor="_Toc53761782" w:history="1">
            <w:r>
              <w:rPr>
                <w:rStyle w:val="Hyperlink"/>
                <w:noProof/>
              </w:rPr>
              <w:t>2.</w:t>
            </w:r>
            <w:r>
              <w:rPr>
                <w:rFonts w:asciiTheme="minorHAnsi" w:eastAsiaTheme="minorEastAsia" w:hAnsiTheme="minorHAnsi" w:cstheme="minorBidi"/>
                <w:noProof/>
                <w:sz w:val="22"/>
                <w:lang w:val="de-AT" w:eastAsia="de-AT"/>
              </w:rPr>
              <w:tab/>
            </w:r>
            <w:r>
              <w:rPr>
                <w:rStyle w:val="Hyperlink"/>
                <w:noProof/>
              </w:rPr>
              <w:t>МЕРКИ ЗА УПРАВЛЕНИЕ</w:t>
            </w:r>
            <w:r>
              <w:rPr>
                <w:noProof/>
                <w:webHidden/>
              </w:rPr>
              <w:tab/>
            </w:r>
            <w:r>
              <w:rPr>
                <w:noProof/>
                <w:webHidden/>
              </w:rPr>
              <w:fldChar w:fldCharType="begin"/>
            </w:r>
            <w:r>
              <w:rPr>
                <w:noProof/>
                <w:webHidden/>
              </w:rPr>
              <w:instrText xml:space="preserve"> PAGEREF _Toc53761782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83" w:history="1">
            <w:r>
              <w:rPr>
                <w:rStyle w:val="Hyperlink"/>
                <w:noProof/>
              </w:rPr>
              <w:t>2.1.</w:t>
            </w:r>
            <w:r>
              <w:rPr>
                <w:rFonts w:asciiTheme="minorHAnsi" w:eastAsiaTheme="minorEastAsia" w:hAnsiTheme="minorHAnsi" w:cstheme="minorBidi"/>
                <w:noProof/>
                <w:sz w:val="22"/>
                <w:lang w:val="de-AT" w:eastAsia="de-AT"/>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_Toc53761783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84" w:history="1">
            <w:r>
              <w:rPr>
                <w:rStyle w:val="Hyperlink"/>
                <w:noProof/>
              </w:rPr>
              <w:t>2.2.</w:t>
            </w:r>
            <w:r>
              <w:rPr>
                <w:rFonts w:asciiTheme="minorHAnsi" w:eastAsiaTheme="minorEastAsia" w:hAnsiTheme="minorHAnsi" w:cstheme="minorBidi"/>
                <w:noProof/>
                <w:sz w:val="22"/>
                <w:lang w:val="de-AT" w:eastAsia="de-AT"/>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_Toc53761784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85" w:history="1">
            <w:r>
              <w:rPr>
                <w:rStyle w:val="Hyperlink"/>
                <w:noProof/>
              </w:rPr>
              <w:t>2.2.1.</w:t>
            </w:r>
            <w:r>
              <w:rPr>
                <w:rFonts w:asciiTheme="minorHAnsi" w:eastAsiaTheme="minorEastAsia" w:hAnsiTheme="minorHAnsi" w:cstheme="minorBidi"/>
                <w:noProof/>
                <w:sz w:val="22"/>
                <w:lang w:val="de-AT" w:eastAsia="de-AT"/>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_Toc53761785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86" w:history="1">
            <w:r>
              <w:rPr>
                <w:rStyle w:val="Hyperlink"/>
                <w:noProof/>
              </w:rPr>
              <w:t>2.2.2.</w:t>
            </w:r>
            <w:r>
              <w:rPr>
                <w:rFonts w:asciiTheme="minorHAnsi" w:eastAsiaTheme="minorEastAsia" w:hAnsiTheme="minorHAnsi" w:cstheme="minorBidi"/>
                <w:noProof/>
                <w:sz w:val="22"/>
                <w:lang w:val="de-AT" w:eastAsia="de-AT"/>
              </w:rPr>
              <w:tab/>
            </w:r>
            <w:r>
              <w:rPr>
                <w:rStyle w:val="Hyperlink"/>
                <w:noProof/>
              </w:rPr>
              <w:t>Информация относно установените рискове и системата за вътрешен контрол, създадена с цел намаляването им</w:t>
            </w:r>
            <w:r>
              <w:rPr>
                <w:noProof/>
                <w:webHidden/>
              </w:rPr>
              <w:tab/>
            </w:r>
            <w:r>
              <w:rPr>
                <w:noProof/>
                <w:webHidden/>
              </w:rPr>
              <w:fldChar w:fldCharType="begin"/>
            </w:r>
            <w:r>
              <w:rPr>
                <w:noProof/>
                <w:webHidden/>
              </w:rPr>
              <w:instrText xml:space="preserve"> PAGEREF _Toc53761786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87" w:history="1">
            <w:r>
              <w:rPr>
                <w:rStyle w:val="Hyperlink"/>
                <w:noProof/>
              </w:rPr>
              <w:t>2.2.3.</w:t>
            </w:r>
            <w:r>
              <w:rPr>
                <w:rFonts w:asciiTheme="minorHAnsi" w:eastAsiaTheme="minorEastAsia" w:hAnsiTheme="minorHAnsi" w:cstheme="minorBidi"/>
                <w:noProof/>
                <w:sz w:val="22"/>
                <w:lang w:val="de-AT" w:eastAsia="de-AT"/>
              </w:rPr>
              <w:tab/>
            </w:r>
            <w:r>
              <w:rPr>
                <w:rStyle w:val="Hyperlink"/>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r>
              <w:rPr>
                <w:noProof/>
                <w:webHidden/>
              </w:rPr>
              <w:tab/>
            </w:r>
            <w:r>
              <w:rPr>
                <w:noProof/>
                <w:webHidden/>
              </w:rPr>
              <w:fldChar w:fldCharType="begin"/>
            </w:r>
            <w:r>
              <w:rPr>
                <w:noProof/>
                <w:webHidden/>
              </w:rPr>
              <w:instrText xml:space="preserve"> PAGEREF _Toc53761787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88" w:history="1">
            <w:r>
              <w:rPr>
                <w:rStyle w:val="Hyperlink"/>
                <w:noProof/>
              </w:rPr>
              <w:t>2.3.</w:t>
            </w:r>
            <w:r>
              <w:rPr>
                <w:rFonts w:asciiTheme="minorHAnsi" w:eastAsiaTheme="minorEastAsia" w:hAnsiTheme="minorHAnsi" w:cstheme="minorBidi"/>
                <w:noProof/>
                <w:sz w:val="22"/>
                <w:lang w:val="de-AT" w:eastAsia="de-AT"/>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_Toc53761788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lang w:val="de-AT" w:eastAsia="de-AT"/>
            </w:rPr>
          </w:pPr>
          <w:hyperlink w:anchor="_Toc53761789" w:history="1">
            <w:r>
              <w:rPr>
                <w:rStyle w:val="Hyperlink"/>
                <w:noProof/>
              </w:rPr>
              <w:t>3.</w:t>
            </w:r>
            <w:r>
              <w:rPr>
                <w:rFonts w:asciiTheme="minorHAnsi" w:eastAsiaTheme="minorEastAsia" w:hAnsiTheme="minorHAnsi" w:cstheme="minorBidi"/>
                <w:noProof/>
                <w:sz w:val="22"/>
                <w:lang w:val="de-AT" w:eastAsia="de-AT"/>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_Toc53761789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90" w:history="1">
            <w:r>
              <w:rPr>
                <w:rStyle w:val="Hyperlink"/>
                <w:noProof/>
              </w:rPr>
              <w:t>3.1.</w:t>
            </w:r>
            <w:r>
              <w:rPr>
                <w:rFonts w:asciiTheme="minorHAnsi" w:eastAsiaTheme="minorEastAsia" w:hAnsiTheme="minorHAnsi" w:cstheme="minorBidi"/>
                <w:noProof/>
                <w:sz w:val="22"/>
                <w:lang w:val="de-AT" w:eastAsia="de-AT"/>
              </w:rPr>
              <w:tab/>
            </w:r>
            <w:r>
              <w:rPr>
                <w:rStyle w:val="Hyperlink"/>
                <w:noProof/>
              </w:rPr>
              <w:t>Функция от многогодишната финансова рамка и предложени нови разходни бюджетни редове</w:t>
            </w:r>
            <w:r>
              <w:rPr>
                <w:noProof/>
                <w:webHidden/>
              </w:rPr>
              <w:tab/>
            </w:r>
            <w:r>
              <w:rPr>
                <w:noProof/>
                <w:webHidden/>
              </w:rPr>
              <w:fldChar w:fldCharType="begin"/>
            </w:r>
            <w:r>
              <w:rPr>
                <w:noProof/>
                <w:webHidden/>
              </w:rPr>
              <w:instrText xml:space="preserve"> PAGEREF _Toc53761790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91" w:history="1">
            <w:r>
              <w:rPr>
                <w:rStyle w:val="Hyperlink"/>
                <w:noProof/>
              </w:rPr>
              <w:t>3.2.</w:t>
            </w:r>
            <w:r>
              <w:rPr>
                <w:rFonts w:asciiTheme="minorHAnsi" w:eastAsiaTheme="minorEastAsia" w:hAnsiTheme="minorHAnsi" w:cstheme="minorBidi"/>
                <w:noProof/>
                <w:sz w:val="22"/>
                <w:lang w:val="de-AT" w:eastAsia="de-AT"/>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_Toc53761791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92" w:history="1">
            <w:r>
              <w:rPr>
                <w:rStyle w:val="Hyperlink"/>
                <w:noProof/>
              </w:rPr>
              <w:t>3.2.1.</w:t>
            </w:r>
            <w:r>
              <w:rPr>
                <w:rFonts w:asciiTheme="minorHAnsi" w:eastAsiaTheme="minorEastAsia" w:hAnsiTheme="minorHAnsi" w:cstheme="minorBidi"/>
                <w:noProof/>
                <w:sz w:val="22"/>
                <w:lang w:val="de-AT" w:eastAsia="de-AT"/>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_Toc53761792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93" w:history="1">
            <w:r>
              <w:rPr>
                <w:rStyle w:val="Hyperlink"/>
                <w:noProof/>
              </w:rPr>
              <w:t>3.2.2.</w:t>
            </w:r>
            <w:r>
              <w:rPr>
                <w:rFonts w:asciiTheme="minorHAnsi" w:eastAsiaTheme="minorEastAsia" w:hAnsiTheme="minorHAnsi" w:cstheme="minorBidi"/>
                <w:noProof/>
                <w:sz w:val="22"/>
                <w:lang w:val="de-AT" w:eastAsia="de-AT"/>
              </w:rPr>
              <w:tab/>
            </w:r>
            <w:r>
              <w:rPr>
                <w:rStyle w:val="Hyperlink"/>
                <w:noProof/>
              </w:rPr>
              <w:t>Очаквано отражение върху човешките ресурси на СП</w:t>
            </w:r>
            <w:r>
              <w:rPr>
                <w:noProof/>
                <w:webHidden/>
              </w:rPr>
              <w:tab/>
            </w:r>
            <w:r>
              <w:rPr>
                <w:noProof/>
                <w:webHidden/>
              </w:rPr>
              <w:fldChar w:fldCharType="begin"/>
            </w:r>
            <w:r>
              <w:rPr>
                <w:noProof/>
                <w:webHidden/>
              </w:rPr>
              <w:instrText xml:space="preserve"> PAGEREF _Toc53761793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94" w:history="1">
            <w:r>
              <w:rPr>
                <w:rStyle w:val="Hyperlink"/>
                <w:noProof/>
              </w:rPr>
              <w:t>3.2.3.</w:t>
            </w:r>
            <w:r>
              <w:rPr>
                <w:rFonts w:asciiTheme="minorHAnsi" w:eastAsiaTheme="minorEastAsia" w:hAnsiTheme="minorHAnsi" w:cstheme="minorBidi"/>
                <w:noProof/>
                <w:sz w:val="22"/>
                <w:lang w:val="de-AT" w:eastAsia="de-AT"/>
              </w:rPr>
              <w:tab/>
            </w:r>
            <w:r>
              <w:rPr>
                <w:rStyle w:val="Hyperlink"/>
                <w:noProof/>
              </w:rPr>
              <w:t>Очаквани нужди от човешки ресурси в Комисията</w:t>
            </w:r>
            <w:r>
              <w:rPr>
                <w:noProof/>
                <w:webHidden/>
              </w:rPr>
              <w:tab/>
            </w:r>
            <w:r>
              <w:rPr>
                <w:noProof/>
                <w:webHidden/>
              </w:rPr>
              <w:fldChar w:fldCharType="begin"/>
            </w:r>
            <w:r>
              <w:rPr>
                <w:noProof/>
                <w:webHidden/>
              </w:rPr>
              <w:instrText xml:space="preserve"> PAGEREF _Toc53761794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lang w:val="de-AT" w:eastAsia="de-AT"/>
            </w:rPr>
          </w:pPr>
          <w:hyperlink w:anchor="_Toc53761795" w:history="1">
            <w:r>
              <w:rPr>
                <w:rStyle w:val="Hyperlink"/>
                <w:noProof/>
              </w:rPr>
              <w:t>3.2.4.</w:t>
            </w:r>
            <w:r>
              <w:rPr>
                <w:rFonts w:asciiTheme="minorHAnsi" w:eastAsiaTheme="minorEastAsia" w:hAnsiTheme="minorHAnsi" w:cstheme="minorBidi"/>
                <w:noProof/>
                <w:sz w:val="22"/>
                <w:lang w:val="de-AT" w:eastAsia="de-AT"/>
              </w:rPr>
              <w:tab/>
            </w:r>
            <w:r>
              <w:rPr>
                <w:rStyle w:val="Hyperlink"/>
                <w:noProof/>
              </w:rPr>
              <w:t>Финансов принос от трети страни</w:t>
            </w:r>
            <w:r>
              <w:rPr>
                <w:noProof/>
                <w:webHidden/>
              </w:rPr>
              <w:tab/>
            </w:r>
            <w:r>
              <w:rPr>
                <w:noProof/>
                <w:webHidden/>
              </w:rPr>
              <w:fldChar w:fldCharType="begin"/>
            </w:r>
            <w:r>
              <w:rPr>
                <w:noProof/>
                <w:webHidden/>
              </w:rPr>
              <w:instrText xml:space="preserve"> PAGEREF _Toc53761795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lang w:val="de-AT" w:eastAsia="de-AT"/>
            </w:rPr>
          </w:pPr>
          <w:hyperlink w:anchor="_Toc53761796" w:history="1">
            <w:r>
              <w:rPr>
                <w:rStyle w:val="Hyperlink"/>
                <w:noProof/>
              </w:rPr>
              <w:t>3.3.</w:t>
            </w:r>
            <w:r>
              <w:rPr>
                <w:rFonts w:asciiTheme="minorHAnsi" w:eastAsiaTheme="minorEastAsia" w:hAnsiTheme="minorHAnsi" w:cstheme="minorBidi"/>
                <w:noProof/>
                <w:sz w:val="22"/>
                <w:lang w:val="de-AT" w:eastAsia="de-AT"/>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_Toc53761796 \h </w:instrText>
            </w:r>
            <w:r>
              <w:rPr>
                <w:noProof/>
                <w:webHidden/>
              </w:rPr>
            </w:r>
            <w:r>
              <w:rPr>
                <w:noProof/>
                <w:webHidden/>
              </w:rPr>
              <w:fldChar w:fldCharType="separate"/>
            </w:r>
            <w:r>
              <w:rPr>
                <w:noProof/>
                <w:webHidden/>
              </w:rPr>
              <w:t>22</w:t>
            </w:r>
            <w:r>
              <w:rPr>
                <w:noProof/>
                <w:webHidden/>
              </w:rPr>
              <w:fldChar w:fldCharType="end"/>
            </w:r>
          </w:hyperlink>
        </w:p>
        <w:p>
          <w:pPr>
            <w:rPr>
              <w:noProof/>
            </w:rPr>
          </w:pPr>
          <w:r>
            <w:rPr>
              <w:b/>
              <w:bCs/>
              <w:noProof/>
            </w:rPr>
            <w:fldChar w:fldCharType="end"/>
          </w:r>
        </w:p>
      </w:sdtContent>
    </w:sdt>
    <w:p>
      <w:pPr>
        <w:rPr>
          <w:noProof/>
        </w:rPr>
        <w:sectPr>
          <w:headerReference w:type="even" r:id="rId19"/>
          <w:headerReference w:type="default" r:id="rId20"/>
          <w:footerReference w:type="even" r:id="rId21"/>
          <w:footerReference w:type="default" r:id="rId22"/>
          <w:headerReference w:type="first" r:id="rId23"/>
          <w:footerReference w:type="first" r:id="rId24"/>
          <w:pgSz w:w="11907" w:h="16840" w:code="9"/>
          <w:pgMar w:top="1134" w:right="1418" w:bottom="1134" w:left="1418" w:header="709" w:footer="709" w:gutter="0"/>
          <w:pgNumType w:start="1"/>
          <w:cols w:space="720"/>
          <w:docGrid w:linePitch="360"/>
        </w:sectPr>
      </w:pPr>
    </w:p>
    <w:p>
      <w:pPr>
        <w:pStyle w:val="Annexetitre"/>
        <w:rPr>
          <w:noProof/>
        </w:rPr>
      </w:pPr>
      <w:r>
        <w:rPr>
          <w:noProof/>
        </w:rPr>
        <w:t>ЗАКОНОДАТЕЛНА ФИНАНСОВА ОБОСНОВКА</w:t>
      </w:r>
      <w:bookmarkEnd w:id="2"/>
    </w:p>
    <w:p>
      <w:pPr>
        <w:pStyle w:val="Heading1"/>
        <w:rPr>
          <w:noProof/>
        </w:rPr>
      </w:pPr>
      <w:bookmarkStart w:id="3" w:name="_Toc514941971"/>
      <w:bookmarkStart w:id="4" w:name="_Toc53761771"/>
      <w:r>
        <w:rPr>
          <w:noProof/>
        </w:rPr>
        <w:t>РАМКА НА ПРЕДЛОЖЕНИЕТО/ИНИЦИАТИВАТА</w:t>
      </w:r>
      <w:bookmarkEnd w:id="3"/>
      <w:bookmarkEnd w:id="4"/>
      <w:r>
        <w:rPr>
          <w:noProof/>
        </w:rPr>
        <w:t xml:space="preserve"> </w:t>
      </w:r>
    </w:p>
    <w:p>
      <w:pPr>
        <w:pStyle w:val="Heading2"/>
        <w:numPr>
          <w:ilvl w:val="1"/>
          <w:numId w:val="5"/>
        </w:numPr>
        <w:rPr>
          <w:noProof/>
        </w:rPr>
      </w:pPr>
      <w:bookmarkStart w:id="5" w:name="_Toc514941972"/>
      <w:bookmarkStart w:id="6" w:name="_Toc53761772"/>
      <w:r>
        <w:rPr>
          <w:noProof/>
        </w:rPr>
        <w:t>Наименование на предложението/инициативата</w:t>
      </w:r>
      <w:bookmarkEnd w:id="5"/>
      <w:bookmarkEnd w:id="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7" w:name="_Toc514941973"/>
      <w:r>
        <w:rPr>
          <w:rStyle w:val="Marker"/>
          <w:noProof/>
          <w:color w:val="auto"/>
        </w:rPr>
        <w:t>Регламент на Съвета за създаване на Съвместното предприятие за европейски високопроизводителни изчислителни технологии</w:t>
      </w:r>
    </w:p>
    <w:p>
      <w:pPr>
        <w:pStyle w:val="Text1"/>
        <w:pBdr>
          <w:top w:val="single" w:sz="4" w:space="1" w:color="auto"/>
          <w:left w:val="single" w:sz="4" w:space="4" w:color="auto"/>
          <w:bottom w:val="single" w:sz="4" w:space="1" w:color="auto"/>
          <w:right w:val="single" w:sz="4" w:space="4" w:color="auto"/>
        </w:pBdr>
        <w:rPr>
          <w:noProof/>
        </w:rPr>
      </w:pPr>
    </w:p>
    <w:p>
      <w:pPr>
        <w:pStyle w:val="Heading2"/>
        <w:numPr>
          <w:ilvl w:val="1"/>
          <w:numId w:val="5"/>
        </w:numPr>
        <w:rPr>
          <w:i/>
          <w:noProof/>
        </w:rPr>
      </w:pPr>
      <w:bookmarkStart w:id="8" w:name="_Toc53761773"/>
      <w:r>
        <w:rPr>
          <w:noProof/>
        </w:rPr>
        <w:t xml:space="preserve">Съответни области на политиката </w:t>
      </w:r>
      <w:r>
        <w:rPr>
          <w:i/>
          <w:noProof/>
        </w:rPr>
        <w:t>(програмен клъстер)</w:t>
      </w:r>
      <w:bookmarkEnd w:id="7"/>
      <w:bookmarkEnd w:id="8"/>
    </w:p>
    <w:p>
      <w:pPr>
        <w:pStyle w:val="Text1"/>
        <w:pBdr>
          <w:top w:val="single" w:sz="4" w:space="1" w:color="auto"/>
          <w:left w:val="single" w:sz="4" w:space="4" w:color="auto"/>
          <w:bottom w:val="single" w:sz="4" w:space="1" w:color="auto"/>
          <w:right w:val="single" w:sz="4" w:space="4" w:color="auto"/>
        </w:pBdr>
        <w:rPr>
          <w:rStyle w:val="Marker"/>
          <w:noProof/>
          <w:color w:val="auto"/>
        </w:rPr>
      </w:pPr>
      <w:bookmarkStart w:id="9" w:name="_Toc514941974"/>
      <w:r>
        <w:rPr>
          <w:rStyle w:val="Marker"/>
          <w:noProof/>
          <w:color w:val="auto"/>
        </w:rPr>
        <w:t>„Научни изследвания и иновации“ и „Европейски стратегически инвестиции“.</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(„Авангардни изчислителни технологии“ — клъстер 4 на „Хоризонт Европа“, „Цифрова сфера, промишленост и космическо пространство“,</w:t>
      </w:r>
      <w:r>
        <w:rPr>
          <w:rStyle w:val="Marker"/>
          <w:noProof/>
          <w:color w:val="auto"/>
        </w:rPr>
        <w:cr/>
      </w:r>
      <w:r>
        <w:rPr>
          <w:rStyle w:val="Marker"/>
          <w:noProof/>
          <w:color w:val="auto"/>
        </w:rPr>
        <w:br/>
        <w:t>„Високопроизводителни изчислителни технологии“ — стратегическа цел 1 на програма „Цифрова Европа“)</w:t>
      </w:r>
    </w:p>
    <w:p>
      <w:pPr>
        <w:pStyle w:val="Heading2"/>
        <w:numPr>
          <w:ilvl w:val="1"/>
          <w:numId w:val="5"/>
        </w:numPr>
        <w:rPr>
          <w:bCs w:val="0"/>
          <w:noProof/>
          <w:szCs w:val="24"/>
        </w:rPr>
      </w:pPr>
      <w:bookmarkStart w:id="10" w:name="_Toc53761774"/>
      <w:r>
        <w:rPr>
          <w:noProof/>
        </w:rPr>
        <w:t>Предложението/инициативата е във връзка с:</w:t>
      </w:r>
      <w:bookmarkEnd w:id="9"/>
      <w:bookmarkEnd w:id="10"/>
      <w:r>
        <w:rPr>
          <w:noProof/>
        </w:rPr>
        <w:t xml:space="preserve"> </w:t>
      </w:r>
    </w:p>
    <w:p>
      <w:pPr>
        <w:pStyle w:val="Text1"/>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1"/>
      </w:r>
      <w:r>
        <w:rPr>
          <w:noProof/>
          <w:sz w:val="22"/>
        </w:rPr>
        <w:t xml:space="preserve"> </w:t>
      </w:r>
    </w:p>
    <w:p>
      <w:pPr>
        <w:pStyle w:val="Text1"/>
        <w:rPr>
          <w:noProof/>
          <w:sz w:val="22"/>
        </w:rPr>
      </w:pPr>
      <w:r>
        <w:rPr>
          <w:noProof/>
          <w:sz w:val="22"/>
        </w:rPr>
        <w:sym w:font="Wingdings" w:char="F0FE"/>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Heading2"/>
        <w:numPr>
          <w:ilvl w:val="1"/>
          <w:numId w:val="5"/>
        </w:numPr>
        <w:rPr>
          <w:bCs w:val="0"/>
          <w:noProof/>
          <w:szCs w:val="24"/>
        </w:rPr>
      </w:pPr>
      <w:bookmarkStart w:id="11" w:name="_Toc514941975"/>
      <w:bookmarkStart w:id="12" w:name="_Toc53761775"/>
      <w:r>
        <w:rPr>
          <w:noProof/>
        </w:rPr>
        <w:t>Мотиви за предложението/инициативата</w:t>
      </w:r>
      <w:bookmarkEnd w:id="11"/>
      <w:bookmarkEnd w:id="12"/>
      <w:r>
        <w:rPr>
          <w:noProof/>
        </w:rPr>
        <w:t xml:space="preserve"> </w:t>
      </w:r>
    </w:p>
    <w:p>
      <w:pPr>
        <w:pStyle w:val="Heading3"/>
        <w:numPr>
          <w:ilvl w:val="2"/>
          <w:numId w:val="5"/>
        </w:numPr>
        <w:rPr>
          <w:noProof/>
        </w:rPr>
      </w:pPr>
      <w:bookmarkStart w:id="13" w:name="_Toc514941976"/>
      <w:bookmarkStart w:id="14" w:name="_Toc53761776"/>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3"/>
      <w:bookmarkEnd w:id="14"/>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Целите на СП EuroHPC са в Съюза да се разработи, внедри, разшири и поддържа водеща в световен мащаб обединена, сигурна и хиперсвързана екосистема за услуги и инфраструктура за данни в областта на суперкомпютрите и квантовите компютри; да се подкрепи производството на иновативни и конкурентоспособни суперкомпютърни системи въз основа на верига за доставки, с която ще се осигурят компоненти, технологии и знания, ограничаващи риска от прекъсвания, и разработването на широка гама от приложения, оптимизирани за тези системи; да се разшири използването на тази инфраструктура от суперкомпютри до голям брой публични и частни потребители и да се подкрепи развитието на ключови умения за европейската наука и промишленост.</w:t>
      </w:r>
    </w:p>
    <w:p>
      <w:pPr>
        <w:pStyle w:val="Text1"/>
        <w:pBdr>
          <w:top w:val="single" w:sz="4" w:space="1" w:color="auto"/>
          <w:left w:val="single" w:sz="4" w:space="4" w:color="auto"/>
          <w:bottom w:val="single" w:sz="4" w:space="1" w:color="auto"/>
          <w:right w:val="single" w:sz="4" w:space="4" w:color="auto"/>
        </w:pBdr>
        <w:rPr>
          <w:noProof/>
        </w:rPr>
      </w:pPr>
    </w:p>
    <w:p>
      <w:pPr>
        <w:pStyle w:val="Heading3"/>
        <w:numPr>
          <w:ilvl w:val="2"/>
          <w:numId w:val="5"/>
        </w:numPr>
        <w:rPr>
          <w:noProof/>
        </w:rPr>
      </w:pPr>
      <w:bookmarkStart w:id="15" w:name="_Toc53761777"/>
      <w:bookmarkStart w:id="16" w:name="_Toc514941977"/>
      <w:r>
        <w:rPr>
          <w:noProof/>
        </w:rPr>
        <w:t>Добавена стойност от участието на Съюза</w:t>
      </w:r>
      <w:bookmarkEnd w:id="15"/>
      <w:r>
        <w:rPr>
          <w:noProof/>
        </w:rPr>
        <w:t xml:space="preserve"> </w:t>
      </w:r>
    </w:p>
    <w:bookmarkEnd w:id="16"/>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Добавената стойност от участието на Съюза включва: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увеличаване на размера на финансирането в областта на ВИТ на европейско равнище с единни и координирани усилия с държавите членки/участващите държави;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по-добра координация и обединяване на европейските и националните инвестиции (въз основа на стратегическа програма за научни изследвания и иновации);</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рационализирано изпълнение на националните и европейските инвестиции и програми, допринасящи за увеличаването на общите инвестиции в областта на ВИТ в Европа;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осигуряване в ЕС на най-добрите суперкомпютри в света, които не могат да бъдат придобити самостоятелно от отделни участващи държави;</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улесняване на достъпа на европейските институции/потребители до най-добрите суперкомпютърни ресурси в Европа. </w:t>
      </w:r>
    </w:p>
    <w:p>
      <w:pPr>
        <w:pStyle w:val="Text1"/>
        <w:pBdr>
          <w:top w:val="single" w:sz="4" w:space="1" w:color="auto"/>
          <w:left w:val="single" w:sz="4" w:space="4" w:color="auto"/>
          <w:bottom w:val="single" w:sz="4" w:space="1" w:color="auto"/>
          <w:right w:val="single" w:sz="4" w:space="4" w:color="auto"/>
        </w:pBdr>
        <w:rPr>
          <w:noProof/>
        </w:rPr>
      </w:pPr>
      <w:r>
        <w:rPr>
          <w:rStyle w:val="Marker"/>
          <w:noProof/>
          <w:color w:val="auto"/>
        </w:rPr>
        <w:t>СП EuroHPC ще увеличи драстично предлагането на изчислителна мощност за потребителите в ЕС, ще допринесе за осигуряването на независим европейски източник на ключови технологии, които променят пейзажа на европейската екосистема на доставки, и ще насърчи и разшири използването на ВИТ в целия ЕС.</w:t>
      </w:r>
    </w:p>
    <w:p>
      <w:pPr>
        <w:pStyle w:val="Heading3"/>
        <w:numPr>
          <w:ilvl w:val="2"/>
          <w:numId w:val="5"/>
        </w:numPr>
        <w:rPr>
          <w:noProof/>
        </w:rPr>
      </w:pPr>
      <w:bookmarkStart w:id="17" w:name="_Toc514941978"/>
      <w:bookmarkStart w:id="18" w:name="_Toc53761778"/>
      <w:r>
        <w:rPr>
          <w:noProof/>
        </w:rPr>
        <w:t>Изводи от подобен опит в миналото</w:t>
      </w:r>
      <w:bookmarkEnd w:id="17"/>
      <w:bookmarkEnd w:id="18"/>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Съществуващото СП EuroHPC вече е придобило солиден работен опит със задълбочените дискусии на заинтересованите страни относно управлението, администрацията и други оперативни и изпълнителни аспекти; основните изводи от този опит могат да бъдат обобщени, както следва:</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 xml:space="preserve">опростяване на схемата за съфинансиране: комбинацията от европейски и национални фондове в различните дейности на СП EuroHPC трябва да бъде опростена и оптимизирана;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по-голяма гъвкавост при определянето на времето за придобиване и технологията на новите суперкомпютърни системи;</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 xml:space="preserve">по-голяма гъвкавост при разпределението на ресурсите на системите на СП EuroHPC;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добре дефинирани политики за достъп за промишлено/търговско използване на инфраструктурата на СП EuroHPC, които биха позволили да се оползотворят пълноценно възможностите на СП EuroHPC за предконкурентен достъп до научни изследвания или за търговски условия на ползване;</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 xml:space="preserve">по-ясна рамка за сътрудничество със съответните заинтересовани страни: Партньорството за авангардна електронна обработка на данни в Европа (PRACE) и паневропейската научноизследователска мрежа GÉANT. Може да се наложи да се установят конкретни договорености с PRACE за задачите, свързани с разпределението на времето за достъп до системите на СП, както и с GÉANT за осигуряване на специална свързаност за суперкомпютрите на СП EuroHPC;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по-ясно определяне на различните видове вноски за дейността на СП EuroHPC. Необходимо е например да бъдат определени по-ясно вноските в натура на участващите държави и на частноправните членове на СП EuroHPC; и по-ясно определяне на разходите, които СП EuroHPC може/не може да покрива за придобиването и експлоатацията на суперкомпютри;</w:t>
      </w:r>
    </w:p>
    <w:p>
      <w:pPr>
        <w:pStyle w:val="Text1"/>
        <w:pBdr>
          <w:top w:val="single" w:sz="4" w:space="1" w:color="auto"/>
          <w:left w:val="single" w:sz="4" w:space="4" w:color="auto"/>
          <w:bottom w:val="single" w:sz="4" w:space="1" w:color="auto"/>
          <w:right w:val="single" w:sz="4" w:space="4" w:color="auto"/>
        </w:pBdr>
        <w:ind w:left="1435" w:hanging="585"/>
        <w:rPr>
          <w:noProof/>
        </w:rPr>
      </w:pPr>
      <w:r>
        <w:rPr>
          <w:rStyle w:val="Marker"/>
          <w:noProof/>
          <w:color w:val="auto"/>
        </w:rPr>
        <w:t>•</w:t>
      </w:r>
      <w:r>
        <w:rPr>
          <w:rStyle w:val="Marker"/>
          <w:noProof/>
          <w:color w:val="auto"/>
        </w:rPr>
        <w:tab/>
        <w:t xml:space="preserve">по-голяма гъвкавост в приноса на частноправните членове и на други частнoправни участници в дейността на СП EuroHPC. </w:t>
      </w:r>
    </w:p>
    <w:p>
      <w:pPr>
        <w:pStyle w:val="Text1"/>
        <w:pBdr>
          <w:top w:val="single" w:sz="4" w:space="1" w:color="auto"/>
          <w:left w:val="single" w:sz="4" w:space="4" w:color="auto"/>
          <w:bottom w:val="single" w:sz="4" w:space="1" w:color="auto"/>
          <w:right w:val="single" w:sz="4" w:space="4" w:color="auto"/>
        </w:pBdr>
        <w:rPr>
          <w:noProof/>
        </w:rPr>
      </w:pPr>
    </w:p>
    <w:p>
      <w:pPr>
        <w:pStyle w:val="Heading3"/>
        <w:numPr>
          <w:ilvl w:val="2"/>
          <w:numId w:val="5"/>
        </w:numPr>
        <w:rPr>
          <w:noProof/>
        </w:rPr>
      </w:pPr>
      <w:bookmarkStart w:id="19" w:name="_Toc514941979"/>
      <w:bookmarkStart w:id="20" w:name="_Toc53761779"/>
      <w:r>
        <w:rPr>
          <w:noProof/>
        </w:rPr>
        <w:t>Съвместимост и евентуално полезно взаимодействие с други подходящи инструменти</w:t>
      </w:r>
      <w:bookmarkEnd w:id="19"/>
      <w:bookmarkEnd w:id="20"/>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Полезни взаимодействия в „Хоризонт Европа“</w:t>
      </w:r>
    </w:p>
    <w:p>
      <w:pPr>
        <w:pStyle w:val="Text1"/>
        <w:pBdr>
          <w:top w:val="single" w:sz="4" w:space="1" w:color="auto"/>
          <w:left w:val="single" w:sz="4" w:space="4" w:color="auto"/>
          <w:bottom w:val="single" w:sz="4" w:space="1" w:color="auto"/>
          <w:right w:val="single" w:sz="4" w:space="4" w:color="auto"/>
        </w:pBdr>
        <w:jc w:val="left"/>
        <w:rPr>
          <w:noProof/>
        </w:rPr>
      </w:pPr>
      <w:r>
        <w:rPr>
          <w:noProof/>
        </w:rPr>
        <w:t>Правоприемник на Съвместното предприятие ECSEL</w:t>
      </w:r>
      <w:r>
        <w:rPr>
          <w:noProof/>
        </w:rPr>
        <w:cr/>
      </w:r>
      <w:r>
        <w:rPr>
          <w:noProof/>
        </w:rPr>
        <w:br/>
        <w:t>Големи масиви данни, роботика и изкуствен интелект</w:t>
      </w:r>
      <w:r>
        <w:rPr>
          <w:noProof/>
        </w:rPr>
        <w:cr/>
      </w:r>
      <w:r>
        <w:rPr>
          <w:noProof/>
        </w:rPr>
        <w:br/>
        <w:t>Водеща инициатива в областта на бъдещите и нововъзникващите технологии, свързана с квантовите технологии</w:t>
      </w:r>
      <w:r>
        <w:rPr>
          <w:noProof/>
        </w:rPr>
        <w:cr/>
      </w:r>
      <w:r>
        <w:rPr>
          <w:noProof/>
        </w:rPr>
        <w:br/>
        <w:t xml:space="preserve">Европейски облак за отворена наука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Полезни взаимодействия в програма „Цифрова Европа“</w:t>
      </w:r>
    </w:p>
    <w:p>
      <w:pPr>
        <w:pStyle w:val="Text1"/>
        <w:pBdr>
          <w:top w:val="single" w:sz="4" w:space="1" w:color="auto"/>
          <w:left w:val="single" w:sz="4" w:space="4" w:color="auto"/>
          <w:bottom w:val="single" w:sz="4" w:space="1" w:color="auto"/>
          <w:right w:val="single" w:sz="4" w:space="4" w:color="auto"/>
        </w:pBdr>
        <w:rPr>
          <w:noProof/>
        </w:rPr>
      </w:pPr>
      <w:r>
        <w:rPr>
          <w:noProof/>
        </w:rPr>
        <w:t>Изкуствен интелект</w:t>
      </w:r>
      <w:r>
        <w:rPr>
          <w:noProof/>
        </w:rPr>
        <w:cr/>
      </w:r>
      <w:r>
        <w:rPr>
          <w:noProof/>
        </w:rPr>
        <w:br/>
        <w:t>Киберсигурност</w:t>
      </w:r>
      <w:r>
        <w:rPr>
          <w:noProof/>
        </w:rPr>
        <w:cr/>
      </w:r>
      <w:r>
        <w:rPr>
          <w:noProof/>
        </w:rPr>
        <w:br/>
        <w:t>Задълбочени умения в областта на цифровите технологии</w:t>
      </w:r>
    </w:p>
    <w:p>
      <w:pPr>
        <w:pStyle w:val="Heading2"/>
        <w:numPr>
          <w:ilvl w:val="1"/>
          <w:numId w:val="5"/>
        </w:numPr>
        <w:rPr>
          <w:bCs w:val="0"/>
          <w:noProof/>
          <w:szCs w:val="24"/>
        </w:rPr>
      </w:pPr>
      <w:bookmarkStart w:id="21" w:name="_Toc514941980"/>
      <w:bookmarkStart w:id="22" w:name="_Toc53761780"/>
      <w:r>
        <w:rPr>
          <w:noProof/>
        </w:rPr>
        <w:t>Срок на действие и финансово отражение</w:t>
      </w:r>
      <w:bookmarkEnd w:id="21"/>
      <w:bookmarkEnd w:id="22"/>
      <w:r>
        <w:rPr>
          <w:noProof/>
        </w:rPr>
        <w:t xml:space="preserve"> </w:t>
      </w:r>
    </w:p>
    <w:p>
      <w:pPr>
        <w:pStyle w:val="Text1"/>
        <w:rPr>
          <w:noProof/>
        </w:rPr>
      </w:pPr>
      <w:r>
        <w:rPr>
          <w:noProof/>
        </w:rPr>
        <w:sym w:font="Wingdings" w:char="F0FE"/>
      </w:r>
      <w:r>
        <w:rPr>
          <w:b/>
          <w:i/>
          <w:noProof/>
        </w:rPr>
        <w:t xml:space="preserve"> </w:t>
      </w:r>
      <w:r>
        <w:rPr>
          <w:b/>
          <w:noProof/>
        </w:rPr>
        <w:t xml:space="preserve">ограничен срок на действие </w:t>
      </w:r>
    </w:p>
    <w:p>
      <w:pPr>
        <w:pStyle w:val="ListDash2"/>
        <w:rPr>
          <w:noProof/>
        </w:rPr>
      </w:pPr>
      <w:r>
        <w:rPr>
          <w:noProof/>
        </w:rPr>
        <w:sym w:font="Wingdings" w:char="F0FE"/>
      </w:r>
      <w:r>
        <w:rPr>
          <w:noProof/>
        </w:rPr>
        <w:tab/>
        <w:t xml:space="preserve">в сила от 1.1.2021 г. до 31.12.2033 г. </w:t>
      </w:r>
    </w:p>
    <w:p>
      <w:pPr>
        <w:pStyle w:val="ListDash2"/>
        <w:rPr>
          <w:noProof/>
        </w:rPr>
      </w:pPr>
      <w:r>
        <w:rPr>
          <w:noProof/>
        </w:rPr>
        <w:sym w:font="Wingdings" w:char="F0FE"/>
      </w:r>
      <w:r>
        <w:rPr>
          <w:noProof/>
        </w:rPr>
        <w:tab/>
        <w:t xml:space="preserve">финансово отражение от 2021 г. до 2027 г. за бюджетните кредити за поети задължения и от 2021 г. до 2033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Heading2"/>
        <w:numPr>
          <w:ilvl w:val="1"/>
          <w:numId w:val="5"/>
        </w:numPr>
        <w:rPr>
          <w:bCs w:val="0"/>
          <w:noProof/>
          <w:szCs w:val="24"/>
        </w:rPr>
      </w:pPr>
      <w:bookmarkStart w:id="23" w:name="_Toc53761781"/>
      <w:bookmarkStart w:id="24" w:name="_Toc514941981"/>
      <w:r>
        <w:rPr>
          <w:noProof/>
        </w:rPr>
        <w:t>Планирани методи на управление</w:t>
      </w:r>
      <w:r>
        <w:rPr>
          <w:rStyle w:val="FootnoteReference"/>
          <w:bCs w:val="0"/>
          <w:noProof/>
        </w:rPr>
        <w:footnoteReference w:id="2"/>
      </w:r>
      <w:bookmarkEnd w:id="23"/>
      <w:r>
        <w:rPr>
          <w:rStyle w:val="FootnoteReference"/>
          <w:noProof/>
        </w:rPr>
        <w:t xml:space="preserve"> </w:t>
      </w:r>
      <w:bookmarkEnd w:id="24"/>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FE"/>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pPr>
      <w:r>
        <w:rPr>
          <w:noProof/>
        </w:rPr>
        <w:t xml:space="preserve"> </w:t>
      </w:r>
    </w:p>
    <w:p>
      <w:pPr>
        <w:rPr>
          <w:noProof/>
        </w:rPr>
        <w:sectPr>
          <w:headerReference w:type="even" r:id="rId25"/>
          <w:headerReference w:type="default" r:id="rId26"/>
          <w:footerReference w:type="even" r:id="rId27"/>
          <w:footerReference w:type="default" r:id="rId28"/>
          <w:headerReference w:type="first" r:id="rId29"/>
          <w:footerReference w:type="first" r:id="rId30"/>
          <w:pgSz w:w="11907" w:h="16840" w:code="9"/>
          <w:pgMar w:top="1134" w:right="1418" w:bottom="1134" w:left="1418" w:header="709" w:footer="709" w:gutter="0"/>
          <w:cols w:space="708"/>
          <w:docGrid w:linePitch="360"/>
        </w:sectPr>
      </w:pPr>
    </w:p>
    <w:p>
      <w:pPr>
        <w:pStyle w:val="Heading1"/>
        <w:numPr>
          <w:ilvl w:val="0"/>
          <w:numId w:val="5"/>
        </w:numPr>
        <w:rPr>
          <w:bCs w:val="0"/>
          <w:noProof/>
          <w:szCs w:val="24"/>
        </w:rPr>
      </w:pPr>
      <w:bookmarkStart w:id="25" w:name="_Toc514941982"/>
      <w:bookmarkStart w:id="26" w:name="_Toc53761782"/>
      <w:r>
        <w:rPr>
          <w:noProof/>
        </w:rPr>
        <w:t>МЕРКИ ЗА УПРАВЛЕНИЕ</w:t>
      </w:r>
      <w:bookmarkEnd w:id="25"/>
      <w:bookmarkEnd w:id="26"/>
      <w:r>
        <w:rPr>
          <w:noProof/>
        </w:rPr>
        <w:t xml:space="preserve"> </w:t>
      </w:r>
    </w:p>
    <w:p>
      <w:pPr>
        <w:pStyle w:val="Heading2"/>
        <w:numPr>
          <w:ilvl w:val="1"/>
          <w:numId w:val="5"/>
        </w:numPr>
        <w:rPr>
          <w:noProof/>
        </w:rPr>
      </w:pPr>
      <w:bookmarkStart w:id="27" w:name="_Toc514941983"/>
      <w:bookmarkStart w:id="28" w:name="_Toc53761783"/>
      <w:r>
        <w:rPr>
          <w:noProof/>
        </w:rPr>
        <w:t>Правила за мониторинг и докладване</w:t>
      </w:r>
      <w:bookmarkEnd w:id="27"/>
      <w:bookmarkEnd w:id="28"/>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Дейностите на съвместното предприятие ще бъдат обект на непрекъснат мониторинг и периодични прегледи в съответствие с неговите финансови правила с цел да се осигури както най-голямо въздействие и високи постижения, така и най-ефикасно използване на ресурсите. Резултатите от мониторинга и периодичните прегледи се включват в оценките на съвместното предприятие като част от оценките на „Хоризонт Европа“, както е посочено в член 47 от регламента за създаване на „Хоризонт Европа“.</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Комисията ще извърши междинна оценка с помощта на независими експерти въз основа на прозрачен процес, не по-късно от четири години след началото на изпълнението на „Хоризонт Европа“. При оценката ще бъде разгледано как съвместното предприятие изпълнява своята мисия в съответствие с неговите икономически, технологични, научни, обществени и политически цели и ще се оцени ефективността, ефикасността, уместността, съгласуваността и добавената стойност за Съюза от неговите дейности като част от „Хоризонт Европа“. Оценката ще бъде насочена към неговите полезни взаимодействия и взаимно допълване със съответните европейски, национални и, където е приложимо, регионални инициативи, включително полезните взаимодействия с други части на „Хоризонт Европа“ (напр. мисии, клъстери или тематични/специфични програми). Ще бъде обърнато специално внимание на въздействията, постигнати на равнището на Съюза и на национално равнище, като се вземе предвид компонентът на полезните взаимодействия и модернизирането на политиките.</w:t>
      </w:r>
    </w:p>
    <w:p>
      <w:pPr>
        <w:pStyle w:val="Text1"/>
        <w:pBdr>
          <w:top w:val="single" w:sz="4" w:space="1" w:color="auto"/>
          <w:left w:val="single" w:sz="4" w:space="4" w:color="auto"/>
          <w:bottom w:val="single" w:sz="4" w:space="1" w:color="auto"/>
          <w:right w:val="single" w:sz="4" w:space="4" w:color="auto"/>
        </w:pBdr>
        <w:rPr>
          <w:noProof/>
        </w:rPr>
      </w:pPr>
      <w:r>
        <w:rPr>
          <w:noProof/>
        </w:rPr>
        <w:t>При оценките също така ще бъде разгледано дългосрочното научно, обществено и икономическо въздействие на съвместното предприятие, въздействието, имащо отношение към политиката, най-ефективният режим на политическа намеса за всяко бъдещо действие, както и позиционирането на всяко евентуално подновяване на съвместното предприятие в цялостния пейзаж на европейските партньорства и неговите политически приоритети.</w:t>
      </w:r>
    </w:p>
    <w:p>
      <w:pPr>
        <w:pStyle w:val="Heading2"/>
        <w:numPr>
          <w:ilvl w:val="1"/>
          <w:numId w:val="5"/>
        </w:numPr>
        <w:rPr>
          <w:bCs w:val="0"/>
          <w:noProof/>
          <w:szCs w:val="24"/>
        </w:rPr>
      </w:pPr>
      <w:r>
        <w:rPr>
          <w:noProof/>
        </w:rPr>
        <w:t xml:space="preserve"> </w:t>
      </w:r>
      <w:bookmarkStart w:id="29" w:name="_Toc514941984"/>
      <w:bookmarkStart w:id="30" w:name="_Toc53761784"/>
      <w:r>
        <w:rPr>
          <w:noProof/>
        </w:rPr>
        <w:t>Системи за управление и контрол</w:t>
      </w:r>
      <w:bookmarkEnd w:id="29"/>
      <w:bookmarkEnd w:id="30"/>
      <w:r>
        <w:rPr>
          <w:noProof/>
        </w:rPr>
        <w:t xml:space="preserve"> </w:t>
      </w:r>
    </w:p>
    <w:p>
      <w:pPr>
        <w:pStyle w:val="Heading3"/>
        <w:numPr>
          <w:ilvl w:val="2"/>
          <w:numId w:val="5"/>
        </w:numPr>
        <w:rPr>
          <w:noProof/>
        </w:rPr>
      </w:pPr>
      <w:bookmarkStart w:id="31" w:name="_Toc514941985"/>
      <w:bookmarkStart w:id="32" w:name="_Toc53761785"/>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 xml:space="preserve">Вътрешният одитор на Комисията упражнява същите правомощия по отношение на съвместното предприятие, каквито упражнява по отношение на Комисията. Освен това Управителният съвет може да организира, когато е необходимо, създаването на структура за вътрешен одит на съвместното предприятие. </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член 154 от Регламент (ЕС, Евратом) № 1046/2018 съвместното предприятие ще спазва принципите на добро финансово управление, прозрачност и недопускане на дискриминация и ще гарантира равнище на защита на финансовите интереси на своите членове, което е равностойно на изискваното по посочения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Последващите одити на разходите за непреки действия ще се извършват в съответствие с рамковата програма „Хоризонт Европа“ като част от непреките действия по нея.</w:t>
      </w:r>
    </w:p>
    <w:p>
      <w:pPr>
        <w:pStyle w:val="Text1"/>
        <w:pBdr>
          <w:top w:val="single" w:sz="4" w:space="1" w:color="auto"/>
          <w:left w:val="single" w:sz="4" w:space="4" w:color="auto"/>
          <w:bottom w:val="single" w:sz="4" w:space="1" w:color="auto"/>
          <w:right w:val="single" w:sz="4" w:space="4" w:color="auto"/>
        </w:pBdr>
        <w:rPr>
          <w:noProof/>
        </w:rPr>
      </w:pPr>
      <w:r>
        <w:rPr>
          <w:noProof/>
        </w:rPr>
        <w:t>За да защити финансовите интереси на Съюза, Комисията в съответствие с Финансовия регламент ще наблюдава дейността на съвместното предприятие, по-специално като извършва одити и оценки на изпълнението на програмата, прилага процедури за проверка и приемане на сметките и изключване от финансиране от Съюза на средства, отпуснати в нарушение на приложимите правила. Тя също така може да прекрати или да прекъсне плащанията, ако установи финансови или административни нередности.</w:t>
      </w:r>
    </w:p>
    <w:p>
      <w:pPr>
        <w:pStyle w:val="Heading3"/>
        <w:numPr>
          <w:ilvl w:val="2"/>
          <w:numId w:val="5"/>
        </w:numPr>
        <w:rPr>
          <w:noProof/>
        </w:rPr>
      </w:pPr>
      <w:bookmarkStart w:id="33" w:name="_Toc514941986"/>
      <w:bookmarkStart w:id="34" w:name="_Toc53761786"/>
      <w:r>
        <w:rPr>
          <w:noProof/>
        </w:rPr>
        <w:t>Информация относно установените рискове и системата за вътрешен контрол, създадена с цел намаляването им</w:t>
      </w:r>
      <w:bookmarkEnd w:id="33"/>
      <w:bookmarkEnd w:id="34"/>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Основните установени рискове са свързани с неправилно плащане на разходите на участниците при непреки действия и неправилно изпълнение на поръчките за суперкомпютрите на СП EuroHPC. Финансовото управление ще следва Финансовия регламент на съвместното предприятие, като се изпълняват съответните административни и финансови процедури на съответните програми за финансиране (т.е. „Хоризонт Европа“, „Цифрова Европа“, Механизма за свързване на Европа — 2), включително като се използват общите ИТ инструменти. </w:t>
      </w:r>
    </w:p>
    <w:p>
      <w:pPr>
        <w:pStyle w:val="Text1"/>
        <w:pBdr>
          <w:top w:val="single" w:sz="4" w:space="1" w:color="auto"/>
          <w:left w:val="single" w:sz="4" w:space="4" w:color="auto"/>
          <w:bottom w:val="single" w:sz="4" w:space="1" w:color="auto"/>
          <w:right w:val="single" w:sz="4" w:space="4" w:color="auto"/>
        </w:pBdr>
        <w:rPr>
          <w:noProof/>
        </w:rPr>
      </w:pPr>
      <w:r>
        <w:rPr>
          <w:noProof/>
        </w:rPr>
        <w:t>Специфичният риск от конфликт на интереси, присъщ на публично-частните партньорства, се преодолява чрез ясно разграничаване на правомощията за вземане на решения между Управителния съвет — определяне на стратегията и работните планове, определяне на условията за обявяване на покани за представяне на предложения и за участие в търгове и вземане на решения за разпределението на обществените средства.</w:t>
      </w:r>
    </w:p>
    <w:p>
      <w:pPr>
        <w:pStyle w:val="Text1"/>
        <w:pBdr>
          <w:top w:val="single" w:sz="4" w:space="1" w:color="auto"/>
          <w:left w:val="single" w:sz="4" w:space="4" w:color="auto"/>
          <w:bottom w:val="single" w:sz="4" w:space="1" w:color="auto"/>
          <w:right w:val="single" w:sz="4" w:space="4" w:color="auto"/>
        </w:pBdr>
        <w:rPr>
          <w:noProof/>
        </w:rPr>
      </w:pPr>
      <w:r>
        <w:rPr>
          <w:noProof/>
        </w:rPr>
        <w:t>Недостатъчните вноски от участващите държави излагат на риск придобиването или експлоатацията на суперкомпютрите с близка до ексафлопс производителност, независимо дали вноските са недостатъчни за придобиването на суперкомпютрите или за тяхната експлоатация по време на икономическия им жизнен цикъл, или за придобиването на суперкомпютри с производителност, която би ги наредила в челната тройка в света. Съвместното предприятие EuroHPC ще стартира процедура за възлагане на обществена поръчка единствено при твърдо поето задължение от страна на участващите държави за покриване на общите разходи за собствеността, като част от критериите за допустимост в поканата за заявяване на интерес за хостинг на суперкомпютър на СП EuroHPC.</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регламента за „Хоризонт Европа“ участващите държави следва да поверят на съвместното предприятие разходването на своите вноски в полза на участниците от тяхната държава в непреки действия. За да защитят интересите на Съюза, участващите държави и съвместното предприятие следва да сключат правно обвързващи споразумения, с които участващите държави се задължават да заплащат пълния размер на своите вноски за непреки действия през целия жизнен цикъл на инициативата. Тези споразумения следва да бъдат сключени в контекста на годишната бюджетна процедура и програма на съвместното предприятие. Разпоредителят с бюджетни кредити следва да поеме бюджетните и правните задължения за тези непреки действия едва след това и в съответствие с финансовите правила на съвместното предприятие.</w:t>
      </w:r>
    </w:p>
    <w:p>
      <w:pPr>
        <w:pStyle w:val="Heading3"/>
        <w:numPr>
          <w:ilvl w:val="2"/>
          <w:numId w:val="5"/>
        </w:numPr>
        <w:rPr>
          <w:noProof/>
        </w:rPr>
      </w:pPr>
      <w:bookmarkStart w:id="35" w:name="_Toc514941987"/>
      <w:bookmarkStart w:id="36" w:name="_Toc53761787"/>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35"/>
      <w:bookmarkEnd w:id="3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Като едно от съвместните предприятия, създадени в рамките на „Хоризонт Европа“, Съвместното предприятие EuroHPC ще бъде част от одитната стратегия на Комисията. По-специално непреките действия, извършвани от съвместното предприятие, ще бъдат наблюдавани от CIC, за да се гарантира процент на грешки, който е на същото равнище, както и при останалите действия, финансирани в рамките на „Хоризонт Европа“.</w:t>
      </w:r>
    </w:p>
    <w:p>
      <w:pPr>
        <w:pStyle w:val="Heading2"/>
        <w:numPr>
          <w:ilvl w:val="1"/>
          <w:numId w:val="5"/>
        </w:numPr>
        <w:rPr>
          <w:bCs w:val="0"/>
          <w:noProof/>
          <w:szCs w:val="24"/>
        </w:rPr>
      </w:pPr>
      <w:bookmarkStart w:id="37" w:name="_Toc514941988"/>
      <w:bookmarkStart w:id="38" w:name="_Toc53761788"/>
      <w:r>
        <w:rPr>
          <w:noProof/>
        </w:rPr>
        <w:t>Мерки за предотвратяване на измами и нередности</w:t>
      </w:r>
      <w:bookmarkEnd w:id="37"/>
      <w:bookmarkEnd w:id="38"/>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или нейни представители, както и Сметната палата имат правомощия да извършват одити на основата на документални проверки и проверки на място на всички бенефициери на безвъзмездни средства, изпълнители и подизпълнители, които получават средства от ЕС.</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служба за борба с измамите (OLAF) и Европейската прокуратура (EPPO) може да извършва разследвания, включително проверки и инспекции на място в съответствие с разпоредбите и процедурите, предвидени в Регламент (Евратом, ЕО) № 2185/96 на Съвета</w:t>
      </w:r>
      <w:r>
        <w:rPr>
          <w:rStyle w:val="FootnoteReference"/>
          <w:noProof/>
        </w:rPr>
        <w:footnoteReference w:id="3"/>
      </w:r>
      <w:r>
        <w:rPr>
          <w:noProof/>
        </w:rPr>
        <w:t xml:space="preserve"> и Регламент (ЕС, Евратом) № 883/2013 на Европейския парламент и на Съвета</w:t>
      </w:r>
      <w:r>
        <w:rPr>
          <w:rStyle w:val="FootnoteReference"/>
          <w:noProof/>
        </w:rPr>
        <w:footnoteReference w:id="4"/>
      </w:r>
      <w:r>
        <w:rPr>
          <w:noProof/>
        </w:rPr>
        <w:t>, за да установи дали е налице измама, корупция или друга незаконна дейност, накърняваща пряко или непряко финансовите интереси на Европейския съюз във връзка със споразумение за отпускане на безвъзмездни средства или договор за финансиране със средства от ЕС.</w:t>
      </w:r>
    </w:p>
    <w:p>
      <w:pPr>
        <w:pStyle w:val="Text1"/>
        <w:pBdr>
          <w:top w:val="single" w:sz="4" w:space="1" w:color="auto"/>
          <w:left w:val="single" w:sz="4" w:space="4" w:color="auto"/>
          <w:bottom w:val="single" w:sz="4" w:space="1" w:color="auto"/>
          <w:right w:val="single" w:sz="4" w:space="4" w:color="auto"/>
        </w:pBdr>
        <w:rPr>
          <w:noProof/>
        </w:rPr>
      </w:pPr>
      <w:r>
        <w:rPr>
          <w:noProof/>
        </w:rPr>
        <w:t>Без да се засяга горното, в споразуменията за отпускане на безвъзмездни средства и в договорите, произтичащи от прилагането на настоящия регламент, се предвижда изрично упълномощаване на Комисията, Сметната палата и OLAF за провеждане на такива одити, проверки и инспекции на място.</w:t>
      </w:r>
    </w:p>
    <w:p>
      <w:pPr>
        <w:pStyle w:val="Heading1"/>
        <w:numPr>
          <w:ilvl w:val="0"/>
          <w:numId w:val="5"/>
        </w:numPr>
        <w:rPr>
          <w:bCs w:val="0"/>
          <w:noProof/>
          <w:szCs w:val="24"/>
        </w:rPr>
      </w:pPr>
      <w:bookmarkStart w:id="39" w:name="_Toc514941989"/>
      <w:bookmarkStart w:id="40" w:name="_Toc53761789"/>
      <w:r>
        <w:rPr>
          <w:noProof/>
        </w:rPr>
        <w:t>ОЧАКВАНО ФИНАНСОВО ОТРАЖЕНИЕ НА ПРЕДЛОЖЕНИЕТО/ИНИЦИАТИВАТА</w:t>
      </w:r>
      <w:bookmarkEnd w:id="39"/>
      <w:bookmarkEnd w:id="40"/>
      <w:r>
        <w:rPr>
          <w:noProof/>
        </w:rPr>
        <w:t xml:space="preserve"> </w:t>
      </w:r>
    </w:p>
    <w:p>
      <w:pPr>
        <w:pStyle w:val="Heading2"/>
        <w:numPr>
          <w:ilvl w:val="1"/>
          <w:numId w:val="5"/>
        </w:numPr>
        <w:rPr>
          <w:noProof/>
        </w:rPr>
      </w:pPr>
      <w:bookmarkStart w:id="41" w:name="_Toc514941990"/>
      <w:bookmarkStart w:id="42" w:name="_Toc53761790"/>
      <w:r>
        <w:rPr>
          <w:noProof/>
        </w:rPr>
        <w:t>Функция от многогодишната финансова рамка и предложени нови разходни бюджетни редове</w:t>
      </w:r>
      <w:bookmarkEnd w:id="41"/>
      <w:bookmarkEnd w:id="4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Type of </w:t>
            </w:r>
            <w:r>
              <w:rPr>
                <w:noProof/>
                <w:sz w:val="22"/>
              </w:rPr>
              <w:cr/>
            </w:r>
            <w:r>
              <w:rPr>
                <w:noProof/>
                <w:sz w:val="22"/>
              </w:rPr>
              <w:br/>
            </w:r>
            <w:r>
              <w:rPr>
                <w:noProof/>
                <w:sz w:val="18"/>
              </w:rPr>
              <w:t>Разходи</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rStyle w:val="Marker"/>
                <w:b/>
                <w:noProof/>
                <w:sz w:val="22"/>
              </w:rPr>
            </w:pPr>
            <w:r>
              <w:rPr>
                <w:b/>
                <w:noProof/>
                <w:sz w:val="20"/>
              </w:rPr>
              <w:t>Функция 1</w:t>
            </w:r>
          </w:p>
          <w:p>
            <w:pPr>
              <w:spacing w:before="60" w:after="60"/>
              <w:rPr>
                <w:b/>
                <w:noProof/>
              </w:rPr>
            </w:pPr>
            <w:r>
              <w:rPr>
                <w:b/>
                <w:noProof/>
                <w:sz w:val="20"/>
                <w:szCs w:val="20"/>
              </w:rPr>
              <w:t>Единен пазар, иновации и цифрова икономика — „Хоризонт Европа“</w:t>
            </w:r>
          </w:p>
        </w:tc>
        <w:tc>
          <w:tcPr>
            <w:tcW w:w="1080" w:type="dxa"/>
            <w:vAlign w:val="center"/>
          </w:tcPr>
          <w:p>
            <w:pPr>
              <w:jc w:val="center"/>
              <w:rPr>
                <w:noProof/>
              </w:rPr>
            </w:pPr>
            <w:r>
              <w:rPr>
                <w:noProof/>
                <w:sz w:val="18"/>
              </w:rPr>
              <w:t>Многогод./Едногод.</w:t>
            </w:r>
            <w:r>
              <w:rPr>
                <w:rStyle w:val="FootnoteReference"/>
                <w:noProof/>
                <w:sz w:val="18"/>
              </w:rPr>
              <w:footnoteReference w:id="5"/>
            </w:r>
          </w:p>
        </w:tc>
        <w:tc>
          <w:tcPr>
            <w:tcW w:w="1044" w:type="dxa"/>
            <w:vAlign w:val="center"/>
          </w:tcPr>
          <w:p>
            <w:pPr>
              <w:jc w:val="center"/>
              <w:rPr>
                <w:noProof/>
              </w:rPr>
            </w:pPr>
            <w:r>
              <w:rPr>
                <w:noProof/>
                <w:sz w:val="18"/>
              </w:rPr>
              <w:t>от държавите от ЕАСТ</w:t>
            </w:r>
            <w:r>
              <w:rPr>
                <w:rStyle w:val="FootnoteReference"/>
                <w:noProof/>
                <w:sz w:val="18"/>
              </w:rPr>
              <w:footnoteReference w:id="6"/>
            </w:r>
          </w:p>
          <w:p>
            <w:pPr>
              <w:spacing w:before="0" w:after="0"/>
              <w:jc w:val="center"/>
              <w:rPr>
                <w:b/>
                <w:noProof/>
                <w:sz w:val="18"/>
              </w:rPr>
            </w:pPr>
          </w:p>
        </w:tc>
        <w:tc>
          <w:tcPr>
            <w:tcW w:w="993" w:type="dxa"/>
            <w:vAlign w:val="center"/>
          </w:tcPr>
          <w:p>
            <w:pPr>
              <w:jc w:val="center"/>
              <w:rPr>
                <w:noProof/>
              </w:rPr>
            </w:pPr>
            <w:r>
              <w:rPr>
                <w:noProof/>
                <w:sz w:val="18"/>
              </w:rPr>
              <w:t>от държави кандидатки</w:t>
            </w:r>
            <w:r>
              <w:rPr>
                <w:rStyle w:val="FootnoteReference"/>
                <w:noProof/>
                <w:sz w:val="18"/>
              </w:rPr>
              <w:footnoteReference w:id="7"/>
            </w:r>
          </w:p>
          <w:p>
            <w:pPr>
              <w:spacing w:before="0" w:after="0"/>
              <w:jc w:val="center"/>
              <w:rPr>
                <w:noProof/>
                <w:sz w:val="18"/>
              </w:rPr>
            </w:pPr>
          </w:p>
        </w:tc>
        <w:tc>
          <w:tcPr>
            <w:tcW w:w="955"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rFonts w:ascii="Tahoma" w:hAnsi="Tahoma"/>
                <w:noProof/>
                <w:color w:val="000000"/>
                <w:sz w:val="17"/>
                <w:szCs w:val="17"/>
              </w:rPr>
              <w:t>1 — Единен пазар, иновации и цифрова икономика</w:t>
            </w:r>
          </w:p>
        </w:tc>
        <w:tc>
          <w:tcPr>
            <w:tcW w:w="3960" w:type="dxa"/>
            <w:vAlign w:val="center"/>
          </w:tcPr>
          <w:p>
            <w:pPr>
              <w:spacing w:before="60"/>
              <w:jc w:val="left"/>
              <w:rPr>
                <w:rStyle w:val="Marker"/>
                <w:noProof/>
                <w:color w:val="auto"/>
                <w:sz w:val="22"/>
              </w:rPr>
            </w:pPr>
            <w:r>
              <w:rPr>
                <w:rStyle w:val="Marker"/>
                <w:noProof/>
                <w:color w:val="auto"/>
                <w:sz w:val="22"/>
              </w:rPr>
              <w:t xml:space="preserve">01 02 02 42 01 — „Хоризонт Европа“ — клъстер „Цифрова сфера, промишленост и космическо пространство“ — Съвместно предприятие за европейски високопроизводителни изчислителни технологии (СП EuroHPC), Разходи за подпомагане </w:t>
            </w:r>
          </w:p>
          <w:p>
            <w:pPr>
              <w:spacing w:before="60"/>
              <w:jc w:val="left"/>
              <w:rPr>
                <w:rStyle w:val="Marker"/>
                <w:noProof/>
                <w:color w:val="auto"/>
                <w:sz w:val="22"/>
              </w:rPr>
            </w:pPr>
            <w:r>
              <w:rPr>
                <w:rStyle w:val="Marker"/>
                <w:noProof/>
                <w:color w:val="auto"/>
                <w:sz w:val="22"/>
              </w:rPr>
              <w:t xml:space="preserve">01 02 02 42 02 — „Хоризонт Европа“ — клъстер „Цифрова сфера, промишленост и космическо пространство“ — Съвместно предприятие за европейски високопроизводителни изчислителни технологии (СП EuroHPC), Оперативни разходи </w:t>
            </w:r>
          </w:p>
          <w:p>
            <w:pPr>
              <w:spacing w:before="60"/>
              <w:jc w:val="left"/>
              <w:rPr>
                <w:rStyle w:val="Marker"/>
                <w:noProof/>
                <w:color w:val="auto"/>
                <w:sz w:val="22"/>
              </w:rPr>
            </w:pPr>
            <w:r>
              <w:rPr>
                <w:rStyle w:val="Marker"/>
                <w:noProof/>
                <w:color w:val="auto"/>
                <w:sz w:val="22"/>
              </w:rPr>
              <w:t xml:space="preserve">02 04 02 11 01 — Програма „Цифрова Европа“ — Съвместно предприятие за европейски високопроизводителни изчислителни технологии (СП EuroHPC), Разходи за подпомагане </w:t>
            </w:r>
          </w:p>
          <w:p>
            <w:pPr>
              <w:spacing w:before="60"/>
              <w:jc w:val="left"/>
              <w:rPr>
                <w:rStyle w:val="Marker"/>
                <w:noProof/>
                <w:color w:val="auto"/>
                <w:sz w:val="22"/>
              </w:rPr>
            </w:pPr>
            <w:r>
              <w:rPr>
                <w:rStyle w:val="Marker"/>
                <w:noProof/>
                <w:color w:val="auto"/>
                <w:sz w:val="22"/>
              </w:rPr>
              <w:t xml:space="preserve">02 04 02 11 02 — Програма „Цифрова Европа“ — Съвместно предприятие за европейски високопроизводителни изчислителни технологии (СП EuroHPC), Оперативни разходи </w:t>
            </w:r>
          </w:p>
          <w:p>
            <w:pPr>
              <w:spacing w:after="60"/>
              <w:rPr>
                <w:noProof/>
              </w:rPr>
            </w:pPr>
            <w:r>
              <w:rPr>
                <w:noProof/>
                <w:sz w:val="22"/>
              </w:rPr>
              <w:t xml:space="preserve">02 03 03 — </w:t>
            </w:r>
            <w:r>
              <w:rPr>
                <w:rStyle w:val="Marker"/>
                <w:noProof/>
                <w:color w:val="auto"/>
                <w:sz w:val="22"/>
              </w:rPr>
              <w:t xml:space="preserve"> Механизъм за свързване на Европа </w:t>
            </w:r>
          </w:p>
        </w:tc>
        <w:tc>
          <w:tcPr>
            <w:tcW w:w="1080" w:type="dxa"/>
            <w:vAlign w:val="center"/>
          </w:tcPr>
          <w:p>
            <w:pPr>
              <w:jc w:val="center"/>
              <w:rPr>
                <w:noProof/>
                <w:color w:val="0000FF"/>
              </w:rPr>
            </w:pPr>
            <w:r>
              <w:rPr>
                <w:noProof/>
                <w:sz w:val="22"/>
              </w:rPr>
              <w:t>Многогод.</w:t>
            </w:r>
          </w:p>
        </w:tc>
        <w:tc>
          <w:tcPr>
            <w:tcW w:w="1044" w:type="dxa"/>
            <w:vAlign w:val="center"/>
          </w:tcPr>
          <w:p>
            <w:pPr>
              <w:jc w:val="center"/>
              <w:rPr>
                <w:noProof/>
              </w:rPr>
            </w:pPr>
            <w:r>
              <w:rPr>
                <w:noProof/>
                <w:sz w:val="22"/>
              </w:rPr>
              <w:t>ДА</w:t>
            </w:r>
          </w:p>
        </w:tc>
        <w:tc>
          <w:tcPr>
            <w:tcW w:w="993" w:type="dxa"/>
            <w:vAlign w:val="center"/>
          </w:tcPr>
          <w:p>
            <w:pPr>
              <w:jc w:val="center"/>
              <w:rPr>
                <w:noProof/>
              </w:rPr>
            </w:pPr>
            <w:r>
              <w:rPr>
                <w:noProof/>
                <w:sz w:val="22"/>
              </w:rPr>
              <w:t>ДА</w:t>
            </w:r>
          </w:p>
        </w:tc>
        <w:tc>
          <w:tcPr>
            <w:tcW w:w="955" w:type="dxa"/>
            <w:vAlign w:val="center"/>
          </w:tcPr>
          <w:p>
            <w:pPr>
              <w:jc w:val="center"/>
              <w:rPr>
                <w:noProof/>
              </w:rPr>
            </w:pPr>
            <w:r>
              <w:rPr>
                <w:noProof/>
                <w:sz w:val="22"/>
              </w:rPr>
              <w:t>ДА</w:t>
            </w:r>
          </w:p>
        </w:tc>
        <w:tc>
          <w:tcPr>
            <w:tcW w:w="1448" w:type="dxa"/>
            <w:vAlign w:val="center"/>
          </w:tcPr>
          <w:p>
            <w:pPr>
              <w:jc w:val="center"/>
              <w:rPr>
                <w:noProof/>
              </w:rPr>
            </w:pPr>
            <w:r>
              <w:rPr>
                <w:noProof/>
                <w:sz w:val="22"/>
              </w:rPr>
              <w:t>ДА</w:t>
            </w:r>
          </w:p>
        </w:tc>
      </w:tr>
    </w:tbl>
    <w:p>
      <w:pPr>
        <w:rPr>
          <w:noProof/>
        </w:rPr>
        <w:sectPr>
          <w:headerReference w:type="even" r:id="rId31"/>
          <w:headerReference w:type="default" r:id="rId32"/>
          <w:footerReference w:type="even" r:id="rId33"/>
          <w:footerReference w:type="default" r:id="rId34"/>
          <w:headerReference w:type="first" r:id="rId35"/>
          <w:footerReference w:type="first" r:id="rId36"/>
          <w:pgSz w:w="11907" w:h="16840" w:code="1"/>
          <w:pgMar w:top="1134" w:right="1418" w:bottom="1134" w:left="1418" w:header="709" w:footer="709" w:gutter="0"/>
          <w:cols w:space="708"/>
          <w:docGrid w:linePitch="360"/>
        </w:sectPr>
      </w:pPr>
    </w:p>
    <w:tbl>
      <w:tblPr>
        <w:tblW w:w="11280" w:type="dxa"/>
        <w:tblInd w:w="108" w:type="dxa"/>
        <w:tblLook w:val="04A0" w:firstRow="1" w:lastRow="0" w:firstColumn="1" w:lastColumn="0" w:noHBand="0" w:noVBand="1"/>
      </w:tblPr>
      <w:tblGrid>
        <w:gridCol w:w="2388"/>
        <w:gridCol w:w="1237"/>
        <w:gridCol w:w="1237"/>
        <w:gridCol w:w="1237"/>
        <w:gridCol w:w="1237"/>
        <w:gridCol w:w="1237"/>
        <w:gridCol w:w="1237"/>
        <w:gridCol w:w="1237"/>
        <w:gridCol w:w="807"/>
        <w:gridCol w:w="862"/>
        <w:gridCol w:w="447"/>
      </w:tblGrid>
      <w:tr>
        <w:trPr>
          <w:gridAfter w:val="1"/>
          <w:wAfter w:w="424" w:type="dxa"/>
          <w:trHeight w:val="300"/>
        </w:trPr>
        <w:tc>
          <w:tcPr>
            <w:tcW w:w="10856" w:type="dxa"/>
            <w:gridSpan w:val="10"/>
            <w:tcBorders>
              <w:top w:val="nil"/>
              <w:left w:val="nil"/>
              <w:right w:val="nil"/>
            </w:tcBorders>
            <w:shd w:val="clear" w:color="auto" w:fill="auto"/>
            <w:noWrap/>
            <w:vAlign w:val="bottom"/>
            <w:hideMark/>
          </w:tcPr>
          <w:p>
            <w:pPr>
              <w:jc w:val="right"/>
              <w:rPr>
                <w:noProof/>
                <w:sz w:val="20"/>
              </w:rPr>
            </w:pPr>
            <w:bookmarkStart w:id="43" w:name="_Toc514941991"/>
            <w:r>
              <w:rPr>
                <w:noProof/>
                <w:color w:val="000000"/>
                <w:sz w:val="20"/>
                <w:szCs w:val="20"/>
              </w:rPr>
              <w:t xml:space="preserve">Бюджетни кредити за поети задължения (млн. евро </w:t>
            </w:r>
            <w:r>
              <w:rPr>
                <w:noProof/>
                <w:sz w:val="20"/>
              </w:rPr>
              <w:t>до 3-тия знак след десетичната запетая)</w:t>
            </w:r>
          </w:p>
        </w:tc>
      </w:tr>
      <w:tr>
        <w:trPr>
          <w:trHeight w:val="315"/>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noProof/>
              </w:rPr>
              <w:br w:type="page"/>
            </w:r>
            <w:r>
              <w:rPr>
                <w:b/>
                <w:bCs/>
                <w:noProof/>
                <w:color w:val="000000"/>
                <w:sz w:val="20"/>
                <w:szCs w:val="20"/>
              </w:rPr>
              <w:t>Бюджетен ред</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2021 г.</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2022 г.</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2023 г.</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2024 г.</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2025 г.</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2026 г.</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2027 г.</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След 2027 г.</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ОБЩО</w:t>
            </w:r>
          </w:p>
        </w:tc>
      </w:tr>
      <w:tr>
        <w:trPr>
          <w:trHeight w:val="1448"/>
        </w:trPr>
        <w:tc>
          <w:tcPr>
            <w:tcW w:w="3090"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01 02 02 42 01 — „Хоризонт Европа“ — клъстер „Цифрова сфера, промишленост и космическо пространство“ — Съвместно предприятие за европейски високопроизводителни изчислителни технологии (СП EuroHPC), Разходи за подпомагане</w:t>
            </w:r>
            <w:r>
              <w:rPr>
                <w:rStyle w:val="FootnoteReference"/>
                <w:rFonts w:eastAsia="Times New Roman"/>
                <w:noProof/>
                <w:color w:val="0000FF"/>
                <w:sz w:val="22"/>
                <w:lang w:eastAsia="en-GB"/>
              </w:rPr>
              <w:footnoteReference w:id="8"/>
            </w:r>
          </w:p>
        </w:tc>
        <w:tc>
          <w:tcPr>
            <w:tcW w:w="86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5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44"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39"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30"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89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883"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699" w:type="dxa"/>
            <w:tcBorders>
              <w:top w:val="single" w:sz="4" w:space="0" w:color="auto"/>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p>
        </w:tc>
        <w:tc>
          <w:tcPr>
            <w:tcW w:w="1077" w:type="dxa"/>
            <w:gridSpan w:val="2"/>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символичен запис</w:t>
            </w:r>
          </w:p>
        </w:tc>
      </w:tr>
      <w:tr>
        <w:trPr>
          <w:trHeight w:val="1402"/>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 xml:space="preserve">01 02 02 42 02 — „Хоризонт Европа“ — клъстер „Цифрова сфера, промишленост и космическо пространство“ — Съвместно предприятие за европейски високопроизводителни изчислителни технологии (СП EuroHPC), Оперативни разходи </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5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4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3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93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89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88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символичен запис</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p>
        </w:tc>
        <w:tc>
          <w:tcPr>
            <w:tcW w:w="1077"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символичен запис</w:t>
            </w:r>
          </w:p>
        </w:tc>
      </w:tr>
      <w:tr>
        <w:trPr>
          <w:trHeight w:val="1251"/>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 xml:space="preserve">02 04 02 11 01 — Програма „Цифрова Европа“ — Съвместно предприятие за европейски високопроизводителни изчислителни технологии (СП EuroHPC), Разходи за подпомагане </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2,017</w:t>
            </w:r>
          </w:p>
        </w:tc>
        <w:tc>
          <w:tcPr>
            <w:tcW w:w="95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3,149</w:t>
            </w:r>
          </w:p>
        </w:tc>
        <w:tc>
          <w:tcPr>
            <w:tcW w:w="944"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3,660</w:t>
            </w:r>
          </w:p>
        </w:tc>
        <w:tc>
          <w:tcPr>
            <w:tcW w:w="939"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3,733</w:t>
            </w:r>
          </w:p>
        </w:tc>
        <w:tc>
          <w:tcPr>
            <w:tcW w:w="930"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3,808</w:t>
            </w:r>
          </w:p>
        </w:tc>
        <w:tc>
          <w:tcPr>
            <w:tcW w:w="89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3,884</w:t>
            </w:r>
          </w:p>
        </w:tc>
        <w:tc>
          <w:tcPr>
            <w:tcW w:w="883"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9,748</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szCs w:val="20"/>
              </w:rPr>
              <w:t> </w:t>
            </w:r>
          </w:p>
        </w:tc>
        <w:tc>
          <w:tcPr>
            <w:tcW w:w="1077" w:type="dxa"/>
            <w:gridSpan w:val="2"/>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30,000</w:t>
            </w:r>
          </w:p>
        </w:tc>
      </w:tr>
      <w:tr>
        <w:trPr>
          <w:trHeight w:val="1185"/>
        </w:trPr>
        <w:tc>
          <w:tcPr>
            <w:tcW w:w="309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 xml:space="preserve">02 04 02 11 02 — Програма „Цифрова Европа“ — Съвместно предприятие за европейски високопроизводителни изчислителни технологии (СП EuroHPC), Оперативни разходи </w:t>
            </w:r>
          </w:p>
        </w:tc>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397,983</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386,851</w:t>
            </w:r>
          </w:p>
        </w:tc>
        <w:tc>
          <w:tcPr>
            <w:tcW w:w="944"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396,340</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146,267</w:t>
            </w:r>
          </w:p>
        </w:tc>
        <w:tc>
          <w:tcPr>
            <w:tcW w:w="93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296,192</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346,116</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400,251</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szCs w:val="20"/>
              </w:rPr>
              <w:t> </w:t>
            </w:r>
          </w:p>
        </w:tc>
        <w:tc>
          <w:tcPr>
            <w:tcW w:w="107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2 370,000</w:t>
            </w:r>
          </w:p>
        </w:tc>
      </w:tr>
      <w:tr>
        <w:trPr>
          <w:trHeight w:val="253"/>
        </w:trPr>
        <w:tc>
          <w:tcPr>
            <w:tcW w:w="3090"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FF"/>
                <w:sz w:val="22"/>
                <w:lang w:eastAsia="en-GB"/>
              </w:rPr>
            </w:pPr>
          </w:p>
        </w:tc>
        <w:tc>
          <w:tcPr>
            <w:tcW w:w="86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5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44"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39"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30"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89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883"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699"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1077" w:type="dxa"/>
            <w:gridSpan w:val="2"/>
            <w:vMerge/>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eastAsia="Times New Roman"/>
                <w:b/>
                <w:bCs/>
                <w:noProof/>
                <w:color w:val="000000"/>
                <w:sz w:val="20"/>
                <w:szCs w:val="20"/>
                <w:lang w:eastAsia="en-GB"/>
              </w:rPr>
            </w:pPr>
          </w:p>
        </w:tc>
      </w:tr>
      <w:tr>
        <w:trPr>
          <w:trHeight w:val="315"/>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2"/>
              </w:rPr>
            </w:pPr>
            <w:r>
              <w:rPr>
                <w:noProof/>
                <w:color w:val="000000"/>
                <w:sz w:val="22"/>
              </w:rPr>
              <w:t xml:space="preserve">02 03 03 — </w:t>
            </w:r>
            <w:r>
              <w:rPr>
                <w:noProof/>
                <w:color w:val="0000FF"/>
                <w:sz w:val="22"/>
              </w:rPr>
              <w:t xml:space="preserve"> Механизъм за свързване на Европа</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10,000 </w:t>
            </w:r>
          </w:p>
        </w:tc>
        <w:tc>
          <w:tcPr>
            <w:tcW w:w="95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944"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40,000 </w:t>
            </w:r>
          </w:p>
        </w:tc>
        <w:tc>
          <w:tcPr>
            <w:tcW w:w="93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70,000 </w:t>
            </w:r>
          </w:p>
        </w:tc>
        <w:tc>
          <w:tcPr>
            <w:tcW w:w="930"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89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883"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699" w:type="dxa"/>
            <w:tcBorders>
              <w:top w:val="nil"/>
              <w:left w:val="nil"/>
              <w:bottom w:val="single" w:sz="8"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 xml:space="preserve">       200,000 </w:t>
            </w:r>
          </w:p>
        </w:tc>
      </w:tr>
      <w:tr>
        <w:trPr>
          <w:trHeight w:val="315"/>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b/>
                <w:bCs/>
                <w:noProof/>
                <w:color w:val="000000"/>
                <w:sz w:val="20"/>
                <w:szCs w:val="20"/>
              </w:rPr>
            </w:pPr>
            <w:r>
              <w:rPr>
                <w:b/>
                <w:bCs/>
                <w:noProof/>
                <w:color w:val="000000"/>
                <w:sz w:val="20"/>
                <w:szCs w:val="20"/>
              </w:rPr>
              <w:t>Общо разходи</w:t>
            </w:r>
          </w:p>
        </w:tc>
        <w:tc>
          <w:tcPr>
            <w:tcW w:w="866"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rPr>
            </w:pPr>
            <w:r>
              <w:rPr>
                <w:b/>
                <w:bCs/>
                <w:noProof/>
                <w:color w:val="000000"/>
                <w:sz w:val="20"/>
                <w:szCs w:val="20"/>
              </w:rPr>
              <w:t>410,000</w:t>
            </w:r>
          </w:p>
        </w:tc>
        <w:tc>
          <w:tcPr>
            <w:tcW w:w="95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410,000</w:t>
            </w:r>
          </w:p>
        </w:tc>
        <w:tc>
          <w:tcPr>
            <w:tcW w:w="944"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440,000</w:t>
            </w:r>
          </w:p>
        </w:tc>
        <w:tc>
          <w:tcPr>
            <w:tcW w:w="939"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220,000</w:t>
            </w:r>
          </w:p>
        </w:tc>
        <w:tc>
          <w:tcPr>
            <w:tcW w:w="930"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320,000</w:t>
            </w:r>
          </w:p>
        </w:tc>
        <w:tc>
          <w:tcPr>
            <w:tcW w:w="896"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rPr>
            </w:pPr>
            <w:r>
              <w:rPr>
                <w:b/>
                <w:bCs/>
                <w:noProof/>
                <w:color w:val="000000"/>
                <w:sz w:val="20"/>
                <w:szCs w:val="20"/>
              </w:rPr>
              <w:t>370,000</w:t>
            </w:r>
          </w:p>
        </w:tc>
        <w:tc>
          <w:tcPr>
            <w:tcW w:w="883"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rPr>
            </w:pPr>
            <w:r>
              <w:rPr>
                <w:b/>
                <w:bCs/>
                <w:noProof/>
                <w:color w:val="000000"/>
                <w:sz w:val="20"/>
                <w:szCs w:val="20"/>
              </w:rPr>
              <w:t>430,000</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 xml:space="preserve">      </w:t>
            </w:r>
          </w:p>
        </w:tc>
        <w:tc>
          <w:tcPr>
            <w:tcW w:w="1077" w:type="dxa"/>
            <w:gridSpan w:val="2"/>
            <w:tcBorders>
              <w:top w:val="single" w:sz="4"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 xml:space="preserve"> 2 600,000   </w:t>
            </w:r>
          </w:p>
        </w:tc>
      </w:tr>
    </w:tbl>
    <w:p>
      <w:pPr>
        <w:spacing w:before="0" w:after="200" w:line="276" w:lineRule="auto"/>
        <w:jc w:val="left"/>
        <w:rPr>
          <w:bCs/>
          <w:noProof/>
          <w:szCs w:val="24"/>
        </w:rPr>
      </w:pPr>
    </w:p>
    <w:p>
      <w:pPr>
        <w:spacing w:before="0" w:after="200" w:line="276" w:lineRule="auto"/>
        <w:jc w:val="left"/>
        <w:rPr>
          <w:rFonts w:eastAsiaTheme="majorEastAsia"/>
          <w:b/>
          <w:bCs/>
          <w:noProof/>
          <w:szCs w:val="26"/>
        </w:rPr>
      </w:pPr>
      <w:bookmarkStart w:id="44" w:name="_Toc514941992"/>
      <w:bookmarkEnd w:id="43"/>
      <w:r>
        <w:rPr>
          <w:noProof/>
        </w:rPr>
        <w:br w:type="page"/>
      </w:r>
    </w:p>
    <w:p>
      <w:pPr>
        <w:pStyle w:val="Heading2"/>
        <w:numPr>
          <w:ilvl w:val="1"/>
          <w:numId w:val="5"/>
        </w:numPr>
        <w:rPr>
          <w:noProof/>
        </w:rPr>
      </w:pPr>
      <w:bookmarkStart w:id="45" w:name="_Toc53761791"/>
      <w:r>
        <w:rPr>
          <w:noProof/>
        </w:rPr>
        <w:t>Очаквано отражение върху разходите</w:t>
      </w:r>
      <w:bookmarkEnd w:id="44"/>
      <w:bookmarkEnd w:id="45"/>
      <w:r>
        <w:rPr>
          <w:noProof/>
        </w:rPr>
        <w:t xml:space="preserve"> </w:t>
      </w:r>
    </w:p>
    <w:p>
      <w:pPr>
        <w:pStyle w:val="Heading3"/>
        <w:rPr>
          <w:noProof/>
        </w:rPr>
      </w:pPr>
      <w:bookmarkStart w:id="46" w:name="_Toc53761792"/>
      <w:r>
        <w:rPr>
          <w:noProof/>
        </w:rPr>
        <w:t>Обобщение на очакваното отражение върху разходите</w:t>
      </w:r>
      <w:bookmarkEnd w:id="46"/>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cr/>
            </w:r>
            <w:r>
              <w:rPr>
                <w:noProof/>
                <w:sz w:val="22"/>
              </w:rPr>
              <w:br/>
            </w:r>
            <w:r>
              <w:rPr>
                <w:b/>
                <w:noProof/>
                <w:sz w:val="22"/>
              </w:rPr>
              <w:t xml:space="preserve">рамка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rStyle w:val="Marker"/>
                <w:noProof/>
                <w:color w:val="auto"/>
                <w:sz w:val="22"/>
              </w:rPr>
              <w:t>1 — Единен пазар, иновации и цифрова икономика</w:t>
            </w:r>
          </w:p>
        </w:tc>
      </w:tr>
    </w:tbl>
    <w:p>
      <w:pPr>
        <w:tabs>
          <w:tab w:val="left" w:pos="1200"/>
        </w:tabs>
        <w:rPr>
          <w:noProof/>
          <w:sz w:val="16"/>
        </w:rPr>
      </w:pPr>
      <w:r>
        <w:rPr>
          <w:noProof/>
          <w:sz w:val="16"/>
        </w:rPr>
        <w:tab/>
      </w:r>
    </w:p>
    <w:p>
      <w:pPr>
        <w:tabs>
          <w:tab w:val="left" w:pos="1200"/>
        </w:tabs>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Съвместно предприятие</w:t>
            </w:r>
            <w:r>
              <w:rPr>
                <w:rStyle w:val="FootnoteReference"/>
                <w:b/>
                <w:noProof/>
                <w:sz w:val="20"/>
              </w:rPr>
              <w:footnoteReference w:id="9"/>
            </w:r>
            <w:r>
              <w:rPr>
                <w:rStyle w:val="FootnoteReference"/>
                <w:b/>
                <w:noProof/>
                <w:sz w:val="20"/>
              </w:rPr>
              <w:footnoteReference w:id="10"/>
            </w:r>
            <w:r>
              <w:rPr>
                <w:rStyle w:val="FootnoteReference"/>
                <w:b/>
                <w:noProof/>
                <w:sz w:val="20"/>
              </w:rPr>
              <w:footnoteReference w:id="11"/>
            </w: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r>
              <w:rPr>
                <w:rStyle w:val="FootnoteReference"/>
                <w:b/>
                <w:noProof/>
                <w:sz w:val="18"/>
              </w:rPr>
              <w:footnoteReference w:id="12"/>
            </w:r>
          </w:p>
        </w:tc>
        <w:tc>
          <w:tcPr>
            <w:tcW w:w="909" w:type="dxa"/>
            <w:tcBorders>
              <w:bottom w:val="single" w:sz="4" w:space="0" w:color="auto"/>
            </w:tcBorders>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Статия 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color w:val="000000"/>
                <w:sz w:val="14"/>
              </w:rPr>
              <w:t>(1)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0,402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1,434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1,911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1,949</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1,988</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2,028</w:t>
            </w:r>
          </w:p>
        </w:tc>
        <w:tc>
          <w:tcPr>
            <w:tcW w:w="868" w:type="dxa"/>
            <w:tcBorders>
              <w:top w:val="single" w:sz="8" w:space="0" w:color="auto"/>
              <w:left w:val="single" w:sz="8" w:space="0" w:color="auto"/>
              <w:bottom w:val="single" w:sz="8" w:space="0" w:color="000000"/>
              <w:right w:val="single" w:sz="4" w:space="0" w:color="auto"/>
            </w:tcBorders>
            <w:shd w:val="clear" w:color="auto" w:fill="auto"/>
            <w:vAlign w:val="center"/>
          </w:tcPr>
          <w:p>
            <w:pPr>
              <w:spacing w:before="20" w:after="20"/>
              <w:jc w:val="right"/>
              <w:rPr>
                <w:noProof/>
                <w:sz w:val="20"/>
              </w:rPr>
            </w:pPr>
            <w:r>
              <w:rPr>
                <w:noProof/>
                <w:sz w:val="20"/>
              </w:rPr>
              <w:t>6,205</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noProof/>
                <w:color w:val="000000"/>
                <w:sz w:val="20"/>
              </w:rPr>
              <w:t> </w:t>
            </w:r>
          </w:p>
        </w:tc>
        <w:tc>
          <w:tcPr>
            <w:tcW w:w="1289" w:type="dxa"/>
            <w:tcBorders>
              <w:top w:val="single" w:sz="8" w:space="0" w:color="auto"/>
              <w:left w:val="single" w:sz="4" w:space="0" w:color="auto"/>
              <w:bottom w:val="single" w:sz="8" w:space="0" w:color="000000"/>
              <w:right w:val="single" w:sz="8" w:space="0" w:color="auto"/>
            </w:tcBorders>
            <w:shd w:val="clear" w:color="auto" w:fill="auto"/>
            <w:vAlign w:val="center"/>
          </w:tcPr>
          <w:p>
            <w:pPr>
              <w:spacing w:before="20" w:after="20"/>
              <w:jc w:val="right"/>
              <w:rPr>
                <w:b/>
                <w:bCs/>
                <w:noProof/>
                <w:color w:val="000000"/>
                <w:sz w:val="20"/>
              </w:rPr>
            </w:pPr>
            <w:r>
              <w:rPr>
                <w:b/>
                <w:bCs/>
                <w:noProof/>
                <w:color w:val="000000"/>
                <w:sz w:val="20"/>
              </w:rPr>
              <w:t xml:space="preserve">15,917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color w:val="000000"/>
                <w:sz w:val="14"/>
              </w:rPr>
              <w:t>(2)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0,402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1,434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1,911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1,949</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1,988</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2,028</w:t>
            </w:r>
          </w:p>
        </w:tc>
        <w:tc>
          <w:tcPr>
            <w:tcW w:w="868" w:type="dxa"/>
            <w:tcBorders>
              <w:top w:val="single" w:sz="8" w:space="0" w:color="auto"/>
              <w:left w:val="single" w:sz="8" w:space="0" w:color="auto"/>
              <w:bottom w:val="single" w:sz="8" w:space="0" w:color="000000"/>
              <w:right w:val="single" w:sz="4" w:space="0" w:color="auto"/>
            </w:tcBorders>
            <w:shd w:val="clear" w:color="auto" w:fill="auto"/>
            <w:vAlign w:val="center"/>
          </w:tcPr>
          <w:p>
            <w:pPr>
              <w:spacing w:before="20" w:after="20"/>
              <w:jc w:val="right"/>
              <w:rPr>
                <w:b/>
                <w:noProof/>
                <w:sz w:val="20"/>
              </w:rPr>
            </w:pPr>
            <w:r>
              <w:rPr>
                <w:noProof/>
                <w:sz w:val="20"/>
              </w:rPr>
              <w:t>2,068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noProof/>
                <w:color w:val="000000"/>
                <w:sz w:val="20"/>
              </w:rPr>
              <w:t>4,137</w:t>
            </w:r>
          </w:p>
        </w:tc>
        <w:tc>
          <w:tcPr>
            <w:tcW w:w="1289" w:type="dxa"/>
            <w:tcBorders>
              <w:top w:val="single" w:sz="8" w:space="0" w:color="auto"/>
              <w:left w:val="single" w:sz="4" w:space="0" w:color="auto"/>
              <w:bottom w:val="single" w:sz="8" w:space="0" w:color="000000"/>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15,917 </w:t>
            </w:r>
          </w:p>
        </w:tc>
      </w:tr>
      <w:tr>
        <w:trPr>
          <w:trHeight w:val="319"/>
          <w:jc w:val="center"/>
        </w:trPr>
        <w:tc>
          <w:tcPr>
            <w:tcW w:w="4103" w:type="dxa"/>
            <w:vMerge w:val="restart"/>
            <w:vAlign w:val="center"/>
          </w:tcPr>
          <w:p>
            <w:pPr>
              <w:spacing w:before="20" w:after="20"/>
              <w:jc w:val="left"/>
              <w:rPr>
                <w:noProof/>
              </w:rPr>
            </w:pPr>
            <w:r>
              <w:rPr>
                <w:noProof/>
                <w:sz w:val="20"/>
              </w:rPr>
              <w:t>Статия 2</w:t>
            </w: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r>
              <w:rPr>
                <w:noProof/>
                <w:color w:val="000000"/>
                <w:sz w:val="14"/>
              </w:rPr>
              <w:t>(1а)</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1,615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1,856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3,544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noProof/>
                <w:sz w:val="20"/>
              </w:rPr>
            </w:pP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noProof/>
                <w:sz w:val="20"/>
              </w:rPr>
              <w:t>14,083</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Плащания</w:t>
            </w:r>
          </w:p>
        </w:tc>
        <w:tc>
          <w:tcPr>
            <w:tcW w:w="654" w:type="dxa"/>
            <w:vAlign w:val="center"/>
          </w:tcPr>
          <w:p>
            <w:pPr>
              <w:spacing w:before="40" w:after="40"/>
              <w:jc w:val="center"/>
              <w:rPr>
                <w:noProof/>
                <w:sz w:val="14"/>
              </w:rPr>
            </w:pPr>
            <w:r>
              <w:rPr>
                <w:noProof/>
                <w:color w:val="000000"/>
                <w:sz w:val="14"/>
              </w:rPr>
              <w:t>(2а)</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1,615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1,856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1,894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noProof/>
                <w:sz w:val="20"/>
              </w:rPr>
            </w:pPr>
            <w:r>
              <w:rPr>
                <w:noProof/>
                <w:sz w:val="20"/>
              </w:rPr>
              <w:t>1,650</w:t>
            </w: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noProof/>
                <w:sz w:val="20"/>
              </w:rPr>
              <w:t>14,083</w:t>
            </w:r>
          </w:p>
        </w:tc>
      </w:tr>
      <w:tr>
        <w:trPr>
          <w:trHeight w:val="319"/>
          <w:jc w:val="center"/>
        </w:trPr>
        <w:tc>
          <w:tcPr>
            <w:tcW w:w="4103" w:type="dxa"/>
            <w:vMerge w:val="restart"/>
            <w:vAlign w:val="center"/>
          </w:tcPr>
          <w:p>
            <w:pPr>
              <w:spacing w:before="20" w:after="20"/>
              <w:jc w:val="left"/>
              <w:rPr>
                <w:noProof/>
                <w:sz w:val="20"/>
              </w:rPr>
            </w:pPr>
            <w:r>
              <w:rPr>
                <w:noProof/>
                <w:sz w:val="20"/>
              </w:rPr>
              <w:t>Статия 3</w:t>
            </w: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r>
              <w:rPr>
                <w:noProof/>
                <w:color w:val="000000"/>
                <w:sz w:val="14"/>
              </w:rPr>
              <w:t>(3a)</w:t>
            </w:r>
          </w:p>
        </w:tc>
        <w:tc>
          <w:tcPr>
            <w:tcW w:w="868" w:type="dxa"/>
            <w:tcBorders>
              <w:top w:val="nil"/>
              <w:left w:val="nil"/>
              <w:bottom w:val="single" w:sz="8" w:space="0" w:color="auto"/>
              <w:right w:val="single" w:sz="8" w:space="0" w:color="auto"/>
            </w:tcBorders>
            <w:shd w:val="clear" w:color="auto" w:fill="auto"/>
            <w:vAlign w:val="center"/>
          </w:tcPr>
          <w:p>
            <w:pPr>
              <w:spacing w:before="40" w:after="40"/>
              <w:rPr>
                <w:noProof/>
                <w:sz w:val="20"/>
              </w:rPr>
            </w:pPr>
            <w:r>
              <w:rPr>
                <w:noProof/>
                <w:sz w:val="20"/>
              </w:rPr>
              <w:t>407,983</w:t>
            </w:r>
            <w:r>
              <w:rPr>
                <w:noProof/>
                <w:color w:val="000000"/>
                <w:sz w:val="20"/>
              </w:rPr>
              <w:t xml:space="preserve">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406,851</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436,340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216,267</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316,192</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366,116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420,251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b/>
                <w:noProof/>
                <w:sz w:val="20"/>
              </w:rPr>
            </w:pPr>
            <w:r>
              <w:rPr>
                <w:b/>
                <w:bCs/>
                <w:noProof/>
                <w:color w:val="000000"/>
                <w:sz w:val="20"/>
              </w:rPr>
              <w:t> </w:t>
            </w: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bCs/>
                <w:noProof/>
                <w:color w:val="000000"/>
                <w:sz w:val="20"/>
              </w:rPr>
              <w:t xml:space="preserve">   2 570,000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Плащания</w:t>
            </w:r>
          </w:p>
        </w:tc>
        <w:tc>
          <w:tcPr>
            <w:tcW w:w="654" w:type="dxa"/>
            <w:vAlign w:val="center"/>
          </w:tcPr>
          <w:p>
            <w:pPr>
              <w:spacing w:before="40" w:after="40"/>
              <w:jc w:val="center"/>
              <w:rPr>
                <w:noProof/>
                <w:sz w:val="14"/>
              </w:rPr>
            </w:pPr>
            <w:r>
              <w:rPr>
                <w:noProof/>
                <w:color w:val="000000"/>
                <w:sz w:val="14"/>
              </w:rPr>
              <w:t>(3б)</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122,000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225,000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350,000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185,000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290,000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345,000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400,000 </w:t>
            </w:r>
          </w:p>
        </w:tc>
        <w:tc>
          <w:tcPr>
            <w:tcW w:w="909" w:type="dxa"/>
            <w:tcBorders>
              <w:top w:val="single" w:sz="4" w:space="0" w:color="auto"/>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653,000 </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20"/>
              </w:rPr>
            </w:pPr>
            <w:r>
              <w:rPr>
                <w:b/>
                <w:bCs/>
                <w:noProof/>
                <w:color w:val="000000"/>
                <w:sz w:val="20"/>
              </w:rPr>
              <w:t xml:space="preserve">   2 570,000 </w:t>
            </w:r>
          </w:p>
        </w:tc>
      </w:tr>
      <w:tr>
        <w:trPr>
          <w:jc w:val="center"/>
        </w:trPr>
        <w:tc>
          <w:tcPr>
            <w:tcW w:w="4103" w:type="dxa"/>
            <w:vMerge w:val="restart"/>
            <w:vAlign w:val="center"/>
          </w:tcPr>
          <w:p>
            <w:pPr>
              <w:jc w:val="left"/>
              <w:rPr>
                <w:b/>
                <w:noProof/>
              </w:rPr>
            </w:pPr>
            <w:r>
              <w:rPr>
                <w:b/>
                <w:noProof/>
                <w:sz w:val="22"/>
              </w:rPr>
              <w:t>ОБЩО бюджетни кредити за съвместното предприятие</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color w:val="000000"/>
                <w:sz w:val="14"/>
              </w:rPr>
              <w:t>=1+1a+3a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440,000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220,000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320,000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370,000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430,000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 </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   2 600,000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color w:val="000000"/>
                <w:sz w:val="14"/>
              </w:rPr>
              <w:t>=2+2a+3б</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124,017</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228,149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353,660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188,733</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293,808</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348,884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403,962</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658,787</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   2 600,000 </w:t>
            </w:r>
          </w:p>
        </w:tc>
      </w:tr>
    </w:tbl>
    <w:p>
      <w:pPr>
        <w:rPr>
          <w:noProof/>
          <w:sz w:val="16"/>
        </w:rPr>
      </w:pPr>
    </w:p>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млн. евро (до 3-тия знак след десетичната запетая)</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p>
          <w:p>
            <w:pPr>
              <w:jc w:val="center"/>
              <w:rPr>
                <w:b/>
                <w:noProof/>
                <w:color w:val="000000"/>
                <w:sz w:val="20"/>
                <w:szCs w:val="20"/>
              </w:rPr>
            </w:pP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 г.</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 г.</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 г.</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 г.</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 г.</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 г.</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 г.</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След </w:t>
            </w:r>
          </w:p>
          <w:p>
            <w:pPr>
              <w:jc w:val="center"/>
              <w:rPr>
                <w:noProof/>
                <w:color w:val="000000"/>
                <w:sz w:val="20"/>
                <w:szCs w:val="20"/>
              </w:rPr>
            </w:pPr>
            <w:r>
              <w:rPr>
                <w:b/>
                <w:i/>
                <w:noProof/>
                <w:sz w:val="20"/>
              </w:rPr>
              <w:t>2027 г.</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ОБЩО</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Човешки ресурси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r>
              <w:rPr>
                <w:noProof/>
                <w:color w:val="000000"/>
                <w:sz w:val="20"/>
                <w:szCs w:val="20"/>
              </w:rPr>
              <w:t>символичен запис</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r>
              <w:rPr>
                <w:noProof/>
                <w:color w:val="000000"/>
                <w:sz w:val="20"/>
                <w:szCs w:val="20"/>
              </w:rPr>
              <w:t>символичен запис</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Други административни разходи</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r>
              <w:rPr>
                <w:noProof/>
                <w:color w:val="000000"/>
                <w:sz w:val="20"/>
                <w:szCs w:val="20"/>
              </w:rPr>
              <w:t>символичен запис</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символичен запис</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ОБЩО ГД </w:t>
            </w:r>
          </w:p>
        </w:tc>
        <w:tc>
          <w:tcPr>
            <w:tcW w:w="1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Бюджетни кредити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символичен запис</w:t>
            </w:r>
          </w:p>
        </w:tc>
      </w:tr>
    </w:tbl>
    <w:p>
      <w:pPr>
        <w:rPr>
          <w:noProof/>
        </w:rPr>
      </w:pPr>
      <w:r>
        <w:rPr>
          <w:noProof/>
        </w:rPr>
        <w:t xml:space="preserve"> </w:t>
      </w:r>
    </w:p>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sz w:val="22"/>
              </w:rPr>
            </w:pPr>
            <w:r>
              <w:rPr>
                <w:b/>
                <w:noProof/>
                <w:sz w:val="22"/>
              </w:rPr>
              <w:t xml:space="preserve">ОБЩО бюджетни кредити за финансовия пакет на програмата — ФУНКЦИЯ 1 </w:t>
            </w:r>
            <w:r>
              <w:rPr>
                <w:rStyle w:val="FootnoteReference"/>
                <w:b/>
                <w:noProof/>
                <w:sz w:val="22"/>
              </w:rPr>
              <w:footnoteReference w:id="13"/>
            </w:r>
          </w:p>
          <w:p>
            <w:pPr>
              <w:jc w:val="center"/>
              <w:rPr>
                <w:b/>
                <w:noProof/>
              </w:rPr>
            </w:pPr>
            <w:r>
              <w:rPr>
                <w:noProof/>
                <w:sz w:val="22"/>
              </w:rPr>
              <w:t>от многогодишната финансова рамка</w:t>
            </w:r>
            <w:r>
              <w:rPr>
                <w:b/>
                <w:noProof/>
                <w:sz w:val="22"/>
              </w:rPr>
              <w:t xml:space="preserve"> </w:t>
            </w:r>
          </w:p>
        </w:tc>
        <w:tc>
          <w:tcPr>
            <w:tcW w:w="1854" w:type="dxa"/>
            <w:gridSpan w:val="2"/>
            <w:vAlign w:val="center"/>
          </w:tcPr>
          <w:p>
            <w:pPr>
              <w:rPr>
                <w:noProof/>
                <w:sz w:val="14"/>
              </w:rPr>
            </w:pPr>
            <w:r>
              <w:rPr>
                <w:noProof/>
                <w:sz w:val="18"/>
              </w:rPr>
              <w:t>Поети задължения</w:t>
            </w:r>
          </w:p>
        </w:tc>
        <w:tc>
          <w:tcPr>
            <w:tcW w:w="110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440,000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320,000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370,000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430,000</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color w:val="000000"/>
                <w:sz w:val="20"/>
              </w:rPr>
              <w:t xml:space="preserve"> — </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bCs/>
                <w:noProof/>
                <w:color w:val="000000"/>
                <w:sz w:val="20"/>
              </w:rPr>
              <w:t xml:space="preserve">   2 600,000 </w:t>
            </w:r>
          </w:p>
        </w:tc>
      </w:tr>
      <w:tr>
        <w:trPr>
          <w:jc w:val="center"/>
        </w:trPr>
        <w:tc>
          <w:tcPr>
            <w:tcW w:w="4173" w:type="dxa"/>
            <w:vMerge/>
            <w:shd w:val="clear" w:color="auto" w:fill="C0C0C0"/>
          </w:tcPr>
          <w:p>
            <w:pPr>
              <w:rPr>
                <w:noProof/>
                <w:sz w:val="20"/>
              </w:rPr>
            </w:pPr>
          </w:p>
        </w:tc>
        <w:tc>
          <w:tcPr>
            <w:tcW w:w="1854" w:type="dxa"/>
            <w:gridSpan w:val="2"/>
            <w:vAlign w:val="center"/>
          </w:tcPr>
          <w:p>
            <w:pPr>
              <w:rPr>
                <w:noProof/>
                <w:sz w:val="14"/>
              </w:rPr>
            </w:pPr>
            <w:r>
              <w:rPr>
                <w:noProof/>
                <w:sz w:val="18"/>
              </w:rPr>
              <w:t>Плащания</w:t>
            </w:r>
          </w:p>
        </w:tc>
        <w:tc>
          <w:tcPr>
            <w:tcW w:w="110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124,017</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228,149</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353,660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188,733</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293,808</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348,884</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403,962</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658,787</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bCs/>
                <w:noProof/>
                <w:color w:val="000000"/>
                <w:sz w:val="20"/>
              </w:rPr>
              <w:t xml:space="preserve">   2 600,000 </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cr/>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rPr>
          <w:noProof/>
        </w:rPr>
        <w:sectPr>
          <w:headerReference w:type="even" r:id="rId37"/>
          <w:headerReference w:type="default" r:id="rId38"/>
          <w:footerReference w:type="even" r:id="rId39"/>
          <w:footerReference w:type="default" r:id="rId40"/>
          <w:headerReference w:type="first" r:id="rId41"/>
          <w:footerReference w:type="first" r:id="rId42"/>
          <w:pgSz w:w="15840" w:h="12240" w:orient="landscape"/>
          <w:pgMar w:top="1134" w:right="1077" w:bottom="902" w:left="1247" w:header="709" w:footer="510" w:gutter="0"/>
          <w:cols w:space="720"/>
          <w:docGrid w:linePitch="326"/>
        </w:sect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color w:val="000000"/>
                <w:sz w:val="20"/>
                <w:szCs w:val="20"/>
              </w:rPr>
              <w:t>ГД „Съобщителни мрежи, съдържание и технологии“ (4 ЕПРВ РЕДОВЕН ПЕРСОНАЛ AD, 2 ЕПРВ ДНП)</w:t>
            </w: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r>
              <w:rPr>
                <w:rStyle w:val="FootnoteReference"/>
                <w:noProof/>
                <w:color w:val="000000"/>
                <w:sz w:val="20"/>
                <w:szCs w:val="20"/>
              </w:rPr>
              <w:footnoteReference w:id="14"/>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tcPr>
          <w:p>
            <w:pPr>
              <w:spacing w:before="20" w:after="20"/>
              <w:jc w:val="right"/>
              <w:rPr>
                <w:noProof/>
                <w:sz w:val="20"/>
              </w:rPr>
            </w:pPr>
            <w:r>
              <w:rPr>
                <w:noProof/>
                <w:color w:val="000000"/>
                <w:sz w:val="20"/>
                <w:szCs w:val="20"/>
              </w:rPr>
              <w:t>0,760</w:t>
            </w:r>
          </w:p>
        </w:tc>
        <w:tc>
          <w:tcPr>
            <w:tcW w:w="868" w:type="dxa"/>
          </w:tcPr>
          <w:p>
            <w:pPr>
              <w:spacing w:before="20" w:after="20"/>
              <w:jc w:val="right"/>
              <w:rPr>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87" w:type="dxa"/>
            <w:shd w:val="clear" w:color="auto" w:fill="A6A6A6"/>
            <w:vAlign w:val="center"/>
          </w:tcPr>
          <w:p>
            <w:pPr>
              <w:spacing w:before="20" w:after="20"/>
              <w:jc w:val="right"/>
              <w:rPr>
                <w:b/>
                <w:noProof/>
                <w:sz w:val="20"/>
              </w:rPr>
            </w:pPr>
            <w:r>
              <w:rPr>
                <w:noProof/>
                <w:color w:val="000000"/>
                <w:sz w:val="20"/>
                <w:szCs w:val="20"/>
              </w:rPr>
              <w:t>символичен запис</w:t>
            </w:r>
          </w:p>
        </w:tc>
        <w:tc>
          <w:tcPr>
            <w:tcW w:w="1291" w:type="dxa"/>
            <w:vAlign w:val="center"/>
          </w:tcPr>
          <w:p>
            <w:pPr>
              <w:spacing w:before="20" w:after="20"/>
              <w:jc w:val="right"/>
              <w:rPr>
                <w:b/>
                <w:noProof/>
                <w:sz w:val="20"/>
              </w:rPr>
            </w:pPr>
            <w:r>
              <w:rPr>
                <w:b/>
                <w:bCs/>
                <w:noProof/>
                <w:color w:val="000000"/>
                <w:sz w:val="20"/>
                <w:szCs w:val="20"/>
              </w:rPr>
              <w:t>5,320</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r>
              <w:rPr>
                <w:noProof/>
                <w:color w:val="000000"/>
                <w:sz w:val="20"/>
                <w:szCs w:val="20"/>
              </w:rPr>
              <w:t>символичен запис</w:t>
            </w:r>
          </w:p>
        </w:tc>
        <w:tc>
          <w:tcPr>
            <w:tcW w:w="868" w:type="dxa"/>
          </w:tcPr>
          <w:p>
            <w:pPr>
              <w:spacing w:before="20" w:after="20"/>
              <w:jc w:val="right"/>
              <w:rPr>
                <w:b/>
                <w:noProof/>
                <w:sz w:val="20"/>
              </w:rPr>
            </w:pPr>
            <w:r>
              <w:rPr>
                <w:noProof/>
                <w:color w:val="000000"/>
                <w:sz w:val="20"/>
                <w:szCs w:val="20"/>
              </w:rPr>
              <w:t>символичен запис</w:t>
            </w:r>
          </w:p>
        </w:tc>
        <w:tc>
          <w:tcPr>
            <w:tcW w:w="868" w:type="dxa"/>
          </w:tcPr>
          <w:p>
            <w:pPr>
              <w:spacing w:before="20" w:after="20"/>
              <w:jc w:val="right"/>
              <w:rPr>
                <w:b/>
                <w:noProof/>
                <w:sz w:val="20"/>
              </w:rPr>
            </w:pPr>
            <w:r>
              <w:rPr>
                <w:noProof/>
                <w:color w:val="000000"/>
                <w:sz w:val="20"/>
                <w:szCs w:val="20"/>
              </w:rPr>
              <w:t>символичен запис</w:t>
            </w:r>
          </w:p>
        </w:tc>
        <w:tc>
          <w:tcPr>
            <w:tcW w:w="868" w:type="dxa"/>
          </w:tcPr>
          <w:p>
            <w:pPr>
              <w:spacing w:before="20" w:after="20"/>
              <w:jc w:val="right"/>
              <w:rPr>
                <w:b/>
                <w:noProof/>
                <w:sz w:val="20"/>
              </w:rPr>
            </w:pPr>
            <w:r>
              <w:rPr>
                <w:noProof/>
                <w:color w:val="000000"/>
                <w:sz w:val="20"/>
                <w:szCs w:val="20"/>
              </w:rPr>
              <w:t>символичен запис</w:t>
            </w:r>
          </w:p>
        </w:tc>
        <w:tc>
          <w:tcPr>
            <w:tcW w:w="868" w:type="dxa"/>
          </w:tcPr>
          <w:p>
            <w:pPr>
              <w:spacing w:before="20" w:after="20"/>
              <w:jc w:val="right"/>
              <w:rPr>
                <w:b/>
                <w:noProof/>
                <w:sz w:val="20"/>
              </w:rPr>
            </w:pPr>
            <w:r>
              <w:rPr>
                <w:noProof/>
                <w:color w:val="000000"/>
                <w:sz w:val="20"/>
                <w:szCs w:val="20"/>
              </w:rPr>
              <w:t>символичен запис</w:t>
            </w:r>
          </w:p>
        </w:tc>
        <w:tc>
          <w:tcPr>
            <w:tcW w:w="868" w:type="dxa"/>
          </w:tcPr>
          <w:p>
            <w:pPr>
              <w:spacing w:before="20" w:after="20"/>
              <w:jc w:val="right"/>
              <w:rPr>
                <w:b/>
                <w:noProof/>
                <w:sz w:val="20"/>
              </w:rPr>
            </w:pPr>
            <w:r>
              <w:rPr>
                <w:noProof/>
                <w:color w:val="000000"/>
                <w:sz w:val="20"/>
                <w:szCs w:val="20"/>
              </w:rPr>
              <w:t>символичен запис</w:t>
            </w:r>
          </w:p>
        </w:tc>
        <w:tc>
          <w:tcPr>
            <w:tcW w:w="868" w:type="dxa"/>
          </w:tcPr>
          <w:p>
            <w:pPr>
              <w:spacing w:before="20" w:after="20"/>
              <w:jc w:val="right"/>
              <w:rPr>
                <w:b/>
                <w:noProof/>
                <w:sz w:val="20"/>
              </w:rPr>
            </w:pPr>
            <w:r>
              <w:rPr>
                <w:noProof/>
                <w:color w:val="000000"/>
                <w:sz w:val="20"/>
                <w:szCs w:val="20"/>
              </w:rPr>
              <w:t>символичен запис</w:t>
            </w:r>
          </w:p>
        </w:tc>
        <w:tc>
          <w:tcPr>
            <w:tcW w:w="887" w:type="dxa"/>
            <w:shd w:val="clear" w:color="auto" w:fill="A6A6A6"/>
          </w:tcPr>
          <w:p>
            <w:pPr>
              <w:spacing w:before="20" w:after="20"/>
              <w:jc w:val="right"/>
              <w:rPr>
                <w:b/>
                <w:noProof/>
                <w:sz w:val="20"/>
              </w:rPr>
            </w:pPr>
            <w:r>
              <w:rPr>
                <w:noProof/>
                <w:color w:val="000000"/>
                <w:sz w:val="20"/>
                <w:szCs w:val="20"/>
              </w:rPr>
              <w:t>символичен запис</w:t>
            </w:r>
          </w:p>
        </w:tc>
        <w:tc>
          <w:tcPr>
            <w:tcW w:w="1291" w:type="dxa"/>
          </w:tcPr>
          <w:p>
            <w:pPr>
              <w:spacing w:before="20" w:after="20"/>
              <w:jc w:val="right"/>
              <w:rPr>
                <w:b/>
                <w:noProof/>
                <w:sz w:val="20"/>
              </w:rPr>
            </w:pPr>
            <w:r>
              <w:rPr>
                <w:noProof/>
                <w:color w:val="000000"/>
                <w:sz w:val="20"/>
                <w:szCs w:val="20"/>
              </w:rPr>
              <w:t>символичен запис</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задължение = общо плащания)</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87" w:type="dxa"/>
            <w:shd w:val="clear" w:color="auto" w:fill="A6A6A6"/>
            <w:vAlign w:val="center"/>
          </w:tcPr>
          <w:p>
            <w:pPr>
              <w:spacing w:before="20" w:after="20"/>
              <w:jc w:val="right"/>
              <w:rPr>
                <w:b/>
                <w:noProof/>
                <w:sz w:val="20"/>
              </w:rPr>
            </w:pPr>
            <w:r>
              <w:rPr>
                <w:noProof/>
                <w:color w:val="000000"/>
                <w:sz w:val="20"/>
                <w:szCs w:val="20"/>
              </w:rPr>
              <w:t>символичен запис</w:t>
            </w:r>
          </w:p>
        </w:tc>
        <w:tc>
          <w:tcPr>
            <w:tcW w:w="1291" w:type="dxa"/>
            <w:vAlign w:val="center"/>
          </w:tcPr>
          <w:p>
            <w:pPr>
              <w:spacing w:before="20" w:after="20"/>
              <w:jc w:val="right"/>
              <w:rPr>
                <w:b/>
                <w:noProof/>
                <w:sz w:val="20"/>
              </w:rPr>
            </w:pPr>
            <w:r>
              <w:rPr>
                <w:b/>
                <w:bCs/>
                <w:noProof/>
                <w:color w:val="000000"/>
                <w:sz w:val="20"/>
                <w:szCs w:val="20"/>
              </w:rPr>
              <w:t>5,320</w:t>
            </w:r>
          </w:p>
        </w:tc>
      </w:tr>
    </w:tbl>
    <w:p>
      <w:pPr>
        <w:jc w:val="right"/>
        <w:rPr>
          <w:noProof/>
          <w:sz w:val="20"/>
        </w:rPr>
      </w:pPr>
    </w:p>
    <w:p>
      <w:pPr>
        <w:jc w:val="right"/>
        <w:rPr>
          <w:noProof/>
          <w:sz w:val="20"/>
        </w:rPr>
      </w:pPr>
    </w:p>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cr/>
            </w:r>
            <w:r>
              <w:rPr>
                <w:noProof/>
                <w:sz w:val="22"/>
              </w:rPr>
              <w:br/>
            </w:r>
            <w:r>
              <w:rPr>
                <w:b/>
                <w:noProof/>
                <w:sz w:val="22"/>
              </w:rPr>
              <w:t xml:space="preserve">по всички ФУНКЦИИ </w:t>
            </w:r>
            <w:r>
              <w:rPr>
                <w:noProof/>
                <w:sz w:val="22"/>
              </w:rPr>
              <w:cr/>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410,760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410,760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440,760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220,760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320,760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370,760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r>
              <w:rPr>
                <w:b/>
                <w:noProof/>
                <w:sz w:val="20"/>
              </w:rPr>
              <w:t>430,760</w:t>
            </w:r>
          </w:p>
        </w:tc>
        <w:tc>
          <w:tcPr>
            <w:tcW w:w="877"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p>
        </w:tc>
        <w:tc>
          <w:tcPr>
            <w:tcW w:w="1292"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r>
              <w:rPr>
                <w:b/>
                <w:noProof/>
                <w:sz w:val="20"/>
              </w:rPr>
              <w:t>2 605,320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124,777</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228,909</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354,420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189,420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294,568</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349,644</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404,722</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658,787</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2 605,320</w:t>
            </w:r>
          </w:p>
        </w:tc>
      </w:tr>
    </w:tbl>
    <w:p>
      <w:pPr>
        <w:pStyle w:val="ManualHeading3"/>
        <w:rPr>
          <w:rFonts w:eastAsiaTheme="majorEastAsia"/>
          <w:b/>
          <w:bCs/>
          <w:i w:val="0"/>
          <w:noProof/>
          <w:szCs w:val="26"/>
        </w:rPr>
      </w:pPr>
    </w:p>
    <w:p>
      <w:pPr>
        <w:rPr>
          <w:noProof/>
        </w:rPr>
      </w:pPr>
      <w:r>
        <w:rPr>
          <w:noProof/>
        </w:rPr>
        <w:br w:type="page"/>
      </w:r>
    </w:p>
    <w:p>
      <w:pPr>
        <w:pStyle w:val="ManualHeading3"/>
        <w:rPr>
          <w:rFonts w:eastAsiaTheme="majorEastAsia"/>
          <w:b/>
          <w:bCs/>
          <w:i w:val="0"/>
          <w:noProof/>
          <w:szCs w:val="26"/>
        </w:rPr>
      </w:pPr>
    </w:p>
    <w:p>
      <w:pPr>
        <w:pStyle w:val="Heading3"/>
        <w:rPr>
          <w:noProof/>
        </w:rPr>
      </w:pPr>
      <w:bookmarkStart w:id="47" w:name="_Toc53761793"/>
      <w:r>
        <w:rPr>
          <w:noProof/>
        </w:rPr>
        <w:t>Очаквано отражение върху човешките ресурси на СП</w:t>
      </w:r>
      <w:bookmarkEnd w:id="47"/>
      <w:r>
        <w:rPr>
          <w:noProof/>
        </w:rPr>
        <w:t xml:space="preserve"> </w:t>
      </w:r>
    </w:p>
    <w:p>
      <w:pPr>
        <w:pStyle w:val="ListDash1"/>
        <w:numPr>
          <w:ilvl w:val="0"/>
          <w:numId w:val="9"/>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9"/>
        </w:numPr>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tbl>
      <w:tblPr>
        <w:tblW w:w="13047" w:type="dxa"/>
        <w:tblLook w:val="04A0" w:firstRow="1" w:lastRow="0" w:firstColumn="1" w:lastColumn="0" w:noHBand="0" w:noVBand="1"/>
      </w:tblPr>
      <w:tblGrid>
        <w:gridCol w:w="3938"/>
        <w:gridCol w:w="1217"/>
        <w:gridCol w:w="908"/>
        <w:gridCol w:w="908"/>
        <w:gridCol w:w="908"/>
        <w:gridCol w:w="908"/>
        <w:gridCol w:w="908"/>
        <w:gridCol w:w="908"/>
        <w:gridCol w:w="1445"/>
        <w:gridCol w:w="999"/>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Брой персонал (бройки/ЕПРВ)</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2021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2022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2023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2024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2025</w:t>
            </w:r>
            <w:r>
              <w:rPr>
                <w:noProof/>
                <w:color w:val="000000"/>
                <w:sz w:val="18"/>
                <w:szCs w:val="18"/>
              </w:rPr>
              <w:t> </w:t>
            </w:r>
            <w:r>
              <w:rPr>
                <w:noProof/>
                <w:color w:val="000000"/>
                <w:sz w:val="20"/>
                <w:szCs w:val="20"/>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2026</w:t>
            </w:r>
            <w:r>
              <w:rPr>
                <w:noProof/>
                <w:color w:val="000000"/>
                <w:sz w:val="18"/>
                <w:szCs w:val="18"/>
              </w:rPr>
              <w:t> </w:t>
            </w:r>
            <w:r>
              <w:rPr>
                <w:noProof/>
                <w:color w:val="000000"/>
                <w:sz w:val="20"/>
                <w:szCs w:val="20"/>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2027</w:t>
            </w:r>
            <w:r>
              <w:rPr>
                <w:noProof/>
                <w:color w:val="000000"/>
                <w:sz w:val="18"/>
                <w:szCs w:val="18"/>
              </w:rPr>
              <w:t> </w:t>
            </w:r>
            <w:r>
              <w:rPr>
                <w:noProof/>
                <w:color w:val="000000"/>
                <w:sz w:val="20"/>
                <w:szCs w:val="20"/>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След 2027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ОБЩО</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Длъжностни лица (степени AD)</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Длъжностни лица (степени AST)</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Договорно нает персонал</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Срочно наети служители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Командировани национални експерти</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ОБЩО</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34</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млн. евро (до 3-тия знак след десетичната запетая)</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2021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2022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2023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2024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2025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2026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2027 г.</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След 2027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ОБЩО</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Длъжностни лица (степени AD)</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Длъжностни лица (степени AST)</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Договорно нает персонал</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1,019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1,624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1,988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2,028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2,069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2,152</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4,304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17,294</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Срочно наети служители </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1,148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2,863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3,584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3,656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3,729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3,804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3,880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7,759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30,423</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Командировани национални експерти</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ОБЩО</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2,168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4,488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5,572</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5,684</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5,798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5,914</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6,032</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12,063</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47,717</w:t>
            </w:r>
          </w:p>
        </w:tc>
      </w:tr>
    </w:tbl>
    <w:p>
      <w:pPr>
        <w:rPr>
          <w:noProof/>
          <w:sz w:val="20"/>
        </w:rPr>
      </w:pPr>
    </w:p>
    <w:p>
      <w:pPr>
        <w:rPr>
          <w:noProof/>
        </w:rPr>
        <w:sectPr>
          <w:headerReference w:type="even" r:id="rId43"/>
          <w:headerReference w:type="default" r:id="rId44"/>
          <w:footerReference w:type="even" r:id="rId45"/>
          <w:footerReference w:type="default" r:id="rId46"/>
          <w:headerReference w:type="first" r:id="rId47"/>
          <w:footerReference w:type="first" r:id="rId48"/>
          <w:pgSz w:w="15840" w:h="12240" w:orient="landscape"/>
          <w:pgMar w:top="1418" w:right="902" w:bottom="902" w:left="567" w:header="709" w:footer="709" w:gutter="0"/>
          <w:cols w:space="720"/>
          <w:docGrid w:linePitch="326"/>
        </w:sectPr>
      </w:pPr>
    </w:p>
    <w:p>
      <w:pPr>
        <w:rPr>
          <w:noProof/>
          <w:u w:val="single"/>
        </w:rPr>
      </w:pPr>
      <w:r>
        <w:rPr>
          <w:noProof/>
          <w:u w:val="single"/>
        </w:rPr>
        <w:t>Очаквано отражение върху персонала (допълнителен ЕПРВ) — щатно разписание</w:t>
      </w:r>
      <w:r>
        <w:rPr>
          <w:rStyle w:val="FootnoteReference"/>
          <w:noProof/>
          <w:u w:val="single"/>
        </w:rPr>
        <w:footnoteReference w:id="15"/>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Функционална група и степен</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2021 г.</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2022 г.</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2023 г.</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2024 г.</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2025</w:t>
            </w:r>
            <w:r>
              <w:rPr>
                <w:noProof/>
                <w:color w:val="000000"/>
                <w:sz w:val="18"/>
                <w:szCs w:val="18"/>
              </w:rPr>
              <w:t> </w:t>
            </w:r>
            <w:r>
              <w:rPr>
                <w:noProof/>
                <w:color w:val="000000"/>
                <w:sz w:val="20"/>
                <w:szCs w:val="20"/>
              </w:rPr>
              <w:t>г.</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2026</w:t>
            </w:r>
            <w:r>
              <w:rPr>
                <w:noProof/>
                <w:color w:val="000000"/>
                <w:sz w:val="18"/>
                <w:szCs w:val="18"/>
              </w:rPr>
              <w:t> </w:t>
            </w:r>
            <w:r>
              <w:rPr>
                <w:noProof/>
                <w:color w:val="000000"/>
                <w:sz w:val="20"/>
                <w:szCs w:val="20"/>
              </w:rPr>
              <w:t>г.</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2027</w:t>
            </w:r>
            <w:r>
              <w:rPr>
                <w:noProof/>
                <w:color w:val="000000"/>
                <w:sz w:val="18"/>
                <w:szCs w:val="18"/>
              </w:rPr>
              <w:t> </w:t>
            </w:r>
            <w:r>
              <w:rPr>
                <w:noProof/>
                <w:color w:val="000000"/>
                <w:sz w:val="20"/>
                <w:szCs w:val="20"/>
              </w:rPr>
              <w:t>г.</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2028</w:t>
            </w:r>
            <w:r>
              <w:rPr>
                <w:noProof/>
                <w:color w:val="000000"/>
                <w:sz w:val="18"/>
                <w:szCs w:val="18"/>
              </w:rPr>
              <w:t> </w:t>
            </w:r>
            <w:r>
              <w:rPr>
                <w:noProof/>
                <w:color w:val="000000"/>
                <w:sz w:val="20"/>
                <w:szCs w:val="20"/>
              </w:rPr>
              <w:t>г.</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2029 г.</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2030 г.</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2031 г.</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След 2031 г.</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Общо AD</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22</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Общо AST</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Общо AST/SC</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bl>
    <w:p>
      <w:pPr>
        <w:rPr>
          <w:noProof/>
        </w:rPr>
      </w:pPr>
    </w:p>
    <w:p>
      <w:pPr>
        <w:rPr>
          <w:noProof/>
          <w:u w:val="single"/>
        </w:rPr>
      </w:pPr>
      <w:r>
        <w:rPr>
          <w:noProof/>
          <w:u w:val="single"/>
        </w:rPr>
        <w:t>Очаквано отражение върху персонала (допълнителен) — външен персонал</w:t>
      </w:r>
    </w:p>
    <w:tbl>
      <w:tblPr>
        <w:tblW w:w="9686" w:type="dxa"/>
        <w:tblInd w:w="93" w:type="dxa"/>
        <w:tblLook w:val="04A0" w:firstRow="1" w:lastRow="0" w:firstColumn="1" w:lastColumn="0" w:noHBand="0" w:noVBand="1"/>
      </w:tblPr>
      <w:tblGrid>
        <w:gridCol w:w="2479"/>
        <w:gridCol w:w="799"/>
        <w:gridCol w:w="799"/>
        <w:gridCol w:w="799"/>
        <w:gridCol w:w="799"/>
        <w:gridCol w:w="794"/>
        <w:gridCol w:w="794"/>
        <w:gridCol w:w="844"/>
        <w:gridCol w:w="799"/>
        <w:gridCol w:w="799"/>
        <w:gridCol w:w="799"/>
        <w:gridCol w:w="799"/>
        <w:gridCol w:w="799"/>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Договорно наети служители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2021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2022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2023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2024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2025</w:t>
            </w:r>
            <w:r>
              <w:rPr>
                <w:noProof/>
                <w:color w:val="000000"/>
                <w:sz w:val="18"/>
                <w:szCs w:val="18"/>
              </w:rPr>
              <w:t> </w:t>
            </w:r>
            <w:r>
              <w:rPr>
                <w:noProof/>
                <w:color w:val="000000"/>
                <w:sz w:val="20"/>
                <w:szCs w:val="20"/>
              </w:rPr>
              <w:t>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2026</w:t>
            </w:r>
            <w:r>
              <w:rPr>
                <w:noProof/>
                <w:color w:val="000000"/>
                <w:sz w:val="18"/>
                <w:szCs w:val="18"/>
              </w:rPr>
              <w:t> </w:t>
            </w:r>
            <w:r>
              <w:rPr>
                <w:noProof/>
                <w:color w:val="000000"/>
                <w:sz w:val="20"/>
                <w:szCs w:val="20"/>
              </w:rPr>
              <w:t>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2027</w:t>
            </w:r>
            <w:r>
              <w:rPr>
                <w:noProof/>
                <w:color w:val="000000"/>
                <w:sz w:val="18"/>
                <w:szCs w:val="18"/>
              </w:rPr>
              <w:t> </w:t>
            </w:r>
            <w:r>
              <w:rPr>
                <w:noProof/>
                <w:color w:val="000000"/>
                <w:sz w:val="20"/>
                <w:szCs w:val="20"/>
              </w:rPr>
              <w:t>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2028 г.</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2029 г.</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2030 г.</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2031 г.</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След 2031 г.</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Функционална група IV</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Функционална група III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Функционална група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Функционална група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Общо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84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Командировани национални експерти</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2021 г.</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2022 г.</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2023 г.</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2024 г.</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2025</w:t>
            </w:r>
            <w:r>
              <w:rPr>
                <w:noProof/>
                <w:color w:val="000000"/>
                <w:sz w:val="18"/>
                <w:szCs w:val="18"/>
              </w:rPr>
              <w:t> </w:t>
            </w:r>
            <w:r>
              <w:rPr>
                <w:noProof/>
                <w:color w:val="000000"/>
                <w:sz w:val="20"/>
                <w:szCs w:val="20"/>
              </w:rPr>
              <w:t>г.</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2026</w:t>
            </w:r>
            <w:r>
              <w:rPr>
                <w:noProof/>
                <w:color w:val="000000"/>
                <w:sz w:val="18"/>
                <w:szCs w:val="18"/>
              </w:rPr>
              <w:t> </w:t>
            </w:r>
            <w:r>
              <w:rPr>
                <w:noProof/>
                <w:color w:val="000000"/>
                <w:sz w:val="20"/>
                <w:szCs w:val="20"/>
              </w:rPr>
              <w:t>г.</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2027</w:t>
            </w:r>
            <w:r>
              <w:rPr>
                <w:noProof/>
                <w:color w:val="000000"/>
                <w:sz w:val="18"/>
                <w:szCs w:val="18"/>
              </w:rPr>
              <w:t> </w:t>
            </w:r>
            <w:r>
              <w:rPr>
                <w:noProof/>
                <w:color w:val="000000"/>
                <w:sz w:val="20"/>
                <w:szCs w:val="20"/>
              </w:rPr>
              <w:t>г.</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2028</w:t>
            </w:r>
            <w:r>
              <w:rPr>
                <w:noProof/>
                <w:color w:val="000000"/>
                <w:sz w:val="18"/>
                <w:szCs w:val="18"/>
              </w:rPr>
              <w:t> </w:t>
            </w:r>
            <w:r>
              <w:rPr>
                <w:noProof/>
                <w:color w:val="000000"/>
                <w:sz w:val="20"/>
                <w:szCs w:val="20"/>
              </w:rPr>
              <w:t>г.</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2029 г.</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2030 г.</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2031 г.</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След 2031 г.</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Общо</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hideMark/>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bl>
    <w:p>
      <w:pPr>
        <w:rPr>
          <w:noProof/>
        </w:rPr>
      </w:pPr>
    </w:p>
    <w:p>
      <w:pPr>
        <w:pStyle w:val="Heading3"/>
        <w:rPr>
          <w:noProof/>
        </w:rPr>
      </w:pPr>
      <w:bookmarkStart w:id="48" w:name="_Toc53761794"/>
      <w:r>
        <w:rPr>
          <w:noProof/>
        </w:rPr>
        <w:t>Очаквани нужди от човешки ресурси в Комисията</w:t>
      </w:r>
      <w:bookmarkEnd w:id="48"/>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Разчетните данни се посочват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6"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3"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4</w:t>
            </w:r>
          </w:p>
        </w:tc>
        <w:tc>
          <w:tcPr>
            <w:tcW w:w="534" w:type="pct"/>
            <w:shd w:val="clear" w:color="auto" w:fill="auto"/>
          </w:tcPr>
          <w:p>
            <w:pPr>
              <w:spacing w:beforeLines="20" w:before="48" w:afterLines="20" w:after="48"/>
              <w:jc w:val="center"/>
              <w:rPr>
                <w:noProof/>
                <w:sz w:val="16"/>
                <w:szCs w:val="16"/>
              </w:rPr>
            </w:pPr>
            <w:r>
              <w:rPr>
                <w:noProof/>
                <w:sz w:val="16"/>
                <w:szCs w:val="16"/>
              </w:rPr>
              <w:t>4</w:t>
            </w:r>
          </w:p>
        </w:tc>
        <w:tc>
          <w:tcPr>
            <w:tcW w:w="466" w:type="pct"/>
            <w:shd w:val="clear" w:color="auto" w:fill="auto"/>
          </w:tcPr>
          <w:p>
            <w:pPr>
              <w:spacing w:beforeLines="20" w:before="48" w:afterLines="20" w:after="48"/>
              <w:jc w:val="center"/>
              <w:rPr>
                <w:noProof/>
                <w:sz w:val="16"/>
                <w:szCs w:val="16"/>
              </w:rPr>
            </w:pPr>
            <w:r>
              <w:rPr>
                <w:noProof/>
                <w:sz w:val="16"/>
                <w:szCs w:val="16"/>
              </w:rPr>
              <w:t>4</w:t>
            </w:r>
          </w:p>
        </w:tc>
        <w:tc>
          <w:tcPr>
            <w:tcW w:w="534" w:type="pct"/>
            <w:shd w:val="clear" w:color="auto" w:fill="auto"/>
          </w:tcPr>
          <w:p>
            <w:pPr>
              <w:spacing w:beforeLines="20" w:before="48" w:afterLines="20" w:after="48"/>
              <w:jc w:val="center"/>
              <w:rPr>
                <w:noProof/>
                <w:sz w:val="16"/>
                <w:szCs w:val="16"/>
              </w:rPr>
            </w:pPr>
            <w:r>
              <w:rPr>
                <w:noProof/>
                <w:sz w:val="16"/>
                <w:szCs w:val="16"/>
              </w:rPr>
              <w:t>4</w:t>
            </w:r>
          </w:p>
        </w:tc>
        <w:tc>
          <w:tcPr>
            <w:tcW w:w="533" w:type="pct"/>
            <w:shd w:val="clear" w:color="auto" w:fill="auto"/>
          </w:tcPr>
          <w:p>
            <w:pPr>
              <w:spacing w:beforeLines="20" w:before="48" w:afterLines="20" w:after="48"/>
              <w:jc w:val="center"/>
              <w:rPr>
                <w:noProof/>
                <w:sz w:val="16"/>
                <w:szCs w:val="16"/>
              </w:rPr>
            </w:pPr>
            <w:r>
              <w:rPr>
                <w:noProof/>
                <w:sz w:val="16"/>
                <w:szCs w:val="16"/>
              </w:rPr>
              <w:t>4</w:t>
            </w:r>
          </w:p>
        </w:tc>
        <w:tc>
          <w:tcPr>
            <w:tcW w:w="468" w:type="pct"/>
            <w:shd w:val="clear" w:color="auto" w:fill="auto"/>
          </w:tcPr>
          <w:p>
            <w:pPr>
              <w:spacing w:beforeLines="20" w:before="48" w:afterLines="20" w:after="48"/>
              <w:jc w:val="center"/>
              <w:rPr>
                <w:noProof/>
                <w:sz w:val="16"/>
                <w:szCs w:val="16"/>
              </w:rPr>
            </w:pPr>
            <w:r>
              <w:rPr>
                <w:noProof/>
                <w:sz w:val="16"/>
                <w:szCs w:val="16"/>
              </w:rPr>
              <w:t>4</w:t>
            </w:r>
          </w:p>
        </w:tc>
        <w:tc>
          <w:tcPr>
            <w:tcW w:w="526" w:type="pct"/>
            <w:shd w:val="clear" w:color="auto" w:fill="auto"/>
          </w:tcPr>
          <w:p>
            <w:pPr>
              <w:spacing w:beforeLines="20" w:before="48" w:afterLines="20" w:after="48"/>
              <w:jc w:val="center"/>
              <w:rPr>
                <w:noProof/>
                <w:sz w:val="16"/>
                <w:szCs w:val="16"/>
              </w:rPr>
            </w:pPr>
            <w:r>
              <w:rPr>
                <w:noProof/>
                <w:sz w:val="16"/>
                <w:szCs w:val="16"/>
              </w:rPr>
              <w:t>4</w:t>
            </w: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 — ДНП, МП, КНЕ, ПНА и МЕД</w:t>
            </w:r>
            <w:r>
              <w:rPr>
                <w:noProof/>
                <w:sz w:val="16"/>
              </w:rPr>
              <w:t xml:space="preserve"> </w:t>
            </w:r>
            <w:r>
              <w:rPr>
                <w:rStyle w:val="FootnoteReference"/>
                <w:noProof/>
                <w:sz w:val="16"/>
              </w:rPr>
              <w:footnoteReference w:id="16"/>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tcPr>
          <w:p>
            <w:pPr>
              <w:spacing w:beforeLines="20" w:before="48" w:afterLines="20" w:after="48"/>
              <w:jc w:val="center"/>
              <w:rPr>
                <w:noProof/>
                <w:sz w:val="16"/>
                <w:szCs w:val="16"/>
              </w:rPr>
            </w:pPr>
            <w:r>
              <w:rPr>
                <w:noProof/>
                <w:sz w:val="16"/>
                <w:szCs w:val="16"/>
              </w:rPr>
              <w:t>2</w:t>
            </w:r>
          </w:p>
        </w:tc>
        <w:tc>
          <w:tcPr>
            <w:tcW w:w="466" w:type="pct"/>
            <w:shd w:val="clear" w:color="auto" w:fill="auto"/>
          </w:tcPr>
          <w:p>
            <w:pPr>
              <w:spacing w:beforeLines="20" w:before="48" w:afterLines="20" w:after="48"/>
              <w:jc w:val="center"/>
              <w:rPr>
                <w:noProof/>
                <w:sz w:val="16"/>
                <w:szCs w:val="16"/>
              </w:rPr>
            </w:pPr>
            <w:r>
              <w:rPr>
                <w:noProof/>
                <w:sz w:val="16"/>
                <w:szCs w:val="16"/>
              </w:rPr>
              <w:t>2</w:t>
            </w:r>
          </w:p>
        </w:tc>
        <w:tc>
          <w:tcPr>
            <w:tcW w:w="534" w:type="pct"/>
            <w:shd w:val="clear" w:color="auto" w:fill="auto"/>
          </w:tcPr>
          <w:p>
            <w:pPr>
              <w:spacing w:beforeLines="20" w:before="48" w:afterLines="20" w:after="48"/>
              <w:jc w:val="center"/>
              <w:rPr>
                <w:noProof/>
                <w:sz w:val="16"/>
                <w:szCs w:val="16"/>
              </w:rPr>
            </w:pPr>
            <w:r>
              <w:rPr>
                <w:noProof/>
                <w:sz w:val="16"/>
                <w:szCs w:val="16"/>
              </w:rPr>
              <w:t>2</w:t>
            </w:r>
          </w:p>
        </w:tc>
        <w:tc>
          <w:tcPr>
            <w:tcW w:w="533" w:type="pct"/>
            <w:shd w:val="clear" w:color="auto" w:fill="auto"/>
          </w:tcPr>
          <w:p>
            <w:pPr>
              <w:spacing w:beforeLines="20" w:before="48" w:afterLines="20" w:after="48"/>
              <w:jc w:val="center"/>
              <w:rPr>
                <w:noProof/>
                <w:sz w:val="16"/>
                <w:szCs w:val="16"/>
              </w:rPr>
            </w:pPr>
            <w:r>
              <w:rPr>
                <w:noProof/>
                <w:sz w:val="16"/>
                <w:szCs w:val="16"/>
              </w:rPr>
              <w:t>2</w:t>
            </w:r>
          </w:p>
        </w:tc>
        <w:tc>
          <w:tcPr>
            <w:tcW w:w="468" w:type="pct"/>
            <w:shd w:val="clear" w:color="auto" w:fill="auto"/>
          </w:tcPr>
          <w:p>
            <w:pPr>
              <w:spacing w:beforeLines="20" w:before="48" w:afterLines="20" w:after="48"/>
              <w:jc w:val="center"/>
              <w:rPr>
                <w:noProof/>
                <w:sz w:val="16"/>
                <w:szCs w:val="16"/>
              </w:rPr>
            </w:pPr>
            <w:r>
              <w:rPr>
                <w:noProof/>
                <w:sz w:val="16"/>
                <w:szCs w:val="16"/>
              </w:rPr>
              <w:t>2</w:t>
            </w:r>
          </w:p>
        </w:tc>
        <w:tc>
          <w:tcPr>
            <w:tcW w:w="526" w:type="pct"/>
            <w:shd w:val="clear" w:color="auto" w:fill="auto"/>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пакета за програмата</w:t>
            </w:r>
            <w:r>
              <w:rPr>
                <w:b/>
                <w:noProof/>
                <w:sz w:val="16"/>
                <w:szCs w:val="16"/>
              </w:rPr>
              <w:t xml:space="preserve"> </w:t>
            </w:r>
            <w:r>
              <w:rPr>
                <w:rStyle w:val="FootnoteReference"/>
                <w:b/>
                <w:noProof/>
                <w:sz w:val="16"/>
              </w:rPr>
              <w:footnoteReference w:id="17"/>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2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r>
    </w:tbl>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rPr>
          <w:noProof/>
        </w:rPr>
      </w:pPr>
    </w:p>
    <w:p>
      <w:pPr>
        <w:rPr>
          <w:noProof/>
        </w:rPr>
        <w:sectPr>
          <w:headerReference w:type="even" r:id="rId49"/>
          <w:headerReference w:type="default" r:id="rId50"/>
          <w:footerReference w:type="even" r:id="rId51"/>
          <w:footerReference w:type="default" r:id="rId52"/>
          <w:headerReference w:type="first" r:id="rId53"/>
          <w:footerReference w:type="first" r:id="rId54"/>
          <w:pgSz w:w="11907" w:h="16839"/>
          <w:pgMar w:top="1134" w:right="1417" w:bottom="1134" w:left="1417" w:header="709" w:footer="709" w:gutter="0"/>
          <w:cols w:space="720"/>
          <w:docGrid w:linePitch="326"/>
        </w:sectPr>
      </w:pPr>
    </w:p>
    <w:p>
      <w:pPr>
        <w:pStyle w:val="Heading3"/>
        <w:rPr>
          <w:bCs w:val="0"/>
          <w:noProof/>
          <w:szCs w:val="24"/>
        </w:rPr>
      </w:pPr>
      <w:bookmarkStart w:id="49" w:name="_Toc53761795"/>
      <w:r>
        <w:rPr>
          <w:noProof/>
        </w:rPr>
        <w:t>Финансов принос от трети страни</w:t>
      </w:r>
      <w:r>
        <w:rPr>
          <w:rStyle w:val="FootnoteReference"/>
          <w:noProof/>
        </w:rPr>
        <w:footnoteReference w:id="18"/>
      </w:r>
      <w:bookmarkEnd w:id="49"/>
      <w:r>
        <w:rPr>
          <w:noProof/>
        </w:rPr>
        <w:t xml:space="preserve">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FE"/>
      </w:r>
      <w:r>
        <w:rPr>
          <w:noProof/>
        </w:rPr>
        <w:tab/>
        <w:t>предвижда съфинансиране от трети страни съгласно следните прогнози:</w:t>
      </w:r>
    </w:p>
    <w:tbl>
      <w:tblPr>
        <w:tblW w:w="10815" w:type="dxa"/>
        <w:tblInd w:w="-853" w:type="dxa"/>
        <w:tblLook w:val="04A0" w:firstRow="1" w:lastRow="0" w:firstColumn="1" w:lastColumn="0" w:noHBand="0" w:noVBand="1"/>
      </w:tblPr>
      <w:tblGrid>
        <w:gridCol w:w="3873"/>
        <w:gridCol w:w="866"/>
        <w:gridCol w:w="866"/>
        <w:gridCol w:w="866"/>
        <w:gridCol w:w="866"/>
        <w:gridCol w:w="866"/>
        <w:gridCol w:w="866"/>
        <w:gridCol w:w="866"/>
        <w:gridCol w:w="799"/>
        <w:gridCol w:w="1016"/>
      </w:tblGrid>
      <w:tr>
        <w:trPr>
          <w:trHeight w:val="305"/>
        </w:trPr>
        <w:tc>
          <w:tcPr>
            <w:tcW w:w="0" w:type="auto"/>
            <w:gridSpan w:val="10"/>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Бюджетни кредити в млн. евро (до третия знак след десетичната запетая)</w:t>
            </w:r>
          </w:p>
        </w:tc>
      </w:tr>
      <w:tr>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2021 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2022 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2023 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2024 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2025</w:t>
            </w:r>
            <w:r>
              <w:rPr>
                <w:noProof/>
                <w:color w:val="000000"/>
                <w:sz w:val="18"/>
                <w:szCs w:val="18"/>
              </w:rPr>
              <w:t> </w:t>
            </w:r>
            <w:r>
              <w:rPr>
                <w:noProof/>
                <w:color w:val="000000"/>
                <w:sz w:val="20"/>
                <w:szCs w:val="20"/>
              </w:rPr>
              <w:t>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2026</w:t>
            </w:r>
            <w:r>
              <w:rPr>
                <w:noProof/>
                <w:color w:val="000000"/>
                <w:sz w:val="18"/>
                <w:szCs w:val="18"/>
              </w:rPr>
              <w:t> </w:t>
            </w:r>
            <w:r>
              <w:rPr>
                <w:noProof/>
                <w:color w:val="000000"/>
                <w:sz w:val="20"/>
                <w:szCs w:val="20"/>
              </w:rPr>
              <w:t>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2027</w:t>
            </w:r>
            <w:r>
              <w:rPr>
                <w:noProof/>
                <w:color w:val="000000"/>
                <w:sz w:val="18"/>
                <w:szCs w:val="18"/>
              </w:rPr>
              <w:t> </w:t>
            </w:r>
            <w:r>
              <w:rPr>
                <w:noProof/>
                <w:color w:val="000000"/>
                <w:sz w:val="20"/>
                <w:szCs w:val="20"/>
              </w:rPr>
              <w:t>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След 2027 г.</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ОБЩО</w:t>
            </w:r>
          </w:p>
        </w:tc>
      </w:tr>
      <w:tr>
        <w:trPr>
          <w:trHeight w:val="519"/>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 xml:space="preserve">Финансови вноски за административните разходи на СП, покрити от участващите държави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2,295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8,655</w:t>
            </w:r>
          </w:p>
        </w:tc>
        <w:tc>
          <w:tcPr>
            <w:tcW w:w="0" w:type="auto"/>
            <w:tcBorders>
              <w:top w:val="nil"/>
              <w:left w:val="nil"/>
              <w:bottom w:val="single" w:sz="4" w:space="0" w:color="auto"/>
              <w:right w:val="single" w:sz="4" w:space="0" w:color="auto"/>
            </w:tcBorders>
            <w:shd w:val="clear" w:color="auto" w:fill="auto"/>
            <w:noWrap/>
            <w:vAlign w:val="center"/>
          </w:tcPr>
          <w:p>
            <w:pPr>
              <w:spacing w:before="9" w:after="9"/>
              <w:jc w:val="center"/>
              <w:rPr>
                <w:noProof/>
                <w:sz w:val="20"/>
              </w:rPr>
            </w:pPr>
          </w:p>
          <w:p>
            <w:pPr>
              <w:spacing w:before="9" w:after="9"/>
              <w:jc w:val="center"/>
              <w:rPr>
                <w:noProof/>
                <w:sz w:val="20"/>
              </w:rPr>
            </w:pPr>
          </w:p>
          <w:p>
            <w:pPr>
              <w:spacing w:before="0" w:after="0"/>
              <w:jc w:val="right"/>
              <w:rPr>
                <w:b/>
                <w:bCs/>
                <w:noProof/>
                <w:color w:val="000000"/>
                <w:sz w:val="22"/>
              </w:rPr>
            </w:pPr>
            <w:r>
              <w:rPr>
                <w:noProof/>
                <w:sz w:val="20"/>
              </w:rPr>
              <w:t>30,000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Финансови вноски на частноправните членове/асоциираните партньори за административните разходи (член 22.3.б от SBA)</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rPr>
              <w:t>6,000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Финансови вноски на участващите държави за оперативната дейност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407,705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406,825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436,825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216,825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366,825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418,170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0,00</w:t>
            </w:r>
          </w:p>
        </w:tc>
        <w:tc>
          <w:tcPr>
            <w:tcW w:w="0" w:type="auto"/>
            <w:tcBorders>
              <w:top w:val="nil"/>
              <w:left w:val="nil"/>
              <w:bottom w:val="single" w:sz="4" w:space="0" w:color="auto"/>
              <w:right w:val="single" w:sz="4" w:space="0" w:color="auto"/>
            </w:tcBorders>
            <w:shd w:val="clear" w:color="auto" w:fill="auto"/>
            <w:noWrap/>
            <w:vAlign w:val="center"/>
          </w:tcPr>
          <w:p>
            <w:pPr>
              <w:spacing w:before="9" w:after="9"/>
              <w:jc w:val="center"/>
              <w:rPr>
                <w:noProof/>
                <w:sz w:val="20"/>
              </w:rPr>
            </w:pPr>
          </w:p>
          <w:p>
            <w:pPr>
              <w:spacing w:before="9" w:after="9"/>
              <w:jc w:val="center"/>
              <w:rPr>
                <w:noProof/>
                <w:sz w:val="20"/>
              </w:rPr>
            </w:pPr>
          </w:p>
          <w:p>
            <w:pPr>
              <w:spacing w:before="0" w:after="0"/>
              <w:jc w:val="right"/>
              <w:rPr>
                <w:b/>
                <w:bCs/>
                <w:noProof/>
                <w:color w:val="000000"/>
                <w:sz w:val="22"/>
              </w:rPr>
            </w:pPr>
            <w:r>
              <w:rPr>
                <w:noProof/>
                <w:sz w:val="20"/>
              </w:rPr>
              <w:t>2 570,000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Вноски в натура на частноправните членове/асоциираните партньори за оперативната дейност (член 22.3.г от SBA)</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488"/>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18"/>
              </w:rPr>
            </w:pPr>
            <w:r>
              <w:rPr>
                <w:noProof/>
                <w:sz w:val="20"/>
              </w:rPr>
              <w:t>Вноски в натура на участващите държави за оперативната дейност</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3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ОБЩО съфинансирани бюджетни кредити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410,000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410,000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441,000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221,000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321,000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371,000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422,345</w:t>
            </w:r>
          </w:p>
        </w:tc>
        <w:tc>
          <w:tcPr>
            <w:tcW w:w="0" w:type="auto"/>
            <w:tcBorders>
              <w:top w:val="nil"/>
              <w:left w:val="nil"/>
              <w:bottom w:val="single" w:sz="4" w:space="0" w:color="auto"/>
              <w:right w:val="single" w:sz="4" w:space="0" w:color="auto"/>
            </w:tcBorders>
            <w:shd w:val="clear" w:color="auto" w:fill="auto"/>
            <w:noWrap/>
          </w:tcPr>
          <w:p>
            <w:pPr>
              <w:spacing w:before="9" w:after="9"/>
              <w:jc w:val="center"/>
              <w:rPr>
                <w:noProof/>
                <w:sz w:val="20"/>
              </w:rPr>
            </w:pPr>
          </w:p>
          <w:p>
            <w:pPr>
              <w:spacing w:before="0" w:after="0"/>
              <w:jc w:val="right"/>
              <w:rPr>
                <w:b/>
                <w:bCs/>
                <w:noProof/>
                <w:color w:val="000000"/>
                <w:sz w:val="22"/>
              </w:rPr>
            </w:pPr>
            <w:r>
              <w:rPr>
                <w:noProof/>
                <w:sz w:val="20"/>
              </w:rPr>
              <w:t>9,655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rPr>
              <w:t>2 606,000</w:t>
            </w:r>
          </w:p>
        </w:tc>
      </w:tr>
    </w:tbl>
    <w:p>
      <w:pPr>
        <w:jc w:val="left"/>
        <w:rPr>
          <w:noProof/>
        </w:rPr>
      </w:pPr>
      <w:r>
        <w:rPr>
          <w:noProof/>
        </w:rPr>
        <w:cr/>
      </w:r>
      <w:r>
        <w:rPr>
          <w:noProof/>
        </w:rPr>
        <w:br/>
      </w:r>
    </w:p>
    <w:p>
      <w:pPr>
        <w:pStyle w:val="ListDash1"/>
        <w:numPr>
          <w:ilvl w:val="0"/>
          <w:numId w:val="0"/>
        </w:numPr>
        <w:ind w:left="1134"/>
        <w:rPr>
          <w:noProof/>
        </w:rPr>
      </w:pPr>
    </w:p>
    <w:p>
      <w:pPr>
        <w:pStyle w:val="Heading2"/>
        <w:numPr>
          <w:ilvl w:val="1"/>
          <w:numId w:val="5"/>
        </w:numPr>
        <w:rPr>
          <w:bCs w:val="0"/>
          <w:noProof/>
          <w:szCs w:val="24"/>
        </w:rPr>
      </w:pPr>
      <w:r>
        <w:rPr>
          <w:noProof/>
        </w:rPr>
        <w:br w:type="page"/>
      </w:r>
      <w:bookmarkStart w:id="50" w:name="_Toc53761796"/>
      <w:r>
        <w:rPr>
          <w:noProof/>
        </w:rPr>
        <w:t>Очаквано отражение върху приходите</w:t>
      </w:r>
      <w:bookmarkEnd w:id="50"/>
      <w:r>
        <w:rPr>
          <w:noProof/>
        </w:rPr>
        <w:t xml:space="preserve"> </w:t>
      </w:r>
    </w:p>
    <w:p>
      <w:pPr>
        <w:pStyle w:val="ListDash1"/>
        <w:rPr>
          <w:noProof/>
        </w:rPr>
      </w:pPr>
      <w:r>
        <w:rPr>
          <w:noProof/>
        </w:rPr>
        <w:sym w:font="Wingdings 2" w:char="F051"/>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върху разните приходи</w:t>
      </w:r>
    </w:p>
    <w:p>
      <w:pPr>
        <w:rPr>
          <w:noProof/>
        </w:rPr>
      </w:pPr>
      <w:r>
        <w:rPr>
          <w:noProof/>
        </w:rPr>
        <w:t>Моля, посочете дали приходите са записани по разходни бюджетни редове.</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rPr>
          <w:noProof/>
        </w:rPr>
      </w:pPr>
    </w:p>
    <w:p>
      <w:pPr>
        <w:pStyle w:val="Text1"/>
        <w:rPr>
          <w:rStyle w:val="CommentReference"/>
          <w:noProof/>
        </w:rPr>
      </w:pPr>
      <w:r>
        <w:rPr>
          <w:noProof/>
          <w:sz w:val="20"/>
        </w:rPr>
        <w:t>Други забележки (например метод/формула, използвани за изчисляване на въздействието върху приходите или всякаква друга информация).</w:t>
      </w:r>
      <w:r>
        <w:rPr>
          <w:noProof/>
        </w:rPr>
        <w:t xml:space="preserve"> </w:t>
      </w:r>
    </w:p>
    <w:p>
      <w:pPr>
        <w:pStyle w:val="Text1"/>
        <w:rPr>
          <w:noProof/>
        </w:rPr>
      </w:pPr>
    </w:p>
    <w:p>
      <w:pPr>
        <w:pStyle w:val="Text1"/>
        <w:rPr>
          <w:noProof/>
        </w:rPr>
      </w:pPr>
    </w:p>
    <w:p>
      <w:pPr>
        <w:rPr>
          <w:noProof/>
        </w:rPr>
      </w:pPr>
    </w:p>
    <w:p>
      <w:pPr>
        <w:jc w:val="left"/>
        <w:rPr>
          <w:noProof/>
          <w:color w:val="0000FF"/>
        </w:rPr>
      </w:pPr>
    </w:p>
    <w:sectPr>
      <w:headerReference w:type="even" r:id="rId55"/>
      <w:headerReference w:type="default" r:id="rId56"/>
      <w:footerReference w:type="even" r:id="rId57"/>
      <w:footerReference w:type="default" r:id="rId58"/>
      <w:headerReference w:type="first" r:id="rId59"/>
      <w:footerReference w:type="first" r:id="rId60"/>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charset w:val="00"/>
    <w:family w:val="auto"/>
    <w:pitch w:val="variable"/>
    <w:sig w:usb0="800002EF" w:usb1="1000E0F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b/>
        <w:sz w:val="48"/>
      </w:rPr>
      <w:t>BG</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15</w:t>
    </w:r>
    <w:r>
      <w:fldChar w:fldCharType="end"/>
    </w:r>
    <w:r>
      <w:tab/>
      <w:t xml:space="preserve">                                                                          </w:t>
    </w:r>
    <w:r>
      <w:rPr>
        <w:rFonts w:ascii="Arial" w:hAnsi="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b/>
        <w:sz w:val="48"/>
      </w:rPr>
      <w:t>BG</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b/>
        <w:sz w:val="48"/>
      </w:rPr>
      <w:t>BG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b/>
        <w:sz w:val="48"/>
      </w:rPr>
      <w:t>BG</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3">
    <w:p>
      <w:pPr>
        <w:pStyle w:val="FootnoteText"/>
        <w:spacing w:after="60"/>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4">
    <w:p>
      <w:pPr>
        <w:pStyle w:val="FootnoteText"/>
        <w:spacing w:after="60"/>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5">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6">
    <w:p>
      <w:pPr>
        <w:pStyle w:val="FootnoteText"/>
        <w:rPr>
          <w:szCs w:val="24"/>
        </w:rPr>
      </w:pPr>
      <w:r>
        <w:rPr>
          <w:rStyle w:val="FootnoteReference"/>
        </w:rPr>
        <w:footnoteRef/>
      </w:r>
      <w:r>
        <w:tab/>
        <w:t xml:space="preserve">ЕАСТ: Европейска асоциация за свободна търговия. </w:t>
      </w:r>
    </w:p>
  </w:footnote>
  <w:footnote w:id="7">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8">
    <w:p>
      <w:pPr>
        <w:pStyle w:val="FootnoteText"/>
      </w:pPr>
      <w:r>
        <w:rPr>
          <w:rStyle w:val="FootnoteReference"/>
        </w:rPr>
        <w:footnoteRef/>
      </w:r>
      <w:r>
        <w:t xml:space="preserve"> Вноската по „Хоризонт Европа“ не може да се посочи на този етап. В следващите таблици на настоящата финансова обосновка са посочени единствено вноските, свързани с програма „Цифрова Европа“ и с Механизма за свързване на Европа. Предвижда се вноската по „Хоризонт Европа“ да бъде съизмерима с настоящата годишна вноска за СП EuroHPC.</w:t>
      </w:r>
    </w:p>
  </w:footnote>
  <w:footnote w:id="9">
    <w:p>
      <w:pPr>
        <w:pStyle w:val="FootnoteText"/>
      </w:pPr>
      <w:r>
        <w:rPr>
          <w:rStyle w:val="FootnoteReference"/>
        </w:rPr>
        <w:footnoteRef/>
      </w:r>
      <w:r>
        <w:t xml:space="preserve"> В тази таблица се съдържа единствено вноската от програма „Цифрова Европа“ и от Механизма за свързване на Европа.</w:t>
      </w:r>
    </w:p>
  </w:footnote>
  <w:footnote w:id="10">
    <w:p>
      <w:pPr>
        <w:pStyle w:val="FootnoteText"/>
        <w:ind w:left="284" w:hanging="284"/>
      </w:pPr>
      <w:r>
        <w:rPr>
          <w:rStyle w:val="FootnoteReference"/>
        </w:rPr>
        <w:footnoteRef/>
      </w:r>
      <w:r>
        <w:t xml:space="preserve"> Сумите по статия 1 и статия 2 представляват вноската на ЕС за административните разходи на съвместното предприятие. Останалата част се покрива от вноски на други членове на съвместното предприятие, както е показано в раздел 3.2.5.</w:t>
      </w:r>
    </w:p>
  </w:footnote>
  <w:footnote w:id="11">
    <w:p>
      <w:pPr>
        <w:pStyle w:val="FootnoteText"/>
      </w:pPr>
      <w:r>
        <w:rPr>
          <w:rStyle w:val="FootnoteReference"/>
        </w:rPr>
        <w:footnoteRef/>
      </w:r>
      <w:r>
        <w:t xml:space="preserve"> Бюджетните кредити за плащания по статия 1 и статия 2 се основават на годишното усвояване на всички съответни бюджетни кредити за поети задължения, докато по статия 3 те се определят, като се отчита естеството на непреките действия и графикът за тяхното плащане (предварително финансиране, междинни плащания и плащане на остатъка).</w:t>
      </w:r>
    </w:p>
  </w:footnote>
  <w:footnote w:id="12">
    <w:p>
      <w:pPr>
        <w:pStyle w:val="FootnoteText"/>
      </w:pPr>
      <w:r>
        <w:rPr>
          <w:rStyle w:val="FootnoteReference"/>
        </w:rPr>
        <w:footnoteRef/>
      </w:r>
      <w:r>
        <w:t xml:space="preserve"> Статия 1 и статия 2 за 2027 г. съдържат поетите задължения за годината и изтеглените напред задължения за останалите години на СП за периода 2027—2033 г.</w:t>
      </w:r>
    </w:p>
  </w:footnote>
  <w:footnote w:id="13">
    <w:p>
      <w:pPr>
        <w:rPr>
          <w:szCs w:val="24"/>
        </w:rPr>
      </w:pPr>
      <w:r>
        <w:rPr>
          <w:rStyle w:val="FootnoteReference"/>
        </w:rPr>
        <w:footnoteRef/>
      </w:r>
      <w:r>
        <w:t xml:space="preserve"> </w:t>
      </w:r>
      <w:r>
        <w:rPr>
          <w:sz w:val="18"/>
          <w:szCs w:val="18"/>
        </w:rPr>
        <w:t>Бюджетните кредити, необходими за човешки ресурси и други разходи с административен характер извън ФУНКЦИЯ 7, съответстват на сумите, покрити от финансовото участие на Съюза. Горните суми не включват вноската от държавите членки за покриване на административните разходи на Експертния център, съизмерима с финансовата вноска от Съюза.</w:t>
      </w:r>
    </w:p>
    <w:p>
      <w:pPr>
        <w:pStyle w:val="FootnoteText"/>
      </w:pPr>
    </w:p>
  </w:footnote>
  <w:footnote w:id="14">
    <w:p>
      <w:pPr>
        <w:pStyle w:val="FootnoteText"/>
        <w:tabs>
          <w:tab w:val="left" w:pos="284"/>
        </w:tabs>
        <w:ind w:left="284" w:hanging="284"/>
      </w:pPr>
      <w:r>
        <w:rPr>
          <w:rStyle w:val="FootnoteReference"/>
        </w:rPr>
        <w:footnoteRef/>
      </w:r>
      <w:r>
        <w:tab/>
        <w:t>Обхваща администрирането на действията по програма „Цифрова Европа“ и Механизма за свързване на Европа. Разходите за еквивалент на пълно работно време се определят на основата на средногодишните разходи за персонал AD (EUR 150 000) и CA (EUR 80 000).</w:t>
      </w:r>
    </w:p>
  </w:footnote>
  <w:footnote w:id="15">
    <w:p>
      <w:pPr>
        <w:pStyle w:val="FootnoteText"/>
      </w:pPr>
      <w:r>
        <w:rPr>
          <w:rStyle w:val="FootnoteReference"/>
        </w:rPr>
        <w:footnoteRef/>
      </w:r>
      <w:r>
        <w:t xml:space="preserve"> Щатното разписание на СП включва също 16 ЕПРВ за частта, свързана с „Хоризонт Европа“. Щатните бройки, свързани с тази част, остават стабилни в сравнение с настоящия персонал на СП EuroHPC (16 ЕПРВ) и ще обхванат и изпълнението, наследено от настоящото СП EuroHPC.   </w:t>
      </w:r>
    </w:p>
  </w:footnote>
  <w:footnote w:id="16">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експерти в делегации. </w:t>
      </w:r>
    </w:p>
  </w:footnote>
  <w:footnote w:id="17">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8">
    <w:p>
      <w:pPr>
        <w:pStyle w:val="FootnoteText"/>
      </w:pPr>
      <w:r>
        <w:rPr>
          <w:rStyle w:val="FootnoteReference"/>
        </w:rPr>
        <w:footnoteRef/>
      </w:r>
      <w:r>
        <w:t xml:space="preserve"> </w:t>
      </w:r>
      <w:r>
        <w:tab/>
        <w:t>Финансовият принос от трети страни ще трябва да се актуализира, за да се отрази ефектът от допълнителните вноски от програма „Хоризонт Европа“</w:t>
      </w:r>
    </w:p>
  </w:footnote>
  <w:footnote w:id="19">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EE3B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8454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2BC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69D6CA8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u w:val="none"/>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14"/>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20"/>
  </w:num>
  <w:num w:numId="8">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num>
  <w:num w:numId="18">
    <w:abstractNumId w:val="19"/>
    <w:lvlOverride w:ilvl="0">
      <w:startOverride w:val="1"/>
    </w:lvlOverride>
  </w:num>
  <w:num w:numId="19">
    <w:abstractNumId w:val="17"/>
    <w:lvlOverride w:ilvl="0">
      <w:startOverride w:val="1"/>
    </w:lvlOverride>
  </w:num>
  <w:num w:numId="20">
    <w:abstractNumId w:val="13"/>
    <w:lvlOverride w:ilvl="0">
      <w:startOverride w:val="1"/>
    </w:lvlOverride>
  </w:num>
  <w:num w:numId="21">
    <w:abstractNumId w:val="11"/>
  </w:num>
  <w:num w:numId="22">
    <w:abstractNumId w:val="24"/>
  </w:num>
  <w:num w:numId="23">
    <w:abstractNumId w:val="10"/>
  </w:num>
  <w:num w:numId="24">
    <w:abstractNumId w:val="12"/>
  </w:num>
  <w:num w:numId="25">
    <w:abstractNumId w:val="8"/>
  </w:num>
  <w:num w:numId="26">
    <w:abstractNumId w:val="18"/>
  </w:num>
  <w:num w:numId="27">
    <w:abstractNumId w:val="9"/>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762238C9-8D33-4F10-A365-EF41F42957B7"/>
    <w:docVar w:name="LW_COVERPAGE_TYPE" w:val="1"/>
    <w:docVar w:name="LW_CROSSREFERENCE" w:val="{SWD(2020) 179 final}"/>
    <w:docVar w:name="LW_DocType" w:val="NORMAL"/>
    <w:docVar w:name="LW_EMISSION" w:val="18.9.2020"/>
    <w:docVar w:name="LW_EMISSION_ISODATE" w:val="2020-09-1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 \u1085?\u1072? \u1057?\u1098?\u1074?\u1084?\u1077?\u1089?\u1090?\u1085?\u1086? \u1087?\u1088?\u1077?\u1076?\u1087?\u1088?\u1080?\u1103?\u1090?\u1080?\u1077? \u1079?\u1072? \u1077?\u1074?\u1088?\u1086?\u1087?\u1077?\u1081?\u1089?\u1082?\u1080? \u1074?\u1080?\u1089?\u1086?\u1082?\u1086?\u1087?\u1088?\u1086?\u1080?\u1079?\u1074?\u1086?\u1076?\u1080?\u1090?\u1077?\u1083?\u1085?\u1080? \u1080?\u1079?\u1095?\u1080?\u1089?\u1083?\u1080?\u1090?\u1077?\u1083?\u1085?\u1080? \u1090?\u1077?\u1093?\u1085?\u1086?\u1083?\u1086?\u1075?\u1080?\u1080?_x000d__x000d__x000d__x000d__x000d__x000d__x000b__x000d__x000d__x000d__x000d__x000d__x000d__x000d__x000b_"/>
    <w:docVar w:name="LW_PART_NBR" w:val="1"/>
    <w:docVar w:name="LW_PART_NBR_TOTAL" w:val="2"/>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56?\u1045?\u1044?\u1051?\u1054?\u1046?\u1045?\u1053?\u1048?\u1045? \u1047?\u1040? \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Number">
    <w:name w:val="List Number"/>
    <w:basedOn w:val="Normal"/>
    <w:pPr>
      <w:numPr>
        <w:numId w:val="3"/>
      </w:numPr>
    </w:pPr>
    <w:rPr>
      <w:rFonts w:eastAsia="Times New Roman"/>
      <w:lang w:eastAsia="de-DE"/>
    </w:rPr>
  </w:style>
  <w:style w:type="paragraph" w:customStyle="1" w:styleId="ListDash1">
    <w:name w:val="List Dash 1"/>
    <w:basedOn w:val="Normal"/>
    <w:pPr>
      <w:numPr>
        <w:numId w:val="1"/>
      </w:numPr>
    </w:pPr>
    <w:rPr>
      <w:rFonts w:eastAsia="Times New Roman"/>
      <w:lang w:eastAsia="de-DE"/>
    </w:rPr>
  </w:style>
  <w:style w:type="paragraph" w:customStyle="1" w:styleId="ListDash2">
    <w:name w:val="List Dash 2"/>
    <w:basedOn w:val="Normal"/>
    <w:pPr>
      <w:numPr>
        <w:numId w:val="2"/>
      </w:numPr>
    </w:pPr>
    <w:rPr>
      <w:rFonts w:eastAsia="Times New Roman"/>
      <w:lang w:eastAsia="de-DE"/>
    </w:rPr>
  </w:style>
  <w:style w:type="paragraph" w:customStyle="1" w:styleId="ListNumberLevel2">
    <w:name w:val="List Number (Level 2)"/>
    <w:basedOn w:val="Normal"/>
    <w:pPr>
      <w:numPr>
        <w:ilvl w:val="1"/>
        <w:numId w:val="3"/>
      </w:numPr>
    </w:pPr>
    <w:rPr>
      <w:rFonts w:eastAsia="Times New Roman"/>
      <w:lang w:eastAsia="de-DE"/>
    </w:rPr>
  </w:style>
  <w:style w:type="paragraph" w:customStyle="1" w:styleId="ListNumberLevel3">
    <w:name w:val="List Number (Level 3)"/>
    <w:basedOn w:val="Normal"/>
    <w:pPr>
      <w:numPr>
        <w:ilvl w:val="2"/>
        <w:numId w:val="3"/>
      </w:numPr>
    </w:pPr>
    <w:rPr>
      <w:rFonts w:eastAsia="Times New Roman"/>
      <w:lang w:eastAsia="de-DE"/>
    </w:rPr>
  </w:style>
  <w:style w:type="paragraph" w:customStyle="1" w:styleId="ListNumberLevel4">
    <w:name w:val="List Number (Level 4)"/>
    <w:basedOn w:val="Normal"/>
    <w:pPr>
      <w:numPr>
        <w:ilvl w:val="3"/>
        <w:numId w:val="3"/>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Pagedecouverture">
    <w:name w:val="Page de couverture"/>
    <w:basedOn w:val="Normal"/>
    <w:next w:val="Normal"/>
    <w:pPr>
      <w:spacing w:before="0" w:after="0"/>
    </w:pPr>
  </w:style>
  <w:style w:type="paragraph" w:customStyle="1" w:styleId="Annexetitre">
    <w:name w:val="Annexe titre"/>
    <w:basedOn w:val="Normal"/>
    <w:next w:val="Normal"/>
    <w:pPr>
      <w:jc w:val="center"/>
    </w:pPr>
    <w:rPr>
      <w:b/>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ListBullet1">
    <w:name w:val="List Bullet 1"/>
    <w:basedOn w:val="Normal"/>
    <w:pPr>
      <w:numPr>
        <w:numId w:val="6"/>
      </w:numPr>
    </w:pPr>
    <w:rPr>
      <w:rFonts w:eastAsia="Times New Roman"/>
      <w:lang w:eastAsia="de-DE"/>
    </w:rPr>
  </w:style>
  <w:style w:type="paragraph" w:styleId="ListBullet">
    <w:name w:val="List Bullet"/>
    <w:basedOn w:val="Normal"/>
    <w:pPr>
      <w:numPr>
        <w:numId w:val="7"/>
      </w:numPr>
    </w:pPr>
    <w:rPr>
      <w:rFonts w:eastAsia="Times New Roman"/>
      <w:lang w:eastAsia="en-GB"/>
    </w:rPr>
  </w:style>
  <w:style w:type="paragraph" w:styleId="ListParagraph">
    <w:name w:val="List Paragraph"/>
    <w:aliases w:val="List Paragraph compact,Dot pt,F5 List Paragraph,List Paragraph1,No Spacing1,List Paragraph Char Char Char,Indicator Text,Numbered Para 1,Bullet Points,MAIN CONTENT,List Paragraph12,OBC Bullet,Colorful List - Accent 11"/>
    <w:basedOn w:val="Normal"/>
    <w:link w:val="ListParagraphChar"/>
    <w:uiPriority w:val="34"/>
    <w:qFormat/>
    <w:pPr>
      <w:spacing w:before="0" w:after="0"/>
      <w:ind w:left="720"/>
    </w:pPr>
    <w:rPr>
      <w:rFonts w:ascii="Garamond" w:eastAsia="Garamond" w:hAnsi="Garamond"/>
      <w:sz w:val="20"/>
      <w:szCs w:val="20"/>
      <w:lang w:eastAsia="en-GB"/>
    </w:rPr>
  </w:style>
  <w:style w:type="character" w:customStyle="1" w:styleId="ListParagraphChar">
    <w:name w:val="List Paragraph Char"/>
    <w:aliases w:val="List Paragraph compact Char,Dot pt Char,F5 List Paragraph Char,List Paragraph1 Char,No Spacing1 Char,List Paragraph Char Char Char Char,Indicator Text Char,Numbered Para 1 Char,Bullet Points Char,MAIN CONTENT Char,OBC Bullet Char"/>
    <w:link w:val="ListParagraph"/>
    <w:uiPriority w:val="34"/>
    <w:qFormat/>
    <w:rPr>
      <w:rFonts w:ascii="Garamond" w:eastAsia="Garamond" w:hAnsi="Garamond" w:cs="Times New Roman"/>
      <w:sz w:val="20"/>
      <w:szCs w:val="20"/>
      <w:lang w:eastAsia="en-GB"/>
    </w:rPr>
  </w:style>
  <w:style w:type="paragraph" w:styleId="CommentText">
    <w:name w:val="annotation text"/>
    <w:basedOn w:val="Normal"/>
    <w:link w:val="CommentTextChar"/>
    <w:uiPriority w:val="99"/>
    <w:unhideWhenUsed/>
    <w:pPr>
      <w:spacing w:before="100" w:beforeAutospacing="1" w:after="100" w:afterAutospacing="1"/>
      <w:jc w:val="left"/>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heme="minorEastAsia"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FollowedHyperlink">
    <w:name w:val="FollowedHyperlink"/>
    <w:basedOn w:val="DefaultParagraphFont"/>
    <w:unhideWhenUsed/>
    <w:rPr>
      <w:color w:val="800080" w:themeColor="followedHyperlink"/>
      <w:u w:val="singl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0"/>
      </w:numPr>
      <w:contextualSpacing/>
    </w:pPr>
    <w:rPr>
      <w:rFonts w:eastAsia="Times New Roman"/>
      <w:lang w:eastAsia="en-GB"/>
    </w:rPr>
  </w:style>
  <w:style w:type="paragraph" w:styleId="ListBullet3">
    <w:name w:val="List Bullet 3"/>
    <w:basedOn w:val="Normal"/>
    <w:pPr>
      <w:numPr>
        <w:numId w:val="11"/>
      </w:numPr>
      <w:contextualSpacing/>
    </w:pPr>
    <w:rPr>
      <w:rFonts w:eastAsia="Times New Roman"/>
      <w:lang w:eastAsia="en-GB"/>
    </w:rPr>
  </w:style>
  <w:style w:type="paragraph" w:styleId="ListBullet4">
    <w:name w:val="List Bullet 4"/>
    <w:basedOn w:val="Normal"/>
    <w:pPr>
      <w:numPr>
        <w:numId w:val="12"/>
      </w:numPr>
      <w:contextualSpacing/>
    </w:pPr>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r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0"/>
      </w:numPr>
    </w:pPr>
  </w:style>
  <w:style w:type="paragraph" w:customStyle="1" w:styleId="Bullet1">
    <w:name w:val="Bullet 1"/>
    <w:basedOn w:val="Normal"/>
    <w:pPr>
      <w:numPr>
        <w:numId w:val="19"/>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Number">
    <w:name w:val="List Number"/>
    <w:basedOn w:val="Normal"/>
    <w:pPr>
      <w:numPr>
        <w:numId w:val="3"/>
      </w:numPr>
    </w:pPr>
    <w:rPr>
      <w:rFonts w:eastAsia="Times New Roman"/>
      <w:lang w:eastAsia="de-DE"/>
    </w:rPr>
  </w:style>
  <w:style w:type="paragraph" w:customStyle="1" w:styleId="ListDash1">
    <w:name w:val="List Dash 1"/>
    <w:basedOn w:val="Normal"/>
    <w:pPr>
      <w:numPr>
        <w:numId w:val="1"/>
      </w:numPr>
    </w:pPr>
    <w:rPr>
      <w:rFonts w:eastAsia="Times New Roman"/>
      <w:lang w:eastAsia="de-DE"/>
    </w:rPr>
  </w:style>
  <w:style w:type="paragraph" w:customStyle="1" w:styleId="ListDash2">
    <w:name w:val="List Dash 2"/>
    <w:basedOn w:val="Normal"/>
    <w:pPr>
      <w:numPr>
        <w:numId w:val="2"/>
      </w:numPr>
    </w:pPr>
    <w:rPr>
      <w:rFonts w:eastAsia="Times New Roman"/>
      <w:lang w:eastAsia="de-DE"/>
    </w:rPr>
  </w:style>
  <w:style w:type="paragraph" w:customStyle="1" w:styleId="ListNumberLevel2">
    <w:name w:val="List Number (Level 2)"/>
    <w:basedOn w:val="Normal"/>
    <w:pPr>
      <w:numPr>
        <w:ilvl w:val="1"/>
        <w:numId w:val="3"/>
      </w:numPr>
    </w:pPr>
    <w:rPr>
      <w:rFonts w:eastAsia="Times New Roman"/>
      <w:lang w:eastAsia="de-DE"/>
    </w:rPr>
  </w:style>
  <w:style w:type="paragraph" w:customStyle="1" w:styleId="ListNumberLevel3">
    <w:name w:val="List Number (Level 3)"/>
    <w:basedOn w:val="Normal"/>
    <w:pPr>
      <w:numPr>
        <w:ilvl w:val="2"/>
        <w:numId w:val="3"/>
      </w:numPr>
    </w:pPr>
    <w:rPr>
      <w:rFonts w:eastAsia="Times New Roman"/>
      <w:lang w:eastAsia="de-DE"/>
    </w:rPr>
  </w:style>
  <w:style w:type="paragraph" w:customStyle="1" w:styleId="ListNumberLevel4">
    <w:name w:val="List Number (Level 4)"/>
    <w:basedOn w:val="Normal"/>
    <w:pPr>
      <w:numPr>
        <w:ilvl w:val="3"/>
        <w:numId w:val="3"/>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Pagedecouverture">
    <w:name w:val="Page de couverture"/>
    <w:basedOn w:val="Normal"/>
    <w:next w:val="Normal"/>
    <w:pPr>
      <w:spacing w:before="0" w:after="0"/>
    </w:pPr>
  </w:style>
  <w:style w:type="paragraph" w:customStyle="1" w:styleId="Annexetitre">
    <w:name w:val="Annexe titre"/>
    <w:basedOn w:val="Normal"/>
    <w:next w:val="Normal"/>
    <w:pPr>
      <w:jc w:val="center"/>
    </w:pPr>
    <w:rPr>
      <w:b/>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ListBullet1">
    <w:name w:val="List Bullet 1"/>
    <w:basedOn w:val="Normal"/>
    <w:pPr>
      <w:numPr>
        <w:numId w:val="6"/>
      </w:numPr>
    </w:pPr>
    <w:rPr>
      <w:rFonts w:eastAsia="Times New Roman"/>
      <w:lang w:eastAsia="de-DE"/>
    </w:rPr>
  </w:style>
  <w:style w:type="paragraph" w:styleId="ListBullet">
    <w:name w:val="List Bullet"/>
    <w:basedOn w:val="Normal"/>
    <w:pPr>
      <w:numPr>
        <w:numId w:val="7"/>
      </w:numPr>
    </w:pPr>
    <w:rPr>
      <w:rFonts w:eastAsia="Times New Roman"/>
      <w:lang w:eastAsia="en-GB"/>
    </w:rPr>
  </w:style>
  <w:style w:type="paragraph" w:styleId="ListParagraph">
    <w:name w:val="List Paragraph"/>
    <w:aliases w:val="List Paragraph compact,Dot pt,F5 List Paragraph,List Paragraph1,No Spacing1,List Paragraph Char Char Char,Indicator Text,Numbered Para 1,Bullet Points,MAIN CONTENT,List Paragraph12,OBC Bullet,Colorful List - Accent 11"/>
    <w:basedOn w:val="Normal"/>
    <w:link w:val="ListParagraphChar"/>
    <w:uiPriority w:val="34"/>
    <w:qFormat/>
    <w:pPr>
      <w:spacing w:before="0" w:after="0"/>
      <w:ind w:left="720"/>
    </w:pPr>
    <w:rPr>
      <w:rFonts w:ascii="Garamond" w:eastAsia="Garamond" w:hAnsi="Garamond"/>
      <w:sz w:val="20"/>
      <w:szCs w:val="20"/>
      <w:lang w:eastAsia="en-GB"/>
    </w:rPr>
  </w:style>
  <w:style w:type="character" w:customStyle="1" w:styleId="ListParagraphChar">
    <w:name w:val="List Paragraph Char"/>
    <w:aliases w:val="List Paragraph compact Char,Dot pt Char,F5 List Paragraph Char,List Paragraph1 Char,No Spacing1 Char,List Paragraph Char Char Char Char,Indicator Text Char,Numbered Para 1 Char,Bullet Points Char,MAIN CONTENT Char,OBC Bullet Char"/>
    <w:link w:val="ListParagraph"/>
    <w:uiPriority w:val="34"/>
    <w:qFormat/>
    <w:rPr>
      <w:rFonts w:ascii="Garamond" w:eastAsia="Garamond" w:hAnsi="Garamond" w:cs="Times New Roman"/>
      <w:sz w:val="20"/>
      <w:szCs w:val="20"/>
      <w:lang w:eastAsia="en-GB"/>
    </w:rPr>
  </w:style>
  <w:style w:type="paragraph" w:styleId="CommentText">
    <w:name w:val="annotation text"/>
    <w:basedOn w:val="Normal"/>
    <w:link w:val="CommentTextChar"/>
    <w:uiPriority w:val="99"/>
    <w:unhideWhenUsed/>
    <w:pPr>
      <w:spacing w:before="100" w:beforeAutospacing="1" w:after="100" w:afterAutospacing="1"/>
      <w:jc w:val="left"/>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heme="minorEastAsia"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FollowedHyperlink">
    <w:name w:val="FollowedHyperlink"/>
    <w:basedOn w:val="DefaultParagraphFont"/>
    <w:unhideWhenUsed/>
    <w:rPr>
      <w:color w:val="800080" w:themeColor="followedHyperlink"/>
      <w:u w:val="singl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0"/>
      </w:numPr>
      <w:contextualSpacing/>
    </w:pPr>
    <w:rPr>
      <w:rFonts w:eastAsia="Times New Roman"/>
      <w:lang w:eastAsia="en-GB"/>
    </w:rPr>
  </w:style>
  <w:style w:type="paragraph" w:styleId="ListBullet3">
    <w:name w:val="List Bullet 3"/>
    <w:basedOn w:val="Normal"/>
    <w:pPr>
      <w:numPr>
        <w:numId w:val="11"/>
      </w:numPr>
      <w:contextualSpacing/>
    </w:pPr>
    <w:rPr>
      <w:rFonts w:eastAsia="Times New Roman"/>
      <w:lang w:eastAsia="en-GB"/>
    </w:rPr>
  </w:style>
  <w:style w:type="paragraph" w:styleId="ListBullet4">
    <w:name w:val="List Bullet 4"/>
    <w:basedOn w:val="Normal"/>
    <w:pPr>
      <w:numPr>
        <w:numId w:val="12"/>
      </w:numPr>
      <w:contextualSpacing/>
    </w:pPr>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r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0"/>
      </w:numPr>
    </w:pPr>
  </w:style>
  <w:style w:type="paragraph" w:customStyle="1" w:styleId="Bullet1">
    <w:name w:val="Bullet 1"/>
    <w:basedOn w:val="Normal"/>
    <w:pPr>
      <w:numPr>
        <w:numId w:val="19"/>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6005">
      <w:bodyDiv w:val="1"/>
      <w:marLeft w:val="0"/>
      <w:marRight w:val="0"/>
      <w:marTop w:val="0"/>
      <w:marBottom w:val="0"/>
      <w:divBdr>
        <w:top w:val="none" w:sz="0" w:space="0" w:color="auto"/>
        <w:left w:val="none" w:sz="0" w:space="0" w:color="auto"/>
        <w:bottom w:val="none" w:sz="0" w:space="0" w:color="auto"/>
        <w:right w:val="none" w:sz="0" w:space="0" w:color="auto"/>
      </w:divBdr>
    </w:div>
    <w:div w:id="1081365371">
      <w:bodyDiv w:val="1"/>
      <w:marLeft w:val="0"/>
      <w:marRight w:val="0"/>
      <w:marTop w:val="0"/>
      <w:marBottom w:val="0"/>
      <w:divBdr>
        <w:top w:val="none" w:sz="0" w:space="0" w:color="auto"/>
        <w:left w:val="none" w:sz="0" w:space="0" w:color="auto"/>
        <w:bottom w:val="none" w:sz="0" w:space="0" w:color="auto"/>
        <w:right w:val="none" w:sz="0" w:space="0" w:color="auto"/>
      </w:divBdr>
    </w:div>
    <w:div w:id="1270821905">
      <w:bodyDiv w:val="1"/>
      <w:marLeft w:val="0"/>
      <w:marRight w:val="0"/>
      <w:marTop w:val="0"/>
      <w:marBottom w:val="0"/>
      <w:divBdr>
        <w:top w:val="none" w:sz="0" w:space="0" w:color="auto"/>
        <w:left w:val="none" w:sz="0" w:space="0" w:color="auto"/>
        <w:bottom w:val="none" w:sz="0" w:space="0" w:color="auto"/>
        <w:right w:val="none" w:sz="0" w:space="0" w:color="auto"/>
      </w:divBdr>
    </w:div>
    <w:div w:id="1609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39433A02F1448BF88E41489093EC1" ma:contentTypeVersion="1" ma:contentTypeDescription="Create a new document." ma:contentTypeScope="" ma:versionID="b7f171fb8f66c38e6ba0f4b4edc7001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EC9570-0809-4904-959B-D4FFE177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42C0-FB90-4377-91D3-9BA4D59C3AE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9235A7-531F-47A2-9845-B4F00A25BF19}">
  <ds:schemaRefs>
    <ds:schemaRef ds:uri="http://schemas.microsoft.com/sharepoint/v3/contenttype/forms"/>
  </ds:schemaRefs>
</ds:datastoreItem>
</file>

<file path=customXml/itemProps4.xml><?xml version="1.0" encoding="utf-8"?>
<ds:datastoreItem xmlns:ds="http://schemas.openxmlformats.org/officeDocument/2006/customXml" ds:itemID="{5E7B9B2D-73DD-467A-9D0D-8550A518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4268</Words>
  <Characters>25824</Characters>
  <Application>Microsoft Office Word</Application>
  <DocSecurity>0</DocSecurity>
  <Lines>2152</Lines>
  <Paragraphs>940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WES PDFC Administrator</cp:lastModifiedBy>
  <cp:revision>12</cp:revision>
  <dcterms:created xsi:type="dcterms:W3CDTF">2020-09-09T11:17:00Z</dcterms:created>
  <dcterms:modified xsi:type="dcterms:W3CDTF">2020-10-20T11:16:00Z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y fmtid="{D5CDD505-2E9C-101B-9397-08002B2CF9AE}" pid="12" name="_LW_INVALIDATED__LW_INVALIDATED__LW_INVALIDATED__LW_INVALIDATED__LW_INVALIDATED__LW_INVALIDATED__LW_INVALIDATED_ContentTypeId">
    <vt:lpwstr>0x0101001CE39433A02F1448BF88E41489093EC1</vt:lpwstr>
  </property>
</Properties>
</file>