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408E0C7-4D15-473C-90EF-3CC70E10A95E" style="width:450.75pt;height:351.7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t>1.1.</w:t>
      </w:r>
      <w:r>
        <w:tab/>
      </w:r>
      <w:r>
        <w:rPr>
          <w:noProof/>
        </w:rPr>
        <w:t>Основания и цели на предложението</w:t>
      </w:r>
    </w:p>
    <w:p>
      <w:pPr>
        <w:pStyle w:val="ManualHeading3"/>
        <w:rPr>
          <w:noProof/>
        </w:rPr>
      </w:pPr>
      <w:r>
        <w:t>1.1.1.</w:t>
      </w:r>
      <w:r>
        <w:tab/>
      </w:r>
      <w:r>
        <w:rPr>
          <w:noProof/>
        </w:rPr>
        <w:t>Общ контекст</w:t>
      </w:r>
    </w:p>
    <w:p>
      <w:pPr>
        <w:rPr>
          <w:rFonts w:ascii="TimesNewRoman" w:hAnsi="TimesNewRoman" w:cs="TimesNewRoman"/>
          <w:noProof/>
          <w:szCs w:val="24"/>
        </w:rPr>
      </w:pPr>
      <w:r>
        <w:rPr>
          <w:noProof/>
        </w:rPr>
        <w:t>От 2003 г. насам риболовът на дълбоководни видове в ЕС се регулира посредством общ допустим улов (ОДУ) по видове и зони и посредством максималния риболовен капацитет, който се прилага в североизточната част на Атлантическия океан. ОДУ за 2019 г. и 2020 г. по отношение на някои дълбоководни видове е установен с Регламент (ЕС) 2018/2025 на Съвета за определяне на възможностите за риболов за 2019 г. и 2020 г. на някои запаси от дълбоководна риба за риболовните кораби на Съюза</w:t>
      </w:r>
      <w:r>
        <w:rPr>
          <w:rStyle w:val="FootnoteReference"/>
          <w:noProof/>
          <w:szCs w:val="24"/>
        </w:rPr>
        <w:footnoteReference w:id="1"/>
      </w:r>
      <w:r>
        <w:rPr>
          <w:noProof/>
        </w:rPr>
        <w:t xml:space="preserve">. </w:t>
      </w:r>
    </w:p>
    <w:p>
      <w:pPr>
        <w:rPr>
          <w:noProof/>
          <w:szCs w:val="24"/>
        </w:rPr>
      </w:pPr>
      <w:r>
        <w:rPr>
          <w:noProof/>
        </w:rPr>
        <w:t>Определянето и поделянето на възможностите за риболов е от изключителната компетентност на Съюза. Задълженията по отношение на устойчивата експлоатация на живите водни ресурси са определени в член 2 от Регламент (ЕС) № 1380/2013. По-специално в член 2, параграф 2 от регламента се установява подход на предпазливост към управлението на рибарството (определен в член 4, параграфи 1 и 8 от същия регламент) и се предвижда, че целта на общата политика в областта на рибарството (ОПОР) е да се гарантира възстановяването и поддържането на максималния устойчив улов. Същевременно, съгласно член 16, параграф 4 от посочения регламент, възможностите за риболов трябва да се определят в съответствие с целите, формулирани в член 2, параграф 2.</w:t>
      </w:r>
    </w:p>
    <w:p>
      <w:pPr>
        <w:rPr>
          <w:noProof/>
        </w:rPr>
      </w:pPr>
      <w:r>
        <w:rPr>
          <w:noProof/>
        </w:rPr>
        <w:t>В посочения регламент също така се съдържат възможностите за риболов, които произтичат от многостранни или двустранни консултации в областта на рибарството. Резултатът от тези консултации се прилага посредством вътрешно разпределение между държавите членки въз основа на принципа на относителната стабилност.</w:t>
      </w:r>
    </w:p>
    <w:p>
      <w:pPr>
        <w:rPr>
          <w:noProof/>
          <w:sz w:val="22"/>
        </w:rPr>
      </w:pPr>
      <w:r>
        <w:rPr>
          <w:noProof/>
        </w:rPr>
        <w:t xml:space="preserve">Преходният период, определен в споразумението за оттегляне между ЕС и Обединеното кралство, изтича в края на 2020 г., след като Обединеното кралство посочи, че не проявява интерес към допълнителното му удължаване. Поради това запасите, във връзка с които ще е необходимо да се проведат консултации между Комисията и Обединеното кралство относно квотите за възможности за риболов за 2021 г. и 2022 г., се обозначават като </w:t>
      </w:r>
      <w:r>
        <w:rPr>
          <w:i/>
          <w:noProof/>
        </w:rPr>
        <w:t>pro memoria</w:t>
      </w:r>
      <w:r>
        <w:rPr>
          <w:noProof/>
        </w:rPr>
        <w:t xml:space="preserve"> в очакване на резултата от текущите преговори относно сътрудничеството при експлоатирането на тези запаси, включително възможностите за риболов, дяловете от квотите и достъпа до водите на Обединеното кралство.</w:t>
      </w:r>
    </w:p>
    <w:p>
      <w:pPr>
        <w:rPr>
          <w:noProof/>
        </w:rPr>
      </w:pPr>
      <w:r>
        <w:rPr>
          <w:noProof/>
        </w:rPr>
        <w:t>Данните за други общи запаси или възможности за риболов, разменяни с трети държави, ще са налични едва след приключването на консултациите с тези трети държави, като тогава предложението ще бъде допълнено с неофициални документи.</w:t>
      </w:r>
    </w:p>
    <w:p>
      <w:pPr>
        <w:rPr>
          <w:noProof/>
          <w:szCs w:val="24"/>
        </w:rPr>
      </w:pPr>
      <w:r>
        <w:rPr>
          <w:noProof/>
        </w:rPr>
        <w:t xml:space="preserve">Възможностите за риболов на дълбоководни видове следва да се установят и в съответствие с международните споразумения, включително със Споразумението на ООН от 1995 г. относно опазването и управлението на трансгранично преминаващите и далекомигриращите рибни запаси („Споразумението на ООН от 1995 г. относно рибните запаси“). В случаите, в които наличните данни са несигурни, ненадеждни или неподходящи, от особена важност е да се използва подход на предпазливост. Съгласно </w:t>
      </w:r>
      <w:r>
        <w:rPr>
          <w:noProof/>
        </w:rPr>
        <w:lastRenderedPageBreak/>
        <w:t xml:space="preserve">член 6, параграф 2 от Споразумението на ООН от 1995 г. относно рибните запаси липсата на подходящи научни данни не може да се използва като основание за отлагането или невземането на мерки за опазване и управление. Предложените равнища на ОДУ също така са съобразени с Международните насоки за управление на дълбоководния риболов в открито море на Организацията на ООН за прехрана и земеделие от 2008 г., които бяха потвърдени с последващи резолюции на Общото събрание на ООН (резолюции 61/105 от 2007 г., 64/72 от 2009 г. и най-новата — 70/235 от 2015 г.). </w:t>
      </w:r>
    </w:p>
    <w:p>
      <w:pPr>
        <w:pStyle w:val="ManualHeading3"/>
        <w:rPr>
          <w:noProof/>
        </w:rPr>
      </w:pPr>
      <w:r>
        <w:t>1.1.2.</w:t>
      </w:r>
      <w:r>
        <w:tab/>
      </w:r>
      <w:r>
        <w:rPr>
          <w:noProof/>
        </w:rPr>
        <w:t>Задължение за разтоварване на сушата, въведено с Регламент (ЕС) № 1380/2013</w:t>
      </w:r>
    </w:p>
    <w:p>
      <w:pPr>
        <w:rPr>
          <w:noProof/>
        </w:rPr>
      </w:pPr>
      <w:r>
        <w:rPr>
          <w:noProof/>
        </w:rPr>
        <w:t>Задължението за разтоварване на сушата, предвидено в основния регламент за ОПОР, беше въведено постепенно между 2015 г. и 2019 г. От 1 януари 2019 г. то обхваща всички запаси, за които се прилагат ограничения на улова. Възможно е обаче прилагането на някои изключения от това задължение. Въз основа на съвместните препоръки, представени от държавите членки, Комисията прие делегирани регламенти, в които се определят специални планове за премахване на изхвърлянето на улов, позволяващи изхвърлянето на ограничени количества на базата на минимални изключения или изключения въз основа на висока способност за оцеляване.</w:t>
      </w:r>
    </w:p>
    <w:p>
      <w:pPr>
        <w:rPr>
          <w:noProof/>
        </w:rPr>
      </w:pPr>
      <w:r>
        <w:rPr>
          <w:noProof/>
        </w:rPr>
        <w:t>С въвеждането на задължението за разтоварване на сушата и в съответствие с член 16, параграф 2 от Регламент (ЕС) № 1380/2013 предлаганите възможности за риболов трябва да отразяват промяната от разтоварвано количество към уловено количество, като се има предвид, че изхвърлянето на улов вече не се разрешава. Това става въз основа на получените научни становища за рибните запаси при риболовните дейности, посочени в член 15, параграф 1 от основния регламент за ОПОР. Възможностите за риболов следва да се определят и в съответствие с други приложими разпоредби — член 16, параграф 1 (по отношение на принципа на относителна стабилност) и член 16, параграф 4 (по отношение на целите на ОПОР и правилата, предвидени в многогодишните планове).</w:t>
      </w:r>
    </w:p>
    <w:p>
      <w:pPr>
        <w:rPr>
          <w:bCs/>
          <w:noProof/>
        </w:rPr>
      </w:pPr>
      <w:r>
        <w:rPr>
          <w:noProof/>
        </w:rPr>
        <w:t>Поради това и с оглед на пълното прилагане на задължението за разтоварване на сушата Комисията предлага равнища на ОДУ, основаващи се на становища относно улова, а не на становища относно разтоварванията на сушата, каквато беше досегашната практика. В предложените квоти на Съюза се взема предвид бъдещото изхвърляне на ограничени количества улов въз основа на установени изключения, вследствие на което въпросните количества няма да бъдат разтоварвани на сушата и приспадани от квотите. Тези количества съответно се приспадат от квотите на Съюза.</w:t>
      </w:r>
    </w:p>
    <w:p>
      <w:pPr>
        <w:pStyle w:val="ManualHeading3"/>
        <w:rPr>
          <w:rFonts w:eastAsia="Arial Unicode MS"/>
          <w:noProof/>
        </w:rPr>
      </w:pPr>
      <w:r>
        <w:t>1.1.3.</w:t>
      </w:r>
      <w:r>
        <w:tab/>
      </w:r>
      <w:r>
        <w:rPr>
          <w:noProof/>
        </w:rPr>
        <w:t>Съществуващи разпоредби в областта на предложението</w:t>
      </w:r>
    </w:p>
    <w:p>
      <w:pPr>
        <w:rPr>
          <w:noProof/>
        </w:rPr>
      </w:pPr>
      <w:r>
        <w:rPr>
          <w:noProof/>
        </w:rPr>
        <w:t xml:space="preserve">Съществуващите разпоредби в областта на предложението са установени в Регламент (ЕС) 2018/2025 на Съвета и са приложими до 31 декември 2020 г. Наред с това в Регламент (ЕС) 2016/2336 на Европейския парламент и на Съвета се определят специални условия за риболова на дълбоководни запаси в североизточната част на Атлантическия океан.  </w:t>
      </w:r>
    </w:p>
    <w:p>
      <w:pPr>
        <w:rPr>
          <w:noProof/>
        </w:rPr>
      </w:pPr>
      <w:r>
        <w:rPr>
          <w:noProof/>
        </w:rPr>
        <w:t>Планът за управление на западните води (определен с Регламент (ЕС) 2019/472), обхващащ част от запасите, които са предмет на настоящия регламент, се прилага по отношение на:</w:t>
      </w:r>
    </w:p>
    <w:p>
      <w:pPr>
        <w:pStyle w:val="Tiret0"/>
        <w:numPr>
          <w:ilvl w:val="0"/>
          <w:numId w:val="6"/>
        </w:numPr>
        <w:rPr>
          <w:noProof/>
        </w:rPr>
      </w:pPr>
      <w:r>
        <w:rPr>
          <w:noProof/>
        </w:rPr>
        <w:t xml:space="preserve">гренадир в подзони 6, 7 и 5b на ICES, </w:t>
      </w:r>
    </w:p>
    <w:p>
      <w:pPr>
        <w:pStyle w:val="Tiret0"/>
        <w:rPr>
          <w:noProof/>
        </w:rPr>
      </w:pPr>
      <w:r>
        <w:rPr>
          <w:noProof/>
        </w:rPr>
        <w:t>афанопус в подзони 1, 2, 4, 6—8, 10 и 14 на ICES и участъци 3a, 5a, 5b, 9а и 12b на ICES;</w:t>
      </w:r>
    </w:p>
    <w:p>
      <w:pPr>
        <w:pStyle w:val="Tiret0"/>
        <w:rPr>
          <w:noProof/>
        </w:rPr>
      </w:pPr>
      <w:r>
        <w:rPr>
          <w:noProof/>
        </w:rPr>
        <w:lastRenderedPageBreak/>
        <w:t>червенопер пагел в подзона 9 на ICES.</w:t>
      </w:r>
    </w:p>
    <w:p>
      <w:pPr>
        <w:pStyle w:val="ManualHeading3"/>
        <w:rPr>
          <w:noProof/>
        </w:rPr>
      </w:pPr>
      <w:r>
        <w:t>1.1.4.</w:t>
      </w:r>
      <w:r>
        <w:tab/>
      </w:r>
      <w:r>
        <w:rPr>
          <w:noProof/>
        </w:rPr>
        <w:t>Съгласуваност с действащите разпоредби в тази област на политиката</w:t>
      </w:r>
    </w:p>
    <w:p>
      <w:pPr>
        <w:rPr>
          <w:rFonts w:eastAsia="Arial Unicode MS"/>
          <w:noProof/>
          <w:color w:val="000000"/>
          <w:u w:color="000000"/>
          <w:bdr w:val="nil"/>
        </w:rPr>
      </w:pPr>
      <w:r>
        <w:rPr>
          <w:noProof/>
        </w:rPr>
        <w:t>Предложените мерки са разработени в съответствие с целите и правилата на ОПОР и са съвместими с политиката на Съюза за устойчиво развитие, по-специално с Регламент (ЕС) 2016/2336, установяващ специални условия за риболова на дълбоководни запаси в североизточната част на Атлантическия океан.</w:t>
      </w:r>
    </w:p>
    <w:p>
      <w:pPr>
        <w:pStyle w:val="ManualHeading1"/>
        <w:rPr>
          <w:noProof/>
        </w:rPr>
      </w:pPr>
      <w:r>
        <w:t>2.</w:t>
      </w:r>
      <w:r>
        <w:tab/>
      </w:r>
      <w:r>
        <w:rPr>
          <w:noProof/>
        </w:rPr>
        <w:t>ПРАВНО ОСНОВАНИЕ, СУБСИДИАРНОСТ И ПРОПОРЦИОНАЛНОСТ</w:t>
      </w:r>
    </w:p>
    <w:p>
      <w:pPr>
        <w:pStyle w:val="ManualHeading2"/>
        <w:rPr>
          <w:rFonts w:eastAsia="Arial Unicode MS"/>
          <w:noProof/>
          <w:u w:color="000000"/>
          <w:bdr w:val="nil"/>
        </w:rPr>
      </w:pPr>
      <w:r>
        <w:t>2.1.</w:t>
      </w:r>
      <w:r>
        <w:tab/>
      </w:r>
      <w:r>
        <w:rPr>
          <w:noProof/>
        </w:rPr>
        <w:t>•</w:t>
      </w:r>
      <w:r>
        <w:rPr>
          <w:noProof/>
        </w:rPr>
        <w:tab/>
        <w:t>Правно основание</w:t>
      </w:r>
    </w:p>
    <w:p>
      <w:pPr>
        <w:rPr>
          <w:noProof/>
        </w:rPr>
      </w:pPr>
      <w:r>
        <w:rPr>
          <w:noProof/>
        </w:rPr>
        <w:t>В член 43, параграф 3 от ДФЕС се постановява, че мерките „за определянето и разпределянето на възможностите за риболов“ се приемат от Съвета по предложение на Комисията. Настоящото предложение е ограничено до определянето и разпределянето на възможностите за риболов и условията, които са функционално свързани с използването на тези възможности за риболов.</w:t>
      </w:r>
    </w:p>
    <w:p>
      <w:pPr>
        <w:rPr>
          <w:noProof/>
        </w:rPr>
      </w:pPr>
      <w:r>
        <w:rPr>
          <w:noProof/>
        </w:rPr>
        <w:t>С настоящото предложение съответно се установяват — посредством регламент на Съвета — ограниченията на улова за риболовните флотове на Съюза по отношение на дълбоководните видове с най-голямо стопанско значение във водите на Съюза и в международните води в североизточната част на Атлантическия океан, с оглед постигане на целта на ОПОР за осигуряване на устойчивост на риболовните дейности от екологична, икономическа и социална гледна точка. Предложението попада в обхвата на изключителната компетентност на Съюза в съответствие с член 3, параграф 1, буква г) от ДФЕС. Следователно принципът на субсидиарност не се прилага.</w:t>
      </w:r>
    </w:p>
    <w:p>
      <w:pPr>
        <w:pStyle w:val="ManualHeading2"/>
        <w:rPr>
          <w:rFonts w:eastAsia="Arial Unicode MS"/>
          <w:noProof/>
          <w:u w:color="000000"/>
          <w:bdr w:val="nil"/>
        </w:rPr>
      </w:pPr>
      <w:r>
        <w:t>2.2.</w:t>
      </w:r>
      <w:r>
        <w:tab/>
      </w:r>
      <w:r>
        <w:rPr>
          <w:noProof/>
          <w:u w:color="000000"/>
          <w:bdr w:val="nil"/>
        </w:rPr>
        <w:t>Пропорционалност</w:t>
      </w:r>
    </w:p>
    <w:p>
      <w:pPr>
        <w:rPr>
          <w:noProof/>
        </w:rPr>
      </w:pPr>
      <w:r>
        <w:rPr>
          <w:noProof/>
        </w:rPr>
        <w:t xml:space="preserve">Предложението е в съответствие с принципа на пропорционалност, тъй като ОПОР е обща политика. Съгласно член 43, параграф 3 от ДФЕС мерките за определянето и разпределянето на възможностите за риболов се приемат от Съвета. </w:t>
      </w:r>
    </w:p>
    <w:p>
      <w:pPr>
        <w:rPr>
          <w:noProof/>
        </w:rPr>
      </w:pPr>
      <w:r>
        <w:rPr>
          <w:noProof/>
        </w:rPr>
        <w:t>В съответствие с член 16, параграф 6 от Регламент (ЕС) № 1380/2013 държавите членки решават как възможностите за риболов, за които не се прилага система за прехвърляеми риболовни концесии, да бъдат разпределяни на региони или оператори в съответствие с член 16, параграф 7 и посочените в член 17 критерии. Следователно държавите членки имат свобода на действие във връзка с решенията относно социално-икономическия модел, който ще изберат, за да усвоят предоставените им възможности за риболов.</w:t>
      </w:r>
    </w:p>
    <w:p>
      <w:pPr>
        <w:pStyle w:val="ManualHeading1"/>
        <w:rPr>
          <w:noProof/>
        </w:rPr>
      </w:pPr>
      <w:r>
        <w:t>3.</w:t>
      </w:r>
      <w:r>
        <w:tab/>
      </w:r>
      <w:r>
        <w:rPr>
          <w:noProof/>
        </w:rPr>
        <w:t>РЕЗУЛТАТИ ОТ КОНСУЛТАЦИИТЕ СЪС ЗАИНТЕРЕСОВАНИТЕ СТРАНИ И ОЦЕНКИТЕ НА ВЪЗДЕЙСТВИЕТО</w:t>
      </w:r>
    </w:p>
    <w:p>
      <w:pPr>
        <w:pStyle w:val="ManualHeading2"/>
        <w:rPr>
          <w:rFonts w:eastAsia="Arial Unicode MS"/>
          <w:noProof/>
          <w:u w:color="000000"/>
          <w:bdr w:val="nil"/>
        </w:rPr>
      </w:pPr>
      <w:r>
        <w:t>3.1.</w:t>
      </w:r>
      <w:r>
        <w:tab/>
      </w:r>
      <w:r>
        <w:rPr>
          <w:noProof/>
          <w:u w:color="000000"/>
          <w:bdr w:val="nil"/>
        </w:rPr>
        <w:t>Консултации със заинтересованите страни</w:t>
      </w:r>
    </w:p>
    <w:p>
      <w:pPr>
        <w:rPr>
          <w:rFonts w:eastAsia="Arial Unicode MS"/>
          <w:noProof/>
          <w:u w:color="000000"/>
          <w:bdr w:val="nil"/>
        </w:rPr>
      </w:pPr>
      <w:r>
        <w:rPr>
          <w:noProof/>
        </w:rPr>
        <w:t>Предложението е изготвено въз основа на принципите и напътствията, съдържащи се в съобщението на Комисията на тема „Към по-устойчив риболов в ЕС: актуално състояние и насоки за 2021 г.“</w:t>
      </w:r>
      <w:r>
        <w:rPr>
          <w:rStyle w:val="FootnoteReference"/>
          <w:noProof/>
          <w:szCs w:val="24"/>
        </w:rPr>
        <w:footnoteReference w:id="2"/>
      </w:r>
      <w:r>
        <w:rPr>
          <w:noProof/>
          <w:color w:val="444444"/>
        </w:rPr>
        <w:t>.</w:t>
      </w:r>
      <w:r>
        <w:rPr>
          <w:noProof/>
        </w:rPr>
        <w:t xml:space="preserve"> В контекста на това съобщение Комисията проведе обстойни консултации със заинтересованите страни, гражданското общество, държавите членки и широката общественост</w:t>
      </w:r>
      <w:r>
        <w:rPr>
          <w:rStyle w:val="FootnoteReference"/>
          <w:noProof/>
          <w:szCs w:val="24"/>
        </w:rPr>
        <w:footnoteReference w:id="3"/>
      </w:r>
      <w:r>
        <w:rPr>
          <w:noProof/>
        </w:rPr>
        <w:t xml:space="preserve">. </w:t>
      </w:r>
    </w:p>
    <w:p>
      <w:pPr>
        <w:pStyle w:val="ManualHeading1"/>
        <w:rPr>
          <w:noProof/>
        </w:rPr>
      </w:pPr>
      <w:r>
        <w:lastRenderedPageBreak/>
        <w:t>4.</w:t>
      </w:r>
      <w:r>
        <w:tab/>
      </w:r>
      <w:r>
        <w:rPr>
          <w:noProof/>
        </w:rPr>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не поражда нови финансови последици за държавите членки. Тъй като такъв регламент се приема от Съвета на всеки две години, държавните и частните механизми за неговото прилагане са вече създадени.</w:t>
      </w:r>
    </w:p>
    <w:p>
      <w:pPr>
        <w:pStyle w:val="ManualHeading1"/>
        <w:rPr>
          <w:noProof/>
        </w:rPr>
      </w:pPr>
      <w:r>
        <w:t>5.</w:t>
      </w:r>
      <w:r>
        <w:tab/>
      </w:r>
      <w:r>
        <w:rPr>
          <w:noProof/>
        </w:rPr>
        <w:t>ДРУГИ ЕЛЕМЕНТИ</w:t>
      </w:r>
    </w:p>
    <w:p>
      <w:pPr>
        <w:pStyle w:val="ManualHeading2"/>
        <w:rPr>
          <w:rFonts w:eastAsia="Arial Unicode MS"/>
          <w:noProof/>
          <w:u w:color="000000"/>
          <w:bdr w:val="nil"/>
        </w:rPr>
      </w:pPr>
      <w:r>
        <w:t>5.1.</w:t>
      </w:r>
      <w:r>
        <w:tab/>
      </w:r>
      <w:r>
        <w:rPr>
          <w:noProof/>
          <w:u w:color="000000"/>
          <w:bdr w:val="nil"/>
        </w:rPr>
        <w:t>Подробно разяснение на отделните разпоредби на предложението</w:t>
      </w:r>
    </w:p>
    <w:p>
      <w:pPr>
        <w:rPr>
          <w:noProof/>
          <w:szCs w:val="24"/>
        </w:rPr>
      </w:pPr>
      <w:r>
        <w:rPr>
          <w:noProof/>
        </w:rPr>
        <w:t>Наличната информация не позволява на учените да извършат цялостна оценка на състоянието на обхванатите от настоящото предложение запаси — нито по отношение на числеността на популациите, нито по отношение на смъртността от риболов. Причините за това са няколко — често пъти тези видове се отличават с много голяма продължителност на живота и бавен темп на растеж, поради което е изключително трудно да се определи структурата на запасите по възрастови групи и да се оцени въздействието на риболова върху тях посредством промените в дължината или възрастовата структура на улова. Честотата на възстановяване на запасите с млади екземпляри също не е известна. Запасите са широко разпространени в дълбочини, които са трудни за изследване от практическа гледна точка. Поради по-малкото търговско значение на тези запаси често пъти липсват данни от научни изследвания или данните не покриват целия район на разпространение. В определени случаи риболовните дейности са насочени само частично към тези видове, а някои дейности са сравнително нови.</w:t>
      </w:r>
    </w:p>
    <w:p>
      <w:pPr>
        <w:rPr>
          <w:noProof/>
          <w:szCs w:val="24"/>
        </w:rPr>
      </w:pPr>
      <w:r>
        <w:rPr>
          <w:noProof/>
        </w:rPr>
        <w:t xml:space="preserve">Предложените ограничения на улова са съобразени с принципите, формулирани в посоченото по-горе съобщение на Комисията във връзка с консултацията относно възможностите за риболов за 2021 г. В съобщението са изложени възгледите на Комисията относно начина на определяне на възможностите за риболов, като при изготвянето на настоящото предложение са взети предвид съответните правила по отношение на установените в него позиции на ОДУ.  В предложението са предвидени следните положения: </w:t>
      </w:r>
    </w:p>
    <w:p>
      <w:pPr>
        <w:pStyle w:val="Bullet0"/>
        <w:numPr>
          <w:ilvl w:val="0"/>
          <w:numId w:val="1"/>
        </w:numPr>
        <w:rPr>
          <w:noProof/>
        </w:rPr>
      </w:pPr>
      <w:r>
        <w:rPr>
          <w:noProof/>
        </w:rPr>
        <w:t>Когато е приложимо, се взема предвид задължението за разтоварване на сушата.</w:t>
      </w:r>
    </w:p>
    <w:p>
      <w:pPr>
        <w:pStyle w:val="Bullet0"/>
        <w:rPr>
          <w:noProof/>
        </w:rPr>
      </w:pPr>
      <w:r>
        <w:rPr>
          <w:noProof/>
        </w:rPr>
        <w:t xml:space="preserve">Когато са представени ориентировъчни научни становища въз основа на качествен анализ на наличната информация (дори ако е непълна или включва експертни оценки), те следва да се използват като основа за решенията относно ОДУ.  Равнищата на ОДУ за запаси, които се поделят с трети държави, следва да се определят като </w:t>
      </w:r>
      <w:r>
        <w:rPr>
          <w:i/>
          <w:iCs/>
          <w:noProof/>
        </w:rPr>
        <w:t>pm</w:t>
      </w:r>
      <w:r>
        <w:rPr>
          <w:noProof/>
        </w:rPr>
        <w:t xml:space="preserve"> (</w:t>
      </w:r>
      <w:r>
        <w:rPr>
          <w:i/>
          <w:iCs/>
          <w:noProof/>
        </w:rPr>
        <w:t>pro memoria</w:t>
      </w:r>
      <w:r>
        <w:rPr>
          <w:noProof/>
        </w:rPr>
        <w:t xml:space="preserve">) до договарянето на възможностите за риболов със съответните трети държави.  В предложението са включени три равнища на ОДУ, за които е предвидено намаляване през 2021 г. и запазване на нивата през 2022 г.  Едно от равнищата на ОДУ е делегирано на Португалия. </w:t>
      </w:r>
    </w:p>
    <w:p>
      <w:pPr>
        <w:pStyle w:val="Bullet0"/>
        <w:rPr>
          <w:noProof/>
          <w:szCs w:val="24"/>
        </w:rPr>
      </w:pPr>
      <w:r>
        <w:rPr>
          <w:noProof/>
        </w:rPr>
        <w:t xml:space="preserve">Предвид лошото биологично състояние на запасите от дълбоководни акули забраната за техния риболов следва да остане в сила.  </w:t>
      </w:r>
    </w:p>
    <w:p>
      <w:pPr>
        <w:pStyle w:val="Bullet0"/>
        <w:rPr>
          <w:noProof/>
        </w:rPr>
      </w:pPr>
      <w:r>
        <w:rPr>
          <w:noProof/>
        </w:rPr>
        <w:t>Забраната за извършване на риболов, задържане на борда, трансбордиране и разтоварване на сушата на атлантически големоглав следва да се запази.  Запасът от него е изчерпан и не се възстановява. ICES отбелязва, че от 2010 г. насам в североизточната част на Атлантическия океан не е извършван целеви риболов от страна на ЕС.</w:t>
      </w:r>
    </w:p>
    <w:p>
      <w:pPr>
        <w:pStyle w:val="ManualHeading2"/>
        <w:rPr>
          <w:noProof/>
        </w:rPr>
      </w:pPr>
      <w:r>
        <w:lastRenderedPageBreak/>
        <w:t>5.2.</w:t>
      </w:r>
      <w:r>
        <w:tab/>
      </w:r>
      <w:r>
        <w:rPr>
          <w:noProof/>
        </w:rPr>
        <w:t>Предложени равнища на ОДУ и обосновка</w:t>
      </w:r>
    </w:p>
    <w:p>
      <w:pPr>
        <w:rPr>
          <w:noProof/>
        </w:rPr>
      </w:pPr>
      <w:r>
        <w:rPr>
          <w:noProof/>
        </w:rPr>
        <w:t>В изявлението на Комисията, оповестено при приемането на многогодишния план за западните води, беше посочено, че когато Комисията предлага равнища на ОДУ, отклоняващи се с над 20 % от предходните, тези случаи ще бъдат включени в обяснителния меморандум към предложението на Комисията, като при необходимост ще бъдат изложени причините за тези изменения. Комисията реши да предостави такава обосновка за всички равнища на ОДУ, включени в нейното предложение.</w:t>
      </w:r>
    </w:p>
    <w:p>
      <w:pPr>
        <w:pStyle w:val="Bullet0"/>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625"/>
        <w:gridCol w:w="1265"/>
        <w:gridCol w:w="1265"/>
        <w:gridCol w:w="1405"/>
        <w:gridCol w:w="2151"/>
      </w:tblGrid>
      <w:tr>
        <w:trPr>
          <w:cantSplit/>
          <w:trHeight w:val="1002"/>
          <w:tblHeader/>
        </w:trPr>
        <w:tc>
          <w:tcPr>
            <w:tcW w:w="0" w:type="auto"/>
            <w:shd w:val="clear" w:color="000000" w:fill="FFFFFF"/>
            <w:vAlign w:val="center"/>
            <w:hideMark/>
          </w:tcPr>
          <w:p>
            <w:pPr>
              <w:spacing w:before="0" w:after="0"/>
              <w:jc w:val="center"/>
              <w:rPr>
                <w:rFonts w:eastAsia="Times New Roman"/>
                <w:b/>
                <w:bCs/>
                <w:noProof/>
                <w:color w:val="000000"/>
                <w:sz w:val="20"/>
                <w:szCs w:val="20"/>
              </w:rPr>
            </w:pPr>
            <w:r>
              <w:rPr>
                <w:b/>
                <w:bCs/>
                <w:noProof/>
                <w:color w:val="000000"/>
                <w:sz w:val="20"/>
                <w:szCs w:val="20"/>
              </w:rPr>
              <w:lastRenderedPageBreak/>
              <w:t>ОДУ</w:t>
            </w:r>
          </w:p>
        </w:tc>
        <w:tc>
          <w:tcPr>
            <w:tcW w:w="0" w:type="auto"/>
            <w:shd w:val="clear" w:color="000000" w:fill="FFFFFF"/>
            <w:vAlign w:val="center"/>
            <w:hideMark/>
          </w:tcPr>
          <w:p>
            <w:pPr>
              <w:spacing w:before="0" w:after="0"/>
              <w:jc w:val="center"/>
              <w:rPr>
                <w:rFonts w:eastAsia="Times New Roman"/>
                <w:b/>
                <w:bCs/>
                <w:noProof/>
                <w:color w:val="000000"/>
                <w:sz w:val="20"/>
                <w:szCs w:val="20"/>
              </w:rPr>
            </w:pPr>
            <w:r>
              <w:rPr>
                <w:b/>
                <w:bCs/>
                <w:noProof/>
                <w:color w:val="000000"/>
                <w:sz w:val="20"/>
                <w:szCs w:val="20"/>
              </w:rPr>
              <w:t>Наименование на морската зона</w:t>
            </w:r>
          </w:p>
        </w:tc>
        <w:tc>
          <w:tcPr>
            <w:tcW w:w="0" w:type="auto"/>
            <w:shd w:val="clear" w:color="000000" w:fill="auto"/>
            <w:vAlign w:val="center"/>
            <w:hideMark/>
          </w:tcPr>
          <w:p>
            <w:pPr>
              <w:spacing w:before="0" w:after="0"/>
              <w:jc w:val="center"/>
              <w:rPr>
                <w:rFonts w:eastAsia="Times New Roman"/>
                <w:b/>
                <w:bCs/>
                <w:noProof/>
                <w:color w:val="000000"/>
                <w:sz w:val="20"/>
                <w:szCs w:val="20"/>
              </w:rPr>
            </w:pPr>
            <w:r>
              <w:rPr>
                <w:b/>
                <w:bCs/>
                <w:noProof/>
                <w:color w:val="000000"/>
                <w:sz w:val="20"/>
                <w:szCs w:val="20"/>
              </w:rPr>
              <w:t>Предложен ОДУ за 2021 г.</w:t>
            </w:r>
          </w:p>
        </w:tc>
        <w:tc>
          <w:tcPr>
            <w:tcW w:w="0" w:type="auto"/>
            <w:shd w:val="clear" w:color="000000" w:fill="FFFFFF"/>
          </w:tcPr>
          <w:p>
            <w:pPr>
              <w:spacing w:before="360" w:after="0"/>
              <w:jc w:val="center"/>
              <w:rPr>
                <w:rFonts w:eastAsia="Times New Roman"/>
                <w:b/>
                <w:bCs/>
                <w:noProof/>
                <w:color w:val="000000"/>
                <w:sz w:val="20"/>
                <w:szCs w:val="20"/>
              </w:rPr>
            </w:pPr>
            <w:r>
              <w:rPr>
                <w:b/>
                <w:bCs/>
                <w:noProof/>
                <w:color w:val="000000"/>
                <w:sz w:val="20"/>
                <w:szCs w:val="20"/>
              </w:rPr>
              <w:t>Предложен ОДУ за 2022 г.</w:t>
            </w:r>
          </w:p>
        </w:tc>
        <w:tc>
          <w:tcPr>
            <w:tcW w:w="0" w:type="auto"/>
            <w:shd w:val="clear" w:color="000000" w:fill="FFFFFF"/>
            <w:vAlign w:val="center"/>
            <w:hideMark/>
          </w:tcPr>
          <w:p>
            <w:pPr>
              <w:spacing w:before="240" w:after="0"/>
              <w:jc w:val="center"/>
              <w:rPr>
                <w:rFonts w:eastAsia="Times New Roman"/>
                <w:b/>
                <w:bCs/>
                <w:noProof/>
                <w:color w:val="000000"/>
                <w:sz w:val="20"/>
                <w:szCs w:val="20"/>
              </w:rPr>
            </w:pPr>
            <w:r>
              <w:rPr>
                <w:b/>
                <w:bCs/>
                <w:noProof/>
                <w:color w:val="000000"/>
                <w:sz w:val="20"/>
                <w:szCs w:val="20"/>
              </w:rPr>
              <w:t>Предложено изменение на ОДУ спрямо 2020 г.</w:t>
            </w:r>
          </w:p>
          <w:p>
            <w:pPr>
              <w:spacing w:before="0" w:after="0"/>
              <w:jc w:val="center"/>
              <w:rPr>
                <w:rFonts w:eastAsia="Times New Roman"/>
                <w:b/>
                <w:bCs/>
                <w:noProof/>
                <w:color w:val="000000"/>
                <w:sz w:val="20"/>
                <w:szCs w:val="20"/>
                <w:lang w:eastAsia="en-GB"/>
              </w:rPr>
            </w:pPr>
          </w:p>
        </w:tc>
        <w:tc>
          <w:tcPr>
            <w:tcW w:w="0" w:type="auto"/>
            <w:shd w:val="clear" w:color="000000" w:fill="FFFFFF"/>
            <w:vAlign w:val="center"/>
            <w:hideMark/>
          </w:tcPr>
          <w:p>
            <w:pPr>
              <w:spacing w:before="0" w:after="0"/>
              <w:jc w:val="center"/>
              <w:rPr>
                <w:rFonts w:eastAsia="Times New Roman"/>
                <w:b/>
                <w:bCs/>
                <w:noProof/>
                <w:color w:val="000000"/>
                <w:sz w:val="20"/>
                <w:szCs w:val="20"/>
              </w:rPr>
            </w:pPr>
            <w:r>
              <w:rPr>
                <w:b/>
                <w:bCs/>
                <w:noProof/>
                <w:color w:val="000000"/>
                <w:sz w:val="20"/>
                <w:szCs w:val="20"/>
              </w:rPr>
              <w:t>Обосновка</w:t>
            </w:r>
          </w:p>
        </w:tc>
      </w:tr>
      <w:tr>
        <w:trPr>
          <w:cantSplit/>
          <w:trHeight w:val="1602"/>
        </w:trPr>
        <w:tc>
          <w:tcPr>
            <w:tcW w:w="0" w:type="auto"/>
            <w:shd w:val="clear" w:color="000000" w:fill="FFFFFF"/>
          </w:tcPr>
          <w:p>
            <w:pPr>
              <w:spacing w:before="0" w:after="0"/>
              <w:jc w:val="center"/>
              <w:rPr>
                <w:rFonts w:eastAsia="Times New Roman"/>
                <w:noProof/>
                <w:color w:val="000000"/>
                <w:sz w:val="20"/>
                <w:szCs w:val="20"/>
              </w:rPr>
            </w:pPr>
            <w:r>
              <w:rPr>
                <w:noProof/>
                <w:color w:val="000000"/>
                <w:sz w:val="20"/>
                <w:szCs w:val="20"/>
              </w:rPr>
              <w:t>Афанопус във води на Съюза и международни води от 8, 9 и 10</w:t>
            </w:r>
          </w:p>
        </w:tc>
        <w:tc>
          <w:tcPr>
            <w:tcW w:w="0" w:type="auto"/>
            <w:shd w:val="clear" w:color="000000" w:fill="FFFFFF"/>
          </w:tcPr>
          <w:p>
            <w:pPr>
              <w:spacing w:before="0" w:after="0"/>
              <w:jc w:val="center"/>
              <w:rPr>
                <w:rFonts w:eastAsia="Times New Roman"/>
                <w:noProof/>
                <w:color w:val="000000"/>
                <w:sz w:val="20"/>
                <w:szCs w:val="20"/>
              </w:rPr>
            </w:pPr>
            <w:r>
              <w:rPr>
                <w:noProof/>
                <w:color w:val="000000"/>
                <w:sz w:val="20"/>
                <w:szCs w:val="20"/>
              </w:rPr>
              <w:t>Бискайски залив, португалски води, азорски регион</w:t>
            </w:r>
          </w:p>
        </w:tc>
        <w:tc>
          <w:tcPr>
            <w:tcW w:w="0" w:type="auto"/>
            <w:shd w:val="clear" w:color="000000" w:fill="auto"/>
          </w:tcPr>
          <w:p>
            <w:pPr>
              <w:spacing w:before="0" w:after="0"/>
              <w:jc w:val="center"/>
              <w:rPr>
                <w:rFonts w:eastAsia="Times New Roman"/>
                <w:noProof/>
                <w:color w:val="000000"/>
                <w:sz w:val="20"/>
                <w:szCs w:val="20"/>
              </w:rPr>
            </w:pPr>
            <w:r>
              <w:rPr>
                <w:noProof/>
                <w:color w:val="000000"/>
                <w:sz w:val="20"/>
                <w:szCs w:val="20"/>
              </w:rPr>
              <w:t>2113</w:t>
            </w:r>
          </w:p>
          <w:p>
            <w:pPr>
              <w:rPr>
                <w:rFonts w:eastAsia="Times New Roman"/>
                <w:noProof/>
                <w:sz w:val="20"/>
                <w:szCs w:val="20"/>
                <w:lang w:eastAsia="en-GB"/>
              </w:rPr>
            </w:pPr>
          </w:p>
          <w:p>
            <w:pPr>
              <w:rPr>
                <w:rFonts w:eastAsia="Times New Roman"/>
                <w:noProof/>
                <w:sz w:val="20"/>
                <w:szCs w:val="20"/>
                <w:lang w:eastAsia="en-GB"/>
              </w:rPr>
            </w:pPr>
          </w:p>
          <w:p>
            <w:pPr>
              <w:rPr>
                <w:rFonts w:eastAsia="Times New Roman"/>
                <w:noProof/>
                <w:sz w:val="20"/>
                <w:szCs w:val="20"/>
                <w:lang w:eastAsia="en-GB"/>
              </w:rPr>
            </w:pPr>
          </w:p>
          <w:p>
            <w:pPr>
              <w:tabs>
                <w:tab w:val="left" w:pos="774"/>
              </w:tabs>
              <w:rPr>
                <w:rFonts w:eastAsia="Times New Roman"/>
                <w:noProof/>
                <w:sz w:val="20"/>
                <w:szCs w:val="20"/>
                <w:lang w:eastAsia="en-GB"/>
              </w:rPr>
            </w:pPr>
          </w:p>
        </w:tc>
        <w:tc>
          <w:tcPr>
            <w:tcW w:w="0" w:type="auto"/>
            <w:shd w:val="clear" w:color="000000" w:fill="FFFFFF"/>
          </w:tcPr>
          <w:p>
            <w:pPr>
              <w:spacing w:before="0" w:after="0"/>
              <w:jc w:val="center"/>
              <w:rPr>
                <w:rFonts w:eastAsia="Times New Roman"/>
                <w:bCs/>
                <w:noProof/>
                <w:color w:val="000000"/>
                <w:sz w:val="20"/>
                <w:szCs w:val="20"/>
              </w:rPr>
            </w:pPr>
            <w:r>
              <w:rPr>
                <w:bCs/>
                <w:noProof/>
                <w:color w:val="000000"/>
                <w:sz w:val="20"/>
                <w:szCs w:val="20"/>
              </w:rPr>
              <w:t>2113</w:t>
            </w:r>
          </w:p>
        </w:tc>
        <w:tc>
          <w:tcPr>
            <w:tcW w:w="0" w:type="auto"/>
            <w:shd w:val="clear" w:color="000000" w:fill="FFFFFF"/>
          </w:tcPr>
          <w:p>
            <w:pPr>
              <w:spacing w:before="0" w:after="0"/>
              <w:jc w:val="center"/>
              <w:rPr>
                <w:rFonts w:eastAsia="Times New Roman"/>
                <w:bCs/>
                <w:noProof/>
                <w:color w:val="000000"/>
                <w:sz w:val="20"/>
                <w:szCs w:val="20"/>
              </w:rPr>
            </w:pPr>
            <w:r>
              <w:rPr>
                <w:bCs/>
                <w:noProof/>
                <w:color w:val="000000"/>
                <w:sz w:val="20"/>
                <w:szCs w:val="20"/>
              </w:rPr>
              <w:t>– 25 %</w:t>
            </w:r>
          </w:p>
        </w:tc>
        <w:tc>
          <w:tcPr>
            <w:tcW w:w="0" w:type="auto"/>
            <w:shd w:val="clear" w:color="auto" w:fill="auto"/>
          </w:tcPr>
          <w:p>
            <w:pPr>
              <w:spacing w:before="0" w:after="0"/>
              <w:jc w:val="left"/>
              <w:rPr>
                <w:rFonts w:eastAsia="Times New Roman"/>
                <w:noProof/>
                <w:color w:val="000000"/>
                <w:sz w:val="20"/>
                <w:szCs w:val="20"/>
              </w:rPr>
            </w:pPr>
            <w:r>
              <w:rPr>
                <w:noProof/>
                <w:color w:val="000000"/>
                <w:sz w:val="20"/>
                <w:szCs w:val="20"/>
              </w:rPr>
              <w:t>Комисията предлага намаляване на ОДУ в съответствие с научните становища. Независимо от това предложеният ОДУ за подзона 10 е намален до равнище от 29 t вместо 280 t (каквато беше препоръката на ICES), за да се отрази степента на оползотворяване през 2019 г.</w:t>
            </w:r>
          </w:p>
        </w:tc>
      </w:tr>
      <w:tr>
        <w:trPr>
          <w:cantSplit/>
          <w:trHeight w:val="1602"/>
        </w:trPr>
        <w:tc>
          <w:tcPr>
            <w:tcW w:w="0" w:type="auto"/>
            <w:shd w:val="clear" w:color="000000" w:fill="FFFFFF"/>
          </w:tcPr>
          <w:p>
            <w:pPr>
              <w:spacing w:before="0" w:after="0"/>
              <w:jc w:val="center"/>
              <w:rPr>
                <w:rFonts w:eastAsia="Times New Roman"/>
                <w:noProof/>
                <w:color w:val="000000"/>
                <w:sz w:val="20"/>
                <w:szCs w:val="20"/>
              </w:rPr>
            </w:pPr>
            <w:r>
              <w:rPr>
                <w:noProof/>
                <w:color w:val="000000"/>
                <w:sz w:val="20"/>
                <w:szCs w:val="20"/>
              </w:rPr>
              <w:t>Гренадир в 3</w:t>
            </w:r>
          </w:p>
        </w:tc>
        <w:tc>
          <w:tcPr>
            <w:tcW w:w="0" w:type="auto"/>
            <w:shd w:val="clear" w:color="000000" w:fill="FFFFFF"/>
          </w:tcPr>
          <w:p>
            <w:pPr>
              <w:spacing w:before="0" w:after="0"/>
              <w:jc w:val="center"/>
              <w:rPr>
                <w:rFonts w:eastAsia="Times New Roman"/>
                <w:noProof/>
                <w:color w:val="000000"/>
                <w:sz w:val="20"/>
                <w:szCs w:val="20"/>
              </w:rPr>
            </w:pPr>
            <w:r>
              <w:rPr>
                <w:noProof/>
                <w:color w:val="000000"/>
                <w:sz w:val="20"/>
                <w:szCs w:val="20"/>
              </w:rPr>
              <w:t>Скагерак и Категат</w:t>
            </w:r>
          </w:p>
        </w:tc>
        <w:tc>
          <w:tcPr>
            <w:tcW w:w="0" w:type="auto"/>
            <w:shd w:val="clear" w:color="000000" w:fill="auto"/>
          </w:tcPr>
          <w:p>
            <w:pPr>
              <w:spacing w:before="0" w:after="0"/>
              <w:jc w:val="center"/>
              <w:rPr>
                <w:rFonts w:eastAsia="Times New Roman"/>
                <w:noProof/>
                <w:color w:val="000000"/>
                <w:sz w:val="20"/>
                <w:szCs w:val="20"/>
              </w:rPr>
            </w:pPr>
            <w:r>
              <w:rPr>
                <w:noProof/>
                <w:color w:val="000000"/>
                <w:sz w:val="20"/>
                <w:szCs w:val="20"/>
              </w:rPr>
              <w:t>5</w:t>
            </w:r>
          </w:p>
        </w:tc>
        <w:tc>
          <w:tcPr>
            <w:tcW w:w="0" w:type="auto"/>
            <w:shd w:val="clear" w:color="000000" w:fill="FFFFFF"/>
          </w:tcPr>
          <w:p>
            <w:pPr>
              <w:spacing w:before="0" w:after="0"/>
              <w:jc w:val="center"/>
              <w:rPr>
                <w:rFonts w:eastAsia="Times New Roman"/>
                <w:bCs/>
                <w:noProof/>
                <w:color w:val="000000"/>
                <w:sz w:val="20"/>
                <w:szCs w:val="20"/>
              </w:rPr>
            </w:pPr>
            <w:r>
              <w:rPr>
                <w:bCs/>
                <w:noProof/>
                <w:color w:val="000000"/>
                <w:sz w:val="20"/>
                <w:szCs w:val="20"/>
              </w:rPr>
              <w:t>5</w:t>
            </w:r>
          </w:p>
        </w:tc>
        <w:tc>
          <w:tcPr>
            <w:tcW w:w="0" w:type="auto"/>
            <w:shd w:val="clear" w:color="000000" w:fill="FFFFFF"/>
          </w:tcPr>
          <w:p>
            <w:pPr>
              <w:spacing w:before="0" w:after="0"/>
              <w:jc w:val="center"/>
              <w:rPr>
                <w:rFonts w:eastAsia="Times New Roman"/>
                <w:bCs/>
                <w:noProof/>
                <w:color w:val="000000"/>
                <w:sz w:val="20"/>
                <w:szCs w:val="20"/>
              </w:rPr>
            </w:pPr>
            <w:r>
              <w:rPr>
                <w:bCs/>
                <w:noProof/>
                <w:color w:val="000000"/>
                <w:sz w:val="20"/>
                <w:szCs w:val="20"/>
              </w:rPr>
              <w:t>– 90 %</w:t>
            </w:r>
          </w:p>
        </w:tc>
        <w:tc>
          <w:tcPr>
            <w:tcW w:w="0" w:type="auto"/>
            <w:shd w:val="clear" w:color="auto" w:fill="auto"/>
          </w:tcPr>
          <w:p>
            <w:pPr>
              <w:spacing w:before="0" w:after="0"/>
              <w:jc w:val="left"/>
              <w:rPr>
                <w:rFonts w:eastAsia="Times New Roman"/>
                <w:noProof/>
                <w:color w:val="000000"/>
                <w:sz w:val="20"/>
                <w:szCs w:val="20"/>
              </w:rPr>
            </w:pPr>
            <w:r>
              <w:rPr>
                <w:noProof/>
                <w:color w:val="000000"/>
                <w:sz w:val="20"/>
                <w:szCs w:val="20"/>
              </w:rPr>
              <w:t xml:space="preserve">Това е ОДУ за прилов с препоръка за нулев улов.  Комисията предлага да се намали квотата за прилова в съответствие с научните становища, тъй като рискът от възникване на ефекта на т.нар. „блокиращи видове“ е по-нисък от разглеждания преди това. </w:t>
            </w:r>
          </w:p>
        </w:tc>
      </w:tr>
    </w:tbl>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2020/0301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определяне на възможностите за риболов за 2021 г. и 2022 г. по отношение на някои дълбоководни рибни запаси за риболовните кораби на Съюза</w:t>
      </w:r>
    </w:p>
    <w:p>
      <w:pPr>
        <w:pStyle w:val="Institutionquiagit"/>
        <w:rPr>
          <w:noProof/>
        </w:rPr>
      </w:pPr>
      <w:r>
        <w:rPr>
          <w:noProof/>
        </w:rPr>
        <w:t>СЪВЕТЪТ НА ЕВРОПЕЙСКИЯ СЪЮЗ,</w:t>
      </w:r>
    </w:p>
    <w:p>
      <w:pPr>
        <w:rPr>
          <w:noProof/>
          <w:szCs w:val="24"/>
        </w:rPr>
      </w:pPr>
      <w:r>
        <w:rPr>
          <w:noProof/>
        </w:rPr>
        <w:t>като взе предвид Договора за функционирането на Европейския съюз, и по-специално член 43, параграф 3 от него,</w:t>
      </w:r>
    </w:p>
    <w:p>
      <w:pPr>
        <w:rPr>
          <w:noProof/>
          <w:szCs w:val="24"/>
        </w:rPr>
      </w:pPr>
      <w:r>
        <w:rPr>
          <w:noProof/>
        </w:rPr>
        <w:t>като взе предвид предложението на Европейската комисия,</w:t>
      </w:r>
    </w:p>
    <w:p>
      <w:pPr>
        <w:rPr>
          <w:noProof/>
          <w:szCs w:val="24"/>
        </w:rPr>
      </w:pPr>
      <w:r>
        <w:rPr>
          <w:noProof/>
        </w:rPr>
        <w:t>като има предвид, че:</w:t>
      </w:r>
    </w:p>
    <w:p>
      <w:pPr>
        <w:pStyle w:val="ManualConsidrant"/>
        <w:rPr>
          <w:noProof/>
        </w:rPr>
      </w:pPr>
      <w:r>
        <w:t>(1)</w:t>
      </w:r>
      <w:r>
        <w:tab/>
      </w:r>
      <w:r>
        <w:rPr>
          <w:noProof/>
        </w:rPr>
        <w:t>В член 43, параграф 3 от Договора се предвижда, че мерките за определянето и разпределянето на възможностите за риболов се приемат от Съвета по предложение на Комисията.</w:t>
      </w:r>
    </w:p>
    <w:p>
      <w:pPr>
        <w:pStyle w:val="ManualConsidrant"/>
        <w:rPr>
          <w:noProof/>
        </w:rPr>
      </w:pPr>
      <w:r>
        <w:t>(2)</w:t>
      </w:r>
      <w:r>
        <w:tab/>
      </w:r>
      <w:r>
        <w:rPr>
          <w:noProof/>
        </w:rPr>
        <w:t>Съгласно Регламент (ЕС) № 1380/2013 на Европейския парламент и на Съвета</w:t>
      </w:r>
      <w:r>
        <w:rPr>
          <w:rStyle w:val="FootnoteReference"/>
          <w:noProof/>
        </w:rPr>
        <w:footnoteReference w:id="4"/>
      </w:r>
      <w:r>
        <w:rPr>
          <w:noProof/>
        </w:rPr>
        <w:t xml:space="preserve"> се изисква приемането на мерки за опазване, като се вземат предвид наличните научни, технически и икономически становища, включително — когато е целесъобразно — докладите, изготвени от Научния, технически и икономически комитет по рибарство.</w:t>
      </w:r>
    </w:p>
    <w:p>
      <w:pPr>
        <w:pStyle w:val="ManualConsidrant"/>
        <w:rPr>
          <w:noProof/>
        </w:rPr>
      </w:pPr>
      <w:r>
        <w:t>(3)</w:t>
      </w:r>
      <w:r>
        <w:tab/>
      </w:r>
      <w:r>
        <w:rPr>
          <w:noProof/>
        </w:rPr>
        <w:t>Задължение на Съвета е да приема мерки за определянето и разпределянето на възможностите за риболов, включително — при необходимост — на някои функционално свързани с това условия. Възможностите за риболов следва да се разпределят между държавите членки по такъв начин, че да осигуряват на всяка от тях относителна стабилност на риболовните дейности за всеки запас или риболовна дейност, като се отчитат надлежно целите на общата политика в областта на рибарството (ОПОР), формулирани в Регламент (ЕС) № 1380/2013.</w:t>
      </w:r>
    </w:p>
    <w:p>
      <w:pPr>
        <w:pStyle w:val="ManualConsidrant"/>
        <w:rPr>
          <w:noProof/>
        </w:rPr>
      </w:pPr>
      <w:r>
        <w:t>(4)</w:t>
      </w:r>
      <w:r>
        <w:tab/>
      </w:r>
      <w:r>
        <w:rPr>
          <w:noProof/>
        </w:rPr>
        <w:t>Общият допустим улов (ОДУ) следва да се определя въз основа на наличните научни становища</w:t>
      </w:r>
      <w:r>
        <w:rPr>
          <w:rStyle w:val="FootnoteReference"/>
          <w:noProof/>
          <w:szCs w:val="24"/>
          <w:lang w:eastAsia="de-DE"/>
        </w:rPr>
        <w:footnoteReference w:id="5"/>
      </w:r>
      <w:r>
        <w:rPr>
          <w:noProof/>
        </w:rPr>
        <w:t>, като се вземат предвид биологичните и социално-икономическите аспекти и се гарантира справедливото третиране на различните сектори на рибарството, и като се отчитат становищата, изразени по време на консултацията със заинтересованите страни, и по-специално със съответните консултативни съвети.</w:t>
      </w:r>
    </w:p>
    <w:p>
      <w:pPr>
        <w:pStyle w:val="ManualConsidrant"/>
        <w:rPr>
          <w:noProof/>
        </w:rPr>
      </w:pPr>
      <w:r>
        <w:t>(5)</w:t>
      </w:r>
      <w:r>
        <w:tab/>
      </w:r>
      <w:r>
        <w:rPr>
          <w:noProof/>
        </w:rPr>
        <w:t xml:space="preserve">За запасите, за които няма достатъчни или надеждни данни, позволяващи изготвянето на приблизителни оценки на размера, мерките за управление и равнищата на ОДУ следва да се придържат към подхода на предпазливост при управлението на рибарството, определен в член 4, параграф 1, точка 8 от Регламент (ЕС) № 1380/2013, като се вземат предвид специфичните за запасите </w:t>
      </w:r>
      <w:r>
        <w:rPr>
          <w:noProof/>
        </w:rPr>
        <w:lastRenderedPageBreak/>
        <w:t>фактори, включващи по-конкретно наличната информация относно тенденциите в развитието на запасите и съображенията, свързани със смесения характер на риболова.</w:t>
      </w:r>
    </w:p>
    <w:p>
      <w:pPr>
        <w:pStyle w:val="ManualConsidrant"/>
        <w:rPr>
          <w:noProof/>
        </w:rPr>
      </w:pPr>
      <w:r>
        <w:t>(6)</w:t>
      </w:r>
      <w:r>
        <w:tab/>
      </w:r>
      <w:r>
        <w:rPr>
          <w:noProof/>
        </w:rPr>
        <w:t>Когато даден ОДУ, свързан с определен запас, е предоставен само на една държава членка, е целесъобразно — в съответствие с член 2, параграф 1 от Договора — тя да бъде оправомощена да определи равнището на този ОДУ. Следва да се предвидят разпоредби, гарантиращи, че при определяне на равнището на ОДУ съответната държава членка действа по начин, който напълно съответства на принципите и правилата на ОПОР.</w:t>
      </w:r>
    </w:p>
    <w:p>
      <w:pPr>
        <w:pStyle w:val="ManualConsidrant"/>
        <w:rPr>
          <w:noProof/>
          <w:sz w:val="22"/>
        </w:rPr>
      </w:pPr>
      <w:r>
        <w:t>(7)</w:t>
      </w:r>
      <w:r>
        <w:tab/>
      </w:r>
      <w:r>
        <w:rPr>
          <w:noProof/>
        </w:rPr>
        <w:t>За някои равнища на ОДУ се предоставят общи квоти за държавите членки, на които не са отпуснати квоти (обозначени като „други“). Държавите членки, които са използвали такава обща квота, могат впоследствие да получат собствена квота — например чрез размяна. При докладване на улова пред Комисията държавите членки следва да правят разграничение между улова, който се приспада от собствената им квота, и улова, който в рамките на същия ОДУ се приспада от общата квота. За целите на това разграничение следва да се въведе отделен код за докладване.</w:t>
      </w:r>
    </w:p>
    <w:p>
      <w:pPr>
        <w:pStyle w:val="ManualConsidrant"/>
        <w:rPr>
          <w:noProof/>
          <w:szCs w:val="24"/>
        </w:rPr>
      </w:pPr>
      <w:r>
        <w:t>(8)</w:t>
      </w:r>
      <w:r>
        <w:tab/>
      </w:r>
      <w:r>
        <w:rPr>
          <w:noProof/>
        </w:rPr>
        <w:t>С Регламент (ЕО) № 847/96 на Съвета</w:t>
      </w:r>
      <w:r>
        <w:rPr>
          <w:rStyle w:val="FootnoteReference"/>
          <w:noProof/>
          <w:szCs w:val="24"/>
        </w:rPr>
        <w:footnoteReference w:id="6"/>
      </w:r>
      <w:r>
        <w:rPr>
          <w:noProof/>
        </w:rPr>
        <w:t xml:space="preserve"> бяха въведени допълнителни условия за годишното управление на ОДУ, включително — съгласно членове 3 и 4 от него — разпоредби за гъвкавост по отношение на предпазния и аналитичния ОДУ. Съгласно член 2 от посочения регламент при определяне на равнищата на ОДУ Съветът решава за кои запаси не се прилага член 3 или 4 от същия регламент, по-специално въз основа на биологичното състояние на запасите. През 2014 г. с член 15, параграф 9 от Регламент (ЕС) № 1380/2013 беше въведен механизмът за гъвкавост по отношение на квотите в две последователни години за всички запаси, спрямо които се прилага задължението за разтоварване на сушата. Поради това, с цел да се избегне прекомерната гъвкавост, която би навредила на принципа на разумната и отговорна експлоатация на морските биологични ресурси, би възпрепятствала постигането на целите на ОПОР и би влошила биологичното състояние на запасите, следва да се предвиди членове 3 и 4 от Регламент (ЕО) № 847/96 да се прилагат към равнищата на аналитичния ОДУ само когато не се използва гъвкавостта по отношение на квотите в две последователни години, предвидена в член 15, параграф 9 от Регламент (ЕС) № 1380/2013.  </w:t>
      </w:r>
    </w:p>
    <w:p>
      <w:pPr>
        <w:pStyle w:val="ManualConsidrant"/>
        <w:rPr>
          <w:noProof/>
          <w:szCs w:val="24"/>
        </w:rPr>
      </w:pPr>
      <w:r>
        <w:t>(9)</w:t>
      </w:r>
      <w:r>
        <w:tab/>
      </w:r>
      <w:r>
        <w:rPr>
          <w:noProof/>
        </w:rPr>
        <w:t xml:space="preserve">В съответствие с член 15 от Регламент (ЕС) № 1380/2013 задължението за разтоварване на сушата се прилага изцяло от 1 януари 2019 г. по отношение на всички видове, подлежащи на ограничения на улова. В член 16, параграф 2 от Регламент (ЕС) № 1380/2013 се предвижда, че когато се въвежда задължение за разтоварване на сушата от даден рибен запас, възможностите за риболов се определят, като се отчита промяната на подхода — от определяне на възможностите за риболов, така че да отразяват разтоварванията на сушата, към определяне на възможностите за риболов, така че да отразяват улова. Въз основа на съвместните препоръки, представени от държавите членки, и в съответствие с член 15 от Регламент (ЕС) № 1380/2013 и член 13 от Регламент (ЕС) 2019/472 Комисията прие редица делегирани регламенти относно подробностите по </w:t>
      </w:r>
      <w:r>
        <w:rPr>
          <w:noProof/>
        </w:rPr>
        <w:lastRenderedPageBreak/>
        <w:t>изпълнението на задължението за разтоварване на сушата под формата на специални планове за премахване на изхвърлянето на улов.</w:t>
      </w:r>
    </w:p>
    <w:p>
      <w:pPr>
        <w:pStyle w:val="ManualConsidrant"/>
        <w:rPr>
          <w:noProof/>
        </w:rPr>
      </w:pPr>
      <w:r>
        <w:t>(10)</w:t>
      </w:r>
      <w:r>
        <w:tab/>
      </w:r>
      <w:r>
        <w:rPr>
          <w:noProof/>
        </w:rPr>
        <w:t>Възможностите за риболов за запасите от видовете, по отношение на които се прилага задължението за разтоварване на сушата, следва да отразяват принципната забрана за изхвърляне на улов. Поради това възможностите за риболов следва да се основават на посоченото в становището на Международния съвет за изследване на морето (ICES) количество общ улов, вместо на количеството желан улов съгласно същото становище. Количествата, които по изключение могат да продължат да се изхвърлят след въвеждането на задължението за разтоварване на сушата, следва да се приспадат от посоченото в становището количество общ улов.</w:t>
      </w:r>
    </w:p>
    <w:p>
      <w:pPr>
        <w:pStyle w:val="ManualConsidrant"/>
        <w:rPr>
          <w:noProof/>
        </w:rPr>
      </w:pPr>
      <w:r>
        <w:t>(11)</w:t>
      </w:r>
      <w:r>
        <w:tab/>
      </w:r>
      <w:r>
        <w:rPr>
          <w:noProof/>
        </w:rPr>
        <w:t>Възможностите за риболов следва да са съобразени с международните споразумения и принципи, като например Споразумението на ООН от 1995 г. относно опазването и управлението на трансгранично преминаващите и далекомигриращите рибни запаси</w:t>
      </w:r>
      <w:r>
        <w:rPr>
          <w:rStyle w:val="FootnoteReference"/>
          <w:noProof/>
        </w:rPr>
        <w:footnoteReference w:id="7"/>
      </w:r>
      <w:r>
        <w:rPr>
          <w:noProof/>
        </w:rPr>
        <w:t xml:space="preserve"> и на подробните принципи на управление, изложени в Международните насоки за управление на дълбоководния риболов в открито море на Организацията на ООН за прехрана и земеделие от 2008 г., съгласно които регулаторът трябва да прояви допълнителна предпазливост, когато данните са несигурни, ненадеждни или неподходящи. Липсата на подходящи научни данни не следва да се използва като основание за отлагането или невземането на мерки за опазване и управление.</w:t>
      </w:r>
    </w:p>
    <w:p>
      <w:pPr>
        <w:pStyle w:val="ManualConsidrant"/>
        <w:rPr>
          <w:noProof/>
        </w:rPr>
      </w:pPr>
      <w:r>
        <w:t>(12)</w:t>
      </w:r>
      <w:r>
        <w:tab/>
      </w:r>
      <w:r>
        <w:rPr>
          <w:noProof/>
        </w:rPr>
        <w:t>Когато даден ОДУ, свързан с определен запас, е предоставен само на една държава членка, е целесъобразно — в съответствие с член 2, параграф 1 от Договора — тя да бъде оправомощена да определи равнището на този ОДУ. Следва да се предвидят разпоредби, гарантиращи, че при определяне на равнището на ОДУ въпросната държава членка действа по начин, който напълно съответства на принципите и правилата на ОПОР.</w:t>
      </w:r>
    </w:p>
    <w:p>
      <w:pPr>
        <w:pStyle w:val="ManualConsidrant"/>
        <w:rPr>
          <w:noProof/>
        </w:rPr>
      </w:pPr>
      <w:r>
        <w:t>(13)</w:t>
      </w:r>
      <w:r>
        <w:tab/>
      </w:r>
      <w:r>
        <w:rPr>
          <w:noProof/>
        </w:rPr>
        <w:t xml:space="preserve">Уловът на червенопер пагел се извършва от съответните зони на Комитета по риболова в централната източна част на Атлантическия океан (CECAF) и Генералната комисия по рибарство за Средиземно море (GFCM), граничещи с подзона 9 на ICES. Тъй като данните на ICES за тези съседни зони са непълни, обхватът на ОДУ следва да остане ограничен в рамките на подзона 9 на ICES. </w:t>
      </w:r>
    </w:p>
    <w:p>
      <w:pPr>
        <w:pStyle w:val="ManualConsidrant"/>
        <w:rPr>
          <w:noProof/>
        </w:rPr>
      </w:pPr>
      <w:r>
        <w:t>(14)</w:t>
      </w:r>
      <w:r>
        <w:tab/>
      </w:r>
      <w:r>
        <w:rPr>
          <w:noProof/>
        </w:rPr>
        <w:t>Препоръката на ICES е до 2024 г. да не се извършва улов на атлантически големоглав. Тъй като запасът от този вид е изчерпан и не се възстановява, е целесъобразно да се въведе забрана за неговия риболов, както и за задържането на борда, трансбордирането и разтоварването му на сушата. ICES отбелязва, че от 2010 г. насам в североизточната част на Атлантическия океан не е извършван целеви риболов на атлантически големоглав от страна на Съюза.</w:t>
      </w:r>
    </w:p>
    <w:p>
      <w:pPr>
        <w:pStyle w:val="ManualConsidrant"/>
        <w:rPr>
          <w:noProof/>
        </w:rPr>
      </w:pPr>
      <w:r>
        <w:t>(15)</w:t>
      </w:r>
      <w:r>
        <w:tab/>
      </w:r>
      <w:r>
        <w:rPr>
          <w:noProof/>
        </w:rPr>
        <w:t xml:space="preserve">По отношение на дълбоководните акули ICES препоръчва ограничаване до минимум на смъртността от риболов.  Дълбоководните акули са дълголетни видове с ниска репродуктивност и бързо са се превърнали в свръхексплоатиран вид.  Поради това възможностите за риболов по отношение на тези видове следва да бъдат напълно ограничени чрез обща забрана за техния улов. </w:t>
      </w:r>
    </w:p>
    <w:p>
      <w:pPr>
        <w:pStyle w:val="ManualConsidrant"/>
        <w:rPr>
          <w:noProof/>
        </w:rPr>
      </w:pPr>
      <w:r>
        <w:lastRenderedPageBreak/>
        <w:t>(16)</w:t>
      </w:r>
      <w:r>
        <w:tab/>
      </w:r>
      <w:r>
        <w:rPr>
          <w:noProof/>
        </w:rPr>
        <w:t>С цел да се избегне прекъсване на риболовните дейности и да се осигури поминъкът на рибарите от Съюза настоящият регламент следва да се прилага от 1 януари 2021 г. Настоящият регламент следва да влезе в сила незабавно след публикуването му, за да се даде възможност на държавите членки да осигурят неговото своевременно прилагане,</w:t>
      </w:r>
    </w:p>
    <w:p>
      <w:pPr>
        <w:pStyle w:val="Formuledadoption"/>
        <w:rPr>
          <w:noProof/>
        </w:rPr>
      </w:pPr>
      <w:r>
        <w:rPr>
          <w:noProof/>
        </w:rPr>
        <w:t>ПРИЕ НАСТОЯЩИЯ РЕГЛАМЕНТ:</w:t>
      </w:r>
    </w:p>
    <w:p>
      <w:pPr>
        <w:pStyle w:val="Titrearticle"/>
        <w:rPr>
          <w:noProof/>
        </w:rPr>
      </w:pPr>
      <w:r>
        <w:rPr>
          <w:noProof/>
        </w:rPr>
        <w:t xml:space="preserve">Член 1 </w:t>
      </w:r>
      <w:r>
        <w:rPr>
          <w:noProof/>
        </w:rPr>
        <w:br/>
      </w:r>
      <w:r>
        <w:rPr>
          <w:b/>
          <w:bCs/>
          <w:i w:val="0"/>
          <w:noProof/>
        </w:rPr>
        <w:t>Предмет</w:t>
      </w:r>
    </w:p>
    <w:p>
      <w:pPr>
        <w:rPr>
          <w:noProof/>
          <w:szCs w:val="24"/>
        </w:rPr>
      </w:pPr>
      <w:r>
        <w:rPr>
          <w:noProof/>
        </w:rPr>
        <w:t>С настоящия регламент се определят годишните възможности за риболов за 2021 г. и 2022 г. по отношение на рибните запаси от някои дълбоководни видове за риболовните кораби на Съюза във водите на Съюза и в определени води извън Съюза, където е необходимо да се прилагат ограничения на улова.</w:t>
      </w:r>
    </w:p>
    <w:p>
      <w:pPr>
        <w:pStyle w:val="Titrearticle"/>
        <w:rPr>
          <w:noProof/>
        </w:rPr>
      </w:pPr>
      <w:r>
        <w:rPr>
          <w:noProof/>
        </w:rPr>
        <w:t xml:space="preserve">Член 2 </w:t>
      </w:r>
      <w:r>
        <w:rPr>
          <w:noProof/>
        </w:rPr>
        <w:br/>
      </w:r>
      <w:r>
        <w:rPr>
          <w:b/>
          <w:i w:val="0"/>
          <w:noProof/>
        </w:rPr>
        <w:t>Определения</w:t>
      </w:r>
    </w:p>
    <w:p>
      <w:pPr>
        <w:pStyle w:val="ManualNumPar1"/>
        <w:rPr>
          <w:noProof/>
        </w:rPr>
      </w:pPr>
      <w:r>
        <w:t>1.</w:t>
      </w:r>
      <w:r>
        <w:tab/>
      </w:r>
      <w:r>
        <w:rPr>
          <w:noProof/>
        </w:rPr>
        <w:t>За целите на настоящия регламент се прилагат определенията, съдържащи се в член 4 от Регламент (ЕС) № 1380/2013. Прилагат се също така следните определения:</w:t>
      </w:r>
    </w:p>
    <w:p>
      <w:pPr>
        <w:pStyle w:val="Point1"/>
        <w:rPr>
          <w:noProof/>
        </w:rPr>
      </w:pPr>
      <w:r>
        <w:rPr>
          <w:noProof/>
        </w:rPr>
        <w:t>а)</w:t>
      </w:r>
      <w:r>
        <w:rPr>
          <w:noProof/>
        </w:rPr>
        <w:tab/>
        <w:t xml:space="preserve">„общ допустим улов“ (ОДУ) означава: </w:t>
      </w:r>
    </w:p>
    <w:p>
      <w:pPr>
        <w:pStyle w:val="Point1"/>
        <w:ind w:firstLine="0"/>
        <w:rPr>
          <w:noProof/>
        </w:rPr>
      </w:pPr>
      <w:r>
        <w:rPr>
          <w:noProof/>
        </w:rPr>
        <w:t>i) при видовете риболов, спрямо които се прилага изключението от задължението за разтоварване на сушата по член 15, параграфи 4—7 от Регламент (ЕС) № 1380/2013 — количеството риба от всеки запас, което може да се разтоварва на сушата всяка година;</w:t>
      </w:r>
    </w:p>
    <w:p>
      <w:pPr>
        <w:pStyle w:val="Point1"/>
        <w:ind w:firstLine="0"/>
        <w:rPr>
          <w:noProof/>
        </w:rPr>
      </w:pPr>
      <w:r>
        <w:rPr>
          <w:noProof/>
        </w:rPr>
        <w:t xml:space="preserve">ii) при всички други видове риболов — количеството риба от всеки запас, което може да се лови всяка година; </w:t>
      </w:r>
    </w:p>
    <w:p>
      <w:pPr>
        <w:pStyle w:val="Point1"/>
        <w:rPr>
          <w:noProof/>
        </w:rPr>
      </w:pPr>
      <w:r>
        <w:rPr>
          <w:noProof/>
        </w:rPr>
        <w:t>б)</w:t>
      </w:r>
      <w:r>
        <w:rPr>
          <w:noProof/>
        </w:rPr>
        <w:tab/>
        <w:t>„квота“ означава дял от ОДУ, разпределен на Съюза или на държава членка;</w:t>
      </w:r>
    </w:p>
    <w:p>
      <w:pPr>
        <w:pStyle w:val="Point1"/>
        <w:rPr>
          <w:noProof/>
        </w:rPr>
      </w:pPr>
      <w:r>
        <w:rPr>
          <w:noProof/>
        </w:rPr>
        <w:t>в)</w:t>
      </w:r>
      <w:r>
        <w:rPr>
          <w:noProof/>
        </w:rPr>
        <w:tab/>
        <w:t>„международни води“ означава водите извън суверенитета или юрисдикцията на която и да е държава;</w:t>
      </w:r>
    </w:p>
    <w:p>
      <w:pPr>
        <w:pStyle w:val="Point1"/>
        <w:rPr>
          <w:noProof/>
        </w:rPr>
      </w:pPr>
      <w:r>
        <w:rPr>
          <w:noProof/>
        </w:rPr>
        <w:t>г)</w:t>
      </w:r>
      <w:r>
        <w:rPr>
          <w:noProof/>
        </w:rPr>
        <w:tab/>
        <w:t>„аналитична оценка“ означава количествени оценки на тенденциите за даден запас въз основа на данни за биологичните характеристики и експлоатацията на запаса, за които в резултат на научен преглед е установено, че са с достатъчно добро качество за осигуряване на научно становище относно възможностите за бъдещ улов;</w:t>
      </w:r>
    </w:p>
    <w:p>
      <w:pPr>
        <w:pStyle w:val="Point1"/>
        <w:rPr>
          <w:noProof/>
        </w:rPr>
      </w:pPr>
      <w:r>
        <w:rPr>
          <w:noProof/>
        </w:rPr>
        <w:t>д)</w:t>
      </w:r>
      <w:r>
        <w:rPr>
          <w:noProof/>
        </w:rPr>
        <w:tab/>
        <w:t>„зони на Международния съвет за изследване на морето“ („зони на ICES“) означава географските зони, определени в приложение III към Регламент (ЕО) № 218/2009 на Европейския парламент и на Съвета</w:t>
      </w:r>
      <w:r>
        <w:rPr>
          <w:rStyle w:val="FootnoteReference"/>
          <w:noProof/>
        </w:rPr>
        <w:footnoteReference w:id="8"/>
      </w:r>
      <w:r>
        <w:rPr>
          <w:noProof/>
        </w:rPr>
        <w:t>;</w:t>
      </w:r>
    </w:p>
    <w:p>
      <w:pPr>
        <w:pStyle w:val="Point1"/>
        <w:rPr>
          <w:noProof/>
        </w:rPr>
      </w:pPr>
      <w:r>
        <w:rPr>
          <w:noProof/>
        </w:rPr>
        <w:t>е)</w:t>
      </w:r>
      <w:r>
        <w:rPr>
          <w:noProof/>
        </w:rPr>
        <w:tab/>
        <w:t xml:space="preserve">„зони на Комитета по риболова в централната източна част на Атлантическия океан“ („зони на CECAF“) означава географските зони, </w:t>
      </w:r>
      <w:r>
        <w:rPr>
          <w:noProof/>
        </w:rPr>
        <w:lastRenderedPageBreak/>
        <w:t>определени в приложение II към Регламент (ЕО) № 216/2009 на Европейския парламент и на Съвета</w:t>
      </w:r>
      <w:r>
        <w:rPr>
          <w:rStyle w:val="FootnoteReference"/>
          <w:noProof/>
        </w:rPr>
        <w:footnoteReference w:id="9"/>
      </w:r>
      <w:r>
        <w:rPr>
          <w:noProof/>
        </w:rPr>
        <w:t>;</w:t>
      </w:r>
    </w:p>
    <w:p>
      <w:pPr>
        <w:pStyle w:val="Point1"/>
        <w:rPr>
          <w:rFonts w:eastAsia="Calibri"/>
          <w:noProof/>
        </w:rPr>
      </w:pPr>
      <w:r>
        <w:rPr>
          <w:noProof/>
        </w:rPr>
        <w:t>ж)</w:t>
      </w:r>
      <w:r>
        <w:rPr>
          <w:noProof/>
        </w:rPr>
        <w:tab/>
        <w:t>„дълбоководни акули“ означава видовете, посочени в част 1, точка 2 от приложението към настоящия регламент.</w:t>
      </w:r>
    </w:p>
    <w:p>
      <w:pPr>
        <w:pStyle w:val="Titrearticle"/>
        <w:rPr>
          <w:b/>
          <w:i w:val="0"/>
          <w:noProof/>
        </w:rPr>
      </w:pPr>
      <w:r>
        <w:rPr>
          <w:noProof/>
        </w:rPr>
        <w:t xml:space="preserve">Член 3 </w:t>
      </w:r>
      <w:r>
        <w:rPr>
          <w:noProof/>
        </w:rPr>
        <w:br/>
      </w:r>
      <w:r>
        <w:rPr>
          <w:b/>
          <w:bCs/>
          <w:i w:val="0"/>
          <w:noProof/>
        </w:rPr>
        <w:t>ОДУ и разпределяне</w:t>
      </w:r>
    </w:p>
    <w:p>
      <w:pPr>
        <w:rPr>
          <w:noProof/>
          <w:szCs w:val="24"/>
        </w:rPr>
      </w:pPr>
      <w:r>
        <w:rPr>
          <w:noProof/>
        </w:rPr>
        <w:t>Равнищата на ОДУ за дълбоководните видове, които се ловят от риболовните кораби на Съюза във водите на Съюза или в определени води извън Съюза, и разпределянето на този ОДУ между държавите членки, както и условията, функционално свързани с него, според случая, са определени в приложението.</w:t>
      </w:r>
    </w:p>
    <w:p>
      <w:pPr>
        <w:pStyle w:val="Titrearticle"/>
        <w:rPr>
          <w:b/>
          <w:i w:val="0"/>
          <w:noProof/>
        </w:rPr>
      </w:pPr>
      <w:r>
        <w:rPr>
          <w:noProof/>
        </w:rPr>
        <w:t xml:space="preserve">Член 4 </w:t>
      </w:r>
      <w:r>
        <w:rPr>
          <w:noProof/>
        </w:rPr>
        <w:br/>
      </w:r>
      <w:bookmarkStart w:id="1" w:name="bookmark8"/>
      <w:r>
        <w:rPr>
          <w:b/>
          <w:i w:val="0"/>
          <w:noProof/>
        </w:rPr>
        <w:t>Равнища на ОДУ, които се определят от държавите членки</w:t>
      </w:r>
      <w:bookmarkEnd w:id="1"/>
    </w:p>
    <w:p>
      <w:pPr>
        <w:pStyle w:val="ManualNumPar1"/>
        <w:rPr>
          <w:noProof/>
        </w:rPr>
      </w:pPr>
      <w:r>
        <w:t>1.</w:t>
      </w:r>
      <w:r>
        <w:tab/>
      </w:r>
      <w:r>
        <w:rPr>
          <w:noProof/>
        </w:rPr>
        <w:t>ОДУ за афанопус в зона 34.1.2 на CECAF се определя от Португалия. Този запас е посочен в приложението към настоящия регламент.</w:t>
      </w:r>
    </w:p>
    <w:p>
      <w:pPr>
        <w:pStyle w:val="ManualNumPar1"/>
        <w:rPr>
          <w:noProof/>
        </w:rPr>
      </w:pPr>
      <w:r>
        <w:t>2.</w:t>
      </w:r>
      <w:r>
        <w:tab/>
      </w:r>
      <w:r>
        <w:rPr>
          <w:noProof/>
        </w:rPr>
        <w:t>Определеният от Португалия ОДУ:</w:t>
      </w:r>
    </w:p>
    <w:p>
      <w:pPr>
        <w:pStyle w:val="Point1"/>
        <w:rPr>
          <w:noProof/>
        </w:rPr>
      </w:pPr>
      <w:r>
        <w:rPr>
          <w:noProof/>
        </w:rPr>
        <w:t>а)</w:t>
      </w:r>
      <w:r>
        <w:rPr>
          <w:noProof/>
        </w:rPr>
        <w:tab/>
        <w:t>трябва да отговаря на принципите и правилата на общата политика в областта на рибарството, и по-специално на принципа за устойчива експлоатация на запасите; и</w:t>
      </w:r>
    </w:p>
    <w:p>
      <w:pPr>
        <w:pStyle w:val="Point1"/>
        <w:rPr>
          <w:noProof/>
        </w:rPr>
      </w:pPr>
      <w:r>
        <w:rPr>
          <w:noProof/>
        </w:rPr>
        <w:t>б)</w:t>
      </w:r>
      <w:r>
        <w:rPr>
          <w:noProof/>
        </w:rPr>
        <w:tab/>
        <w:t>да води до следния резултат:</w:t>
      </w:r>
    </w:p>
    <w:p>
      <w:pPr>
        <w:pStyle w:val="Point2"/>
        <w:rPr>
          <w:noProof/>
        </w:rPr>
      </w:pPr>
      <w:r>
        <w:rPr>
          <w:noProof/>
        </w:rPr>
        <w:t>i)</w:t>
      </w:r>
      <w:r>
        <w:rPr>
          <w:noProof/>
        </w:rPr>
        <w:tab/>
        <w:t>ако са налице аналитични оценки — до експлоатация на запасите, съответстваща на максималния устойчив улов, считано от 2019 г. нататък, с възможно най-висока степен на вероятност;</w:t>
      </w:r>
    </w:p>
    <w:p>
      <w:pPr>
        <w:pStyle w:val="Point2"/>
        <w:ind w:left="1985"/>
        <w:rPr>
          <w:noProof/>
        </w:rPr>
      </w:pPr>
      <w:r>
        <w:rPr>
          <w:noProof/>
        </w:rPr>
        <w:t>ii)</w:t>
      </w:r>
      <w:r>
        <w:rPr>
          <w:noProof/>
        </w:rPr>
        <w:tab/>
        <w:t>ако аналитичните оценки не са налице или са непълни — до експлоатация на запасите, съответстваща на подхода на предпазливост при управлението на рибарството.</w:t>
      </w:r>
    </w:p>
    <w:p>
      <w:pPr>
        <w:pStyle w:val="ManualNumPar1"/>
        <w:rPr>
          <w:noProof/>
        </w:rPr>
      </w:pPr>
      <w:r>
        <w:t>3.</w:t>
      </w:r>
      <w:r>
        <w:tab/>
      </w:r>
      <w:r>
        <w:rPr>
          <w:noProof/>
        </w:rPr>
        <w:t>До 15 март всяка година Португалия предоставя на Комисията следната информация:</w:t>
      </w:r>
    </w:p>
    <w:p>
      <w:pPr>
        <w:pStyle w:val="Point1"/>
        <w:rPr>
          <w:noProof/>
        </w:rPr>
      </w:pPr>
      <w:r>
        <w:rPr>
          <w:noProof/>
        </w:rPr>
        <w:t>а)</w:t>
      </w:r>
      <w:r>
        <w:rPr>
          <w:noProof/>
        </w:rPr>
        <w:tab/>
        <w:t>приетия ОДУ;</w:t>
      </w:r>
    </w:p>
    <w:p>
      <w:pPr>
        <w:pStyle w:val="Point1"/>
        <w:rPr>
          <w:noProof/>
        </w:rPr>
      </w:pPr>
      <w:r>
        <w:rPr>
          <w:noProof/>
        </w:rPr>
        <w:t>б)</w:t>
      </w:r>
      <w:r>
        <w:rPr>
          <w:noProof/>
        </w:rPr>
        <w:tab/>
        <w:t>данните, събрани и оценени от Португалия, на които се основава приетият ОДУ;</w:t>
      </w:r>
    </w:p>
    <w:p>
      <w:pPr>
        <w:pStyle w:val="Point1"/>
        <w:rPr>
          <w:noProof/>
        </w:rPr>
      </w:pPr>
      <w:r>
        <w:rPr>
          <w:noProof/>
        </w:rPr>
        <w:t>в)</w:t>
      </w:r>
      <w:r>
        <w:rPr>
          <w:noProof/>
        </w:rPr>
        <w:tab/>
      </w:r>
      <w:r>
        <w:rPr>
          <w:noProof/>
        </w:rPr>
        <w:tab/>
        <w:t>данни за съответствието между приетия ОДУ и параграф 2.</w:t>
      </w:r>
    </w:p>
    <w:p>
      <w:pPr>
        <w:pStyle w:val="Titrearticle"/>
        <w:rPr>
          <w:b/>
          <w:i w:val="0"/>
          <w:noProof/>
        </w:rPr>
      </w:pPr>
      <w:r>
        <w:rPr>
          <w:noProof/>
        </w:rPr>
        <w:t xml:space="preserve">Член 5 </w:t>
      </w:r>
      <w:r>
        <w:rPr>
          <w:noProof/>
        </w:rPr>
        <w:br/>
      </w:r>
      <w:r>
        <w:rPr>
          <w:b/>
          <w:i w:val="0"/>
          <w:noProof/>
        </w:rPr>
        <w:t>Специални разпоредби относно разпределянето на възможностите за риболов</w:t>
      </w:r>
    </w:p>
    <w:p>
      <w:pPr>
        <w:pStyle w:val="ManualNumPar1"/>
        <w:rPr>
          <w:noProof/>
        </w:rPr>
      </w:pPr>
      <w:r>
        <w:t>1.</w:t>
      </w:r>
      <w:r>
        <w:tab/>
      </w:r>
      <w:r>
        <w:rPr>
          <w:noProof/>
        </w:rPr>
        <w:t>Установеното с настоящия регламент разпределяне на възможностите за риболов между държавите членки се извършва, без да се засягат:</w:t>
      </w:r>
    </w:p>
    <w:p>
      <w:pPr>
        <w:pStyle w:val="Point1"/>
        <w:rPr>
          <w:noProof/>
        </w:rPr>
      </w:pPr>
      <w:r>
        <w:rPr>
          <w:noProof/>
        </w:rPr>
        <w:t>а)</w:t>
      </w:r>
      <w:r>
        <w:rPr>
          <w:noProof/>
        </w:rPr>
        <w:tab/>
        <w:t>размените, извършени съгласно член 16, параграф 8 от Регламент (ЕС) № 1380/2013;</w:t>
      </w:r>
    </w:p>
    <w:p>
      <w:pPr>
        <w:pStyle w:val="Point1"/>
        <w:rPr>
          <w:noProof/>
        </w:rPr>
      </w:pPr>
      <w:r>
        <w:rPr>
          <w:noProof/>
        </w:rPr>
        <w:lastRenderedPageBreak/>
        <w:t>б)</w:t>
      </w:r>
      <w:r>
        <w:rPr>
          <w:noProof/>
        </w:rPr>
        <w:tab/>
        <w:t>приспаданията и преразпределенията, извършени съгласно член 37 от Регламент (ЕО) № 1224/2009 на Съвета</w:t>
      </w:r>
      <w:r>
        <w:rPr>
          <w:rStyle w:val="FootnoteReference"/>
          <w:noProof/>
        </w:rPr>
        <w:footnoteReference w:id="10"/>
      </w:r>
      <w:r>
        <w:rPr>
          <w:noProof/>
        </w:rPr>
        <w:t>;</w:t>
      </w:r>
    </w:p>
    <w:p>
      <w:pPr>
        <w:pStyle w:val="Point1"/>
        <w:rPr>
          <w:noProof/>
        </w:rPr>
      </w:pPr>
      <w:r>
        <w:rPr>
          <w:noProof/>
        </w:rPr>
        <w:t>в)</w:t>
      </w:r>
      <w:r>
        <w:rPr>
          <w:noProof/>
        </w:rPr>
        <w:tab/>
        <w:t>преразпределенията, извършени съгласно член 12, параграф 7 от Регламент (ЕС) 2017/2403 на Европейския парламент и на Съвета</w:t>
      </w:r>
      <w:r>
        <w:rPr>
          <w:rStyle w:val="FootnoteReference"/>
          <w:noProof/>
        </w:rPr>
        <w:footnoteReference w:id="11"/>
      </w:r>
      <w:r>
        <w:rPr>
          <w:noProof/>
        </w:rPr>
        <w:t>;</w:t>
      </w:r>
    </w:p>
    <w:p>
      <w:pPr>
        <w:pStyle w:val="Point1"/>
        <w:rPr>
          <w:noProof/>
        </w:rPr>
      </w:pPr>
      <w:r>
        <w:rPr>
          <w:noProof/>
        </w:rPr>
        <w:t>г)</w:t>
      </w:r>
      <w:r>
        <w:rPr>
          <w:noProof/>
        </w:rPr>
        <w:tab/>
        <w:t>допълнителните разтоварвания на сушата, разрешени съгласно член 3 от Регламент (ЕО) № 847/96 и член 15, параграф 9 от Регламент (ЕС) № 1380/2013;</w:t>
      </w:r>
    </w:p>
    <w:p>
      <w:pPr>
        <w:pStyle w:val="Point1"/>
        <w:rPr>
          <w:noProof/>
        </w:rPr>
      </w:pPr>
      <w:r>
        <w:rPr>
          <w:noProof/>
        </w:rPr>
        <w:t>д)</w:t>
      </w:r>
      <w:r>
        <w:rPr>
          <w:noProof/>
        </w:rPr>
        <w:tab/>
        <w:t>количествата, удържани съгласно член 4 от Регламент (ЕО) № 847/96 и член 15, параграф 9 от Регламент (ЕС) № 1380/2013;</w:t>
      </w:r>
    </w:p>
    <w:p>
      <w:pPr>
        <w:pStyle w:val="Point1"/>
        <w:rPr>
          <w:noProof/>
        </w:rPr>
      </w:pPr>
      <w:r>
        <w:rPr>
          <w:noProof/>
        </w:rPr>
        <w:t>е)</w:t>
      </w:r>
      <w:r>
        <w:rPr>
          <w:noProof/>
        </w:rPr>
        <w:tab/>
        <w:t>приспаданията, извършени съгласно членове 105, 106 и 107 от Регламент (ЕО) № 1224/2009.</w:t>
      </w:r>
    </w:p>
    <w:p>
      <w:pPr>
        <w:pStyle w:val="ManualNumPar1"/>
        <w:rPr>
          <w:noProof/>
        </w:rPr>
      </w:pPr>
      <w:r>
        <w:t>2.</w:t>
      </w:r>
      <w:r>
        <w:tab/>
      </w:r>
      <w:r>
        <w:rPr>
          <w:noProof/>
        </w:rPr>
        <w:t>Запасите, по отношение на които е предвиден предпазен или аналитичен ОДУ, са посочени в приложението към настоящия регламент.</w:t>
      </w:r>
    </w:p>
    <w:p>
      <w:pPr>
        <w:pStyle w:val="ManualNumPar1"/>
        <w:rPr>
          <w:noProof/>
          <w:szCs w:val="24"/>
        </w:rPr>
      </w:pPr>
      <w:r>
        <w:t>3.</w:t>
      </w:r>
      <w:r>
        <w:tab/>
      </w:r>
      <w:r>
        <w:rPr>
          <w:noProof/>
        </w:rPr>
        <w:t xml:space="preserve">Член 3 от Регламент (ЕО) № 847/96 се прилага за запасите, по отношение на които е предвиден предпазен ОДУ, а член 3, параграфи 2 и 3 и член 4 от същия регламент — за запасите, по отношение на които е предвиден аналитичен ОДУ, освен ако в приложението към настоящия регламент е посочено друго. </w:t>
      </w:r>
    </w:p>
    <w:p>
      <w:pPr>
        <w:pStyle w:val="ManualNumPar1"/>
        <w:rPr>
          <w:noProof/>
          <w:szCs w:val="24"/>
        </w:rPr>
      </w:pPr>
      <w:r>
        <w:t>4.</w:t>
      </w:r>
      <w:r>
        <w:tab/>
      </w:r>
      <w:r>
        <w:rPr>
          <w:noProof/>
        </w:rPr>
        <w:t>Членове 3 и 4 от Регламент (ЕО) № 847/96 не се прилагат, когато държава членка използва възможността за гъвкавост по отношение на квотите в две последователни години, предвидена в член 15, параграф 9 от Регламент (ЕС) № 1380/2013.</w:t>
      </w:r>
    </w:p>
    <w:p>
      <w:pPr>
        <w:pStyle w:val="Titrearticle"/>
        <w:rPr>
          <w:b/>
          <w:i w:val="0"/>
          <w:noProof/>
        </w:rPr>
      </w:pPr>
      <w:r>
        <w:rPr>
          <w:noProof/>
        </w:rPr>
        <w:t xml:space="preserve">Член 6 </w:t>
      </w:r>
      <w:r>
        <w:rPr>
          <w:noProof/>
        </w:rPr>
        <w:br/>
      </w:r>
      <w:bookmarkStart w:id="2" w:name="bookmark9"/>
      <w:r>
        <w:rPr>
          <w:b/>
          <w:i w:val="0"/>
          <w:noProof/>
        </w:rPr>
        <w:t>Условия за разтоварване на сушата на улова и прилова</w:t>
      </w:r>
      <w:bookmarkEnd w:id="2"/>
    </w:p>
    <w:p>
      <w:pPr>
        <w:rPr>
          <w:noProof/>
          <w:szCs w:val="24"/>
        </w:rPr>
      </w:pPr>
      <w:r>
        <w:rPr>
          <w:noProof/>
        </w:rPr>
        <w:t>Уловът, за който не се прилага задължението за разтоварване на сушата, установено в член 15 от Регламент (ЕС) № 1380/2013, се задържа на борда или се разтоварва на сушата единствено ако:</w:t>
      </w:r>
    </w:p>
    <w:p>
      <w:pPr>
        <w:pStyle w:val="ManualNumPar1"/>
        <w:rPr>
          <w:noProof/>
        </w:rPr>
      </w:pPr>
      <w:r>
        <w:t>1.</w:t>
      </w:r>
      <w:r>
        <w:tab/>
      </w:r>
      <w:r>
        <w:rPr>
          <w:noProof/>
        </w:rPr>
        <w:t>е уловен от кораби, плаващи под знамето на държава членка, която има квота и тази квота не е изчерпана; или</w:t>
      </w:r>
    </w:p>
    <w:p>
      <w:pPr>
        <w:pStyle w:val="ManualNumPar1"/>
        <w:rPr>
          <w:i/>
          <w:noProof/>
        </w:rPr>
      </w:pPr>
      <w:r>
        <w:t>2.</w:t>
      </w:r>
      <w:r>
        <w:tab/>
      </w:r>
      <w:r>
        <w:rPr>
          <w:noProof/>
        </w:rPr>
        <w:t>представлява част от квота на Съюза, която не е била разпределена по квоти между държавите членки, и тази квота на Съюза не е изчерпана.</w:t>
      </w:r>
      <w:r>
        <w:rPr>
          <w:i/>
          <w:noProof/>
        </w:rPr>
        <w:t xml:space="preserve"> </w:t>
      </w:r>
    </w:p>
    <w:p>
      <w:pPr>
        <w:pStyle w:val="Titrearticle"/>
        <w:rPr>
          <w:b/>
          <w:i w:val="0"/>
          <w:noProof/>
        </w:rPr>
      </w:pPr>
      <w:r>
        <w:rPr>
          <w:noProof/>
        </w:rPr>
        <w:t xml:space="preserve">Член 7 </w:t>
      </w:r>
      <w:r>
        <w:rPr>
          <w:noProof/>
        </w:rPr>
        <w:br/>
      </w:r>
      <w:r>
        <w:rPr>
          <w:b/>
          <w:i w:val="0"/>
          <w:noProof/>
        </w:rPr>
        <w:t>Забрани</w:t>
      </w:r>
    </w:p>
    <w:p>
      <w:pPr>
        <w:rPr>
          <w:noProof/>
          <w:szCs w:val="24"/>
        </w:rPr>
      </w:pPr>
      <w:r>
        <w:rPr>
          <w:noProof/>
        </w:rPr>
        <w:t>На риболовните кораби на Съюза се забранява:</w:t>
      </w:r>
    </w:p>
    <w:p>
      <w:pPr>
        <w:pStyle w:val="ManualNumPar1"/>
        <w:rPr>
          <w:noProof/>
        </w:rPr>
      </w:pPr>
      <w:r>
        <w:lastRenderedPageBreak/>
        <w:t>1.</w:t>
      </w:r>
      <w:r>
        <w:tab/>
      </w:r>
      <w:r>
        <w:rPr>
          <w:noProof/>
        </w:rPr>
        <w:t>да извършват риболов на атлантически големоглав (</w:t>
      </w:r>
      <w:r>
        <w:rPr>
          <w:i/>
          <w:iCs/>
          <w:noProof/>
        </w:rPr>
        <w:t>Hoplostethus atlanticus</w:t>
      </w:r>
      <w:r>
        <w:rPr>
          <w:noProof/>
        </w:rPr>
        <w:t>) във води на Съюза и в международни води от подзони 1—10, 12 и 14 на ICES, както и да задържат на борда, да трансбордират и да разтоварват на сушата атлантически големоглав, уловен в тези подзони;</w:t>
      </w:r>
    </w:p>
    <w:p>
      <w:pPr>
        <w:pStyle w:val="ManualNumPar1"/>
        <w:rPr>
          <w:noProof/>
        </w:rPr>
      </w:pPr>
      <w:r>
        <w:t>2.</w:t>
      </w:r>
      <w:r>
        <w:tab/>
      </w:r>
      <w:r>
        <w:rPr>
          <w:noProof/>
        </w:rPr>
        <w:t>да извършват риболов на дълбоководни акули в подзони 5—9 на ICES, във води на Съюза и в международни води от подзона 10 на ICES, в международни води от подзона 12 на ICES и във води на Съюза от зони 34.1.1, 34.1.2 и 34.2 на СЕCAF, както и да задържат на борда, да трансбордират, да преместват и да разтоварват на сушата дълбоководни акули, уловени в тези зони.</w:t>
      </w:r>
    </w:p>
    <w:p>
      <w:pPr>
        <w:pStyle w:val="Titrearticle"/>
        <w:rPr>
          <w:b/>
          <w:i w:val="0"/>
          <w:noProof/>
        </w:rPr>
      </w:pPr>
      <w:r>
        <w:rPr>
          <w:noProof/>
        </w:rPr>
        <w:t xml:space="preserve">Член 8 </w:t>
      </w:r>
      <w:r>
        <w:rPr>
          <w:noProof/>
        </w:rPr>
        <w:br/>
      </w:r>
      <w:r>
        <w:rPr>
          <w:b/>
          <w:i w:val="0"/>
          <w:noProof/>
        </w:rPr>
        <w:t>Предаване на данни</w:t>
      </w:r>
    </w:p>
    <w:p>
      <w:pPr>
        <w:rPr>
          <w:noProof/>
          <w:szCs w:val="24"/>
        </w:rPr>
      </w:pPr>
      <w:r>
        <w:rPr>
          <w:noProof/>
        </w:rPr>
        <w:t>Когато съгласно членове 33 и 34 от Регламент (ЕО) № 1224/2009 държавите членки изпращат на Комисията данни относно разтоварването на сушата на улова по запаси, те използват кодовете на запасите, посочени в приложението към настоящия регламент.</w:t>
      </w:r>
    </w:p>
    <w:p>
      <w:pPr>
        <w:pStyle w:val="Titrearticle"/>
        <w:rPr>
          <w:b/>
          <w:i w:val="0"/>
          <w:noProof/>
        </w:rPr>
      </w:pPr>
      <w:r>
        <w:rPr>
          <w:noProof/>
        </w:rPr>
        <w:t xml:space="preserve">Член 9 </w:t>
      </w:r>
      <w:r>
        <w:rPr>
          <w:noProof/>
        </w:rPr>
        <w:br/>
      </w:r>
      <w:r>
        <w:rPr>
          <w:b/>
          <w:i w:val="0"/>
          <w:noProof/>
        </w:rPr>
        <w:t>Влизане в сила</w:t>
      </w:r>
    </w:p>
    <w:p>
      <w:pPr>
        <w:rPr>
          <w:noProof/>
          <w:szCs w:val="24"/>
        </w:rPr>
      </w:pPr>
      <w:r>
        <w:rPr>
          <w:noProof/>
        </w:rPr>
        <w:t xml:space="preserve">Настоящият регламент влиза в сила в деня след публикуването му в </w:t>
      </w:r>
      <w:r>
        <w:rPr>
          <w:i/>
          <w:iCs/>
          <w:noProof/>
          <w:szCs w:val="24"/>
        </w:rPr>
        <w:t>Официален вестник на Европейския съюз</w:t>
      </w:r>
      <w:r>
        <w:rPr>
          <w:noProof/>
        </w:rPr>
        <w:t>.</w:t>
      </w:r>
    </w:p>
    <w:p>
      <w:pPr>
        <w:rPr>
          <w:noProof/>
          <w:szCs w:val="24"/>
        </w:rPr>
      </w:pPr>
      <w:r>
        <w:rPr>
          <w:noProof/>
        </w:rPr>
        <w:t xml:space="preserve">Той се прилага от 1 януари 2021 г. </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keepNext/>
        <w:rPr>
          <w:noProof/>
        </w:rPr>
      </w:pPr>
      <w:r>
        <w:rPr>
          <w:noProof/>
        </w:rPr>
        <w:tab/>
        <w:t>Председател</w:t>
      </w:r>
    </w:p>
    <w:p>
      <w:pPr>
        <w:pStyle w:val="Personnequisigne"/>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2018/2025 на Съвета от 17 декември 2018 г. за определяне на възможностите за риболов за 2019 и 2020 г. по отношение на някои дълбоководни рибни запаси за риболовните кораби на Съюза (OВ L 325; 20.12.2018 г., стр. 7).</w:t>
      </w:r>
    </w:p>
  </w:footnote>
  <w:footnote w:id="2">
    <w:p>
      <w:pPr>
        <w:pStyle w:val="FootnoteText"/>
      </w:pPr>
      <w:r>
        <w:rPr>
          <w:rStyle w:val="FootnoteReference"/>
        </w:rPr>
        <w:footnoteRef/>
      </w:r>
      <w:r>
        <w:tab/>
        <w:t>Съобщение на Комисията до Европейския парламент и Съвета — „Към по-устойчив риболов в ЕС: актуално състояние и насоки за 2021 г.“ (COM(2020) 248).</w:t>
      </w:r>
    </w:p>
  </w:footnote>
  <w:footnote w:id="3">
    <w:p>
      <w:pPr>
        <w:pStyle w:val="FootnoteText"/>
      </w:pPr>
      <w:r>
        <w:rPr>
          <w:rStyle w:val="FootnoteReference"/>
        </w:rPr>
        <w:footnoteRef/>
      </w:r>
      <w:r>
        <w:tab/>
        <w:t xml:space="preserve">https://ec.europa.eu/info/consultations/fishing-opportunities-2021-under-common-fisheries-policy_bg </w:t>
      </w:r>
    </w:p>
  </w:footnote>
  <w:footnote w:id="4">
    <w:p>
      <w:pPr>
        <w:pStyle w:val="FootnoteText"/>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5">
    <w:p>
      <w:pPr>
        <w:pStyle w:val="FootnoteText"/>
      </w:pPr>
      <w:r>
        <w:rPr>
          <w:rStyle w:val="FootnoteReference"/>
        </w:rPr>
        <w:footnoteRef/>
      </w:r>
      <w:r>
        <w:tab/>
        <w:t>http://www.ices.dk/advice/Pages/Latest-Advice.aspx</w:t>
      </w:r>
    </w:p>
  </w:footnote>
  <w:footnote w:id="6">
    <w:p>
      <w:pPr>
        <w:pStyle w:val="FootnoteText"/>
        <w:rPr>
          <w:sz w:val="18"/>
          <w:szCs w:val="18"/>
        </w:rPr>
      </w:pPr>
      <w:r>
        <w:rPr>
          <w:rStyle w:val="FootnoteReference"/>
        </w:rPr>
        <w:footnoteRef/>
      </w:r>
      <w:r>
        <w:tab/>
        <w:t>Регламент (ЕО) № 847/96 на Съвета от 6 май 1996 г. относно определяне на допълнителните условия за годишното управление на допустимите количества улов и на квотите (ОВ L 115, 9.5.1996 г., стр. 3).</w:t>
      </w:r>
    </w:p>
  </w:footnote>
  <w:footnote w:id="7">
    <w:p>
      <w:pPr>
        <w:pStyle w:val="FootnoteText"/>
      </w:pPr>
      <w:r>
        <w:rPr>
          <w:rStyle w:val="FootnoteReference"/>
        </w:rPr>
        <w:footnoteRef/>
      </w:r>
      <w:r>
        <w:tab/>
        <w:t>Споразумение за прилагане на разпоредбите от Конвенцията на Организацията на обединените нации по морско право от 10 декември 1982 г., свързани с опазването и управлението на трансгранично преминаващите и далекомигриращи рибни запаси (ОВ L 189, 3.7.1998 г., стр. 16).</w:t>
      </w:r>
    </w:p>
  </w:footnote>
  <w:footnote w:id="8">
    <w:p>
      <w:pPr>
        <w:pStyle w:val="FootnoteText"/>
      </w:pPr>
      <w:r>
        <w:rPr>
          <w:rStyle w:val="FootnoteReference"/>
        </w:rPr>
        <w:footnoteRef/>
      </w:r>
      <w:r>
        <w:tab/>
        <w:t>Регламент (ЕО) № 218/2009 на Европейския парламент и на Съвета от 11 март 2009 г. относно предоставянето на статистика за номиналния улов на държавите членки, които извършват риболов в североизточната част на Атлантическия океан (ОВ L 87, 31.3.2009 г., стр. 70).</w:t>
      </w:r>
    </w:p>
  </w:footnote>
  <w:footnote w:id="9">
    <w:p>
      <w:pPr>
        <w:pStyle w:val="FootnoteText"/>
      </w:pPr>
      <w:r>
        <w:rPr>
          <w:rStyle w:val="FootnoteReference"/>
        </w:rPr>
        <w:footnoteRef/>
      </w:r>
      <w:r>
        <w:tab/>
        <w:t>Регламент (ЕО) № 216/2009 на Европейския парламент и на Съвета от 11 март 2009 г. относно предоставянето на статистика за номиналния улов на държавите членки, които извършват риболов в зони извън северната част на Атлантическия океан (ОВ L 87, 31.3.2009 г., стр. 1).</w:t>
      </w:r>
    </w:p>
  </w:footnote>
  <w:footnote w:id="10">
    <w:p>
      <w:pPr>
        <w:pStyle w:val="FootnoteText"/>
      </w:pPr>
      <w:r>
        <w:rPr>
          <w:rStyle w:val="FootnoteReference"/>
        </w:rPr>
        <w:footnoteRef/>
      </w:r>
      <w:r>
        <w:tab/>
        <w:t>Регламент (ЕО) № 1224/2009 на Съвета от 20 ноември 2009 г. за създаване на система за контрол на Съюза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 (OB L 343, 22.12.2009 г., стр. 1).</w:t>
      </w:r>
    </w:p>
  </w:footnote>
  <w:footnote w:id="11">
    <w:p>
      <w:pPr>
        <w:pStyle w:val="FootnoteText"/>
      </w:pPr>
      <w:r>
        <w:rPr>
          <w:rStyle w:val="FootnoteReference"/>
        </w:rPr>
        <w:footnoteRef/>
      </w:r>
      <w:r>
        <w:tab/>
        <w:t>Регламент (ЕС) 2017/2403 на Европейския парламент и на Съвета от 12 декември 2017 г. относно устойчивото управление на външните риболовни флотове и за отмяна на Регламент (ЕО) № 1006/2008 на Съвета (ОВ L 347, 28.12.2017 г., стр. 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AF81B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13AA95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12D9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FB69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EBA56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EE6EC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A882882"/>
    <w:lvl w:ilvl="0">
      <w:start w:val="1"/>
      <w:numFmt w:val="decimal"/>
      <w:pStyle w:val="ListNumber"/>
      <w:lvlText w:val="%1."/>
      <w:lvlJc w:val="left"/>
      <w:pPr>
        <w:tabs>
          <w:tab w:val="num" w:pos="360"/>
        </w:tabs>
        <w:ind w:left="360" w:hanging="360"/>
      </w:pPr>
    </w:lvl>
  </w:abstractNum>
  <w:abstractNum w:abstractNumId="7">
    <w:nsid w:val="FFFFFF89"/>
    <w:multiLevelType w:val="singleLevel"/>
    <w:tmpl w:val="0F1C15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num>
  <w:num w:numId="7">
    <w:abstractNumId w:val="21"/>
    <w:lvlOverride w:ilvl="0">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4"/>
  </w:num>
  <w:num w:numId="13">
    <w:abstractNumId w:val="3"/>
  </w:num>
  <w:num w:numId="14">
    <w:abstractNumId w:val="6"/>
  </w:num>
  <w:num w:numId="15">
    <w:abstractNumId w:val="2"/>
  </w:num>
  <w:num w:numId="16">
    <w:abstractNumId w:val="1"/>
  </w:num>
  <w:num w:numId="17">
    <w:abstractNumId w:val="0"/>
  </w:num>
  <w:num w:numId="18">
    <w:abstractNumId w:val="18"/>
  </w:num>
  <w:num w:numId="19">
    <w:abstractNumId w:val="12"/>
  </w:num>
  <w:num w:numId="20">
    <w:abstractNumId w:val="20"/>
  </w:num>
  <w:num w:numId="21">
    <w:abstractNumId w:val="11"/>
  </w:num>
  <w:num w:numId="22">
    <w:abstractNumId w:val="13"/>
  </w:num>
  <w:num w:numId="23">
    <w:abstractNumId w:val="9"/>
  </w:num>
  <w:num w:numId="24">
    <w:abstractNumId w:val="19"/>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1 12:30:3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408E0C7-4D15-473C-90EF-3CC70E10A95E"/>
    <w:docVar w:name="LW_COVERPAGE_TYPE" w:val="1"/>
    <w:docVar w:name="LW_CROSSREFERENCE" w:val="&lt;UNUSED&gt;"/>
    <w:docVar w:name="LW_DocType" w:val="COM"/>
    <w:docVar w:name="LW_EMISSION" w:val="22.10.2020"/>
    <w:docVar w:name="LW_EMISSION_ISODATE" w:val="2020-10-22"/>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01"/>
    <w:docVar w:name="LW_REF.II.NEW.CP_YEAR" w:val="2020"/>
    <w:docVar w:name="LW_REF.INST.NEW" w:val="COM"/>
    <w:docVar w:name="LW_REF.INST.NEW_ADOPTED" w:val="final"/>
    <w:docVar w:name="LW_REF.INST.NEW_TEXT" w:val="(2020) 6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6?\u1087?\u1088?\u1077?\u1076?\u1077?\u1083?\u1103?\u1085?\u1077? \u1085?\u1072? \u1074?\u1098?\u1079?\u1084?\u1086?\u1078?\u1085?\u1086?\u1089?\u1090?\u1080?\u1090?\u1077? \u1079?\u1072? \u1088?\u1080?\u1073?\u1086?\u1083?\u1086?\u1074? \u1079?\u1072? 2021 \u1075?. \u1080? 2022 \u1075?. \u1087?\u1086? \u1086?\u1090?\u1085?\u1086?\u1096?\u1077?\u1085?\u1080?\u1077? \u1085?\u1072? \u1085?\u1103?\u1082?\u1086?\u1080? \u1076?\u1098?\u1083?\u1073?\u1086?\u1082?\u1086?\u1074?\u1086?\u1076?\u1085?\u1080? \u1088?\u1080?\u1073?\u1085?\u1080? \u1079?\u1072?\u1087?\u1072?\u1089?\u1080? \u1079?\u1072? \u1088?\u1080?\u1073?\u1086?\u1083?\u1086?\u1074?\u1085?\u1080?\u1090?\u1077? \u1082?\u1086?\u1088?\u1072?\u1073?\u1080? \u1085?\u1072? \u1057?\u1098?\u1102?\u1079?\u1072?"/>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0"/>
      </w:numPr>
      <w:contextualSpacing/>
    </w:pPr>
  </w:style>
  <w:style w:type="paragraph" w:styleId="ListBullet2">
    <w:name w:val="List Bullet 2"/>
    <w:basedOn w:val="Normal"/>
    <w:uiPriority w:val="99"/>
    <w:semiHidden/>
    <w:unhideWhenUsed/>
    <w:pPr>
      <w:numPr>
        <w:numId w:val="11"/>
      </w:numPr>
      <w:contextualSpacing/>
    </w:pPr>
  </w:style>
  <w:style w:type="paragraph" w:styleId="ListBullet3">
    <w:name w:val="List Bullet 3"/>
    <w:basedOn w:val="Normal"/>
    <w:uiPriority w:val="99"/>
    <w:semiHidden/>
    <w:unhideWhenUsed/>
    <w:pPr>
      <w:numPr>
        <w:numId w:val="12"/>
      </w:numPr>
      <w:contextualSpacing/>
    </w:pPr>
  </w:style>
  <w:style w:type="paragraph" w:styleId="ListBullet4">
    <w:name w:val="List Bullet 4"/>
    <w:basedOn w:val="Normal"/>
    <w:uiPriority w:val="99"/>
    <w:semiHidden/>
    <w:unhideWhenUsed/>
    <w:pPr>
      <w:numPr>
        <w:numId w:val="13"/>
      </w:numPr>
      <w:contextualSpacing/>
    </w:pPr>
  </w:style>
  <w:style w:type="paragraph" w:styleId="ListNumber">
    <w:name w:val="List Number"/>
    <w:basedOn w:val="Normal"/>
    <w:uiPriority w:val="99"/>
    <w:semiHidden/>
    <w:unhideWhenUsed/>
    <w:pPr>
      <w:numPr>
        <w:numId w:val="14"/>
      </w:numPr>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0"/>
      </w:numPr>
      <w:contextualSpacing/>
    </w:pPr>
  </w:style>
  <w:style w:type="paragraph" w:styleId="ListBullet2">
    <w:name w:val="List Bullet 2"/>
    <w:basedOn w:val="Normal"/>
    <w:uiPriority w:val="99"/>
    <w:semiHidden/>
    <w:unhideWhenUsed/>
    <w:pPr>
      <w:numPr>
        <w:numId w:val="11"/>
      </w:numPr>
      <w:contextualSpacing/>
    </w:pPr>
  </w:style>
  <w:style w:type="paragraph" w:styleId="ListBullet3">
    <w:name w:val="List Bullet 3"/>
    <w:basedOn w:val="Normal"/>
    <w:uiPriority w:val="99"/>
    <w:semiHidden/>
    <w:unhideWhenUsed/>
    <w:pPr>
      <w:numPr>
        <w:numId w:val="12"/>
      </w:numPr>
      <w:contextualSpacing/>
    </w:pPr>
  </w:style>
  <w:style w:type="paragraph" w:styleId="ListBullet4">
    <w:name w:val="List Bullet 4"/>
    <w:basedOn w:val="Normal"/>
    <w:uiPriority w:val="99"/>
    <w:semiHidden/>
    <w:unhideWhenUsed/>
    <w:pPr>
      <w:numPr>
        <w:numId w:val="13"/>
      </w:numPr>
      <w:contextualSpacing/>
    </w:pPr>
  </w:style>
  <w:style w:type="paragraph" w:styleId="ListNumber">
    <w:name w:val="List Number"/>
    <w:basedOn w:val="Normal"/>
    <w:uiPriority w:val="99"/>
    <w:semiHidden/>
    <w:unhideWhenUsed/>
    <w:pPr>
      <w:numPr>
        <w:numId w:val="14"/>
      </w:numPr>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14</Pages>
  <Words>4373</Words>
  <Characters>24142</Characters>
  <Application>Microsoft Office Word</Application>
  <DocSecurity>0</DocSecurity>
  <Lines>513</Lines>
  <Paragraphs>166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2020-10-14T13:38:00Z</dcterms:created>
  <dcterms:modified xsi:type="dcterms:W3CDTF">2020-10-21T10:30:00Z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