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916148C8-106B-4F13-B52E-A7AD94A221CD" style="width:451pt;height:48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ext1"/>
        <w:ind w:left="0"/>
        <w:jc w:val="center"/>
        <w:rPr>
          <w:b/>
          <w:bCs/>
          <w:noProof/>
        </w:rPr>
      </w:pPr>
      <w:bookmarkStart w:id="1" w:name="_GoBack"/>
      <w:bookmarkEnd w:id="1"/>
      <w:r>
        <w:rPr>
          <w:b/>
          <w:bCs/>
          <w:noProof/>
        </w:rPr>
        <w:lastRenderedPageBreak/>
        <w:t>ПЛАН ЗА ДЕЙСТВИЕ</w:t>
      </w:r>
    </w:p>
    <w:p>
      <w:pPr>
        <w:pStyle w:val="Text1"/>
        <w:ind w:left="0"/>
        <w:jc w:val="center"/>
        <w:rPr>
          <w:i/>
          <w:iCs/>
          <w:noProof/>
        </w:rPr>
      </w:pPr>
      <w:r>
        <w:rPr>
          <w:i/>
          <w:iCs/>
          <w:noProof/>
        </w:rPr>
        <w:t xml:space="preserve">Мерките, представени в настоящия план за действие, в това число законодателните предложения и целенасочените изменения в Регламента REACH, ще трябва да бъдат изпълнени в съответствие с принципите за по-добро законотворчество и да се подлагат на преценки и на оценка на въздействието, по целесъобразност. </w:t>
      </w:r>
    </w:p>
    <w:tbl>
      <w:tblPr>
        <w:tblStyle w:val="TableGrid"/>
        <w:tblW w:w="10916" w:type="dxa"/>
        <w:jc w:val="center"/>
        <w:tblLook w:val="04A0" w:firstRow="1" w:lastRow="0" w:firstColumn="1" w:lastColumn="0" w:noHBand="0" w:noVBand="1"/>
      </w:tblPr>
      <w:tblGrid>
        <w:gridCol w:w="4841"/>
        <w:gridCol w:w="4020"/>
        <w:gridCol w:w="2055"/>
      </w:tblGrid>
      <w:tr>
        <w:trPr>
          <w:jc w:val="center"/>
        </w:trPr>
        <w:tc>
          <w:tcPr>
            <w:tcW w:w="4853" w:type="dxa"/>
          </w:tcPr>
          <w:p>
            <w:pPr>
              <w:suppressAutoHyphens/>
              <w:spacing w:after="0"/>
              <w:rPr>
                <w:noProof/>
                <w:szCs w:val="24"/>
              </w:rPr>
            </w:pPr>
            <w:r>
              <w:rPr>
                <w:b/>
                <w:bCs/>
                <w:noProof/>
              </w:rPr>
              <w:t>Ключови действия, които Комисията трябва да предприеме</w:t>
            </w:r>
          </w:p>
        </w:tc>
        <w:tc>
          <w:tcPr>
            <w:tcW w:w="4043" w:type="dxa"/>
          </w:tcPr>
          <w:p>
            <w:pPr>
              <w:spacing w:after="0"/>
              <w:rPr>
                <w:b/>
                <w:bCs/>
                <w:noProof/>
              </w:rPr>
            </w:pPr>
            <w:r>
              <w:rPr>
                <w:b/>
                <w:bCs/>
                <w:noProof/>
              </w:rPr>
              <w:t>Законодателство на ЕС</w:t>
            </w:r>
          </w:p>
        </w:tc>
        <w:tc>
          <w:tcPr>
            <w:tcW w:w="2020" w:type="dxa"/>
          </w:tcPr>
          <w:p>
            <w:pPr>
              <w:spacing w:after="0"/>
              <w:rPr>
                <w:noProof/>
                <w:szCs w:val="24"/>
              </w:rPr>
            </w:pPr>
            <w:r>
              <w:rPr>
                <w:b/>
                <w:bCs/>
                <w:noProof/>
              </w:rPr>
              <w:t xml:space="preserve">Примерен график </w:t>
            </w:r>
          </w:p>
        </w:tc>
      </w:tr>
      <w:tr>
        <w:trPr>
          <w:jc w:val="center"/>
        </w:trPr>
        <w:tc>
          <w:tcPr>
            <w:tcW w:w="4853" w:type="dxa"/>
          </w:tcPr>
          <w:p>
            <w:pPr>
              <w:spacing w:after="0"/>
              <w:rPr>
                <w:noProof/>
              </w:rPr>
            </w:pPr>
            <w:r>
              <w:rPr>
                <w:noProof/>
              </w:rPr>
              <w:t>Провеждане на кръгла маса на високо равнище с цел насърчаване на ефикасността и ефективността на законодателството в областта на химикалите, стимулиране на разработването и внедряването на иновативни, безопасни и устойчиви химикали и мониторинг на отражението на действията на стратегията</w:t>
            </w:r>
          </w:p>
        </w:tc>
        <w:tc>
          <w:tcPr>
            <w:tcW w:w="4043" w:type="dxa"/>
          </w:tcPr>
          <w:p>
            <w:pPr>
              <w:spacing w:after="0"/>
              <w:rPr>
                <w:noProof/>
              </w:rPr>
            </w:pPr>
          </w:p>
        </w:tc>
        <w:tc>
          <w:tcPr>
            <w:tcW w:w="2020" w:type="dxa"/>
          </w:tcPr>
          <w:p>
            <w:pPr>
              <w:spacing w:after="0"/>
              <w:jc w:val="left"/>
              <w:rPr>
                <w:noProof/>
              </w:rPr>
            </w:pPr>
            <w:r>
              <w:rPr>
                <w:noProof/>
              </w:rPr>
              <w:t xml:space="preserve">2021 г. </w:t>
            </w:r>
          </w:p>
        </w:tc>
      </w:tr>
      <w:tr>
        <w:trPr>
          <w:jc w:val="center"/>
        </w:trPr>
        <w:tc>
          <w:tcPr>
            <w:tcW w:w="10916" w:type="dxa"/>
            <w:gridSpan w:val="3"/>
            <w:shd w:val="clear" w:color="auto" w:fill="C4BC96" w:themeFill="background2" w:themeFillShade="BF"/>
          </w:tcPr>
          <w:p>
            <w:pPr>
              <w:spacing w:after="0"/>
              <w:jc w:val="left"/>
              <w:rPr>
                <w:b/>
                <w:noProof/>
              </w:rPr>
            </w:pPr>
            <w:r>
              <w:rPr>
                <w:b/>
                <w:noProof/>
              </w:rPr>
              <w:t xml:space="preserve">Иновации за безопасни и устойчиви химикали в ЕС </w:t>
            </w:r>
          </w:p>
        </w:tc>
      </w:tr>
      <w:tr>
        <w:trPr>
          <w:jc w:val="center"/>
        </w:trPr>
        <w:tc>
          <w:tcPr>
            <w:tcW w:w="4853" w:type="dxa"/>
          </w:tcPr>
          <w:p>
            <w:pPr>
              <w:spacing w:after="0"/>
              <w:rPr>
                <w:rFonts w:eastAsiaTheme="minorEastAsia"/>
                <w:noProof/>
              </w:rPr>
            </w:pPr>
            <w:r>
              <w:rPr>
                <w:noProof/>
              </w:rPr>
              <w:t xml:space="preserve">Разработване на критерии на ЕС за безопасност и устойчивост на химикалите още при проектирането </w:t>
            </w:r>
          </w:p>
        </w:tc>
        <w:tc>
          <w:tcPr>
            <w:tcW w:w="4043" w:type="dxa"/>
          </w:tcPr>
          <w:p>
            <w:pPr>
              <w:spacing w:after="0"/>
              <w:rPr>
                <w:noProof/>
              </w:rPr>
            </w:pPr>
          </w:p>
        </w:tc>
        <w:tc>
          <w:tcPr>
            <w:tcW w:w="2020" w:type="dxa"/>
          </w:tcPr>
          <w:p>
            <w:pPr>
              <w:spacing w:after="0"/>
              <w:jc w:val="left"/>
              <w:rPr>
                <w:noProof/>
              </w:rPr>
            </w:pPr>
            <w:r>
              <w:rPr>
                <w:noProof/>
              </w:rPr>
              <w:t xml:space="preserve">2022 г. </w:t>
            </w:r>
          </w:p>
        </w:tc>
      </w:tr>
      <w:tr>
        <w:trPr>
          <w:jc w:val="center"/>
        </w:trPr>
        <w:tc>
          <w:tcPr>
            <w:tcW w:w="4853" w:type="dxa"/>
          </w:tcPr>
          <w:p>
            <w:pPr>
              <w:spacing w:after="0"/>
              <w:rPr>
                <w:noProof/>
              </w:rPr>
            </w:pPr>
            <w:r>
              <w:rPr>
                <w:noProof/>
              </w:rPr>
              <w:t xml:space="preserve">Създаване на равнището на ЕС на мрежа за подкрепа за безопасност и устойчивост още при проектирането  </w:t>
            </w:r>
          </w:p>
        </w:tc>
        <w:tc>
          <w:tcPr>
            <w:tcW w:w="4043" w:type="dxa"/>
          </w:tcPr>
          <w:p>
            <w:pPr>
              <w:spacing w:after="0"/>
              <w:rPr>
                <w:noProof/>
              </w:rPr>
            </w:pPr>
          </w:p>
        </w:tc>
        <w:tc>
          <w:tcPr>
            <w:tcW w:w="2020" w:type="dxa"/>
          </w:tcPr>
          <w:p>
            <w:pPr>
              <w:spacing w:after="0"/>
              <w:jc w:val="left"/>
              <w:rPr>
                <w:noProof/>
              </w:rPr>
            </w:pPr>
            <w:r>
              <w:rPr>
                <w:noProof/>
              </w:rPr>
              <w:t xml:space="preserve">2023 г. </w:t>
            </w:r>
          </w:p>
        </w:tc>
      </w:tr>
      <w:tr>
        <w:trPr>
          <w:jc w:val="center"/>
        </w:trPr>
        <w:tc>
          <w:tcPr>
            <w:tcW w:w="4853" w:type="dxa"/>
          </w:tcPr>
          <w:p>
            <w:pPr>
              <w:spacing w:after="0"/>
              <w:rPr>
                <w:noProof/>
              </w:rPr>
            </w:pPr>
            <w:r>
              <w:rPr>
                <w:noProof/>
              </w:rPr>
              <w:t>Осигуряване на финансова подкрепа за разработването, пускането на пазара, внедряването и усвояването на безопасни и устойчиви вещества, материали и продукти още при проектирането</w:t>
            </w:r>
          </w:p>
        </w:tc>
        <w:tc>
          <w:tcPr>
            <w:tcW w:w="4043" w:type="dxa"/>
          </w:tcPr>
          <w:p>
            <w:pPr>
              <w:spacing w:after="0"/>
              <w:rPr>
                <w:noProof/>
              </w:rPr>
            </w:pPr>
          </w:p>
        </w:tc>
        <w:tc>
          <w:tcPr>
            <w:tcW w:w="2020" w:type="dxa"/>
          </w:tcPr>
          <w:p>
            <w:pPr>
              <w:spacing w:after="0"/>
              <w:jc w:val="left"/>
              <w:rPr>
                <w:noProof/>
              </w:rPr>
            </w:pPr>
            <w:r>
              <w:rPr>
                <w:noProof/>
              </w:rPr>
              <w:t xml:space="preserve">От 2021 г. </w:t>
            </w:r>
          </w:p>
        </w:tc>
      </w:tr>
      <w:tr>
        <w:trPr>
          <w:jc w:val="center"/>
        </w:trPr>
        <w:tc>
          <w:tcPr>
            <w:tcW w:w="4853" w:type="dxa"/>
          </w:tcPr>
          <w:p>
            <w:pPr>
              <w:spacing w:after="0"/>
              <w:rPr>
                <w:noProof/>
              </w:rPr>
            </w:pPr>
            <w:r>
              <w:rPr>
                <w:noProof/>
              </w:rPr>
              <w:t>Набелязване на несъответствията и пропуските в уменията по отношение на безопасността и устойчивостта още при проектирането и отправяне на препоръки</w:t>
            </w:r>
          </w:p>
        </w:tc>
        <w:tc>
          <w:tcPr>
            <w:tcW w:w="4043" w:type="dxa"/>
          </w:tcPr>
          <w:p>
            <w:pPr>
              <w:spacing w:after="0"/>
              <w:rPr>
                <w:noProof/>
              </w:rPr>
            </w:pPr>
          </w:p>
        </w:tc>
        <w:tc>
          <w:tcPr>
            <w:tcW w:w="2020" w:type="dxa"/>
          </w:tcPr>
          <w:p>
            <w:pPr>
              <w:spacing w:after="0"/>
              <w:jc w:val="left"/>
              <w:rPr>
                <w:noProof/>
              </w:rPr>
            </w:pPr>
            <w:r>
              <w:rPr>
                <w:noProof/>
              </w:rPr>
              <w:t xml:space="preserve">2021 г. </w:t>
            </w:r>
          </w:p>
        </w:tc>
      </w:tr>
      <w:tr>
        <w:trPr>
          <w:jc w:val="center"/>
        </w:trPr>
        <w:tc>
          <w:tcPr>
            <w:tcW w:w="4853" w:type="dxa"/>
          </w:tcPr>
          <w:p>
            <w:pPr>
              <w:spacing w:after="0"/>
              <w:rPr>
                <w:noProof/>
                <w:szCs w:val="24"/>
              </w:rPr>
            </w:pPr>
            <w:r>
              <w:rPr>
                <w:noProof/>
              </w:rPr>
              <w:t xml:space="preserve">Разработване на ключови показатели за ефективността за измерване на прехода на промишлеността към производството на безопасни и устойчиви химикали  </w:t>
            </w:r>
          </w:p>
        </w:tc>
        <w:tc>
          <w:tcPr>
            <w:tcW w:w="4043" w:type="dxa"/>
          </w:tcPr>
          <w:p>
            <w:pPr>
              <w:spacing w:after="0"/>
              <w:rPr>
                <w:noProof/>
              </w:rPr>
            </w:pPr>
          </w:p>
        </w:tc>
        <w:tc>
          <w:tcPr>
            <w:tcW w:w="2020" w:type="dxa"/>
          </w:tcPr>
          <w:p>
            <w:pPr>
              <w:spacing w:after="0"/>
              <w:jc w:val="left"/>
              <w:rPr>
                <w:noProof/>
              </w:rPr>
            </w:pPr>
            <w:r>
              <w:rPr>
                <w:noProof/>
              </w:rPr>
              <w:t xml:space="preserve">2021 г. </w:t>
            </w:r>
          </w:p>
        </w:tc>
      </w:tr>
      <w:tr>
        <w:trPr>
          <w:jc w:val="center"/>
        </w:trPr>
        <w:tc>
          <w:tcPr>
            <w:tcW w:w="4853" w:type="dxa"/>
          </w:tcPr>
          <w:p>
            <w:pPr>
              <w:spacing w:after="0"/>
              <w:rPr>
                <w:noProof/>
              </w:rPr>
            </w:pPr>
            <w:r>
              <w:rPr>
                <w:noProof/>
              </w:rPr>
              <w:t xml:space="preserve">Въвеждане на правни изисквания относно наличието на вещества, пораждащи безпокойство, в това число PFAS, посредством инициативата за устойчивите продукти </w:t>
            </w:r>
          </w:p>
        </w:tc>
        <w:tc>
          <w:tcPr>
            <w:tcW w:w="4043" w:type="dxa"/>
          </w:tcPr>
          <w:p>
            <w:pPr>
              <w:spacing w:after="0"/>
              <w:rPr>
                <w:noProof/>
              </w:rPr>
            </w:pPr>
            <w:r>
              <w:rPr>
                <w:noProof/>
              </w:rPr>
              <w:t xml:space="preserve">(Предстоящата) инициатива за устойчивите продукти </w:t>
            </w:r>
          </w:p>
        </w:tc>
        <w:tc>
          <w:tcPr>
            <w:tcW w:w="2020" w:type="dxa"/>
          </w:tcPr>
          <w:p>
            <w:pPr>
              <w:spacing w:after="0"/>
              <w:jc w:val="left"/>
              <w:rPr>
                <w:noProof/>
              </w:rPr>
            </w:pPr>
            <w:r>
              <w:rPr>
                <w:noProof/>
              </w:rPr>
              <w:t xml:space="preserve">2021—2022 г. </w:t>
            </w:r>
          </w:p>
        </w:tc>
      </w:tr>
      <w:tr>
        <w:trPr>
          <w:jc w:val="center"/>
        </w:trPr>
        <w:tc>
          <w:tcPr>
            <w:tcW w:w="4853" w:type="dxa"/>
          </w:tcPr>
          <w:p>
            <w:pPr>
              <w:spacing w:after="0"/>
              <w:rPr>
                <w:noProof/>
              </w:rPr>
            </w:pPr>
            <w:r>
              <w:rPr>
                <w:noProof/>
              </w:rPr>
              <w:t xml:space="preserve">Инициативи и финансиране за насърчаване на развитието на зелени и интелигентни технологии, усъвършенствани материали и иновативни бизнес модели за производството и употребата на химикали с ниски въглеродни емисии и слабо въздействие върху околната среда </w:t>
            </w:r>
          </w:p>
        </w:tc>
        <w:tc>
          <w:tcPr>
            <w:tcW w:w="4043" w:type="dxa"/>
          </w:tcPr>
          <w:p>
            <w:pPr>
              <w:spacing w:after="0"/>
              <w:rPr>
                <w:noProof/>
              </w:rPr>
            </w:pPr>
          </w:p>
        </w:tc>
        <w:tc>
          <w:tcPr>
            <w:tcW w:w="2020" w:type="dxa"/>
          </w:tcPr>
          <w:p>
            <w:pPr>
              <w:spacing w:after="0"/>
              <w:jc w:val="left"/>
              <w:rPr>
                <w:noProof/>
              </w:rPr>
            </w:pPr>
            <w:r>
              <w:rPr>
                <w:noProof/>
              </w:rPr>
              <w:t xml:space="preserve">От 2021 г. </w:t>
            </w:r>
          </w:p>
        </w:tc>
      </w:tr>
      <w:tr>
        <w:trPr>
          <w:jc w:val="center"/>
        </w:trPr>
        <w:tc>
          <w:tcPr>
            <w:tcW w:w="4853" w:type="dxa"/>
          </w:tcPr>
          <w:p>
            <w:pPr>
              <w:spacing w:after="0"/>
              <w:rPr>
                <w:noProof/>
              </w:rPr>
            </w:pPr>
            <w:r>
              <w:rPr>
                <w:noProof/>
              </w:rPr>
              <w:t>Достъп до рисково финансиране, по-специално за МСП и стартиращите предприятия</w:t>
            </w:r>
          </w:p>
        </w:tc>
        <w:tc>
          <w:tcPr>
            <w:tcW w:w="4043" w:type="dxa"/>
          </w:tcPr>
          <w:p>
            <w:pPr>
              <w:spacing w:after="0"/>
              <w:rPr>
                <w:noProof/>
              </w:rPr>
            </w:pPr>
          </w:p>
        </w:tc>
        <w:tc>
          <w:tcPr>
            <w:tcW w:w="2020" w:type="dxa"/>
          </w:tcPr>
          <w:p>
            <w:pPr>
              <w:spacing w:after="0"/>
              <w:jc w:val="left"/>
              <w:rPr>
                <w:noProof/>
              </w:rPr>
            </w:pPr>
            <w:r>
              <w:rPr>
                <w:noProof/>
              </w:rPr>
              <w:t xml:space="preserve">От 2021 г. </w:t>
            </w:r>
          </w:p>
        </w:tc>
      </w:tr>
      <w:tr>
        <w:trPr>
          <w:jc w:val="center"/>
        </w:trPr>
        <w:tc>
          <w:tcPr>
            <w:tcW w:w="4853" w:type="dxa"/>
          </w:tcPr>
          <w:p>
            <w:pPr>
              <w:spacing w:after="0"/>
              <w:rPr>
                <w:noProof/>
              </w:rPr>
            </w:pPr>
            <w:r>
              <w:rPr>
                <w:noProof/>
              </w:rPr>
              <w:lastRenderedPageBreak/>
              <w:t xml:space="preserve">Внасяне на изменения в законодателството на ЕС относно емисиите от промишлеността за насърчаване на употребата на по-безопасни химикали от страна на промишлеността на ЕС </w:t>
            </w:r>
          </w:p>
        </w:tc>
        <w:tc>
          <w:tcPr>
            <w:tcW w:w="4043" w:type="dxa"/>
          </w:tcPr>
          <w:p>
            <w:pPr>
              <w:spacing w:after="0"/>
              <w:rPr>
                <w:noProof/>
              </w:rPr>
            </w:pPr>
            <w:r>
              <w:rPr>
                <w:noProof/>
              </w:rPr>
              <w:t>Директива относно емисиите от промишлеността</w:t>
            </w:r>
          </w:p>
        </w:tc>
        <w:tc>
          <w:tcPr>
            <w:tcW w:w="2020" w:type="dxa"/>
          </w:tcPr>
          <w:p>
            <w:pPr>
              <w:spacing w:after="0"/>
              <w:jc w:val="left"/>
              <w:rPr>
                <w:noProof/>
              </w:rPr>
            </w:pPr>
            <w:r>
              <w:rPr>
                <w:noProof/>
              </w:rPr>
              <w:t>2021 г.</w:t>
            </w:r>
          </w:p>
        </w:tc>
      </w:tr>
      <w:tr>
        <w:trPr>
          <w:jc w:val="center"/>
        </w:trPr>
        <w:tc>
          <w:tcPr>
            <w:tcW w:w="4853" w:type="dxa"/>
          </w:tcPr>
          <w:p>
            <w:pPr>
              <w:spacing w:after="0"/>
              <w:rPr>
                <w:noProof/>
              </w:rPr>
            </w:pPr>
            <w:r>
              <w:rPr>
                <w:noProof/>
              </w:rPr>
              <w:t xml:space="preserve">Идентифициране на ключовите вериги за създаване на стойност и на зависимостите, при които химикалите са  важни градивни елементи, и поемане на ангажимент със заинтересованите страни за подобряване на стратегическите прогнози на ЕС относно химикалите </w:t>
            </w:r>
          </w:p>
        </w:tc>
        <w:tc>
          <w:tcPr>
            <w:tcW w:w="4043" w:type="dxa"/>
          </w:tcPr>
          <w:p>
            <w:pPr>
              <w:spacing w:after="0"/>
              <w:rPr>
                <w:noProof/>
              </w:rPr>
            </w:pPr>
          </w:p>
        </w:tc>
        <w:tc>
          <w:tcPr>
            <w:tcW w:w="2020" w:type="dxa"/>
          </w:tcPr>
          <w:p>
            <w:pPr>
              <w:spacing w:after="0"/>
              <w:jc w:val="left"/>
              <w:rPr>
                <w:noProof/>
              </w:rPr>
            </w:pPr>
            <w:r>
              <w:rPr>
                <w:noProof/>
              </w:rPr>
              <w:t xml:space="preserve">От 2021 г. </w:t>
            </w:r>
          </w:p>
        </w:tc>
      </w:tr>
      <w:tr>
        <w:trPr>
          <w:jc w:val="center"/>
        </w:trPr>
        <w:tc>
          <w:tcPr>
            <w:tcW w:w="4853" w:type="dxa"/>
          </w:tcPr>
          <w:p>
            <w:pPr>
              <w:spacing w:after="0"/>
              <w:rPr>
                <w:noProof/>
              </w:rPr>
            </w:pPr>
            <w:r>
              <w:rPr>
                <w:noProof/>
              </w:rPr>
              <w:t xml:space="preserve">Насърчаване на междурегионалното сътрудничество по устойчиви вериги за създаване на стойност в областта на химикалите чрез интелигентна специализация, за да се ускори разработването на съвместни инвестиционни проекти </w:t>
            </w:r>
          </w:p>
        </w:tc>
        <w:tc>
          <w:tcPr>
            <w:tcW w:w="4043" w:type="dxa"/>
          </w:tcPr>
          <w:p>
            <w:pPr>
              <w:spacing w:after="0"/>
              <w:rPr>
                <w:noProof/>
              </w:rPr>
            </w:pPr>
          </w:p>
        </w:tc>
        <w:tc>
          <w:tcPr>
            <w:tcW w:w="2020" w:type="dxa"/>
          </w:tcPr>
          <w:p>
            <w:pPr>
              <w:spacing w:after="0"/>
              <w:jc w:val="left"/>
              <w:rPr>
                <w:noProof/>
              </w:rPr>
            </w:pPr>
            <w:r>
              <w:rPr>
                <w:noProof/>
              </w:rPr>
              <w:t xml:space="preserve">От 2021 г. </w:t>
            </w:r>
          </w:p>
        </w:tc>
      </w:tr>
      <w:tr>
        <w:trPr>
          <w:jc w:val="center"/>
        </w:trPr>
        <w:tc>
          <w:tcPr>
            <w:tcW w:w="4853" w:type="dxa"/>
          </w:tcPr>
          <w:p>
            <w:pPr>
              <w:spacing w:after="0"/>
              <w:rPr>
                <w:noProof/>
                <w:szCs w:val="24"/>
              </w:rPr>
            </w:pPr>
            <w:r>
              <w:rPr>
                <w:noProof/>
              </w:rPr>
              <w:t>Подпомагане на преквалификацията и повишаването на квалификацията на работната ръка за осъществяване на екологичния и цифровия преход</w:t>
            </w:r>
          </w:p>
        </w:tc>
        <w:tc>
          <w:tcPr>
            <w:tcW w:w="4043" w:type="dxa"/>
          </w:tcPr>
          <w:p>
            <w:pPr>
              <w:spacing w:after="0"/>
              <w:rPr>
                <w:noProof/>
              </w:rPr>
            </w:pPr>
          </w:p>
        </w:tc>
        <w:tc>
          <w:tcPr>
            <w:tcW w:w="2020" w:type="dxa"/>
          </w:tcPr>
          <w:p>
            <w:pPr>
              <w:spacing w:after="0"/>
              <w:jc w:val="left"/>
              <w:rPr>
                <w:noProof/>
              </w:rPr>
            </w:pPr>
            <w:r>
              <w:rPr>
                <w:noProof/>
              </w:rPr>
              <w:t xml:space="preserve">От 2020 г. </w:t>
            </w:r>
          </w:p>
        </w:tc>
      </w:tr>
      <w:tr>
        <w:trPr>
          <w:jc w:val="center"/>
        </w:trPr>
        <w:tc>
          <w:tcPr>
            <w:tcW w:w="0" w:type="auto"/>
            <w:gridSpan w:val="3"/>
            <w:shd w:val="clear" w:color="auto" w:fill="C4BC96" w:themeFill="background2" w:themeFillShade="BF"/>
          </w:tcPr>
          <w:p>
            <w:pPr>
              <w:pStyle w:val="Body"/>
              <w:spacing w:before="0" w:after="0"/>
              <w:rPr>
                <w:rFonts w:ascii="Times New Roman" w:hAnsi="Times New Roman"/>
                <w:b/>
                <w:bCs/>
                <w:noProof/>
              </w:rPr>
            </w:pPr>
            <w:r>
              <w:rPr>
                <w:rFonts w:ascii="Times New Roman" w:hAnsi="Times New Roman"/>
                <w:b/>
                <w:bCs/>
                <w:noProof/>
              </w:rPr>
              <w:t>По-силна правна рамка на ЕС за справяне с неотложните проблеми, свързани с околната среда и здравето</w:t>
            </w:r>
          </w:p>
        </w:tc>
      </w:tr>
      <w:tr>
        <w:trPr>
          <w:jc w:val="center"/>
        </w:trPr>
        <w:tc>
          <w:tcPr>
            <w:tcW w:w="4853" w:type="dxa"/>
          </w:tcPr>
          <w:p>
            <w:pPr>
              <w:pStyle w:val="Text2"/>
              <w:spacing w:after="0"/>
              <w:ind w:left="0"/>
              <w:rPr>
                <w:noProof/>
              </w:rPr>
            </w:pPr>
            <w:r>
              <w:rPr>
                <w:noProof/>
              </w:rPr>
              <w:t xml:space="preserve">Пътна карта, която дава приоритет на канцерогенни, мутагенни и токсични за репродукцията (CMR) вещества, нарушители на функциите на ендокринната система, устойчиви, биоакумулиращи и токсични (PBT) вещества или много устойчиви и много биоакумулиращи (vPvB) вещества, имунотоксични вещества, невротоксични вещества, вещества, токсични за конкретни органи, и респираторни сенсибилизатори за (групови) ограничения съгласно Регламента REACH </w:t>
            </w:r>
          </w:p>
        </w:tc>
        <w:tc>
          <w:tcPr>
            <w:tcW w:w="4043" w:type="dxa"/>
          </w:tcPr>
          <w:p>
            <w:pPr>
              <w:spacing w:after="0"/>
              <w:rPr>
                <w:noProof/>
              </w:rPr>
            </w:pPr>
            <w:r>
              <w:rPr>
                <w:noProof/>
              </w:rPr>
              <w:t>Регламент REACH (комитология)</w:t>
            </w:r>
          </w:p>
        </w:tc>
        <w:tc>
          <w:tcPr>
            <w:tcW w:w="2020" w:type="dxa"/>
          </w:tcPr>
          <w:p>
            <w:pPr>
              <w:spacing w:after="0"/>
              <w:jc w:val="left"/>
              <w:rPr>
                <w:noProof/>
              </w:rPr>
            </w:pPr>
            <w:r>
              <w:rPr>
                <w:noProof/>
              </w:rPr>
              <w:t xml:space="preserve">2021 г. </w:t>
            </w:r>
          </w:p>
          <w:p>
            <w:pPr>
              <w:spacing w:after="0"/>
              <w:jc w:val="left"/>
              <w:rPr>
                <w:noProof/>
              </w:rPr>
            </w:pPr>
          </w:p>
        </w:tc>
      </w:tr>
      <w:tr>
        <w:trPr>
          <w:jc w:val="center"/>
        </w:trPr>
        <w:tc>
          <w:tcPr>
            <w:tcW w:w="4853" w:type="dxa"/>
          </w:tcPr>
          <w:p>
            <w:pPr>
              <w:spacing w:after="0"/>
              <w:rPr>
                <w:noProof/>
              </w:rPr>
            </w:pPr>
            <w:r>
              <w:rPr>
                <w:noProof/>
              </w:rPr>
              <w:t>Предложения за разширяване на общия подход към управлението на риска, за да се гарантира, че потребителските продукти не съдържат химикали, които причиняват рак, генни мутации, не засягат репродуктивната или ендокринната система или са устойчиви, биоакумулиращи и токсични. оценка на условията и графика за разширяване на обхвата на същия подход, така че той да включва и други химикали, включително такива, които засягат имунната, нервната или дихателната система, и химикалите, токсични за конкретен орган</w:t>
            </w:r>
          </w:p>
        </w:tc>
        <w:tc>
          <w:tcPr>
            <w:tcW w:w="4043" w:type="dxa"/>
          </w:tcPr>
          <w:p>
            <w:pPr>
              <w:spacing w:after="0"/>
              <w:jc w:val="left"/>
              <w:rPr>
                <w:noProof/>
              </w:rPr>
            </w:pPr>
            <w:r>
              <w:rPr>
                <w:noProof/>
              </w:rPr>
              <w:t>Член 68, параграф 2 от Регламента REACH.</w:t>
            </w:r>
          </w:p>
          <w:p>
            <w:pPr>
              <w:spacing w:after="0"/>
              <w:jc w:val="left"/>
              <w:rPr>
                <w:noProof/>
              </w:rPr>
            </w:pPr>
          </w:p>
          <w:p>
            <w:pPr>
              <w:spacing w:after="0"/>
              <w:jc w:val="left"/>
              <w:rPr>
                <w:noProof/>
              </w:rPr>
            </w:pPr>
            <w:r>
              <w:rPr>
                <w:noProof/>
              </w:rPr>
              <w:t>Регламент относно материалите, предназначени за контакт с храни</w:t>
            </w:r>
          </w:p>
          <w:p>
            <w:pPr>
              <w:spacing w:after="0"/>
              <w:jc w:val="left"/>
              <w:rPr>
                <w:noProof/>
              </w:rPr>
            </w:pPr>
          </w:p>
          <w:p>
            <w:pPr>
              <w:spacing w:after="0"/>
              <w:jc w:val="left"/>
              <w:rPr>
                <w:noProof/>
              </w:rPr>
            </w:pPr>
            <w:r>
              <w:rPr>
                <w:noProof/>
              </w:rPr>
              <w:t>Регламент относно козметичните продукти</w:t>
            </w:r>
          </w:p>
          <w:p>
            <w:pPr>
              <w:spacing w:after="0"/>
              <w:jc w:val="left"/>
              <w:rPr>
                <w:noProof/>
              </w:rPr>
            </w:pPr>
          </w:p>
          <w:p>
            <w:pPr>
              <w:spacing w:after="0"/>
              <w:jc w:val="left"/>
              <w:rPr>
                <w:noProof/>
              </w:rPr>
            </w:pPr>
            <w:r>
              <w:rPr>
                <w:noProof/>
              </w:rPr>
              <w:t>Директива относно безопасността на детските играчки</w:t>
            </w:r>
          </w:p>
          <w:p>
            <w:pPr>
              <w:spacing w:after="0"/>
              <w:jc w:val="left"/>
              <w:rPr>
                <w:noProof/>
              </w:rPr>
            </w:pPr>
          </w:p>
          <w:p>
            <w:pPr>
              <w:spacing w:after="0"/>
              <w:jc w:val="left"/>
              <w:rPr>
                <w:noProof/>
              </w:rPr>
            </w:pPr>
            <w:r>
              <w:rPr>
                <w:noProof/>
              </w:rPr>
              <w:t>Законодателен път за други потребителски продукти (напр. детергенти), които да се идентифицират при оценката на въздействието</w:t>
            </w:r>
          </w:p>
        </w:tc>
        <w:tc>
          <w:tcPr>
            <w:tcW w:w="2020" w:type="dxa"/>
          </w:tcPr>
          <w:p>
            <w:pPr>
              <w:spacing w:after="0"/>
              <w:jc w:val="left"/>
              <w:rPr>
                <w:noProof/>
              </w:rPr>
            </w:pPr>
            <w:r>
              <w:rPr>
                <w:noProof/>
              </w:rPr>
              <w:t xml:space="preserve">2022 г. </w:t>
            </w:r>
          </w:p>
          <w:p>
            <w:pPr>
              <w:spacing w:after="0"/>
              <w:jc w:val="left"/>
              <w:rPr>
                <w:noProof/>
              </w:rPr>
            </w:pPr>
          </w:p>
          <w:p>
            <w:pPr>
              <w:spacing w:after="0"/>
              <w:jc w:val="left"/>
              <w:rPr>
                <w:noProof/>
              </w:rPr>
            </w:pPr>
            <w:r>
              <w:rPr>
                <w:noProof/>
              </w:rPr>
              <w:t xml:space="preserve">2022 г. </w:t>
            </w:r>
          </w:p>
          <w:p>
            <w:pPr>
              <w:spacing w:after="0"/>
              <w:jc w:val="left"/>
              <w:rPr>
                <w:noProof/>
              </w:rPr>
            </w:pPr>
          </w:p>
          <w:p>
            <w:pPr>
              <w:spacing w:after="0"/>
              <w:jc w:val="left"/>
              <w:rPr>
                <w:noProof/>
              </w:rPr>
            </w:pPr>
            <w:r>
              <w:rPr>
                <w:noProof/>
              </w:rPr>
              <w:t xml:space="preserve">2022 г. </w:t>
            </w:r>
          </w:p>
          <w:p>
            <w:pPr>
              <w:spacing w:after="0"/>
              <w:jc w:val="left"/>
              <w:rPr>
                <w:noProof/>
              </w:rPr>
            </w:pPr>
          </w:p>
          <w:p>
            <w:pPr>
              <w:spacing w:after="0"/>
              <w:jc w:val="left"/>
              <w:rPr>
                <w:noProof/>
              </w:rPr>
            </w:pPr>
            <w:r>
              <w:rPr>
                <w:noProof/>
              </w:rPr>
              <w:t xml:space="preserve">2022 г. </w:t>
            </w:r>
          </w:p>
        </w:tc>
      </w:tr>
      <w:tr>
        <w:trPr>
          <w:jc w:val="center"/>
        </w:trPr>
        <w:tc>
          <w:tcPr>
            <w:tcW w:w="4853" w:type="dxa"/>
          </w:tcPr>
          <w:p>
            <w:pPr>
              <w:spacing w:after="0"/>
              <w:rPr>
                <w:noProof/>
              </w:rPr>
            </w:pPr>
            <w:r>
              <w:rPr>
                <w:noProof/>
              </w:rPr>
              <w:t>Предложение за изменение на член 68, параграф 2 от Регламента REACH с цел добавяне на професионалните ползватели</w:t>
            </w:r>
          </w:p>
        </w:tc>
        <w:tc>
          <w:tcPr>
            <w:tcW w:w="4043" w:type="dxa"/>
          </w:tcPr>
          <w:p>
            <w:pPr>
              <w:spacing w:after="0"/>
              <w:rPr>
                <w:noProof/>
              </w:rPr>
            </w:pPr>
            <w:r>
              <w:rPr>
                <w:noProof/>
              </w:rPr>
              <w:t>Регламент REACH</w:t>
            </w:r>
          </w:p>
        </w:tc>
        <w:tc>
          <w:tcPr>
            <w:tcW w:w="2020" w:type="dxa"/>
          </w:tcPr>
          <w:p>
            <w:pPr>
              <w:spacing w:after="0"/>
              <w:jc w:val="left"/>
              <w:rPr>
                <w:noProof/>
              </w:rPr>
            </w:pPr>
            <w:r>
              <w:rPr>
                <w:noProof/>
              </w:rPr>
              <w:t xml:space="preserve">2022 г. </w:t>
            </w:r>
          </w:p>
        </w:tc>
      </w:tr>
      <w:tr>
        <w:trPr>
          <w:jc w:val="center"/>
        </w:trPr>
        <w:tc>
          <w:tcPr>
            <w:tcW w:w="4853" w:type="dxa"/>
          </w:tcPr>
          <w:p>
            <w:pPr>
              <w:pStyle w:val="Text2"/>
              <w:spacing w:after="0"/>
              <w:ind w:left="0"/>
              <w:rPr>
                <w:noProof/>
                <w:szCs w:val="24"/>
              </w:rPr>
            </w:pPr>
            <w:r>
              <w:rPr>
                <w:noProof/>
              </w:rPr>
              <w:t>Въвеждане на задължителни правни изисквания в рамките на Директивата за общата безопасност на продуктите и на ограничения в Регламента REACH с цел повишаване на безопасността на децата по отношение на опасните химикали в изделия за деца и други продукти за деца (различни от играчки)</w:t>
            </w:r>
          </w:p>
        </w:tc>
        <w:tc>
          <w:tcPr>
            <w:tcW w:w="4043" w:type="dxa"/>
          </w:tcPr>
          <w:p>
            <w:pPr>
              <w:spacing w:after="0"/>
              <w:jc w:val="left"/>
              <w:rPr>
                <w:noProof/>
              </w:rPr>
            </w:pPr>
            <w:r>
              <w:rPr>
                <w:noProof/>
              </w:rPr>
              <w:t>Регламент REACH (комитология)</w:t>
            </w:r>
          </w:p>
          <w:p>
            <w:pPr>
              <w:spacing w:after="0"/>
              <w:jc w:val="left"/>
              <w:rPr>
                <w:noProof/>
              </w:rPr>
            </w:pPr>
          </w:p>
          <w:p>
            <w:pPr>
              <w:spacing w:after="0"/>
              <w:jc w:val="left"/>
              <w:rPr>
                <w:noProof/>
                <w:szCs w:val="24"/>
              </w:rPr>
            </w:pPr>
          </w:p>
          <w:p>
            <w:pPr>
              <w:spacing w:after="0"/>
              <w:jc w:val="left"/>
              <w:rPr>
                <w:noProof/>
                <w:highlight w:val="yellow"/>
              </w:rPr>
            </w:pPr>
            <w:r>
              <w:rPr>
                <w:noProof/>
              </w:rPr>
              <w:t>Директива относно общата безопасност на продуктите</w:t>
            </w:r>
          </w:p>
        </w:tc>
        <w:tc>
          <w:tcPr>
            <w:tcW w:w="2020" w:type="dxa"/>
          </w:tcPr>
          <w:p>
            <w:pPr>
              <w:spacing w:after="0"/>
              <w:jc w:val="left"/>
              <w:rPr>
                <w:noProof/>
              </w:rPr>
            </w:pPr>
            <w:r>
              <w:rPr>
                <w:noProof/>
              </w:rPr>
              <w:t xml:space="preserve">2022 г. </w:t>
            </w:r>
          </w:p>
          <w:p>
            <w:pPr>
              <w:spacing w:after="0"/>
              <w:jc w:val="left"/>
              <w:rPr>
                <w:noProof/>
              </w:rPr>
            </w:pPr>
          </w:p>
          <w:p>
            <w:pPr>
              <w:spacing w:after="0"/>
              <w:jc w:val="left"/>
              <w:rPr>
                <w:noProof/>
              </w:rPr>
            </w:pPr>
          </w:p>
          <w:p>
            <w:pPr>
              <w:spacing w:after="0"/>
              <w:jc w:val="left"/>
              <w:rPr>
                <w:noProof/>
              </w:rPr>
            </w:pPr>
            <w:r>
              <w:rPr>
                <w:noProof/>
              </w:rPr>
              <w:t xml:space="preserve">2021 г. </w:t>
            </w:r>
          </w:p>
        </w:tc>
      </w:tr>
      <w:tr>
        <w:trPr>
          <w:jc w:val="center"/>
        </w:trPr>
        <w:tc>
          <w:tcPr>
            <w:tcW w:w="4853" w:type="dxa"/>
          </w:tcPr>
          <w:p>
            <w:pPr>
              <w:pStyle w:val="Text2"/>
              <w:spacing w:after="0"/>
              <w:ind w:left="0"/>
              <w:rPr>
                <w:noProof/>
                <w:sz w:val="20"/>
              </w:rPr>
            </w:pPr>
            <w:r>
              <w:rPr>
                <w:noProof/>
              </w:rPr>
              <w:t>В процеса на предстоящата стратегическа рамка за здравословни и безопасни условия на труд набелязване на допълнителни приоритети за справяне с експозицията на работниците на опасни вещества, в това число като се идентифицират най-вредните вещества, за които Комисията ще предложи определянето на гранична стойност на професионална експозиция след провеждането на процеса на консултации в областта на здравословните и безопасни условия на труд</w:t>
            </w:r>
          </w:p>
        </w:tc>
        <w:tc>
          <w:tcPr>
            <w:tcW w:w="4043" w:type="dxa"/>
          </w:tcPr>
          <w:p>
            <w:pPr>
              <w:spacing w:after="0"/>
              <w:jc w:val="left"/>
              <w:rPr>
                <w:noProof/>
                <w:highlight w:val="yellow"/>
              </w:rPr>
            </w:pPr>
            <w:r>
              <w:rPr>
                <w:noProof/>
              </w:rPr>
              <w:t>Стратегическа рамка за здравословни и безопасни условия на труд</w:t>
            </w:r>
          </w:p>
        </w:tc>
        <w:tc>
          <w:tcPr>
            <w:tcW w:w="2020" w:type="dxa"/>
          </w:tcPr>
          <w:p>
            <w:pPr>
              <w:spacing w:after="0"/>
              <w:jc w:val="left"/>
              <w:rPr>
                <w:noProof/>
              </w:rPr>
            </w:pPr>
            <w:r>
              <w:rPr>
                <w:noProof/>
              </w:rPr>
              <w:t xml:space="preserve">2021 г. </w:t>
            </w:r>
          </w:p>
        </w:tc>
      </w:tr>
      <w:tr>
        <w:trPr>
          <w:jc w:val="center"/>
        </w:trPr>
        <w:tc>
          <w:tcPr>
            <w:tcW w:w="4853" w:type="dxa"/>
          </w:tcPr>
          <w:p>
            <w:pPr>
              <w:pStyle w:val="Text2"/>
              <w:spacing w:after="0"/>
              <w:ind w:left="0"/>
              <w:rPr>
                <w:noProof/>
              </w:rPr>
            </w:pPr>
            <w:r>
              <w:rPr>
                <w:noProof/>
              </w:rPr>
              <w:t>След консултация със социалните партньори, засилване на защитата на работниците, по-специално като се предложи да се занижат съществуващите гранични стойности на професионална експозиция за олово и азбест, и като се установи задължителна гранична стойност за диизоцианати</w:t>
            </w:r>
          </w:p>
        </w:tc>
        <w:tc>
          <w:tcPr>
            <w:tcW w:w="4043" w:type="dxa"/>
          </w:tcPr>
          <w:p>
            <w:pPr>
              <w:spacing w:before="100" w:beforeAutospacing="1" w:after="100" w:afterAutospacing="1"/>
              <w:rPr>
                <w:noProof/>
                <w:sz w:val="22"/>
              </w:rPr>
            </w:pPr>
            <w:r>
              <w:rPr>
                <w:noProof/>
              </w:rPr>
              <w:t>Директива относно химичните агенти, Директива относно експозицията на азбест по време на работа</w:t>
            </w:r>
          </w:p>
        </w:tc>
        <w:tc>
          <w:tcPr>
            <w:tcW w:w="2020" w:type="dxa"/>
          </w:tcPr>
          <w:p>
            <w:pPr>
              <w:spacing w:after="0"/>
              <w:jc w:val="left"/>
              <w:rPr>
                <w:noProof/>
                <w:highlight w:val="magenta"/>
              </w:rPr>
            </w:pPr>
            <w:r>
              <w:rPr>
                <w:noProof/>
              </w:rPr>
              <w:t xml:space="preserve">2022 г. </w:t>
            </w:r>
          </w:p>
        </w:tc>
      </w:tr>
      <w:tr>
        <w:trPr>
          <w:jc w:val="center"/>
        </w:trPr>
        <w:tc>
          <w:tcPr>
            <w:tcW w:w="4853" w:type="dxa"/>
          </w:tcPr>
          <w:p>
            <w:pPr>
              <w:spacing w:after="0"/>
              <w:rPr>
                <w:noProof/>
                <w:highlight w:val="yellow"/>
              </w:rPr>
            </w:pPr>
            <w:r>
              <w:rPr>
                <w:noProof/>
              </w:rPr>
              <w:t xml:space="preserve">Определяне на критерии за съществените приложения като се вземе предвид определението в Монреалския протокол </w:t>
            </w:r>
          </w:p>
        </w:tc>
        <w:tc>
          <w:tcPr>
            <w:tcW w:w="4043" w:type="dxa"/>
          </w:tcPr>
          <w:p>
            <w:pPr>
              <w:spacing w:after="0"/>
              <w:jc w:val="left"/>
              <w:rPr>
                <w:noProof/>
              </w:rPr>
            </w:pPr>
          </w:p>
        </w:tc>
        <w:tc>
          <w:tcPr>
            <w:tcW w:w="2020" w:type="dxa"/>
          </w:tcPr>
          <w:p>
            <w:pPr>
              <w:spacing w:after="0"/>
              <w:jc w:val="left"/>
              <w:rPr>
                <w:noProof/>
              </w:rPr>
            </w:pPr>
            <w:r>
              <w:rPr>
                <w:noProof/>
              </w:rPr>
              <w:t xml:space="preserve">2021—2022 г. </w:t>
            </w:r>
          </w:p>
        </w:tc>
      </w:tr>
      <w:tr>
        <w:trPr>
          <w:jc w:val="center"/>
        </w:trPr>
        <w:tc>
          <w:tcPr>
            <w:tcW w:w="4853" w:type="dxa"/>
          </w:tcPr>
          <w:p>
            <w:pPr>
              <w:suppressAutoHyphens/>
              <w:spacing w:after="0"/>
              <w:rPr>
                <w:bCs/>
                <w:noProof/>
              </w:rPr>
            </w:pPr>
            <w:r>
              <w:rPr>
                <w:noProof/>
              </w:rPr>
              <w:t>Предложение за изменение на Регламента CLP с цел въвеждане на нови класове опасности за нарушителите на функциите на ендокринната система, PBT/vPvB и устойчивите и мобилните вещества и прилагането им във всички законодателни актове</w:t>
            </w:r>
          </w:p>
        </w:tc>
        <w:tc>
          <w:tcPr>
            <w:tcW w:w="4043" w:type="dxa"/>
          </w:tcPr>
          <w:p>
            <w:pPr>
              <w:spacing w:after="0"/>
              <w:jc w:val="left"/>
              <w:rPr>
                <w:noProof/>
              </w:rPr>
            </w:pPr>
            <w:r>
              <w:rPr>
                <w:noProof/>
              </w:rPr>
              <w:t>Регламент CLP</w:t>
            </w:r>
          </w:p>
          <w:p>
            <w:pPr>
              <w:spacing w:after="0"/>
              <w:jc w:val="left"/>
              <w:rPr>
                <w:noProof/>
              </w:rPr>
            </w:pPr>
          </w:p>
          <w:p>
            <w:pPr>
              <w:spacing w:after="0"/>
              <w:jc w:val="left"/>
              <w:rPr>
                <w:noProof/>
              </w:rPr>
            </w:pPr>
          </w:p>
        </w:tc>
        <w:tc>
          <w:tcPr>
            <w:tcW w:w="2020" w:type="dxa"/>
          </w:tcPr>
          <w:p>
            <w:pPr>
              <w:spacing w:after="0"/>
              <w:jc w:val="left"/>
              <w:rPr>
                <w:noProof/>
              </w:rPr>
            </w:pPr>
            <w:r>
              <w:rPr>
                <w:noProof/>
              </w:rPr>
              <w:t xml:space="preserve">2021 г. </w:t>
            </w:r>
          </w:p>
        </w:tc>
      </w:tr>
      <w:tr>
        <w:trPr>
          <w:jc w:val="center"/>
        </w:trPr>
        <w:tc>
          <w:tcPr>
            <w:tcW w:w="4853" w:type="dxa"/>
          </w:tcPr>
          <w:p>
            <w:pPr>
              <w:suppressAutoHyphens/>
              <w:spacing w:after="0"/>
              <w:rPr>
                <w:noProof/>
              </w:rPr>
            </w:pPr>
            <w:r>
              <w:rPr>
                <w:noProof/>
              </w:rPr>
              <w:t xml:space="preserve">Актуализиране на изискванията по отношение на предоставянето на информация, за да се позволи идентифицирането на нарушителите на функциите на ендокринната система, по-специално в рамките на Регламента REACH, законодателството в областта на козметичните продукти, материалите, предназначени за контакт с храни, продуктите за растителна защита и биоцидите </w:t>
            </w:r>
          </w:p>
        </w:tc>
        <w:tc>
          <w:tcPr>
            <w:tcW w:w="4043" w:type="dxa"/>
          </w:tcPr>
          <w:p>
            <w:pPr>
              <w:spacing w:after="0"/>
              <w:jc w:val="left"/>
              <w:rPr>
                <w:noProof/>
              </w:rPr>
            </w:pPr>
            <w:r>
              <w:rPr>
                <w:noProof/>
              </w:rPr>
              <w:t>Регламент REACH (комитология)</w:t>
            </w:r>
          </w:p>
          <w:p>
            <w:pPr>
              <w:spacing w:after="0"/>
              <w:jc w:val="left"/>
              <w:rPr>
                <w:noProof/>
              </w:rPr>
            </w:pPr>
          </w:p>
          <w:p>
            <w:pPr>
              <w:spacing w:after="0"/>
              <w:jc w:val="left"/>
              <w:rPr>
                <w:noProof/>
              </w:rPr>
            </w:pPr>
            <w:r>
              <w:rPr>
                <w:noProof/>
              </w:rPr>
              <w:t>Регламент за биоцидите (приложения)</w:t>
            </w:r>
          </w:p>
          <w:p>
            <w:pPr>
              <w:spacing w:after="0"/>
              <w:jc w:val="left"/>
              <w:rPr>
                <w:noProof/>
              </w:rPr>
            </w:pPr>
          </w:p>
          <w:p>
            <w:pPr>
              <w:spacing w:after="0"/>
              <w:jc w:val="left"/>
              <w:rPr>
                <w:noProof/>
              </w:rPr>
            </w:pPr>
            <w:r>
              <w:rPr>
                <w:noProof/>
              </w:rPr>
              <w:t>Регламент относно продуктите за растителна защита (съобщения на Комисията)</w:t>
            </w:r>
          </w:p>
          <w:p>
            <w:pPr>
              <w:spacing w:after="0"/>
              <w:jc w:val="left"/>
              <w:rPr>
                <w:noProof/>
              </w:rPr>
            </w:pPr>
          </w:p>
          <w:p>
            <w:pPr>
              <w:spacing w:after="0"/>
              <w:jc w:val="left"/>
              <w:rPr>
                <w:noProof/>
              </w:rPr>
            </w:pPr>
            <w:r>
              <w:rPr>
                <w:noProof/>
              </w:rPr>
              <w:t>Регламент относно материалите, предназначени за контакт с храни</w:t>
            </w:r>
          </w:p>
          <w:p>
            <w:pPr>
              <w:spacing w:after="0"/>
              <w:jc w:val="left"/>
              <w:rPr>
                <w:noProof/>
              </w:rPr>
            </w:pPr>
          </w:p>
          <w:p>
            <w:pPr>
              <w:spacing w:after="0"/>
              <w:jc w:val="left"/>
              <w:rPr>
                <w:noProof/>
              </w:rPr>
            </w:pPr>
            <w:r>
              <w:rPr>
                <w:noProof/>
              </w:rPr>
              <w:t>Регламент относно козметичните продукти</w:t>
            </w:r>
          </w:p>
        </w:tc>
        <w:tc>
          <w:tcPr>
            <w:tcW w:w="2020" w:type="dxa"/>
          </w:tcPr>
          <w:p>
            <w:pPr>
              <w:spacing w:after="0"/>
              <w:jc w:val="left"/>
              <w:rPr>
                <w:noProof/>
              </w:rPr>
            </w:pPr>
            <w:r>
              <w:rPr>
                <w:noProof/>
              </w:rPr>
              <w:t xml:space="preserve">2022 г. </w:t>
            </w:r>
          </w:p>
          <w:p>
            <w:pPr>
              <w:spacing w:after="0"/>
              <w:jc w:val="left"/>
              <w:rPr>
                <w:noProof/>
                <w:lang w:val="fr-BE"/>
              </w:rPr>
            </w:pPr>
          </w:p>
          <w:p>
            <w:pPr>
              <w:spacing w:after="0"/>
              <w:jc w:val="left"/>
              <w:rPr>
                <w:noProof/>
              </w:rPr>
            </w:pPr>
            <w:r>
              <w:rPr>
                <w:noProof/>
              </w:rPr>
              <w:t xml:space="preserve">2021 г. </w:t>
            </w:r>
          </w:p>
          <w:p>
            <w:pPr>
              <w:spacing w:after="0"/>
              <w:jc w:val="left"/>
              <w:rPr>
                <w:noProof/>
                <w:lang w:val="fr-BE"/>
              </w:rPr>
            </w:pPr>
          </w:p>
          <w:p>
            <w:pPr>
              <w:spacing w:after="0"/>
              <w:jc w:val="left"/>
              <w:rPr>
                <w:noProof/>
                <w:lang w:val="fr-BE"/>
              </w:rPr>
            </w:pPr>
          </w:p>
          <w:p>
            <w:pPr>
              <w:spacing w:after="0"/>
              <w:jc w:val="left"/>
              <w:rPr>
                <w:noProof/>
              </w:rPr>
            </w:pPr>
            <w:r>
              <w:rPr>
                <w:noProof/>
              </w:rPr>
              <w:t xml:space="preserve">2021 г. </w:t>
            </w:r>
          </w:p>
          <w:p>
            <w:pPr>
              <w:spacing w:after="0"/>
              <w:jc w:val="left"/>
              <w:rPr>
                <w:noProof/>
                <w:lang w:val="fr-BE"/>
              </w:rPr>
            </w:pPr>
          </w:p>
          <w:p>
            <w:pPr>
              <w:spacing w:after="0"/>
              <w:jc w:val="left"/>
              <w:rPr>
                <w:noProof/>
                <w:lang w:val="fr-BE"/>
              </w:rPr>
            </w:pPr>
          </w:p>
          <w:p>
            <w:pPr>
              <w:spacing w:after="0"/>
              <w:jc w:val="left"/>
              <w:rPr>
                <w:noProof/>
              </w:rPr>
            </w:pPr>
            <w:r>
              <w:rPr>
                <w:noProof/>
              </w:rPr>
              <w:t xml:space="preserve">2022 г. </w:t>
            </w:r>
          </w:p>
          <w:p>
            <w:pPr>
              <w:spacing w:after="0"/>
              <w:jc w:val="left"/>
              <w:rPr>
                <w:noProof/>
                <w:lang w:val="fr-BE"/>
              </w:rPr>
            </w:pPr>
          </w:p>
          <w:p>
            <w:pPr>
              <w:spacing w:after="0"/>
              <w:jc w:val="left"/>
              <w:rPr>
                <w:noProof/>
              </w:rPr>
            </w:pPr>
            <w:r>
              <w:rPr>
                <w:noProof/>
              </w:rPr>
              <w:t xml:space="preserve">2022 г. </w:t>
            </w:r>
          </w:p>
        </w:tc>
      </w:tr>
      <w:tr>
        <w:trPr>
          <w:jc w:val="center"/>
        </w:trPr>
        <w:tc>
          <w:tcPr>
            <w:tcW w:w="4853" w:type="dxa"/>
          </w:tcPr>
          <w:p>
            <w:pPr>
              <w:pStyle w:val="NumPar3"/>
              <w:numPr>
                <w:ilvl w:val="2"/>
                <w:numId w:val="0"/>
              </w:numPr>
              <w:spacing w:after="0"/>
              <w:rPr>
                <w:i w:val="0"/>
                <w:noProof/>
              </w:rPr>
            </w:pPr>
            <w:r>
              <w:rPr>
                <w:i w:val="0"/>
                <w:noProof/>
              </w:rPr>
              <w:t>Проучване на най-добрия начин за въвеждане на фактор(и) за оценка на смеси в приложение I към Регламента REACH</w:t>
            </w:r>
          </w:p>
        </w:tc>
        <w:tc>
          <w:tcPr>
            <w:tcW w:w="4043" w:type="dxa"/>
          </w:tcPr>
          <w:p>
            <w:pPr>
              <w:spacing w:after="0"/>
              <w:jc w:val="left"/>
              <w:rPr>
                <w:noProof/>
              </w:rPr>
            </w:pPr>
            <w:r>
              <w:rPr>
                <w:noProof/>
              </w:rPr>
              <w:t>Регламент REACH (комитология)</w:t>
            </w:r>
          </w:p>
        </w:tc>
        <w:tc>
          <w:tcPr>
            <w:tcW w:w="2020" w:type="dxa"/>
          </w:tcPr>
          <w:p>
            <w:pPr>
              <w:spacing w:after="0"/>
              <w:jc w:val="left"/>
              <w:rPr>
                <w:noProof/>
              </w:rPr>
            </w:pPr>
            <w:r>
              <w:rPr>
                <w:noProof/>
              </w:rPr>
              <w:t xml:space="preserve">2022 г. </w:t>
            </w:r>
          </w:p>
        </w:tc>
      </w:tr>
      <w:tr>
        <w:trPr>
          <w:jc w:val="center"/>
        </w:trPr>
        <w:tc>
          <w:tcPr>
            <w:tcW w:w="4853" w:type="dxa"/>
          </w:tcPr>
          <w:p>
            <w:pPr>
              <w:suppressAutoHyphens/>
              <w:spacing w:after="0"/>
              <w:rPr>
                <w:noProof/>
              </w:rPr>
            </w:pPr>
            <w:r>
              <w:rPr>
                <w:noProof/>
              </w:rPr>
              <w:t>Въвеждане или подобряване на съответните разпоредби, за да се вземе предвид комбинираното въздействие на химикалите във водата, материалите, предназначени за контакт с храни, хранителните добавки, играчките, детергентите, козметичните продукти</w:t>
            </w:r>
          </w:p>
        </w:tc>
        <w:tc>
          <w:tcPr>
            <w:tcW w:w="4043" w:type="dxa"/>
          </w:tcPr>
          <w:p>
            <w:pPr>
              <w:spacing w:after="0"/>
              <w:jc w:val="left"/>
              <w:rPr>
                <w:noProof/>
              </w:rPr>
            </w:pPr>
            <w:r>
              <w:rPr>
                <w:noProof/>
              </w:rPr>
              <w:t>Директива относно стандартите за качество на околната среда/Директива за подземните води (приложения)</w:t>
            </w:r>
          </w:p>
          <w:p>
            <w:pPr>
              <w:spacing w:after="0"/>
              <w:jc w:val="left"/>
              <w:rPr>
                <w:noProof/>
              </w:rPr>
            </w:pPr>
          </w:p>
          <w:p>
            <w:pPr>
              <w:spacing w:after="0"/>
              <w:jc w:val="left"/>
              <w:rPr>
                <w:noProof/>
              </w:rPr>
            </w:pPr>
            <w:r>
              <w:rPr>
                <w:noProof/>
              </w:rPr>
              <w:t>Регламент относно материалите, предназначени за контакт с храни</w:t>
            </w:r>
          </w:p>
          <w:p>
            <w:pPr>
              <w:spacing w:after="0"/>
              <w:jc w:val="left"/>
              <w:rPr>
                <w:noProof/>
              </w:rPr>
            </w:pPr>
          </w:p>
          <w:p>
            <w:pPr>
              <w:spacing w:after="0"/>
              <w:jc w:val="left"/>
              <w:rPr>
                <w:noProof/>
              </w:rPr>
            </w:pPr>
            <w:r>
              <w:rPr>
                <w:noProof/>
              </w:rPr>
              <w:t>Регламент относно добавките в храните</w:t>
            </w:r>
          </w:p>
          <w:p>
            <w:pPr>
              <w:spacing w:after="0"/>
              <w:jc w:val="left"/>
              <w:rPr>
                <w:noProof/>
              </w:rPr>
            </w:pPr>
            <w:r>
              <w:rPr>
                <w:noProof/>
              </w:rPr>
              <w:t>(комитология)</w:t>
            </w:r>
          </w:p>
          <w:p>
            <w:pPr>
              <w:spacing w:after="0"/>
              <w:jc w:val="left"/>
              <w:rPr>
                <w:noProof/>
              </w:rPr>
            </w:pPr>
          </w:p>
          <w:p>
            <w:pPr>
              <w:spacing w:after="0"/>
              <w:jc w:val="left"/>
              <w:rPr>
                <w:noProof/>
              </w:rPr>
            </w:pPr>
            <w:r>
              <w:rPr>
                <w:noProof/>
              </w:rPr>
              <w:t>Регламент относно детергентите</w:t>
            </w:r>
          </w:p>
          <w:p>
            <w:pPr>
              <w:spacing w:after="0"/>
              <w:jc w:val="left"/>
              <w:rPr>
                <w:noProof/>
              </w:rPr>
            </w:pPr>
          </w:p>
          <w:p>
            <w:pPr>
              <w:spacing w:after="0"/>
              <w:jc w:val="left"/>
              <w:rPr>
                <w:noProof/>
              </w:rPr>
            </w:pPr>
            <w:r>
              <w:rPr>
                <w:noProof/>
              </w:rPr>
              <w:t>Директива относно безопасността на детските играчки</w:t>
            </w:r>
          </w:p>
          <w:p>
            <w:pPr>
              <w:spacing w:after="0"/>
              <w:jc w:val="left"/>
              <w:rPr>
                <w:noProof/>
              </w:rPr>
            </w:pPr>
          </w:p>
          <w:p>
            <w:pPr>
              <w:spacing w:after="0"/>
              <w:jc w:val="left"/>
              <w:rPr>
                <w:noProof/>
              </w:rPr>
            </w:pPr>
            <w:r>
              <w:rPr>
                <w:noProof/>
              </w:rPr>
              <w:t>Регламент относно козметичните продукти</w:t>
            </w:r>
          </w:p>
        </w:tc>
        <w:tc>
          <w:tcPr>
            <w:tcW w:w="2020" w:type="dxa"/>
          </w:tcPr>
          <w:p>
            <w:pPr>
              <w:spacing w:after="0"/>
              <w:jc w:val="left"/>
              <w:rPr>
                <w:noProof/>
              </w:rPr>
            </w:pPr>
            <w:r>
              <w:rPr>
                <w:noProof/>
              </w:rPr>
              <w:t xml:space="preserve">2022 г. </w:t>
            </w:r>
          </w:p>
          <w:p>
            <w:pPr>
              <w:spacing w:after="0"/>
              <w:jc w:val="left"/>
              <w:rPr>
                <w:noProof/>
              </w:rPr>
            </w:pPr>
          </w:p>
          <w:p>
            <w:pPr>
              <w:spacing w:after="0"/>
              <w:jc w:val="left"/>
              <w:rPr>
                <w:noProof/>
              </w:rPr>
            </w:pPr>
          </w:p>
          <w:p>
            <w:pPr>
              <w:spacing w:after="0"/>
              <w:jc w:val="left"/>
              <w:rPr>
                <w:noProof/>
              </w:rPr>
            </w:pPr>
          </w:p>
          <w:p>
            <w:pPr>
              <w:spacing w:after="0"/>
              <w:jc w:val="left"/>
              <w:rPr>
                <w:noProof/>
              </w:rPr>
            </w:pPr>
            <w:r>
              <w:rPr>
                <w:noProof/>
              </w:rPr>
              <w:t xml:space="preserve">2022 г. </w:t>
            </w:r>
          </w:p>
          <w:p>
            <w:pPr>
              <w:spacing w:after="0"/>
              <w:jc w:val="left"/>
              <w:rPr>
                <w:noProof/>
              </w:rPr>
            </w:pPr>
          </w:p>
          <w:p>
            <w:pPr>
              <w:spacing w:after="0"/>
              <w:jc w:val="left"/>
              <w:rPr>
                <w:noProof/>
              </w:rPr>
            </w:pPr>
            <w:r>
              <w:rPr>
                <w:noProof/>
              </w:rPr>
              <w:t xml:space="preserve">2022 г. </w:t>
            </w:r>
          </w:p>
          <w:p>
            <w:pPr>
              <w:spacing w:after="0"/>
              <w:jc w:val="left"/>
              <w:rPr>
                <w:noProof/>
              </w:rPr>
            </w:pPr>
          </w:p>
          <w:p>
            <w:pPr>
              <w:spacing w:after="0"/>
              <w:jc w:val="left"/>
              <w:rPr>
                <w:noProof/>
              </w:rPr>
            </w:pPr>
          </w:p>
          <w:p>
            <w:pPr>
              <w:spacing w:after="0"/>
              <w:jc w:val="left"/>
              <w:rPr>
                <w:noProof/>
              </w:rPr>
            </w:pPr>
            <w:r>
              <w:rPr>
                <w:noProof/>
              </w:rPr>
              <w:t>2022 г.</w:t>
            </w:r>
          </w:p>
          <w:p>
            <w:pPr>
              <w:spacing w:after="0"/>
              <w:jc w:val="left"/>
              <w:rPr>
                <w:noProof/>
              </w:rPr>
            </w:pPr>
          </w:p>
          <w:p>
            <w:pPr>
              <w:spacing w:after="0"/>
              <w:jc w:val="left"/>
              <w:rPr>
                <w:noProof/>
              </w:rPr>
            </w:pPr>
            <w:r>
              <w:rPr>
                <w:noProof/>
              </w:rPr>
              <w:t xml:space="preserve">2022 г. </w:t>
            </w:r>
          </w:p>
          <w:p>
            <w:pPr>
              <w:spacing w:after="0"/>
              <w:jc w:val="left"/>
              <w:rPr>
                <w:noProof/>
              </w:rPr>
            </w:pPr>
          </w:p>
          <w:p>
            <w:pPr>
              <w:spacing w:after="0"/>
              <w:jc w:val="left"/>
              <w:rPr>
                <w:noProof/>
              </w:rPr>
            </w:pPr>
            <w:r>
              <w:rPr>
                <w:noProof/>
              </w:rPr>
              <w:t xml:space="preserve">2022 г.  </w:t>
            </w:r>
          </w:p>
        </w:tc>
      </w:tr>
      <w:tr>
        <w:trPr>
          <w:jc w:val="center"/>
        </w:trPr>
        <w:tc>
          <w:tcPr>
            <w:tcW w:w="4853" w:type="dxa"/>
          </w:tcPr>
          <w:p>
            <w:pPr>
              <w:suppressAutoHyphens/>
              <w:spacing w:after="0"/>
              <w:rPr>
                <w:noProof/>
              </w:rPr>
            </w:pPr>
            <w:r>
              <w:rPr>
                <w:noProof/>
              </w:rPr>
              <w:t xml:space="preserve">Предложение за изменение на член 57 от Регламента REACH с цел добавяне на нарушителите на функциите на ендокринната система, устойчивите, мобилни и токсични (PMT) и много устойчивите и много мобилни (vPvM) вещества към списъка с вещества, пораждащи сериозно безпокойство </w:t>
            </w:r>
          </w:p>
        </w:tc>
        <w:tc>
          <w:tcPr>
            <w:tcW w:w="4043" w:type="dxa"/>
          </w:tcPr>
          <w:p>
            <w:pPr>
              <w:spacing w:after="0"/>
              <w:jc w:val="left"/>
              <w:rPr>
                <w:noProof/>
              </w:rPr>
            </w:pPr>
            <w:r>
              <w:rPr>
                <w:noProof/>
              </w:rPr>
              <w:t>Регламент REACH</w:t>
            </w:r>
          </w:p>
        </w:tc>
        <w:tc>
          <w:tcPr>
            <w:tcW w:w="2020" w:type="dxa"/>
          </w:tcPr>
          <w:p>
            <w:pPr>
              <w:spacing w:after="0"/>
              <w:jc w:val="left"/>
              <w:rPr>
                <w:noProof/>
                <w:szCs w:val="24"/>
              </w:rPr>
            </w:pPr>
            <w:r>
              <w:rPr>
                <w:noProof/>
              </w:rPr>
              <w:t xml:space="preserve">2022 г. </w:t>
            </w:r>
          </w:p>
        </w:tc>
      </w:tr>
      <w:tr>
        <w:trPr>
          <w:jc w:val="center"/>
        </w:trPr>
        <w:tc>
          <w:tcPr>
            <w:tcW w:w="4853" w:type="dxa"/>
          </w:tcPr>
          <w:p>
            <w:pPr>
              <w:suppressAutoHyphens/>
              <w:spacing w:after="0"/>
              <w:rPr>
                <w:noProof/>
              </w:rPr>
            </w:pPr>
            <w:r>
              <w:rPr>
                <w:noProof/>
              </w:rPr>
              <w:t xml:space="preserve">Предложение за ограничаване употребата на PFAS за всички несъществени приложения, в това число и в потребителските продукти, съгласно Регламента REACH </w:t>
            </w:r>
          </w:p>
        </w:tc>
        <w:tc>
          <w:tcPr>
            <w:tcW w:w="4043" w:type="dxa"/>
          </w:tcPr>
          <w:p>
            <w:pPr>
              <w:spacing w:after="0"/>
              <w:jc w:val="left"/>
              <w:rPr>
                <w:noProof/>
              </w:rPr>
            </w:pPr>
            <w:r>
              <w:rPr>
                <w:noProof/>
              </w:rPr>
              <w:t>Регламент REACH (комитология)</w:t>
            </w:r>
          </w:p>
        </w:tc>
        <w:tc>
          <w:tcPr>
            <w:tcW w:w="2020" w:type="dxa"/>
          </w:tcPr>
          <w:p>
            <w:pPr>
              <w:spacing w:after="0"/>
              <w:jc w:val="left"/>
              <w:rPr>
                <w:noProof/>
              </w:rPr>
            </w:pPr>
            <w:r>
              <w:rPr>
                <w:noProof/>
              </w:rPr>
              <w:t xml:space="preserve">2022—2024 г. </w:t>
            </w:r>
          </w:p>
        </w:tc>
      </w:tr>
      <w:tr>
        <w:trPr>
          <w:jc w:val="center"/>
        </w:trPr>
        <w:tc>
          <w:tcPr>
            <w:tcW w:w="4853" w:type="dxa"/>
          </w:tcPr>
          <w:p>
            <w:pPr>
              <w:pStyle w:val="Text2"/>
              <w:spacing w:after="0"/>
              <w:ind w:left="0"/>
              <w:rPr>
                <w:noProof/>
              </w:rPr>
            </w:pPr>
            <w:r>
              <w:rPr>
                <w:noProof/>
              </w:rPr>
              <w:t xml:space="preserve">Преразглеждане на приложенията към Директивата относно стандартите за качество на околната среда и Директивата за подземните води за въвеждане на PFAS като група, когато това е възможно </w:t>
            </w:r>
          </w:p>
        </w:tc>
        <w:tc>
          <w:tcPr>
            <w:tcW w:w="4043" w:type="dxa"/>
          </w:tcPr>
          <w:p>
            <w:pPr>
              <w:spacing w:after="0"/>
              <w:jc w:val="left"/>
              <w:rPr>
                <w:noProof/>
              </w:rPr>
            </w:pPr>
            <w:r>
              <w:rPr>
                <w:noProof/>
              </w:rPr>
              <w:t>Директива относно стандартите за качество на околната среда/Директива за подземните води (приложения)</w:t>
            </w:r>
          </w:p>
        </w:tc>
        <w:tc>
          <w:tcPr>
            <w:tcW w:w="2020" w:type="dxa"/>
          </w:tcPr>
          <w:p>
            <w:pPr>
              <w:spacing w:after="0"/>
              <w:jc w:val="left"/>
              <w:rPr>
                <w:noProof/>
                <w:szCs w:val="24"/>
              </w:rPr>
            </w:pPr>
            <w:r>
              <w:rPr>
                <w:noProof/>
              </w:rPr>
              <w:t xml:space="preserve">2022 г. </w:t>
            </w:r>
          </w:p>
        </w:tc>
      </w:tr>
      <w:tr>
        <w:trPr>
          <w:jc w:val="center"/>
        </w:trPr>
        <w:tc>
          <w:tcPr>
            <w:tcW w:w="4853" w:type="dxa"/>
          </w:tcPr>
          <w:p>
            <w:pPr>
              <w:pStyle w:val="Text2"/>
              <w:spacing w:after="0"/>
              <w:ind w:left="0"/>
              <w:rPr>
                <w:noProof/>
              </w:rPr>
            </w:pPr>
            <w:r>
              <w:rPr>
                <w:noProof/>
              </w:rPr>
              <w:t xml:space="preserve">Справяне с наличието на PFAS в храните посредством въвеждането на гранични стойности в законодателството в областта на замърсителите на храните </w:t>
            </w:r>
          </w:p>
        </w:tc>
        <w:tc>
          <w:tcPr>
            <w:tcW w:w="4043" w:type="dxa"/>
          </w:tcPr>
          <w:p>
            <w:pPr>
              <w:spacing w:after="0"/>
              <w:jc w:val="left"/>
              <w:rPr>
                <w:noProof/>
              </w:rPr>
            </w:pPr>
            <w:r>
              <w:rPr>
                <w:noProof/>
              </w:rPr>
              <w:t>Регламент относно замърсителите на храните</w:t>
            </w:r>
          </w:p>
          <w:p>
            <w:pPr>
              <w:spacing w:after="0"/>
              <w:jc w:val="left"/>
              <w:rPr>
                <w:noProof/>
              </w:rPr>
            </w:pPr>
            <w:r>
              <w:rPr>
                <w:noProof/>
              </w:rPr>
              <w:t>(комитология)</w:t>
            </w:r>
          </w:p>
        </w:tc>
        <w:tc>
          <w:tcPr>
            <w:tcW w:w="2020" w:type="dxa"/>
          </w:tcPr>
          <w:p>
            <w:pPr>
              <w:spacing w:after="0"/>
              <w:rPr>
                <w:noProof/>
                <w:szCs w:val="24"/>
              </w:rPr>
            </w:pPr>
            <w:r>
              <w:rPr>
                <w:noProof/>
              </w:rPr>
              <w:t xml:space="preserve">2022 г. </w:t>
            </w:r>
          </w:p>
        </w:tc>
      </w:tr>
      <w:tr>
        <w:trPr>
          <w:jc w:val="center"/>
        </w:trPr>
        <w:tc>
          <w:tcPr>
            <w:tcW w:w="4853" w:type="dxa"/>
          </w:tcPr>
          <w:p>
            <w:pPr>
              <w:pStyle w:val="Text2"/>
              <w:spacing w:after="0"/>
              <w:ind w:left="0"/>
              <w:rPr>
                <w:noProof/>
              </w:rPr>
            </w:pPr>
            <w:r>
              <w:rPr>
                <w:noProof/>
              </w:rPr>
              <w:t xml:space="preserve">Предложение за преразглеждане на законодателството относно емисиите от промишлеността и на Европейския регистър за изпускането и преноса на замърсители, за да се вземат предвид емисиите и докладването за PFAS от страна на промишлените предприятия </w:t>
            </w:r>
          </w:p>
        </w:tc>
        <w:tc>
          <w:tcPr>
            <w:tcW w:w="4043" w:type="dxa"/>
          </w:tcPr>
          <w:p>
            <w:pPr>
              <w:spacing w:after="0"/>
              <w:jc w:val="left"/>
              <w:rPr>
                <w:noProof/>
              </w:rPr>
            </w:pPr>
            <w:r>
              <w:rPr>
                <w:noProof/>
              </w:rPr>
              <w:t>Директива относно емисиите от промишлеността</w:t>
            </w:r>
          </w:p>
        </w:tc>
        <w:tc>
          <w:tcPr>
            <w:tcW w:w="2020" w:type="dxa"/>
          </w:tcPr>
          <w:p>
            <w:pPr>
              <w:spacing w:after="0"/>
              <w:rPr>
                <w:noProof/>
                <w:szCs w:val="24"/>
              </w:rPr>
            </w:pPr>
            <w:r>
              <w:rPr>
                <w:noProof/>
              </w:rPr>
              <w:t xml:space="preserve">2021 г. </w:t>
            </w:r>
          </w:p>
        </w:tc>
      </w:tr>
      <w:tr>
        <w:trPr>
          <w:jc w:val="center"/>
        </w:trPr>
        <w:tc>
          <w:tcPr>
            <w:tcW w:w="4853" w:type="dxa"/>
          </w:tcPr>
          <w:p>
            <w:pPr>
              <w:pStyle w:val="Text2"/>
              <w:spacing w:after="0"/>
              <w:ind w:left="0"/>
              <w:rPr>
                <w:noProof/>
              </w:rPr>
            </w:pPr>
            <w:r>
              <w:rPr>
                <w:noProof/>
              </w:rPr>
              <w:t>Предложение за намиране на решение за емисиите на PFAS на етапа на отпадъците включително чрез преразглеждане на законодателството относно утайките от отпадъчни води</w:t>
            </w:r>
          </w:p>
        </w:tc>
        <w:tc>
          <w:tcPr>
            <w:tcW w:w="4043" w:type="dxa"/>
          </w:tcPr>
          <w:p>
            <w:pPr>
              <w:spacing w:after="0"/>
              <w:jc w:val="left"/>
              <w:rPr>
                <w:noProof/>
              </w:rPr>
            </w:pPr>
            <w:r>
              <w:rPr>
                <w:noProof/>
              </w:rPr>
              <w:t>Директива относно утайките от отпадъчни води</w:t>
            </w:r>
          </w:p>
        </w:tc>
        <w:tc>
          <w:tcPr>
            <w:tcW w:w="2020" w:type="dxa"/>
          </w:tcPr>
          <w:p>
            <w:pPr>
              <w:spacing w:after="0"/>
              <w:rPr>
                <w:noProof/>
                <w:szCs w:val="24"/>
              </w:rPr>
            </w:pPr>
            <w:r>
              <w:rPr>
                <w:noProof/>
              </w:rPr>
              <w:t xml:space="preserve">2023 г. </w:t>
            </w:r>
          </w:p>
        </w:tc>
      </w:tr>
      <w:tr>
        <w:trPr>
          <w:jc w:val="center"/>
        </w:trPr>
        <w:tc>
          <w:tcPr>
            <w:tcW w:w="4853" w:type="dxa"/>
          </w:tcPr>
          <w:p>
            <w:pPr>
              <w:pStyle w:val="Text2"/>
              <w:spacing w:after="0"/>
              <w:ind w:left="0"/>
              <w:rPr>
                <w:bCs/>
                <w:noProof/>
                <w:highlight w:val="yellow"/>
              </w:rPr>
            </w:pPr>
            <w:r>
              <w:rPr>
                <w:noProof/>
              </w:rPr>
              <w:t>Предложения по силата на Стокхолмската конвенция и Базелската конвенция за намиране на решение на опасенията, свързани с PFAS, на световно равнище</w:t>
            </w:r>
          </w:p>
        </w:tc>
        <w:tc>
          <w:tcPr>
            <w:tcW w:w="4043" w:type="dxa"/>
          </w:tcPr>
          <w:p>
            <w:pPr>
              <w:spacing w:after="0"/>
              <w:rPr>
                <w:noProof/>
              </w:rPr>
            </w:pPr>
          </w:p>
        </w:tc>
        <w:tc>
          <w:tcPr>
            <w:tcW w:w="2020" w:type="dxa"/>
          </w:tcPr>
          <w:p>
            <w:pPr>
              <w:spacing w:after="0"/>
              <w:rPr>
                <w:noProof/>
                <w:szCs w:val="24"/>
              </w:rPr>
            </w:pPr>
            <w:r>
              <w:rPr>
                <w:noProof/>
              </w:rPr>
              <w:t xml:space="preserve">2023—2024 г. </w:t>
            </w:r>
          </w:p>
        </w:tc>
      </w:tr>
      <w:tr>
        <w:trPr>
          <w:jc w:val="center"/>
        </w:trPr>
        <w:tc>
          <w:tcPr>
            <w:tcW w:w="4853" w:type="dxa"/>
          </w:tcPr>
          <w:p>
            <w:pPr>
              <w:pStyle w:val="Text2"/>
              <w:spacing w:after="0"/>
              <w:ind w:left="0"/>
              <w:rPr>
                <w:noProof/>
                <w:highlight w:val="yellow"/>
              </w:rPr>
            </w:pPr>
            <w:r>
              <w:rPr>
                <w:noProof/>
              </w:rPr>
              <w:t>Общоевропейски подход и финансова подкрепа за иновативни решения за отстраняване на замърсяването с PFAS</w:t>
            </w:r>
          </w:p>
        </w:tc>
        <w:tc>
          <w:tcPr>
            <w:tcW w:w="4043" w:type="dxa"/>
          </w:tcPr>
          <w:p>
            <w:pPr>
              <w:spacing w:after="0"/>
              <w:rPr>
                <w:noProof/>
              </w:rPr>
            </w:pPr>
          </w:p>
        </w:tc>
        <w:tc>
          <w:tcPr>
            <w:tcW w:w="2020" w:type="dxa"/>
          </w:tcPr>
          <w:p>
            <w:pPr>
              <w:spacing w:after="0"/>
              <w:rPr>
                <w:noProof/>
                <w:szCs w:val="24"/>
              </w:rPr>
            </w:pPr>
            <w:r>
              <w:rPr>
                <w:noProof/>
              </w:rPr>
              <w:t xml:space="preserve">От 2020 г. </w:t>
            </w:r>
          </w:p>
        </w:tc>
      </w:tr>
      <w:tr>
        <w:trPr>
          <w:jc w:val="center"/>
        </w:trPr>
        <w:tc>
          <w:tcPr>
            <w:tcW w:w="0" w:type="auto"/>
            <w:gridSpan w:val="3"/>
            <w:shd w:val="clear" w:color="auto" w:fill="C4BC96" w:themeFill="background2" w:themeFillShade="BF"/>
          </w:tcPr>
          <w:p>
            <w:pPr>
              <w:pStyle w:val="Heading2"/>
              <w:tabs>
                <w:tab w:val="clear" w:pos="1202"/>
              </w:tabs>
              <w:spacing w:after="0"/>
              <w:ind w:left="0" w:firstLine="0"/>
              <w:outlineLvl w:val="1"/>
              <w:rPr>
                <w:noProof/>
                <w:szCs w:val="24"/>
              </w:rPr>
            </w:pPr>
            <w:bookmarkStart w:id="2" w:name="_Toc44582428"/>
            <w:r>
              <w:rPr>
                <w:noProof/>
              </w:rPr>
              <w:t xml:space="preserve">Опростяване и консолидиране на правната рамка </w:t>
            </w:r>
            <w:bookmarkEnd w:id="2"/>
          </w:p>
        </w:tc>
      </w:tr>
      <w:tr>
        <w:trPr>
          <w:jc w:val="center"/>
        </w:trPr>
        <w:tc>
          <w:tcPr>
            <w:tcW w:w="4853" w:type="dxa"/>
          </w:tcPr>
          <w:p>
            <w:pPr>
              <w:spacing w:after="0"/>
              <w:rPr>
                <w:noProof/>
                <w:szCs w:val="24"/>
              </w:rPr>
            </w:pPr>
            <w:r>
              <w:rPr>
                <w:noProof/>
              </w:rPr>
              <w:t xml:space="preserve">Установяване на процедура „Едно вещество — една оценка“ за координиране на оценката на опасностите/рисковете от химикалите в законодателството в областта на химикалите с помощта на единен Инструмент за координация на публичните органи, експертна група и механизъм за координация на Комисията </w:t>
            </w:r>
          </w:p>
        </w:tc>
        <w:tc>
          <w:tcPr>
            <w:tcW w:w="4043" w:type="dxa"/>
          </w:tcPr>
          <w:p>
            <w:pPr>
              <w:spacing w:after="0"/>
              <w:rPr>
                <w:noProof/>
                <w:szCs w:val="24"/>
              </w:rPr>
            </w:pPr>
          </w:p>
        </w:tc>
        <w:tc>
          <w:tcPr>
            <w:tcW w:w="2020" w:type="dxa"/>
          </w:tcPr>
          <w:p>
            <w:pPr>
              <w:spacing w:after="0"/>
              <w:rPr>
                <w:noProof/>
                <w:szCs w:val="24"/>
              </w:rPr>
            </w:pPr>
            <w:r>
              <w:rPr>
                <w:noProof/>
              </w:rPr>
              <w:t xml:space="preserve">От 2021 г. </w:t>
            </w:r>
          </w:p>
        </w:tc>
      </w:tr>
      <w:tr>
        <w:trPr>
          <w:jc w:val="center"/>
        </w:trPr>
        <w:tc>
          <w:tcPr>
            <w:tcW w:w="4853" w:type="dxa"/>
          </w:tcPr>
          <w:p>
            <w:pPr>
              <w:spacing w:after="0"/>
              <w:rPr>
                <w:noProof/>
              </w:rPr>
            </w:pPr>
            <w:r>
              <w:rPr>
                <w:noProof/>
              </w:rPr>
              <w:t>Хоризонтално предложение за преразпределяне на техническата и научната работа на ЕС относно химикалите на агенциите на ЕС</w:t>
            </w:r>
          </w:p>
        </w:tc>
        <w:tc>
          <w:tcPr>
            <w:tcW w:w="4043" w:type="dxa"/>
          </w:tcPr>
          <w:p>
            <w:pPr>
              <w:spacing w:after="0"/>
              <w:rPr>
                <w:noProof/>
              </w:rPr>
            </w:pPr>
          </w:p>
        </w:tc>
        <w:tc>
          <w:tcPr>
            <w:tcW w:w="2020" w:type="dxa"/>
          </w:tcPr>
          <w:p>
            <w:pPr>
              <w:spacing w:after="0"/>
              <w:rPr>
                <w:noProof/>
              </w:rPr>
            </w:pPr>
            <w:r>
              <w:rPr>
                <w:noProof/>
              </w:rPr>
              <w:t xml:space="preserve">2022 г. </w:t>
            </w:r>
          </w:p>
        </w:tc>
      </w:tr>
      <w:tr>
        <w:trPr>
          <w:jc w:val="center"/>
        </w:trPr>
        <w:tc>
          <w:tcPr>
            <w:tcW w:w="4853" w:type="dxa"/>
          </w:tcPr>
          <w:p>
            <w:pPr>
              <w:spacing w:after="0"/>
              <w:rPr>
                <w:noProof/>
              </w:rPr>
            </w:pPr>
            <w:r>
              <w:rPr>
                <w:noProof/>
              </w:rPr>
              <w:t xml:space="preserve">Предложение за учредителен регламент за Европейската агенция по химикали  </w:t>
            </w:r>
          </w:p>
        </w:tc>
        <w:tc>
          <w:tcPr>
            <w:tcW w:w="4043" w:type="dxa"/>
          </w:tcPr>
          <w:p>
            <w:pPr>
              <w:spacing w:after="0"/>
              <w:rPr>
                <w:noProof/>
              </w:rPr>
            </w:pPr>
          </w:p>
        </w:tc>
        <w:tc>
          <w:tcPr>
            <w:tcW w:w="2020" w:type="dxa"/>
          </w:tcPr>
          <w:p>
            <w:pPr>
              <w:spacing w:after="0"/>
              <w:rPr>
                <w:noProof/>
              </w:rPr>
            </w:pPr>
            <w:r>
              <w:rPr>
                <w:noProof/>
              </w:rPr>
              <w:t xml:space="preserve">2023 г. </w:t>
            </w:r>
          </w:p>
        </w:tc>
      </w:tr>
      <w:tr>
        <w:trPr>
          <w:jc w:val="center"/>
        </w:trPr>
        <w:tc>
          <w:tcPr>
            <w:tcW w:w="4853" w:type="dxa"/>
          </w:tcPr>
          <w:p>
            <w:pPr>
              <w:spacing w:after="0"/>
              <w:rPr>
                <w:noProof/>
              </w:rPr>
            </w:pPr>
            <w:r>
              <w:rPr>
                <w:noProof/>
              </w:rPr>
              <w:t xml:space="preserve">Предложение за изменение на Регламента CLP, за да се даде на Комисията мандат за започване на хармонизирана класификация  </w:t>
            </w:r>
          </w:p>
        </w:tc>
        <w:tc>
          <w:tcPr>
            <w:tcW w:w="4043" w:type="dxa"/>
          </w:tcPr>
          <w:p>
            <w:pPr>
              <w:spacing w:after="0"/>
              <w:rPr>
                <w:noProof/>
              </w:rPr>
            </w:pPr>
            <w:r>
              <w:rPr>
                <w:noProof/>
              </w:rPr>
              <w:t>Регламент CLP</w:t>
            </w:r>
          </w:p>
        </w:tc>
        <w:tc>
          <w:tcPr>
            <w:tcW w:w="2020" w:type="dxa"/>
          </w:tcPr>
          <w:p>
            <w:pPr>
              <w:spacing w:after="0"/>
              <w:rPr>
                <w:noProof/>
                <w:szCs w:val="24"/>
              </w:rPr>
            </w:pPr>
            <w:r>
              <w:rPr>
                <w:noProof/>
              </w:rPr>
              <w:t xml:space="preserve">2021 г. </w:t>
            </w:r>
          </w:p>
        </w:tc>
      </w:tr>
      <w:tr>
        <w:trPr>
          <w:jc w:val="center"/>
        </w:trPr>
        <w:tc>
          <w:tcPr>
            <w:tcW w:w="4853" w:type="dxa"/>
          </w:tcPr>
          <w:p>
            <w:pPr>
              <w:spacing w:after="0"/>
              <w:rPr>
                <w:noProof/>
              </w:rPr>
            </w:pPr>
            <w:r>
              <w:rPr>
                <w:noProof/>
              </w:rPr>
              <w:t xml:space="preserve">Преразглеждане на определението за наноматериали </w:t>
            </w:r>
          </w:p>
        </w:tc>
        <w:tc>
          <w:tcPr>
            <w:tcW w:w="4043" w:type="dxa"/>
          </w:tcPr>
          <w:p>
            <w:pPr>
              <w:spacing w:after="0"/>
              <w:rPr>
                <w:noProof/>
              </w:rPr>
            </w:pPr>
          </w:p>
        </w:tc>
        <w:tc>
          <w:tcPr>
            <w:tcW w:w="2020" w:type="dxa"/>
          </w:tcPr>
          <w:p>
            <w:pPr>
              <w:spacing w:after="0"/>
              <w:rPr>
                <w:noProof/>
              </w:rPr>
            </w:pPr>
            <w:r>
              <w:rPr>
                <w:noProof/>
              </w:rPr>
              <w:t xml:space="preserve">2021 г. </w:t>
            </w:r>
          </w:p>
        </w:tc>
      </w:tr>
      <w:tr>
        <w:trPr>
          <w:jc w:val="center"/>
        </w:trPr>
        <w:tc>
          <w:tcPr>
            <w:tcW w:w="4853" w:type="dxa"/>
          </w:tcPr>
          <w:p>
            <w:pPr>
              <w:pStyle w:val="Text2"/>
              <w:spacing w:after="0"/>
              <w:ind w:left="0"/>
              <w:rPr>
                <w:noProof/>
              </w:rPr>
            </w:pPr>
            <w:r>
              <w:rPr>
                <w:noProof/>
              </w:rPr>
              <w:t xml:space="preserve">Предложение за преразглеждане на процедурите за разрешаване и ограничаване по Регламента REACH </w:t>
            </w:r>
          </w:p>
        </w:tc>
        <w:tc>
          <w:tcPr>
            <w:tcW w:w="4043" w:type="dxa"/>
          </w:tcPr>
          <w:p>
            <w:pPr>
              <w:spacing w:after="0"/>
              <w:rPr>
                <w:noProof/>
              </w:rPr>
            </w:pPr>
            <w:r>
              <w:rPr>
                <w:noProof/>
              </w:rPr>
              <w:t>Регламент REACH</w:t>
            </w:r>
          </w:p>
        </w:tc>
        <w:tc>
          <w:tcPr>
            <w:tcW w:w="2020" w:type="dxa"/>
          </w:tcPr>
          <w:p>
            <w:pPr>
              <w:spacing w:after="0"/>
              <w:rPr>
                <w:noProof/>
              </w:rPr>
            </w:pPr>
            <w:r>
              <w:rPr>
                <w:noProof/>
              </w:rPr>
              <w:t xml:space="preserve">2022 г. </w:t>
            </w:r>
          </w:p>
        </w:tc>
      </w:tr>
      <w:tr>
        <w:trPr>
          <w:jc w:val="center"/>
        </w:trPr>
        <w:tc>
          <w:tcPr>
            <w:tcW w:w="4853" w:type="dxa"/>
          </w:tcPr>
          <w:p>
            <w:pPr>
              <w:spacing w:after="0"/>
              <w:rPr>
                <w:noProof/>
              </w:rPr>
            </w:pPr>
            <w:r>
              <w:rPr>
                <w:noProof/>
              </w:rPr>
              <w:t>Създаване на регистър на ЕС на граничните стойности, основани на здравни критерии, по отношение на здравето на човека и околната среда</w:t>
            </w:r>
          </w:p>
        </w:tc>
        <w:tc>
          <w:tcPr>
            <w:tcW w:w="4043" w:type="dxa"/>
          </w:tcPr>
          <w:p>
            <w:pPr>
              <w:spacing w:after="0"/>
              <w:rPr>
                <w:noProof/>
              </w:rPr>
            </w:pPr>
          </w:p>
        </w:tc>
        <w:tc>
          <w:tcPr>
            <w:tcW w:w="2020" w:type="dxa"/>
          </w:tcPr>
          <w:p>
            <w:pPr>
              <w:spacing w:after="0"/>
              <w:rPr>
                <w:noProof/>
              </w:rPr>
            </w:pPr>
            <w:r>
              <w:rPr>
                <w:noProof/>
              </w:rPr>
              <w:t xml:space="preserve">2022 г. </w:t>
            </w:r>
          </w:p>
        </w:tc>
      </w:tr>
      <w:tr>
        <w:trPr>
          <w:jc w:val="center"/>
        </w:trPr>
        <w:tc>
          <w:tcPr>
            <w:tcW w:w="4853" w:type="dxa"/>
          </w:tcPr>
          <w:p>
            <w:pPr>
              <w:spacing w:after="0"/>
              <w:rPr>
                <w:noProof/>
              </w:rPr>
            </w:pPr>
            <w:r>
              <w:rPr>
                <w:noProof/>
              </w:rPr>
              <w:t xml:space="preserve">Създаване на платформа за свободно достъпни данни за безопасността на химикалите, както и инструменти за достъп до съответните академични данни </w:t>
            </w:r>
          </w:p>
        </w:tc>
        <w:tc>
          <w:tcPr>
            <w:tcW w:w="4043" w:type="dxa"/>
          </w:tcPr>
          <w:p>
            <w:pPr>
              <w:spacing w:after="0"/>
              <w:rPr>
                <w:noProof/>
              </w:rPr>
            </w:pPr>
          </w:p>
        </w:tc>
        <w:tc>
          <w:tcPr>
            <w:tcW w:w="2020" w:type="dxa"/>
          </w:tcPr>
          <w:p>
            <w:pPr>
              <w:spacing w:after="0"/>
              <w:rPr>
                <w:noProof/>
              </w:rPr>
            </w:pPr>
            <w:r>
              <w:rPr>
                <w:noProof/>
              </w:rPr>
              <w:t xml:space="preserve">2023 г. </w:t>
            </w:r>
          </w:p>
        </w:tc>
      </w:tr>
      <w:tr>
        <w:trPr>
          <w:jc w:val="center"/>
        </w:trPr>
        <w:tc>
          <w:tcPr>
            <w:tcW w:w="4853" w:type="dxa"/>
          </w:tcPr>
          <w:p>
            <w:pPr>
              <w:spacing w:after="0"/>
              <w:rPr>
                <w:noProof/>
              </w:rPr>
            </w:pPr>
            <w:r>
              <w:rPr>
                <w:noProof/>
              </w:rPr>
              <w:t>Хоризонтално предложение за премахване на законодателните пречки пред повторната употреба на данни, рационализиране на потока от данни в цялото законодателство и разширяване на обхвата на принципите за прозрачност и свободно достъпни данни от сектора за безопасност на храните на ЕС до други законодателни актове в областта на химикалите</w:t>
            </w:r>
          </w:p>
        </w:tc>
        <w:tc>
          <w:tcPr>
            <w:tcW w:w="4043" w:type="dxa"/>
          </w:tcPr>
          <w:p>
            <w:pPr>
              <w:spacing w:after="0"/>
              <w:rPr>
                <w:noProof/>
              </w:rPr>
            </w:pPr>
          </w:p>
        </w:tc>
        <w:tc>
          <w:tcPr>
            <w:tcW w:w="2020" w:type="dxa"/>
          </w:tcPr>
          <w:p>
            <w:pPr>
              <w:spacing w:after="0"/>
              <w:rPr>
                <w:noProof/>
              </w:rPr>
            </w:pPr>
            <w:r>
              <w:rPr>
                <w:noProof/>
              </w:rPr>
              <w:t xml:space="preserve">2023 г. </w:t>
            </w:r>
          </w:p>
        </w:tc>
      </w:tr>
      <w:tr>
        <w:trPr>
          <w:jc w:val="center"/>
        </w:trPr>
        <w:tc>
          <w:tcPr>
            <w:tcW w:w="4853" w:type="dxa"/>
          </w:tcPr>
          <w:p>
            <w:pPr>
              <w:spacing w:after="0"/>
              <w:rPr>
                <w:noProof/>
                <w:szCs w:val="24"/>
              </w:rPr>
            </w:pPr>
            <w:r>
              <w:rPr>
                <w:noProof/>
              </w:rPr>
              <w:t>Предложения да се даде възможност на органите на ЕС и на националните органи да възлагат изпитвания и мониторинг на веществата като част от регулаторната рамка</w:t>
            </w:r>
          </w:p>
        </w:tc>
        <w:tc>
          <w:tcPr>
            <w:tcW w:w="4043" w:type="dxa"/>
          </w:tcPr>
          <w:p>
            <w:pPr>
              <w:spacing w:after="0"/>
              <w:rPr>
                <w:noProof/>
              </w:rPr>
            </w:pPr>
          </w:p>
        </w:tc>
        <w:tc>
          <w:tcPr>
            <w:tcW w:w="2020" w:type="dxa"/>
          </w:tcPr>
          <w:p>
            <w:pPr>
              <w:spacing w:after="0"/>
              <w:rPr>
                <w:noProof/>
              </w:rPr>
            </w:pPr>
            <w:r>
              <w:rPr>
                <w:noProof/>
              </w:rPr>
              <w:t xml:space="preserve">2023 г. </w:t>
            </w:r>
          </w:p>
        </w:tc>
      </w:tr>
      <w:tr>
        <w:trPr>
          <w:jc w:val="center"/>
        </w:trPr>
        <w:tc>
          <w:tcPr>
            <w:tcW w:w="4853" w:type="dxa"/>
          </w:tcPr>
          <w:p>
            <w:pPr>
              <w:spacing w:after="0"/>
              <w:rPr>
                <w:noProof/>
              </w:rPr>
            </w:pPr>
            <w:r>
              <w:rPr>
                <w:noProof/>
              </w:rPr>
              <w:t>Разработване на рамка от показатели за химикалите</w:t>
            </w:r>
          </w:p>
        </w:tc>
        <w:tc>
          <w:tcPr>
            <w:tcW w:w="4043" w:type="dxa"/>
          </w:tcPr>
          <w:p>
            <w:pPr>
              <w:spacing w:after="0"/>
              <w:rPr>
                <w:noProof/>
              </w:rPr>
            </w:pPr>
          </w:p>
        </w:tc>
        <w:tc>
          <w:tcPr>
            <w:tcW w:w="2020" w:type="dxa"/>
          </w:tcPr>
          <w:p>
            <w:pPr>
              <w:spacing w:after="0"/>
              <w:rPr>
                <w:noProof/>
              </w:rPr>
            </w:pPr>
            <w:r>
              <w:rPr>
                <w:noProof/>
              </w:rPr>
              <w:t xml:space="preserve">2024 г. </w:t>
            </w:r>
          </w:p>
        </w:tc>
      </w:tr>
      <w:tr>
        <w:trPr>
          <w:jc w:val="center"/>
        </w:trPr>
        <w:tc>
          <w:tcPr>
            <w:tcW w:w="4853" w:type="dxa"/>
          </w:tcPr>
          <w:p>
            <w:pPr>
              <w:pStyle w:val="Text2"/>
              <w:spacing w:after="0"/>
              <w:ind w:left="0"/>
              <w:rPr>
                <w:noProof/>
              </w:rPr>
            </w:pPr>
            <w:r>
              <w:rPr>
                <w:noProof/>
              </w:rPr>
              <w:t xml:space="preserve">Предложение за изменение на Регламента REACH с цел въвеждането в него на европейски капацитет за одит </w:t>
            </w:r>
          </w:p>
        </w:tc>
        <w:tc>
          <w:tcPr>
            <w:tcW w:w="4043" w:type="dxa"/>
          </w:tcPr>
          <w:p>
            <w:pPr>
              <w:spacing w:after="0"/>
              <w:rPr>
                <w:noProof/>
              </w:rPr>
            </w:pPr>
            <w:r>
              <w:rPr>
                <w:noProof/>
              </w:rPr>
              <w:t>Регламент REACH</w:t>
            </w:r>
          </w:p>
        </w:tc>
        <w:tc>
          <w:tcPr>
            <w:tcW w:w="2020" w:type="dxa"/>
          </w:tcPr>
          <w:p>
            <w:pPr>
              <w:spacing w:after="0"/>
              <w:rPr>
                <w:noProof/>
              </w:rPr>
            </w:pPr>
            <w:r>
              <w:rPr>
                <w:noProof/>
              </w:rPr>
              <w:t xml:space="preserve">2022 г. </w:t>
            </w:r>
          </w:p>
        </w:tc>
      </w:tr>
      <w:tr>
        <w:trPr>
          <w:jc w:val="center"/>
        </w:trPr>
        <w:tc>
          <w:tcPr>
            <w:tcW w:w="4853" w:type="dxa"/>
          </w:tcPr>
          <w:p>
            <w:pPr>
              <w:pStyle w:val="Text2"/>
              <w:spacing w:after="0"/>
              <w:ind w:left="0"/>
              <w:rPr>
                <w:noProof/>
              </w:rPr>
            </w:pPr>
            <w:r>
              <w:rPr>
                <w:noProof/>
              </w:rPr>
              <w:t xml:space="preserve">Изменение на Регламента REACH, за да се гарантират проверките за съответствие на всички регистрационни досиета съгласно Регламента REACH и за да се разреши отмяната на регистрационни номера </w:t>
            </w:r>
          </w:p>
        </w:tc>
        <w:tc>
          <w:tcPr>
            <w:tcW w:w="4043" w:type="dxa"/>
          </w:tcPr>
          <w:p>
            <w:pPr>
              <w:spacing w:after="0"/>
              <w:rPr>
                <w:noProof/>
              </w:rPr>
            </w:pPr>
            <w:r>
              <w:rPr>
                <w:noProof/>
              </w:rPr>
              <w:t>Регламент REACH</w:t>
            </w:r>
          </w:p>
        </w:tc>
        <w:tc>
          <w:tcPr>
            <w:tcW w:w="2020" w:type="dxa"/>
          </w:tcPr>
          <w:p>
            <w:pPr>
              <w:spacing w:after="0"/>
              <w:rPr>
                <w:noProof/>
              </w:rPr>
            </w:pPr>
            <w:r>
              <w:rPr>
                <w:noProof/>
              </w:rPr>
              <w:t xml:space="preserve">2022 г. </w:t>
            </w:r>
          </w:p>
        </w:tc>
      </w:tr>
      <w:tr>
        <w:trPr>
          <w:jc w:val="center"/>
        </w:trPr>
        <w:tc>
          <w:tcPr>
            <w:tcW w:w="4853" w:type="dxa"/>
          </w:tcPr>
          <w:p>
            <w:pPr>
              <w:pStyle w:val="Text2"/>
              <w:spacing w:after="0"/>
              <w:ind w:left="0"/>
              <w:rPr>
                <w:rFonts w:eastAsiaTheme="minorEastAsia"/>
                <w:noProof/>
                <w:sz w:val="16"/>
                <w:szCs w:val="16"/>
              </w:rPr>
            </w:pPr>
            <w:r>
              <w:rPr>
                <w:noProof/>
              </w:rPr>
              <w:t xml:space="preserve">Предложение за разширяване на обхвата на действие на Европейската служба за борба с измамите до разследвания на разпространението на незаконни химични продукти в ЕС </w:t>
            </w:r>
          </w:p>
        </w:tc>
        <w:tc>
          <w:tcPr>
            <w:tcW w:w="4043" w:type="dxa"/>
          </w:tcPr>
          <w:p>
            <w:pPr>
              <w:spacing w:after="0"/>
              <w:rPr>
                <w:noProof/>
              </w:rPr>
            </w:pPr>
          </w:p>
        </w:tc>
        <w:tc>
          <w:tcPr>
            <w:tcW w:w="2020" w:type="dxa"/>
          </w:tcPr>
          <w:p>
            <w:pPr>
              <w:spacing w:after="0"/>
              <w:rPr>
                <w:noProof/>
              </w:rPr>
            </w:pPr>
            <w:r>
              <w:rPr>
                <w:noProof/>
              </w:rPr>
              <w:t xml:space="preserve">2022 г. </w:t>
            </w:r>
          </w:p>
        </w:tc>
      </w:tr>
      <w:tr>
        <w:trPr>
          <w:jc w:val="center"/>
        </w:trPr>
        <w:tc>
          <w:tcPr>
            <w:tcW w:w="4853" w:type="dxa"/>
          </w:tcPr>
          <w:p>
            <w:pPr>
              <w:pStyle w:val="Text2"/>
              <w:spacing w:after="0"/>
              <w:ind w:left="0"/>
              <w:rPr>
                <w:noProof/>
              </w:rPr>
            </w:pPr>
            <w:r>
              <w:rPr>
                <w:noProof/>
              </w:rPr>
              <w:t>Предложения за актове за изпълнение съгласно Регламента за надзор на пазара за определяне на единни условия и честота на проверките за определени продукти</w:t>
            </w:r>
          </w:p>
        </w:tc>
        <w:tc>
          <w:tcPr>
            <w:tcW w:w="4043" w:type="dxa"/>
          </w:tcPr>
          <w:p>
            <w:pPr>
              <w:spacing w:after="0"/>
              <w:rPr>
                <w:noProof/>
              </w:rPr>
            </w:pPr>
            <w:r>
              <w:rPr>
                <w:noProof/>
              </w:rPr>
              <w:t>Регламент за надзора на пазара</w:t>
            </w:r>
          </w:p>
        </w:tc>
        <w:tc>
          <w:tcPr>
            <w:tcW w:w="2020" w:type="dxa"/>
          </w:tcPr>
          <w:p>
            <w:pPr>
              <w:spacing w:after="0"/>
              <w:rPr>
                <w:noProof/>
              </w:rPr>
            </w:pPr>
            <w:r>
              <w:rPr>
                <w:noProof/>
              </w:rPr>
              <w:t xml:space="preserve">2022—2023 г. </w:t>
            </w:r>
          </w:p>
        </w:tc>
      </w:tr>
      <w:tr>
        <w:trPr>
          <w:jc w:val="center"/>
        </w:trPr>
        <w:tc>
          <w:tcPr>
            <w:tcW w:w="0" w:type="auto"/>
            <w:gridSpan w:val="3"/>
            <w:shd w:val="clear" w:color="auto" w:fill="C4BC96" w:themeFill="background2" w:themeFillShade="BF"/>
          </w:tcPr>
          <w:p>
            <w:pPr>
              <w:pStyle w:val="Body"/>
              <w:spacing w:before="0" w:after="0"/>
              <w:rPr>
                <w:rFonts w:ascii="Times New Roman" w:hAnsi="Times New Roman"/>
                <w:b/>
                <w:bCs/>
                <w:noProof/>
              </w:rPr>
            </w:pPr>
            <w:r>
              <w:rPr>
                <w:rFonts w:ascii="Times New Roman" w:hAnsi="Times New Roman"/>
                <w:b/>
                <w:bCs/>
                <w:noProof/>
              </w:rPr>
              <w:t>Осигуряване на всеобхватна и прозрачна база  знания за химикалите</w:t>
            </w:r>
          </w:p>
        </w:tc>
      </w:tr>
      <w:tr>
        <w:trPr>
          <w:jc w:val="center"/>
        </w:trPr>
        <w:tc>
          <w:tcPr>
            <w:tcW w:w="4853" w:type="dxa"/>
          </w:tcPr>
          <w:p>
            <w:pPr>
              <w:suppressAutoHyphens/>
              <w:spacing w:after="0"/>
              <w:rPr>
                <w:bCs/>
                <w:noProof/>
                <w:highlight w:val="cyan"/>
              </w:rPr>
            </w:pPr>
            <w:r>
              <w:rPr>
                <w:noProof/>
              </w:rPr>
              <w:t>Предложения за преразглеждане на изискванията за регистрация в Регламента REACH, за да се гарантира: идентифицирането на вещества с критични опасни свойства, в това число въздействие върху нервната и имунната система, преминаването към подходи за групиране, регистрацията на подгрупа от полимери, информацията за цялостния отпечатък върху околната среда на химикалите, задължението за доклади за химическата безопасност за вещества между 1 и 10 тона</w:t>
            </w:r>
          </w:p>
        </w:tc>
        <w:tc>
          <w:tcPr>
            <w:tcW w:w="4043" w:type="dxa"/>
          </w:tcPr>
          <w:p>
            <w:pPr>
              <w:spacing w:after="0"/>
              <w:rPr>
                <w:noProof/>
              </w:rPr>
            </w:pPr>
            <w:r>
              <w:rPr>
                <w:noProof/>
              </w:rPr>
              <w:t>Регламент REACH</w:t>
            </w:r>
          </w:p>
        </w:tc>
        <w:tc>
          <w:tcPr>
            <w:tcW w:w="2020" w:type="dxa"/>
          </w:tcPr>
          <w:p>
            <w:pPr>
              <w:spacing w:after="0"/>
              <w:rPr>
                <w:noProof/>
                <w:szCs w:val="24"/>
              </w:rPr>
            </w:pPr>
            <w:r>
              <w:rPr>
                <w:noProof/>
              </w:rPr>
              <w:t>2022 г.</w:t>
            </w:r>
          </w:p>
        </w:tc>
      </w:tr>
      <w:tr>
        <w:trPr>
          <w:jc w:val="center"/>
        </w:trPr>
        <w:tc>
          <w:tcPr>
            <w:tcW w:w="4853" w:type="dxa"/>
          </w:tcPr>
          <w:p>
            <w:pPr>
              <w:suppressAutoHyphens/>
              <w:spacing w:after="0"/>
              <w:rPr>
                <w:noProof/>
              </w:rPr>
            </w:pPr>
            <w:r>
              <w:rPr>
                <w:noProof/>
              </w:rPr>
              <w:t xml:space="preserve">Разработване на стратегическа програма за научни изследвания и иновации в областта на химикалите </w:t>
            </w:r>
          </w:p>
        </w:tc>
        <w:tc>
          <w:tcPr>
            <w:tcW w:w="4043" w:type="dxa"/>
          </w:tcPr>
          <w:p>
            <w:pPr>
              <w:spacing w:after="0"/>
              <w:rPr>
                <w:noProof/>
              </w:rPr>
            </w:pPr>
          </w:p>
        </w:tc>
        <w:tc>
          <w:tcPr>
            <w:tcW w:w="2020" w:type="dxa"/>
          </w:tcPr>
          <w:p>
            <w:pPr>
              <w:spacing w:after="0"/>
              <w:rPr>
                <w:noProof/>
                <w:szCs w:val="24"/>
              </w:rPr>
            </w:pPr>
            <w:r>
              <w:rPr>
                <w:noProof/>
              </w:rPr>
              <w:t xml:space="preserve">2022 г. </w:t>
            </w:r>
          </w:p>
        </w:tc>
      </w:tr>
      <w:tr>
        <w:trPr>
          <w:jc w:val="center"/>
        </w:trPr>
        <w:tc>
          <w:tcPr>
            <w:tcW w:w="4853" w:type="dxa"/>
          </w:tcPr>
          <w:p>
            <w:pPr>
              <w:suppressAutoHyphens/>
              <w:spacing w:after="0"/>
              <w:rPr>
                <w:noProof/>
              </w:rPr>
            </w:pPr>
            <w:r>
              <w:rPr>
                <w:noProof/>
              </w:rPr>
              <w:t xml:space="preserve">Финансиране на (био)мониторинг на човешкия организъм и околната среда в целия ЕС </w:t>
            </w:r>
          </w:p>
        </w:tc>
        <w:tc>
          <w:tcPr>
            <w:tcW w:w="4043" w:type="dxa"/>
          </w:tcPr>
          <w:p>
            <w:pPr>
              <w:spacing w:after="0"/>
              <w:rPr>
                <w:noProof/>
              </w:rPr>
            </w:pPr>
          </w:p>
        </w:tc>
        <w:tc>
          <w:tcPr>
            <w:tcW w:w="2020" w:type="dxa"/>
          </w:tcPr>
          <w:p>
            <w:pPr>
              <w:spacing w:after="0"/>
              <w:rPr>
                <w:noProof/>
                <w:shd w:val="clear" w:color="auto" w:fill="FFFF00"/>
              </w:rPr>
            </w:pPr>
            <w:r>
              <w:rPr>
                <w:noProof/>
              </w:rPr>
              <w:t xml:space="preserve">От 2020 г. </w:t>
            </w:r>
          </w:p>
        </w:tc>
      </w:tr>
      <w:tr>
        <w:trPr>
          <w:jc w:val="center"/>
        </w:trPr>
        <w:tc>
          <w:tcPr>
            <w:tcW w:w="4853" w:type="dxa"/>
          </w:tcPr>
          <w:p>
            <w:pPr>
              <w:suppressAutoHyphens/>
              <w:spacing w:after="0"/>
              <w:rPr>
                <w:noProof/>
              </w:rPr>
            </w:pPr>
            <w:r>
              <w:rPr>
                <w:noProof/>
              </w:rPr>
              <w:t xml:space="preserve">Разработване на система на ЕС за ранно предупреждение и действие по отношение на химикалите </w:t>
            </w:r>
          </w:p>
        </w:tc>
        <w:tc>
          <w:tcPr>
            <w:tcW w:w="4043" w:type="dxa"/>
          </w:tcPr>
          <w:p>
            <w:pPr>
              <w:spacing w:after="0"/>
              <w:rPr>
                <w:noProof/>
              </w:rPr>
            </w:pPr>
          </w:p>
        </w:tc>
        <w:tc>
          <w:tcPr>
            <w:tcW w:w="2020" w:type="dxa"/>
          </w:tcPr>
          <w:p>
            <w:pPr>
              <w:spacing w:after="0"/>
              <w:rPr>
                <w:noProof/>
                <w:szCs w:val="24"/>
              </w:rPr>
            </w:pPr>
            <w:r>
              <w:rPr>
                <w:noProof/>
              </w:rPr>
              <w:t xml:space="preserve">2023 г. </w:t>
            </w:r>
          </w:p>
        </w:tc>
      </w:tr>
      <w:tr>
        <w:trPr>
          <w:jc w:val="center"/>
        </w:trPr>
        <w:tc>
          <w:tcPr>
            <w:tcW w:w="0" w:type="auto"/>
            <w:gridSpan w:val="3"/>
            <w:shd w:val="clear" w:color="auto" w:fill="C4BC96" w:themeFill="background2" w:themeFillShade="BF"/>
          </w:tcPr>
          <w:p>
            <w:pPr>
              <w:pStyle w:val="Body"/>
              <w:spacing w:before="0" w:after="0"/>
              <w:rPr>
                <w:rFonts w:ascii="Times New Roman" w:hAnsi="Times New Roman"/>
                <w:b/>
                <w:bCs/>
                <w:noProof/>
              </w:rPr>
            </w:pPr>
            <w:r>
              <w:rPr>
                <w:rFonts w:ascii="Times New Roman" w:hAnsi="Times New Roman"/>
                <w:b/>
                <w:bCs/>
                <w:noProof/>
              </w:rPr>
              <w:t>Разработване на модел, вдъхновяващ управлението на химикалите в световен мащаб</w:t>
            </w:r>
          </w:p>
        </w:tc>
      </w:tr>
      <w:tr>
        <w:trPr>
          <w:jc w:val="center"/>
        </w:trPr>
        <w:tc>
          <w:tcPr>
            <w:tcW w:w="4853" w:type="dxa"/>
          </w:tcPr>
          <w:p>
            <w:pPr>
              <w:pStyle w:val="Body"/>
              <w:spacing w:before="0" w:after="0"/>
              <w:rPr>
                <w:rFonts w:ascii="Times New Roman" w:hAnsi="Times New Roman"/>
                <w:noProof/>
              </w:rPr>
            </w:pPr>
            <w:r>
              <w:rPr>
                <w:rFonts w:ascii="Times New Roman" w:hAnsi="Times New Roman"/>
                <w:bCs/>
                <w:noProof/>
              </w:rPr>
              <w:t>Инициативи в сътрудничество с международните организации и промишлеността за насърчаване употребата на GHS на ООН на международно равнище</w:t>
            </w:r>
            <w:r>
              <w:rPr>
                <w:rFonts w:ascii="Times New Roman" w:hAnsi="Times New Roman"/>
                <w:noProof/>
              </w:rPr>
              <w:t xml:space="preserve"> </w:t>
            </w:r>
          </w:p>
        </w:tc>
        <w:tc>
          <w:tcPr>
            <w:tcW w:w="4043" w:type="dxa"/>
          </w:tcPr>
          <w:p>
            <w:pPr>
              <w:spacing w:after="0"/>
              <w:rPr>
                <w:noProof/>
              </w:rPr>
            </w:pPr>
          </w:p>
        </w:tc>
        <w:tc>
          <w:tcPr>
            <w:tcW w:w="2020" w:type="dxa"/>
          </w:tcPr>
          <w:p>
            <w:pPr>
              <w:spacing w:after="0"/>
              <w:rPr>
                <w:noProof/>
                <w:szCs w:val="24"/>
              </w:rPr>
            </w:pPr>
            <w:r>
              <w:rPr>
                <w:noProof/>
              </w:rPr>
              <w:t xml:space="preserve">От 2020 г. </w:t>
            </w:r>
          </w:p>
        </w:tc>
      </w:tr>
      <w:tr>
        <w:trPr>
          <w:jc w:val="center"/>
        </w:trPr>
        <w:tc>
          <w:tcPr>
            <w:tcW w:w="4853" w:type="dxa"/>
          </w:tcPr>
          <w:p>
            <w:pPr>
              <w:pStyle w:val="Body"/>
              <w:spacing w:before="0" w:after="0"/>
              <w:rPr>
                <w:rFonts w:ascii="Times New Roman" w:hAnsi="Times New Roman"/>
                <w:noProof/>
              </w:rPr>
            </w:pPr>
            <w:r>
              <w:rPr>
                <w:rFonts w:ascii="Times New Roman" w:hAnsi="Times New Roman"/>
                <w:noProof/>
              </w:rPr>
              <w:t>Предложение за въвеждане в GHS на ООН на критерии/класове на опасност и за тяхното адаптиране и поясняване в съответствие с Регламента CLP</w:t>
            </w:r>
          </w:p>
        </w:tc>
        <w:tc>
          <w:tcPr>
            <w:tcW w:w="4043" w:type="dxa"/>
          </w:tcPr>
          <w:p>
            <w:pPr>
              <w:spacing w:after="0"/>
              <w:rPr>
                <w:noProof/>
              </w:rPr>
            </w:pPr>
          </w:p>
        </w:tc>
        <w:tc>
          <w:tcPr>
            <w:tcW w:w="2020" w:type="dxa"/>
          </w:tcPr>
          <w:p>
            <w:pPr>
              <w:spacing w:after="0"/>
              <w:rPr>
                <w:noProof/>
                <w:szCs w:val="24"/>
              </w:rPr>
            </w:pPr>
            <w:r>
              <w:rPr>
                <w:noProof/>
              </w:rPr>
              <w:t xml:space="preserve">2022—2024 г. </w:t>
            </w:r>
          </w:p>
        </w:tc>
      </w:tr>
      <w:tr>
        <w:trPr>
          <w:jc w:val="center"/>
        </w:trPr>
        <w:tc>
          <w:tcPr>
            <w:tcW w:w="4853" w:type="dxa"/>
          </w:tcPr>
          <w:p>
            <w:pPr>
              <w:pStyle w:val="Body"/>
              <w:spacing w:before="0" w:after="0"/>
              <w:rPr>
                <w:rFonts w:ascii="Times New Roman" w:hAnsi="Times New Roman"/>
                <w:noProof/>
              </w:rPr>
            </w:pPr>
            <w:r>
              <w:rPr>
                <w:rFonts w:ascii="Times New Roman" w:hAnsi="Times New Roman"/>
                <w:noProof/>
              </w:rPr>
              <w:t xml:space="preserve">Подкрепа, по-специално посредством финансиране, за изграждането на капацитет за оценка и управление на химикалите в трети държави </w:t>
            </w:r>
          </w:p>
        </w:tc>
        <w:tc>
          <w:tcPr>
            <w:tcW w:w="4043" w:type="dxa"/>
          </w:tcPr>
          <w:p>
            <w:pPr>
              <w:spacing w:after="0"/>
              <w:rPr>
                <w:noProof/>
              </w:rPr>
            </w:pPr>
          </w:p>
        </w:tc>
        <w:tc>
          <w:tcPr>
            <w:tcW w:w="2020" w:type="dxa"/>
          </w:tcPr>
          <w:p>
            <w:pPr>
              <w:spacing w:after="0"/>
              <w:rPr>
                <w:noProof/>
              </w:rPr>
            </w:pPr>
            <w:r>
              <w:rPr>
                <w:noProof/>
              </w:rPr>
              <w:t xml:space="preserve">2020—2022 г. </w:t>
            </w:r>
          </w:p>
        </w:tc>
      </w:tr>
      <w:tr>
        <w:trPr>
          <w:jc w:val="center"/>
        </w:trPr>
        <w:tc>
          <w:tcPr>
            <w:tcW w:w="4853" w:type="dxa"/>
          </w:tcPr>
          <w:p>
            <w:pPr>
              <w:pStyle w:val="Body"/>
              <w:spacing w:before="0" w:after="0"/>
              <w:rPr>
                <w:rFonts w:ascii="Times New Roman" w:hAnsi="Times New Roman"/>
                <w:bCs/>
                <w:noProof/>
              </w:rPr>
            </w:pPr>
            <w:r>
              <w:rPr>
                <w:rFonts w:ascii="Times New Roman" w:hAnsi="Times New Roman"/>
                <w:bCs/>
                <w:noProof/>
              </w:rPr>
              <w:t>Гарантиране, че опасните химикали, забранени в Европейския съюз, не се произвеждат за износ, включително чрез изменение на съответното законодателство, ако и когато това е необходимо</w:t>
            </w:r>
          </w:p>
        </w:tc>
        <w:tc>
          <w:tcPr>
            <w:tcW w:w="4043" w:type="dxa"/>
          </w:tcPr>
          <w:p>
            <w:pPr>
              <w:spacing w:after="0"/>
              <w:rPr>
                <w:noProof/>
              </w:rPr>
            </w:pPr>
          </w:p>
        </w:tc>
        <w:tc>
          <w:tcPr>
            <w:tcW w:w="2020" w:type="dxa"/>
          </w:tcPr>
          <w:p>
            <w:pPr>
              <w:spacing w:after="0"/>
              <w:rPr>
                <w:noProof/>
                <w:szCs w:val="24"/>
              </w:rPr>
            </w:pPr>
            <w:r>
              <w:rPr>
                <w:noProof/>
              </w:rPr>
              <w:t xml:space="preserve">2023 г. </w:t>
            </w:r>
          </w:p>
        </w:tc>
      </w:tr>
      <w:tr>
        <w:trPr>
          <w:jc w:val="center"/>
        </w:trPr>
        <w:tc>
          <w:tcPr>
            <w:tcW w:w="4853" w:type="dxa"/>
          </w:tcPr>
          <w:p>
            <w:pPr>
              <w:pStyle w:val="Body"/>
              <w:spacing w:before="0" w:after="0"/>
              <w:rPr>
                <w:rFonts w:ascii="Times New Roman" w:hAnsi="Times New Roman"/>
                <w:noProof/>
              </w:rPr>
            </w:pPr>
            <w:r>
              <w:rPr>
                <w:rFonts w:ascii="Times New Roman" w:hAnsi="Times New Roman"/>
                <w:noProof/>
              </w:rPr>
              <w:t xml:space="preserve">Насърчаване надлежната проверка на устойчивото производство и употреба на химикали в рамките на бъдещата инициатива за устойчиво корпоративно управление </w:t>
            </w:r>
          </w:p>
        </w:tc>
        <w:tc>
          <w:tcPr>
            <w:tcW w:w="4043" w:type="dxa"/>
          </w:tcPr>
          <w:p>
            <w:pPr>
              <w:spacing w:after="0"/>
              <w:rPr>
                <w:noProof/>
              </w:rPr>
            </w:pPr>
          </w:p>
        </w:tc>
        <w:tc>
          <w:tcPr>
            <w:tcW w:w="2020" w:type="dxa"/>
          </w:tcPr>
          <w:p>
            <w:pPr>
              <w:spacing w:after="0"/>
              <w:rPr>
                <w:noProof/>
                <w:szCs w:val="24"/>
              </w:rPr>
            </w:pPr>
            <w:r>
              <w:rPr>
                <w:noProof/>
              </w:rPr>
              <w:t xml:space="preserve">2020—2024 г. </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274" w:bottom="709"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7</w:t>
    </w:r>
    <w:r>
      <w:fldChar w:fldCharType="end"/>
    </w:r>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7010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C98"/>
    <w:multiLevelType w:val="hybridMultilevel"/>
    <w:tmpl w:val="593A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960834"/>
    <w:multiLevelType w:val="hybridMultilevel"/>
    <w:tmpl w:val="A550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42668D"/>
    <w:multiLevelType w:val="hybridMultilevel"/>
    <w:tmpl w:val="1200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F8079D"/>
    <w:multiLevelType w:val="hybridMultilevel"/>
    <w:tmpl w:val="850A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461C0A"/>
    <w:multiLevelType w:val="hybridMultilevel"/>
    <w:tmpl w:val="9ED6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494140"/>
    <w:multiLevelType w:val="hybridMultilevel"/>
    <w:tmpl w:val="F13C35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BC929C0"/>
    <w:multiLevelType w:val="hybridMultilevel"/>
    <w:tmpl w:val="C8B4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276708"/>
    <w:multiLevelType w:val="hybridMultilevel"/>
    <w:tmpl w:val="C2BC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501C4C"/>
    <w:multiLevelType w:val="hybridMultilevel"/>
    <w:tmpl w:val="7800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583B4B"/>
    <w:multiLevelType w:val="hybridMultilevel"/>
    <w:tmpl w:val="C002C73A"/>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nsid w:val="68A97B35"/>
    <w:multiLevelType w:val="hybridMultilevel"/>
    <w:tmpl w:val="E376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3760E9"/>
    <w:multiLevelType w:val="hybridMultilevel"/>
    <w:tmpl w:val="07745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230295"/>
    <w:multiLevelType w:val="hybridMultilevel"/>
    <w:tmpl w:val="F3349CE4"/>
    <w:lvl w:ilvl="0" w:tplc="75A005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8E461E"/>
    <w:multiLevelType w:val="hybridMultilevel"/>
    <w:tmpl w:val="4D52D858"/>
    <w:lvl w:ilvl="0" w:tplc="197C0042">
      <w:start w:val="20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144252"/>
    <w:multiLevelType w:val="hybridMultilevel"/>
    <w:tmpl w:val="2A4E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78913DF"/>
    <w:multiLevelType w:val="hybridMultilevel"/>
    <w:tmpl w:val="3092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AB6C63"/>
    <w:multiLevelType w:val="hybridMultilevel"/>
    <w:tmpl w:val="C54E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65145E"/>
    <w:multiLevelType w:val="multilevel"/>
    <w:tmpl w:val="D632DEE4"/>
    <w:lvl w:ilvl="0">
      <w:start w:val="1"/>
      <w:numFmt w:val="decimal"/>
      <w:lvlText w:val="%1."/>
      <w:lvlJc w:val="left"/>
      <w:pPr>
        <w:tabs>
          <w:tab w:val="num" w:pos="482"/>
        </w:tabs>
        <w:ind w:left="482" w:hanging="482"/>
      </w:pPr>
      <w:rPr>
        <w:rFonts w:ascii="Times New Roman Bold" w:hAnsi="Times New Roman Bold"/>
        <w:b/>
        <w:i w:val="0"/>
      </w:rPr>
    </w:lvl>
    <w:lvl w:ilvl="1">
      <w:start w:val="1"/>
      <w:numFmt w:val="decimal"/>
      <w:lvlText w:val="%1.%2."/>
      <w:lvlJc w:val="left"/>
      <w:pPr>
        <w:tabs>
          <w:tab w:val="num" w:pos="1202"/>
        </w:tabs>
        <w:ind w:left="1202"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num w:numId="1">
    <w:abstractNumId w:val="6"/>
  </w:num>
  <w:num w:numId="2">
    <w:abstractNumId w:val="18"/>
  </w:num>
  <w:num w:numId="3">
    <w:abstractNumId w:val="13"/>
  </w:num>
  <w:num w:numId="4">
    <w:abstractNumId w:val="1"/>
  </w:num>
  <w:num w:numId="5">
    <w:abstractNumId w:val="3"/>
  </w:num>
  <w:num w:numId="6">
    <w:abstractNumId w:val="2"/>
  </w:num>
  <w:num w:numId="7">
    <w:abstractNumId w:val="0"/>
  </w:num>
  <w:num w:numId="8">
    <w:abstractNumId w:val="15"/>
  </w:num>
  <w:num w:numId="9">
    <w:abstractNumId w:val="4"/>
  </w:num>
  <w:num w:numId="10">
    <w:abstractNumId w:val="7"/>
  </w:num>
  <w:num w:numId="11">
    <w:abstractNumId w:val="17"/>
  </w:num>
  <w:num w:numId="12">
    <w:abstractNumId w:val="16"/>
  </w:num>
  <w:num w:numId="13">
    <w:abstractNumId w:val="11"/>
  </w:num>
  <w:num w:numId="14">
    <w:abstractNumId w:val="8"/>
  </w:num>
  <w:num w:numId="15">
    <w:abstractNumId w:val="1"/>
  </w:num>
  <w:num w:numId="16">
    <w:abstractNumId w:val="9"/>
  </w:num>
  <w:num w:numId="17">
    <w:abstractNumId w:val="12"/>
  </w:num>
  <w:num w:numId="18">
    <w:abstractNumId w:val="10"/>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es-ES_tradnl"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revisionView w:markup="0"/>
  <w:doNotTrackFormatting/>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
    <w:docVar w:name="LW_ANNEX_NBR_FIRST" w:val="1"/>
    <w:docVar w:name="LW_ANNEX_NBR_LAST" w:val="1"/>
    <w:docVar w:name="LW_ANNEX_UNIQUE" w:val="1"/>
    <w:docVar w:name="LW_CORRIGENDUM" w:val="&lt;UNUSED&gt;"/>
    <w:docVar w:name="LW_COVERPAGE_EXISTS" w:val="True"/>
    <w:docVar w:name="LW_COVERPAGE_GUID" w:val="916148C8-106B-4F13-B52E-A7AD94A221CD"/>
    <w:docVar w:name="LW_COVERPAGE_TYPE" w:val="1"/>
    <w:docVar w:name="LW_CROSSREFERENCE" w:val="{SWD(2020) 225 final} - {SWD(2020) 247 final} - {SWD(2020) 248 final} - {SWD(2020) 249 final} - {SWD(2020) 250 final} - {SWD(2020) 251 final}"/>
    <w:docVar w:name="LW_DocType" w:val="NORMAL"/>
    <w:docVar w:name="LW_EMISSION" w:val="14.10.2020"/>
    <w:docVar w:name="LW_EMISSION_ISODATE" w:val="2020-10-14"/>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57?\u1090?\u1088?\u1072?\u1090?\u1077?\u1075?\u1080?\u1103? \u1079?\u1072? \u1091?\u1089?\u1090?\u1086?\u1081?\u1095?\u1080?\u1074?\u1086?\u1089?\u1090? \u1074? \u1086?\u1073?\u1083?\u1072?\u1089?\u1090?\u1090?\u1072? \u1085?\u1072? \u1093?\u1080?\u1084?\u1080?\u1082?\u1072?\u1083?\u1080?\u1090?\u1077?&lt;/FMT&gt;_x000d__x000d__x000d__x000d__x000d__x000d__x000d__x000b_&lt;FMT:Font=Calibri Cyr&gt;\u1050?\u1098?\u1084? \u1085?\u1077?\u1090?\u1086?\u1082?\u1089?\u1080?\u1095?\u1085?\u1072? \u1086?\u1082?\u1086?\u1083?\u1085?\u1072? \u1089?\u1088?\u1077?\u1076?\u1072?&lt;/FMT&gt;_x000d__x000d__x000d__x000d__x000d__x000d__x000d__x000d__x000d__x000d__x000b__x000d__x000d__x000d__x000d__x000d__x000d__x000d__x000d__x000d__x000d__x000b_"/>
    <w:docVar w:name="LW_PART_NBR" w:val="1"/>
    <w:docVar w:name="LW_PART_NBR_TOTAL" w:val="1"/>
    <w:docVar w:name="LW_REF.INST.NEW" w:val="COM"/>
    <w:docVar w:name="LW_REF.INST.NEW_ADOPTED" w:val="final"/>
    <w:docVar w:name="LW_REF.INST.NEW_TEXT" w:val="(2020) 6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0" w:unhideWhenUsed="0" w:qFormat="1"/>
    <w:lsdException w:name="heading 2" w:uiPriority="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IE"/>
    </w:rPr>
  </w:style>
  <w:style w:type="paragraph" w:styleId="Heading1">
    <w:name w:val="heading 1"/>
    <w:basedOn w:val="Normal"/>
    <w:next w:val="Text1"/>
    <w:link w:val="Heading1Char"/>
    <w:qFormat/>
    <w:pPr>
      <w:keepNext/>
      <w:tabs>
        <w:tab w:val="num" w:pos="482"/>
      </w:tabs>
      <w:spacing w:before="240"/>
      <w:ind w:left="482" w:hanging="482"/>
      <w:outlineLvl w:val="0"/>
    </w:pPr>
    <w:rPr>
      <w:b/>
      <w:smallCaps/>
    </w:rPr>
  </w:style>
  <w:style w:type="paragraph" w:styleId="Heading2">
    <w:name w:val="heading 2"/>
    <w:basedOn w:val="Normal"/>
    <w:next w:val="Text2"/>
    <w:link w:val="Heading2Char"/>
    <w:qFormat/>
    <w:pPr>
      <w:keepNext/>
      <w:tabs>
        <w:tab w:val="num" w:pos="1202"/>
      </w:tabs>
      <w:ind w:left="1202" w:hanging="720"/>
      <w:outlineLvl w:val="1"/>
    </w:pPr>
    <w:rPr>
      <w:b/>
    </w:rPr>
  </w:style>
  <w:style w:type="paragraph" w:styleId="Heading3">
    <w:name w:val="heading 3"/>
    <w:basedOn w:val="Normal"/>
    <w:next w:val="Normal"/>
    <w:link w:val="Heading3Char"/>
    <w:uiPriority w:val="90"/>
    <w:qFormat/>
    <w:pPr>
      <w:keepNext/>
      <w:numPr>
        <w:ilvl w:val="2"/>
        <w:numId w:val="1"/>
      </w:numPr>
      <w:ind w:left="851" w:hanging="284"/>
      <w:outlineLvl w:val="2"/>
    </w:pPr>
    <w:rPr>
      <w:rFonts w:ascii="Garamond" w:hAnsi="Garamond"/>
      <w:i/>
    </w:rPr>
  </w:style>
  <w:style w:type="paragraph" w:styleId="Heading4">
    <w:name w:val="heading 4"/>
    <w:basedOn w:val="Normal"/>
    <w:next w:val="Normal"/>
    <w:link w:val="Heading4Char"/>
    <w:uiPriority w:val="90"/>
    <w:qFormat/>
    <w:pPr>
      <w:keepNext/>
      <w:tabs>
        <w:tab w:val="num" w:pos="1922"/>
      </w:tabs>
      <w:ind w:left="1922" w:hanging="720"/>
      <w:outlineLvl w:val="3"/>
    </w:pPr>
  </w:style>
  <w:style w:type="paragraph" w:styleId="Heading5">
    <w:name w:val="heading 5"/>
    <w:basedOn w:val="Normal"/>
    <w:next w:val="Normal"/>
    <w:link w:val="Heading5Char"/>
    <w:semiHidden/>
    <w:qFormat/>
    <w:pPr>
      <w:keepNext/>
      <w:tabs>
        <w:tab w:val="num" w:pos="2880"/>
      </w:tabs>
      <w:ind w:left="3838" w:hanging="958"/>
      <w:outlineLvl w:val="4"/>
    </w:pPr>
  </w:style>
  <w:style w:type="paragraph" w:styleId="Heading6">
    <w:name w:val="heading 6"/>
    <w:basedOn w:val="Normal"/>
    <w:next w:val="Normal"/>
    <w:link w:val="Heading6Char"/>
    <w:semiHidden/>
    <w:qFormat/>
    <w:pPr>
      <w:keepNext/>
      <w:tabs>
        <w:tab w:val="num" w:pos="2880"/>
      </w:tabs>
      <w:ind w:left="3838" w:hanging="958"/>
      <w:outlineLvl w:val="5"/>
    </w:pPr>
  </w:style>
  <w:style w:type="paragraph" w:styleId="Heading7">
    <w:name w:val="heading 7"/>
    <w:basedOn w:val="Normal"/>
    <w:next w:val="Normal"/>
    <w:link w:val="Heading7Char"/>
    <w:semiHidden/>
    <w:qFormat/>
    <w:pPr>
      <w:keepNext/>
      <w:tabs>
        <w:tab w:val="num" w:pos="2880"/>
      </w:tabs>
      <w:ind w:left="3838" w:hanging="958"/>
      <w:outlineLvl w:val="6"/>
    </w:pPr>
  </w:style>
  <w:style w:type="paragraph" w:styleId="Heading8">
    <w:name w:val="heading 8"/>
    <w:basedOn w:val="Normal"/>
    <w:next w:val="Normal"/>
    <w:link w:val="Heading8Char"/>
    <w:semiHidden/>
    <w:qFormat/>
    <w:pPr>
      <w:keepNext/>
      <w:tabs>
        <w:tab w:val="num" w:pos="2880"/>
      </w:tabs>
      <w:ind w:left="3838" w:hanging="958"/>
      <w:outlineLvl w:val="7"/>
    </w:pPr>
  </w:style>
  <w:style w:type="paragraph" w:styleId="Heading9">
    <w:name w:val="heading 9"/>
    <w:basedOn w:val="Normal"/>
    <w:next w:val="Normal"/>
    <w:link w:val="Heading9Char"/>
    <w:semiHidden/>
    <w:qFormat/>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aramond" w:eastAsia="Times New Roman" w:hAnsi="Garamond"/>
      <w:i/>
      <w:sz w:val="24"/>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Text2">
    <w:name w:val="Text 2"/>
    <w:basedOn w:val="Normal"/>
    <w:uiPriority w:val="90"/>
    <w:qFormat/>
    <w:pPr>
      <w:ind w:left="1202"/>
    </w:pPr>
  </w:style>
  <w:style w:type="paragraph" w:customStyle="1" w:styleId="Text1">
    <w:name w:val="Text 1"/>
    <w:basedOn w:val="Normal"/>
    <w:link w:val="Text1Char"/>
    <w:uiPriority w:val="90"/>
    <w:qFormat/>
    <w:pPr>
      <w:ind w:left="482"/>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eastAsia="en-IE"/>
    </w:rPr>
  </w:style>
  <w:style w:type="paragraph" w:customStyle="1" w:styleId="Body">
    <w:name w:val="Body"/>
    <w:basedOn w:val="Normal"/>
    <w:link w:val="BodyChar"/>
    <w:qFormat/>
    <w:pPr>
      <w:spacing w:before="120" w:after="120"/>
    </w:pPr>
    <w:rPr>
      <w:rFonts w:ascii="EC Square Sans Pro" w:hAnsi="EC Square Sans Pro"/>
      <w:szCs w:val="24"/>
      <w:lang w:eastAsia="en-US"/>
    </w:rPr>
  </w:style>
  <w:style w:type="character" w:customStyle="1" w:styleId="BodyChar">
    <w:name w:val="Body Char"/>
    <w:link w:val="Body"/>
    <w:rPr>
      <w:rFonts w:ascii="EC Square Sans Pro" w:eastAsia="Times New Roman" w:hAnsi="EC Square Sans Pro"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I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I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I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I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I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I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I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IE"/>
    </w:rPr>
  </w:style>
  <w:style w:type="paragraph" w:customStyle="1" w:styleId="NumPar3">
    <w:name w:val="NumPar 3"/>
    <w:basedOn w:val="Heading3"/>
    <w:uiPriority w:val="90"/>
    <w:qFormat/>
    <w:pPr>
      <w:keepNext w:val="0"/>
      <w:tabs>
        <w:tab w:val="clear" w:pos="1920"/>
        <w:tab w:val="num" w:pos="1922"/>
      </w:tabs>
      <w:ind w:left="1922" w:hanging="720"/>
      <w:outlineLvl w:val="9"/>
    </w:pPr>
    <w:rPr>
      <w:rFonts w:ascii="Times New Roman" w:hAnsi="Times New Roman"/>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I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IE"/>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qFormat/>
    <w:locked/>
    <w:rPr>
      <w:rFonts w:ascii="Times New Roman" w:eastAsia="Times New Roman" w:hAnsi="Times New Roman" w:cs="Times New Roman"/>
      <w:sz w:val="24"/>
      <w:szCs w:val="20"/>
      <w:lang w:eastAsia="en-IE"/>
    </w:rPr>
  </w:style>
  <w:style w:type="paragraph" w:customStyle="1" w:styleId="NumPar1">
    <w:name w:val="NumPar 1"/>
    <w:basedOn w:val="Heading1"/>
    <w:uiPriority w:val="90"/>
    <w:qFormat/>
    <w:pPr>
      <w:keepNext w:val="0"/>
      <w:tabs>
        <w:tab w:val="clear" w:pos="482"/>
      </w:tabs>
      <w:spacing w:before="0"/>
      <w:ind w:left="480" w:hanging="480"/>
      <w:outlineLvl w:val="9"/>
    </w:pPr>
    <w:rPr>
      <w:b w:val="0"/>
      <w:smallCaps w:val="0"/>
    </w:rPr>
  </w:style>
  <w:style w:type="paragraph" w:customStyle="1" w:styleId="NumPar2">
    <w:name w:val="NumPar 2"/>
    <w:basedOn w:val="Heading2"/>
    <w:uiPriority w:val="90"/>
    <w:qFormat/>
    <w:pPr>
      <w:keepNext w:val="0"/>
      <w:tabs>
        <w:tab w:val="clear" w:pos="1202"/>
        <w:tab w:val="num" w:pos="1080"/>
      </w:tabs>
      <w:ind w:left="1080" w:hanging="600"/>
      <w:outlineLvl w:val="9"/>
    </w:pPr>
    <w:rPr>
      <w:b w:val="0"/>
    </w:rPr>
  </w:style>
  <w:style w:type="paragraph" w:customStyle="1" w:styleId="NumPar4">
    <w:name w:val="NumPar 4"/>
    <w:basedOn w:val="Heading4"/>
    <w:uiPriority w:val="90"/>
    <w:qFormat/>
    <w:pPr>
      <w:keepNext w:val="0"/>
      <w:tabs>
        <w:tab w:val="clear" w:pos="1922"/>
        <w:tab w:val="num" w:pos="2880"/>
      </w:tabs>
      <w:ind w:left="2880" w:hanging="960"/>
      <w:outlineLvl w:val="9"/>
    </w:pPr>
  </w:style>
  <w:style w:type="paragraph" w:customStyle="1" w:styleId="FigureTitle">
    <w:name w:val="Figure Title"/>
    <w:basedOn w:val="Normal"/>
    <w:next w:val="Normal"/>
    <w:uiPriority w:val="6"/>
    <w:pPr>
      <w:keepNext/>
      <w:spacing w:after="180"/>
    </w:pPr>
    <w:rPr>
      <w: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IE"/>
    </w:rPr>
  </w:style>
  <w:style w:type="paragraph" w:styleId="FootnoteText">
    <w:name w:val="footnote text"/>
    <w:aliases w:val="Footnote TEXT,fn,Footnotes,Footnote ak,fn Char,footnote text Char,Footnotes Char,Footnote ak Char,ft,fn cafc,Footnotes Char Char,Footnote Text Char Char,fn Char Char,footnote text Char Char Char Ch,fn1,footnote text1,ft1,f,o,Char,Fußnote"/>
    <w:basedOn w:val="Normal"/>
    <w:link w:val="FootnoteTextChar"/>
    <w:uiPriority w:val="99"/>
    <w:qFormat/>
    <w:pPr>
      <w:spacing w:after="120"/>
      <w:ind w:left="357" w:hanging="357"/>
    </w:pPr>
    <w:rPr>
      <w:sz w:val="20"/>
    </w:rPr>
  </w:style>
  <w:style w:type="character" w:customStyle="1" w:styleId="FootnoteTextChar">
    <w:name w:val="Footnote Text Char"/>
    <w:aliases w:val="Footnote TEXT Char,fn Char1,Footnotes Char1,Footnote ak Char1,fn Char Char1,footnote text Char Char,Footnotes Char Char1,Footnote ak Char Char,ft Char,fn cafc Char,Footnotes Char Char Char,Footnote Text Char Char Char,fn1 Char,f Char"/>
    <w:basedOn w:val="DefaultParagraphFont"/>
    <w:link w:val="FootnoteText"/>
    <w:uiPriority w:val="99"/>
    <w:qFormat/>
    <w:rPr>
      <w:rFonts w:ascii="Times New Roman" w:eastAsia="Times New Roman" w:hAnsi="Times New Roman" w:cs="Times New Roman"/>
      <w:sz w:val="20"/>
      <w:szCs w:val="20"/>
      <w:lang w:eastAsia="en-I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link w:val="SUPERSCharCharCharCharCharCharCharChar"/>
    <w:uiPriority w:val="99"/>
    <w:qFormat/>
    <w:rPr>
      <w:vertAlign w:val="superscript"/>
    </w:rPr>
  </w:style>
  <w:style w:type="character" w:styleId="Hyperlink">
    <w:name w:val="Hyperlink"/>
    <w:uiPriority w:val="99"/>
    <w:rPr>
      <w:color w:val="0563C1"/>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Subsections">
    <w:name w:val="Subsections"/>
    <w:basedOn w:val="NumPar3"/>
    <w:uiPriority w:val="90"/>
    <w:qFormat/>
    <w:pPr>
      <w:numPr>
        <w:ilvl w:val="0"/>
        <w:numId w:val="0"/>
      </w:numPr>
      <w:spacing w:after="120"/>
      <w:ind w:left="1922" w:hanging="720"/>
    </w:pPr>
  </w:style>
  <w:style w:type="paragraph" w:customStyle="1" w:styleId="Default">
    <w:name w:val="Default"/>
    <w:basedOn w:val="Normal"/>
    <w:pPr>
      <w:autoSpaceDE w:val="0"/>
      <w:autoSpaceDN w:val="0"/>
      <w:spacing w:after="0"/>
      <w:jc w:val="left"/>
    </w:pPr>
    <w:rPr>
      <w:rFonts w:eastAsiaTheme="minorHAnsi"/>
      <w:color w:val="000000"/>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IE"/>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I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I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Text1Char">
    <w:name w:val="Text 1 Char"/>
    <w:basedOn w:val="DefaultParagraphFont"/>
    <w:link w:val="Text1"/>
    <w:uiPriority w:val="90"/>
    <w:rPr>
      <w:rFonts w:ascii="Times New Roman" w:eastAsia="Times New Roman" w:hAnsi="Times New Roman" w:cs="Times New Roman"/>
      <w:sz w:val="24"/>
      <w:szCs w:val="20"/>
      <w:lang w:eastAsia="en-IE"/>
    </w:rPr>
  </w:style>
  <w:style w:type="character" w:customStyle="1" w:styleId="FooterSensitivityChar">
    <w:name w:val="Footer Sensitivity Char"/>
    <w:basedOn w:val="Text1Char"/>
    <w:link w:val="FooterSensitivity"/>
    <w:rPr>
      <w:rFonts w:ascii="Times New Roman" w:eastAsia="Times New Roman" w:hAnsi="Times New Roman" w:cs="Times New Roman"/>
      <w:b/>
      <w:sz w:val="32"/>
      <w:szCs w:val="20"/>
      <w:lang w:eastAsia="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ext1Char"/>
    <w:link w:val="HeaderSensitivity"/>
    <w:rPr>
      <w:rFonts w:ascii="Times New Roman" w:eastAsia="Times New Roman" w:hAnsi="Times New Roman" w:cs="Times New Roman"/>
      <w:b/>
      <w:sz w:val="32"/>
      <w:szCs w:val="20"/>
      <w:lang w:eastAsia="en-I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ext1Char"/>
    <w:link w:val="HeaderSensitivityRight"/>
    <w:rPr>
      <w:rFonts w:ascii="Times New Roman" w:eastAsia="Times New Roman" w:hAnsi="Times New Roman" w:cs="Times New Roman"/>
      <w:sz w:val="28"/>
      <w:szCs w:val="20"/>
      <w:lang w:eastAsia="en-IE"/>
    </w:rPr>
  </w:style>
  <w:style w:type="character" w:customStyle="1" w:styleId="st">
    <w:name w:val="st"/>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0" w:unhideWhenUsed="0" w:qFormat="1"/>
    <w:lsdException w:name="heading 2" w:uiPriority="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IE"/>
    </w:rPr>
  </w:style>
  <w:style w:type="paragraph" w:styleId="Heading1">
    <w:name w:val="heading 1"/>
    <w:basedOn w:val="Normal"/>
    <w:next w:val="Text1"/>
    <w:link w:val="Heading1Char"/>
    <w:qFormat/>
    <w:pPr>
      <w:keepNext/>
      <w:tabs>
        <w:tab w:val="num" w:pos="482"/>
      </w:tabs>
      <w:spacing w:before="240"/>
      <w:ind w:left="482" w:hanging="482"/>
      <w:outlineLvl w:val="0"/>
    </w:pPr>
    <w:rPr>
      <w:b/>
      <w:smallCaps/>
    </w:rPr>
  </w:style>
  <w:style w:type="paragraph" w:styleId="Heading2">
    <w:name w:val="heading 2"/>
    <w:basedOn w:val="Normal"/>
    <w:next w:val="Text2"/>
    <w:link w:val="Heading2Char"/>
    <w:qFormat/>
    <w:pPr>
      <w:keepNext/>
      <w:tabs>
        <w:tab w:val="num" w:pos="1202"/>
      </w:tabs>
      <w:ind w:left="1202" w:hanging="720"/>
      <w:outlineLvl w:val="1"/>
    </w:pPr>
    <w:rPr>
      <w:b/>
    </w:rPr>
  </w:style>
  <w:style w:type="paragraph" w:styleId="Heading3">
    <w:name w:val="heading 3"/>
    <w:basedOn w:val="Normal"/>
    <w:next w:val="Normal"/>
    <w:link w:val="Heading3Char"/>
    <w:uiPriority w:val="90"/>
    <w:qFormat/>
    <w:pPr>
      <w:keepNext/>
      <w:numPr>
        <w:ilvl w:val="2"/>
        <w:numId w:val="1"/>
      </w:numPr>
      <w:ind w:left="851" w:hanging="284"/>
      <w:outlineLvl w:val="2"/>
    </w:pPr>
    <w:rPr>
      <w:rFonts w:ascii="Garamond" w:hAnsi="Garamond"/>
      <w:i/>
    </w:rPr>
  </w:style>
  <w:style w:type="paragraph" w:styleId="Heading4">
    <w:name w:val="heading 4"/>
    <w:basedOn w:val="Normal"/>
    <w:next w:val="Normal"/>
    <w:link w:val="Heading4Char"/>
    <w:uiPriority w:val="90"/>
    <w:qFormat/>
    <w:pPr>
      <w:keepNext/>
      <w:tabs>
        <w:tab w:val="num" w:pos="1922"/>
      </w:tabs>
      <w:ind w:left="1922" w:hanging="720"/>
      <w:outlineLvl w:val="3"/>
    </w:pPr>
  </w:style>
  <w:style w:type="paragraph" w:styleId="Heading5">
    <w:name w:val="heading 5"/>
    <w:basedOn w:val="Normal"/>
    <w:next w:val="Normal"/>
    <w:link w:val="Heading5Char"/>
    <w:semiHidden/>
    <w:qFormat/>
    <w:pPr>
      <w:keepNext/>
      <w:tabs>
        <w:tab w:val="num" w:pos="2880"/>
      </w:tabs>
      <w:ind w:left="3838" w:hanging="958"/>
      <w:outlineLvl w:val="4"/>
    </w:pPr>
  </w:style>
  <w:style w:type="paragraph" w:styleId="Heading6">
    <w:name w:val="heading 6"/>
    <w:basedOn w:val="Normal"/>
    <w:next w:val="Normal"/>
    <w:link w:val="Heading6Char"/>
    <w:semiHidden/>
    <w:qFormat/>
    <w:pPr>
      <w:keepNext/>
      <w:tabs>
        <w:tab w:val="num" w:pos="2880"/>
      </w:tabs>
      <w:ind w:left="3838" w:hanging="958"/>
      <w:outlineLvl w:val="5"/>
    </w:pPr>
  </w:style>
  <w:style w:type="paragraph" w:styleId="Heading7">
    <w:name w:val="heading 7"/>
    <w:basedOn w:val="Normal"/>
    <w:next w:val="Normal"/>
    <w:link w:val="Heading7Char"/>
    <w:semiHidden/>
    <w:qFormat/>
    <w:pPr>
      <w:keepNext/>
      <w:tabs>
        <w:tab w:val="num" w:pos="2880"/>
      </w:tabs>
      <w:ind w:left="3838" w:hanging="958"/>
      <w:outlineLvl w:val="6"/>
    </w:pPr>
  </w:style>
  <w:style w:type="paragraph" w:styleId="Heading8">
    <w:name w:val="heading 8"/>
    <w:basedOn w:val="Normal"/>
    <w:next w:val="Normal"/>
    <w:link w:val="Heading8Char"/>
    <w:semiHidden/>
    <w:qFormat/>
    <w:pPr>
      <w:keepNext/>
      <w:tabs>
        <w:tab w:val="num" w:pos="2880"/>
      </w:tabs>
      <w:ind w:left="3838" w:hanging="958"/>
      <w:outlineLvl w:val="7"/>
    </w:pPr>
  </w:style>
  <w:style w:type="paragraph" w:styleId="Heading9">
    <w:name w:val="heading 9"/>
    <w:basedOn w:val="Normal"/>
    <w:next w:val="Normal"/>
    <w:link w:val="Heading9Char"/>
    <w:semiHidden/>
    <w:qFormat/>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aramond" w:eastAsia="Times New Roman" w:hAnsi="Garamond"/>
      <w:i/>
      <w:sz w:val="24"/>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Text2">
    <w:name w:val="Text 2"/>
    <w:basedOn w:val="Normal"/>
    <w:uiPriority w:val="90"/>
    <w:qFormat/>
    <w:pPr>
      <w:ind w:left="1202"/>
    </w:pPr>
  </w:style>
  <w:style w:type="paragraph" w:customStyle="1" w:styleId="Text1">
    <w:name w:val="Text 1"/>
    <w:basedOn w:val="Normal"/>
    <w:link w:val="Text1Char"/>
    <w:uiPriority w:val="90"/>
    <w:qFormat/>
    <w:pPr>
      <w:ind w:left="482"/>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eastAsia="en-IE"/>
    </w:rPr>
  </w:style>
  <w:style w:type="paragraph" w:customStyle="1" w:styleId="Body">
    <w:name w:val="Body"/>
    <w:basedOn w:val="Normal"/>
    <w:link w:val="BodyChar"/>
    <w:qFormat/>
    <w:pPr>
      <w:spacing w:before="120" w:after="120"/>
    </w:pPr>
    <w:rPr>
      <w:rFonts w:ascii="EC Square Sans Pro" w:hAnsi="EC Square Sans Pro"/>
      <w:szCs w:val="24"/>
      <w:lang w:eastAsia="en-US"/>
    </w:rPr>
  </w:style>
  <w:style w:type="character" w:customStyle="1" w:styleId="BodyChar">
    <w:name w:val="Body Char"/>
    <w:link w:val="Body"/>
    <w:rPr>
      <w:rFonts w:ascii="EC Square Sans Pro" w:eastAsia="Times New Roman" w:hAnsi="EC Square Sans Pro"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I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I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I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I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I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I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I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IE"/>
    </w:rPr>
  </w:style>
  <w:style w:type="paragraph" w:customStyle="1" w:styleId="NumPar3">
    <w:name w:val="NumPar 3"/>
    <w:basedOn w:val="Heading3"/>
    <w:uiPriority w:val="90"/>
    <w:qFormat/>
    <w:pPr>
      <w:keepNext w:val="0"/>
      <w:tabs>
        <w:tab w:val="clear" w:pos="1920"/>
        <w:tab w:val="num" w:pos="1922"/>
      </w:tabs>
      <w:ind w:left="1922" w:hanging="720"/>
      <w:outlineLvl w:val="9"/>
    </w:pPr>
    <w:rPr>
      <w:rFonts w:ascii="Times New Roman" w:hAnsi="Times New Roman"/>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I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IE"/>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qFormat/>
    <w:locked/>
    <w:rPr>
      <w:rFonts w:ascii="Times New Roman" w:eastAsia="Times New Roman" w:hAnsi="Times New Roman" w:cs="Times New Roman"/>
      <w:sz w:val="24"/>
      <w:szCs w:val="20"/>
      <w:lang w:eastAsia="en-IE"/>
    </w:rPr>
  </w:style>
  <w:style w:type="paragraph" w:customStyle="1" w:styleId="NumPar1">
    <w:name w:val="NumPar 1"/>
    <w:basedOn w:val="Heading1"/>
    <w:uiPriority w:val="90"/>
    <w:qFormat/>
    <w:pPr>
      <w:keepNext w:val="0"/>
      <w:tabs>
        <w:tab w:val="clear" w:pos="482"/>
      </w:tabs>
      <w:spacing w:before="0"/>
      <w:ind w:left="480" w:hanging="480"/>
      <w:outlineLvl w:val="9"/>
    </w:pPr>
    <w:rPr>
      <w:b w:val="0"/>
      <w:smallCaps w:val="0"/>
    </w:rPr>
  </w:style>
  <w:style w:type="paragraph" w:customStyle="1" w:styleId="NumPar2">
    <w:name w:val="NumPar 2"/>
    <w:basedOn w:val="Heading2"/>
    <w:uiPriority w:val="90"/>
    <w:qFormat/>
    <w:pPr>
      <w:keepNext w:val="0"/>
      <w:tabs>
        <w:tab w:val="clear" w:pos="1202"/>
        <w:tab w:val="num" w:pos="1080"/>
      </w:tabs>
      <w:ind w:left="1080" w:hanging="600"/>
      <w:outlineLvl w:val="9"/>
    </w:pPr>
    <w:rPr>
      <w:b w:val="0"/>
    </w:rPr>
  </w:style>
  <w:style w:type="paragraph" w:customStyle="1" w:styleId="NumPar4">
    <w:name w:val="NumPar 4"/>
    <w:basedOn w:val="Heading4"/>
    <w:uiPriority w:val="90"/>
    <w:qFormat/>
    <w:pPr>
      <w:keepNext w:val="0"/>
      <w:tabs>
        <w:tab w:val="clear" w:pos="1922"/>
        <w:tab w:val="num" w:pos="2880"/>
      </w:tabs>
      <w:ind w:left="2880" w:hanging="960"/>
      <w:outlineLvl w:val="9"/>
    </w:pPr>
  </w:style>
  <w:style w:type="paragraph" w:customStyle="1" w:styleId="FigureTitle">
    <w:name w:val="Figure Title"/>
    <w:basedOn w:val="Normal"/>
    <w:next w:val="Normal"/>
    <w:uiPriority w:val="6"/>
    <w:pPr>
      <w:keepNext/>
      <w:spacing w:after="180"/>
    </w:pPr>
    <w:rPr>
      <w: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IE"/>
    </w:rPr>
  </w:style>
  <w:style w:type="paragraph" w:styleId="FootnoteText">
    <w:name w:val="footnote text"/>
    <w:aliases w:val="Footnote TEXT,fn,Footnotes,Footnote ak,fn Char,footnote text Char,Footnotes Char,Footnote ak Char,ft,fn cafc,Footnotes Char Char,Footnote Text Char Char,fn Char Char,footnote text Char Char Char Ch,fn1,footnote text1,ft1,f,o,Char,Fußnote"/>
    <w:basedOn w:val="Normal"/>
    <w:link w:val="FootnoteTextChar"/>
    <w:uiPriority w:val="99"/>
    <w:qFormat/>
    <w:pPr>
      <w:spacing w:after="120"/>
      <w:ind w:left="357" w:hanging="357"/>
    </w:pPr>
    <w:rPr>
      <w:sz w:val="20"/>
    </w:rPr>
  </w:style>
  <w:style w:type="character" w:customStyle="1" w:styleId="FootnoteTextChar">
    <w:name w:val="Footnote Text Char"/>
    <w:aliases w:val="Footnote TEXT Char,fn Char1,Footnotes Char1,Footnote ak Char1,fn Char Char1,footnote text Char Char,Footnotes Char Char1,Footnote ak Char Char,ft Char,fn cafc Char,Footnotes Char Char Char,Footnote Text Char Char Char,fn1 Char,f Char"/>
    <w:basedOn w:val="DefaultParagraphFont"/>
    <w:link w:val="FootnoteText"/>
    <w:uiPriority w:val="99"/>
    <w:qFormat/>
    <w:rPr>
      <w:rFonts w:ascii="Times New Roman" w:eastAsia="Times New Roman" w:hAnsi="Times New Roman" w:cs="Times New Roman"/>
      <w:sz w:val="20"/>
      <w:szCs w:val="20"/>
      <w:lang w:eastAsia="en-IE"/>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link w:val="SUPERSCharCharCharCharCharCharCharChar"/>
    <w:uiPriority w:val="99"/>
    <w:qFormat/>
    <w:rPr>
      <w:vertAlign w:val="superscript"/>
    </w:rPr>
  </w:style>
  <w:style w:type="character" w:styleId="Hyperlink">
    <w:name w:val="Hyperlink"/>
    <w:uiPriority w:val="99"/>
    <w:rPr>
      <w:color w:val="0563C1"/>
      <w:u w:val="single"/>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Subsections">
    <w:name w:val="Subsections"/>
    <w:basedOn w:val="NumPar3"/>
    <w:uiPriority w:val="90"/>
    <w:qFormat/>
    <w:pPr>
      <w:numPr>
        <w:ilvl w:val="0"/>
        <w:numId w:val="0"/>
      </w:numPr>
      <w:spacing w:after="120"/>
      <w:ind w:left="1922" w:hanging="720"/>
    </w:pPr>
  </w:style>
  <w:style w:type="paragraph" w:customStyle="1" w:styleId="Default">
    <w:name w:val="Default"/>
    <w:basedOn w:val="Normal"/>
    <w:pPr>
      <w:autoSpaceDE w:val="0"/>
      <w:autoSpaceDN w:val="0"/>
      <w:spacing w:after="0"/>
      <w:jc w:val="left"/>
    </w:pPr>
    <w:rPr>
      <w:rFonts w:eastAsiaTheme="minorHAnsi"/>
      <w:color w:val="000000"/>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IE"/>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I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I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Text1Char">
    <w:name w:val="Text 1 Char"/>
    <w:basedOn w:val="DefaultParagraphFont"/>
    <w:link w:val="Text1"/>
    <w:uiPriority w:val="90"/>
    <w:rPr>
      <w:rFonts w:ascii="Times New Roman" w:eastAsia="Times New Roman" w:hAnsi="Times New Roman" w:cs="Times New Roman"/>
      <w:sz w:val="24"/>
      <w:szCs w:val="20"/>
      <w:lang w:eastAsia="en-IE"/>
    </w:rPr>
  </w:style>
  <w:style w:type="character" w:customStyle="1" w:styleId="FooterSensitivityChar">
    <w:name w:val="Footer Sensitivity Char"/>
    <w:basedOn w:val="Text1Char"/>
    <w:link w:val="FooterSensitivity"/>
    <w:rPr>
      <w:rFonts w:ascii="Times New Roman" w:eastAsia="Times New Roman" w:hAnsi="Times New Roman" w:cs="Times New Roman"/>
      <w:b/>
      <w:sz w:val="32"/>
      <w:szCs w:val="20"/>
      <w:lang w:eastAsia="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ext1Char"/>
    <w:link w:val="HeaderSensitivity"/>
    <w:rPr>
      <w:rFonts w:ascii="Times New Roman" w:eastAsia="Times New Roman" w:hAnsi="Times New Roman" w:cs="Times New Roman"/>
      <w:b/>
      <w:sz w:val="32"/>
      <w:szCs w:val="20"/>
      <w:lang w:eastAsia="en-I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ext1Char"/>
    <w:link w:val="HeaderSensitivityRight"/>
    <w:rPr>
      <w:rFonts w:ascii="Times New Roman" w:eastAsia="Times New Roman" w:hAnsi="Times New Roman" w:cs="Times New Roman"/>
      <w:sz w:val="28"/>
      <w:szCs w:val="20"/>
      <w:lang w:eastAsia="en-IE"/>
    </w:rPr>
  </w:style>
  <w:style w:type="character" w:customStyle="1" w:styleId="st">
    <w:name w:val="st"/>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8910">
      <w:bodyDiv w:val="1"/>
      <w:marLeft w:val="0"/>
      <w:marRight w:val="0"/>
      <w:marTop w:val="0"/>
      <w:marBottom w:val="0"/>
      <w:divBdr>
        <w:top w:val="none" w:sz="0" w:space="0" w:color="auto"/>
        <w:left w:val="none" w:sz="0" w:space="0" w:color="auto"/>
        <w:bottom w:val="none" w:sz="0" w:space="0" w:color="auto"/>
        <w:right w:val="none" w:sz="0" w:space="0" w:color="auto"/>
      </w:divBdr>
    </w:div>
    <w:div w:id="176774121">
      <w:bodyDiv w:val="1"/>
      <w:marLeft w:val="0"/>
      <w:marRight w:val="0"/>
      <w:marTop w:val="0"/>
      <w:marBottom w:val="0"/>
      <w:divBdr>
        <w:top w:val="none" w:sz="0" w:space="0" w:color="auto"/>
        <w:left w:val="none" w:sz="0" w:space="0" w:color="auto"/>
        <w:bottom w:val="none" w:sz="0" w:space="0" w:color="auto"/>
        <w:right w:val="none" w:sz="0" w:space="0" w:color="auto"/>
      </w:divBdr>
    </w:div>
    <w:div w:id="416246875">
      <w:bodyDiv w:val="1"/>
      <w:marLeft w:val="0"/>
      <w:marRight w:val="0"/>
      <w:marTop w:val="0"/>
      <w:marBottom w:val="0"/>
      <w:divBdr>
        <w:top w:val="none" w:sz="0" w:space="0" w:color="auto"/>
        <w:left w:val="none" w:sz="0" w:space="0" w:color="auto"/>
        <w:bottom w:val="none" w:sz="0" w:space="0" w:color="auto"/>
        <w:right w:val="none" w:sz="0" w:space="0" w:color="auto"/>
      </w:divBdr>
    </w:div>
    <w:div w:id="421992142">
      <w:bodyDiv w:val="1"/>
      <w:marLeft w:val="0"/>
      <w:marRight w:val="0"/>
      <w:marTop w:val="0"/>
      <w:marBottom w:val="0"/>
      <w:divBdr>
        <w:top w:val="none" w:sz="0" w:space="0" w:color="auto"/>
        <w:left w:val="none" w:sz="0" w:space="0" w:color="auto"/>
        <w:bottom w:val="none" w:sz="0" w:space="0" w:color="auto"/>
        <w:right w:val="none" w:sz="0" w:space="0" w:color="auto"/>
      </w:divBdr>
    </w:div>
    <w:div w:id="423846562">
      <w:bodyDiv w:val="1"/>
      <w:marLeft w:val="0"/>
      <w:marRight w:val="0"/>
      <w:marTop w:val="0"/>
      <w:marBottom w:val="0"/>
      <w:divBdr>
        <w:top w:val="none" w:sz="0" w:space="0" w:color="auto"/>
        <w:left w:val="none" w:sz="0" w:space="0" w:color="auto"/>
        <w:bottom w:val="none" w:sz="0" w:space="0" w:color="auto"/>
        <w:right w:val="none" w:sz="0" w:space="0" w:color="auto"/>
      </w:divBdr>
    </w:div>
    <w:div w:id="565186330">
      <w:bodyDiv w:val="1"/>
      <w:marLeft w:val="0"/>
      <w:marRight w:val="0"/>
      <w:marTop w:val="0"/>
      <w:marBottom w:val="0"/>
      <w:divBdr>
        <w:top w:val="none" w:sz="0" w:space="0" w:color="auto"/>
        <w:left w:val="none" w:sz="0" w:space="0" w:color="auto"/>
        <w:bottom w:val="none" w:sz="0" w:space="0" w:color="auto"/>
        <w:right w:val="none" w:sz="0" w:space="0" w:color="auto"/>
      </w:divBdr>
    </w:div>
    <w:div w:id="869343002">
      <w:bodyDiv w:val="1"/>
      <w:marLeft w:val="0"/>
      <w:marRight w:val="0"/>
      <w:marTop w:val="0"/>
      <w:marBottom w:val="0"/>
      <w:divBdr>
        <w:top w:val="none" w:sz="0" w:space="0" w:color="auto"/>
        <w:left w:val="none" w:sz="0" w:space="0" w:color="auto"/>
        <w:bottom w:val="none" w:sz="0" w:space="0" w:color="auto"/>
        <w:right w:val="none" w:sz="0" w:space="0" w:color="auto"/>
      </w:divBdr>
    </w:div>
    <w:div w:id="881403861">
      <w:bodyDiv w:val="1"/>
      <w:marLeft w:val="0"/>
      <w:marRight w:val="0"/>
      <w:marTop w:val="0"/>
      <w:marBottom w:val="0"/>
      <w:divBdr>
        <w:top w:val="none" w:sz="0" w:space="0" w:color="auto"/>
        <w:left w:val="none" w:sz="0" w:space="0" w:color="auto"/>
        <w:bottom w:val="none" w:sz="0" w:space="0" w:color="auto"/>
        <w:right w:val="none" w:sz="0" w:space="0" w:color="auto"/>
      </w:divBdr>
    </w:div>
    <w:div w:id="1096706146">
      <w:bodyDiv w:val="1"/>
      <w:marLeft w:val="0"/>
      <w:marRight w:val="0"/>
      <w:marTop w:val="0"/>
      <w:marBottom w:val="0"/>
      <w:divBdr>
        <w:top w:val="none" w:sz="0" w:space="0" w:color="auto"/>
        <w:left w:val="none" w:sz="0" w:space="0" w:color="auto"/>
        <w:bottom w:val="none" w:sz="0" w:space="0" w:color="auto"/>
        <w:right w:val="none" w:sz="0" w:space="0" w:color="auto"/>
      </w:divBdr>
    </w:div>
    <w:div w:id="1452820068">
      <w:bodyDiv w:val="1"/>
      <w:marLeft w:val="0"/>
      <w:marRight w:val="0"/>
      <w:marTop w:val="0"/>
      <w:marBottom w:val="0"/>
      <w:divBdr>
        <w:top w:val="none" w:sz="0" w:space="0" w:color="auto"/>
        <w:left w:val="none" w:sz="0" w:space="0" w:color="auto"/>
        <w:bottom w:val="none" w:sz="0" w:space="0" w:color="auto"/>
        <w:right w:val="none" w:sz="0" w:space="0" w:color="auto"/>
      </w:divBdr>
    </w:div>
    <w:div w:id="1465466929">
      <w:bodyDiv w:val="1"/>
      <w:marLeft w:val="0"/>
      <w:marRight w:val="0"/>
      <w:marTop w:val="0"/>
      <w:marBottom w:val="0"/>
      <w:divBdr>
        <w:top w:val="none" w:sz="0" w:space="0" w:color="auto"/>
        <w:left w:val="none" w:sz="0" w:space="0" w:color="auto"/>
        <w:bottom w:val="none" w:sz="0" w:space="0" w:color="auto"/>
        <w:right w:val="none" w:sz="0" w:space="0" w:color="auto"/>
      </w:divBdr>
    </w:div>
    <w:div w:id="1665628439">
      <w:bodyDiv w:val="1"/>
      <w:marLeft w:val="0"/>
      <w:marRight w:val="0"/>
      <w:marTop w:val="0"/>
      <w:marBottom w:val="0"/>
      <w:divBdr>
        <w:top w:val="none" w:sz="0" w:space="0" w:color="auto"/>
        <w:left w:val="none" w:sz="0" w:space="0" w:color="auto"/>
        <w:bottom w:val="none" w:sz="0" w:space="0" w:color="auto"/>
        <w:right w:val="none" w:sz="0" w:space="0" w:color="auto"/>
      </w:divBdr>
    </w:div>
    <w:div w:id="1741564436">
      <w:bodyDiv w:val="1"/>
      <w:marLeft w:val="0"/>
      <w:marRight w:val="0"/>
      <w:marTop w:val="0"/>
      <w:marBottom w:val="0"/>
      <w:divBdr>
        <w:top w:val="none" w:sz="0" w:space="0" w:color="auto"/>
        <w:left w:val="none" w:sz="0" w:space="0" w:color="auto"/>
        <w:bottom w:val="none" w:sz="0" w:space="0" w:color="auto"/>
        <w:right w:val="none" w:sz="0" w:space="0" w:color="auto"/>
      </w:divBdr>
    </w:div>
    <w:div w:id="1745832909">
      <w:bodyDiv w:val="1"/>
      <w:marLeft w:val="0"/>
      <w:marRight w:val="0"/>
      <w:marTop w:val="0"/>
      <w:marBottom w:val="0"/>
      <w:divBdr>
        <w:top w:val="none" w:sz="0" w:space="0" w:color="auto"/>
        <w:left w:val="none" w:sz="0" w:space="0" w:color="auto"/>
        <w:bottom w:val="none" w:sz="0" w:space="0" w:color="auto"/>
        <w:right w:val="none" w:sz="0" w:space="0" w:color="auto"/>
      </w:divBdr>
    </w:div>
    <w:div w:id="18114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A848F-CB2B-4E35-8979-E0999EB9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1934</Words>
  <Characters>11818</Characters>
  <Application>Microsoft Office Word</Application>
  <DocSecurity>0</DocSecurity>
  <Lines>562</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2020-10-13T07:30:00Z</dcterms:created>
  <dcterms:modified xsi:type="dcterms:W3CDTF">2020-10-21T17:43:00Z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CP-039</vt:lpwstr>
  </property>
</Properties>
</file>