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07F61937-418F-4141-B016-A354944A225B" style="width:451pt;height:445.4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2017/0332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във връзка с приемането на Директива на Европейския парламент и на Съвета относно качеството на водите, предназначени за консумация от човека (преработена)</w:t>
      </w:r>
    </w:p>
    <w:p>
      <w:pPr>
        <w:pStyle w:val="IntrtEEE"/>
        <w:rPr>
          <w:noProof/>
        </w:rPr>
      </w:pPr>
      <w:r>
        <w:rPr>
          <w:noProof/>
        </w:rPr>
        <w:t>(текст от значение за ЕИП)</w:t>
      </w:r>
    </w:p>
    <w:p>
      <w:pPr>
        <w:pStyle w:val="ManualHeading1"/>
        <w:rPr>
          <w:noProof/>
          <w:sz w:val="22"/>
        </w:rPr>
      </w:pPr>
      <w:r>
        <w:rPr>
          <w:noProof/>
        </w:rPr>
        <w:t>1.</w:t>
      </w:r>
      <w:r>
        <w:rPr>
          <w:noProof/>
        </w:rPr>
        <w:tab/>
        <w:t>Контекст</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 xml:space="preserve">Дата на предаване на предложението на Европейския парламент и на Съвета </w:t>
            </w:r>
            <w:r>
              <w:rPr>
                <w:noProof/>
              </w:rPr>
              <w:br/>
              <w:t>(документ COM(2017) 753 final – 2017/0332 COD):</w:t>
            </w:r>
          </w:p>
        </w:tc>
        <w:tc>
          <w:tcPr>
            <w:tcW w:w="2483" w:type="dxa"/>
          </w:tcPr>
          <w:p>
            <w:pPr>
              <w:jc w:val="left"/>
              <w:rPr>
                <w:noProof/>
              </w:rPr>
            </w:pPr>
            <w:r>
              <w:rPr>
                <w:noProof/>
              </w:rPr>
              <w:t>1 февруари 2018 г.</w:t>
            </w:r>
          </w:p>
        </w:tc>
      </w:tr>
      <w:tr>
        <w:tc>
          <w:tcPr>
            <w:tcW w:w="6804" w:type="dxa"/>
          </w:tcPr>
          <w:p>
            <w:pPr>
              <w:rPr>
                <w:noProof/>
              </w:rPr>
            </w:pPr>
            <w:r>
              <w:rPr>
                <w:noProof/>
              </w:rPr>
              <w:t>Дата на становището на Европейския икономически и социален комитет:</w:t>
            </w:r>
          </w:p>
        </w:tc>
        <w:tc>
          <w:tcPr>
            <w:tcW w:w="2483" w:type="dxa"/>
          </w:tcPr>
          <w:p>
            <w:pPr>
              <w:jc w:val="left"/>
              <w:rPr>
                <w:noProof/>
              </w:rPr>
            </w:pPr>
            <w:r>
              <w:rPr>
                <w:noProof/>
              </w:rPr>
              <w:t>11 юли 2018 г.</w:t>
            </w:r>
          </w:p>
        </w:tc>
      </w:tr>
      <w:tr>
        <w:tc>
          <w:tcPr>
            <w:tcW w:w="6804" w:type="dxa"/>
          </w:tcPr>
          <w:p>
            <w:pPr>
              <w:rPr>
                <w:noProof/>
              </w:rPr>
            </w:pPr>
            <w:r>
              <w:rPr>
                <w:noProof/>
              </w:rPr>
              <w:t>Дата на становището на Комитета на регионите:</w:t>
            </w:r>
          </w:p>
        </w:tc>
        <w:tc>
          <w:tcPr>
            <w:tcW w:w="2483" w:type="dxa"/>
          </w:tcPr>
          <w:p>
            <w:pPr>
              <w:jc w:val="left"/>
              <w:rPr>
                <w:noProof/>
              </w:rPr>
            </w:pPr>
            <w:r>
              <w:rPr>
                <w:noProof/>
              </w:rPr>
              <w:t>16 май 2018 г.</w:t>
            </w:r>
          </w:p>
        </w:tc>
      </w:tr>
      <w:tr>
        <w:tc>
          <w:tcPr>
            <w:tcW w:w="6804" w:type="dxa"/>
          </w:tcPr>
          <w:p>
            <w:pPr>
              <w:rPr>
                <w:noProof/>
              </w:rPr>
            </w:pPr>
            <w:r>
              <w:rPr>
                <w:noProof/>
              </w:rPr>
              <w:t>Дата на позицията на Европейския парламент на първо четене:</w:t>
            </w:r>
          </w:p>
        </w:tc>
        <w:tc>
          <w:tcPr>
            <w:tcW w:w="2483" w:type="dxa"/>
          </w:tcPr>
          <w:p>
            <w:pPr>
              <w:jc w:val="left"/>
              <w:rPr>
                <w:noProof/>
              </w:rPr>
            </w:pPr>
            <w:r>
              <w:rPr>
                <w:noProof/>
              </w:rPr>
              <w:t>28 март 2019 г.</w:t>
            </w:r>
          </w:p>
        </w:tc>
      </w:tr>
      <w:tr>
        <w:tc>
          <w:tcPr>
            <w:tcW w:w="6804" w:type="dxa"/>
          </w:tcPr>
          <w:p>
            <w:pPr>
              <w:rPr>
                <w:noProof/>
              </w:rPr>
            </w:pPr>
            <w:r>
              <w:rPr>
                <w:noProof/>
              </w:rPr>
              <w:t>Дата на приемане на позицията на Съвета:</w:t>
            </w:r>
          </w:p>
        </w:tc>
        <w:tc>
          <w:tcPr>
            <w:tcW w:w="2483" w:type="dxa"/>
          </w:tcPr>
          <w:p>
            <w:pPr>
              <w:jc w:val="left"/>
              <w:rPr>
                <w:noProof/>
              </w:rPr>
            </w:pPr>
            <w:r>
              <w:rPr>
                <w:noProof/>
              </w:rPr>
              <w:t>23 октомври 2020 г.</w:t>
            </w:r>
          </w:p>
        </w:tc>
      </w:tr>
    </w:tbl>
    <w:p>
      <w:pPr>
        <w:pStyle w:val="ManualHeading1"/>
        <w:rPr>
          <w:noProof/>
        </w:rPr>
      </w:pPr>
      <w:r>
        <w:rPr>
          <w:noProof/>
        </w:rPr>
        <w:t>2.</w:t>
      </w:r>
      <w:r>
        <w:rPr>
          <w:noProof/>
        </w:rPr>
        <w:tab/>
        <w:t>Цел на предложението на Комисията</w:t>
      </w:r>
    </w:p>
    <w:p>
      <w:pPr>
        <w:rPr>
          <w:noProof/>
          <w:szCs w:val="24"/>
        </w:rPr>
      </w:pPr>
      <w:r>
        <w:rPr>
          <w:noProof/>
        </w:rPr>
        <w:t>Основната цел на предложението беше да се гарантира високо ниво на защита на околната среда и човешкото здраве от вредните последици от замърсената питейна вода. Това преразглеждане произтича и от резултатите от първата по рода си успешна европейска гражданска инициатива „Право на вода“ (Right2Water). Целта на предложението беше да се актуализират стандартите за качество на водите, да се въведе основан на риска подход към управлението на питейната вода, да се подобри достъпът на потребителите до информация за водите и за качеството на водите и да се подобри достъпът до вода. Освен това предложението засяга и въпроса за материалите, които са в контакт с питейната вода.</w:t>
      </w:r>
    </w:p>
    <w:p>
      <w:pPr>
        <w:pStyle w:val="ManualHeading1"/>
        <w:rPr>
          <w:noProof/>
        </w:rPr>
      </w:pPr>
      <w:r>
        <w:rPr>
          <w:noProof/>
        </w:rPr>
        <w:t>3.</w:t>
      </w:r>
      <w:r>
        <w:rPr>
          <w:noProof/>
        </w:rPr>
        <w:tab/>
        <w:t>Коментари относно позицията на Парламента</w:t>
      </w:r>
    </w:p>
    <w:p>
      <w:pPr>
        <w:rPr>
          <w:noProof/>
        </w:rPr>
      </w:pPr>
      <w:r>
        <w:rPr>
          <w:noProof/>
        </w:rPr>
        <w:t xml:space="preserve">Европейският парламент одобри на първо четене позицията си на 28 март 2019 г. Измененията на предложението на Комисията имаха за цел да се подобри достъпът до вода (включително посредством изменение на члена относно целите), да се въведе нов член относно материалите в контакт с вода, да се отдели по-голямо внимание на пластмасовите микрочастици и да се въведат някои дерогации от основания на риска подход. Парламентът предложи също така по-малко амбициозен подход по отношение </w:t>
      </w:r>
      <w:r>
        <w:rPr>
          <w:noProof/>
        </w:rPr>
        <w:lastRenderedPageBreak/>
        <w:t xml:space="preserve">на прозрачността и достъпа до информация от предвидения в предложението на Комисията. </w:t>
      </w:r>
    </w:p>
    <w:p>
      <w:pPr>
        <w:rPr>
          <w:noProof/>
        </w:rPr>
      </w:pPr>
      <w:r>
        <w:rPr>
          <w:noProof/>
        </w:rPr>
        <w:t>След приемането на първо четене на позицията на Съвета се очаква Европейският парламент официално да одобри споразумението, постигнато при тристранните обсъждания.</w:t>
      </w:r>
    </w:p>
    <w:p>
      <w:pPr>
        <w:pStyle w:val="ManualHeading1"/>
        <w:rPr>
          <w:noProof/>
        </w:rPr>
      </w:pPr>
      <w:r>
        <w:rPr>
          <w:noProof/>
        </w:rPr>
        <w:t>4.</w:t>
      </w:r>
      <w:r>
        <w:rPr>
          <w:noProof/>
        </w:rPr>
        <w:tab/>
        <w:t>Коментари относно позицията на Съвета</w:t>
      </w:r>
    </w:p>
    <w:p>
      <w:pPr>
        <w:widowControl w:val="0"/>
        <w:rPr>
          <w:noProof/>
        </w:rPr>
      </w:pPr>
      <w:r>
        <w:rPr>
          <w:noProof/>
        </w:rPr>
        <w:t xml:space="preserve">Позицията на Съвета отразява споразумението, постигнато при тристранните обсъждания. Като цяло това споразумение представлява балансиран резултат между позициите на съзаконодателите, зачита първоначалните цели на Комисията и запазва сходно равнище на амбициозност като залегналото в предложението на Комисията. </w:t>
      </w:r>
    </w:p>
    <w:p>
      <w:pPr>
        <w:widowControl w:val="0"/>
        <w:rPr>
          <w:noProof/>
        </w:rPr>
      </w:pPr>
      <w:r>
        <w:rPr>
          <w:noProof/>
        </w:rPr>
        <w:t>По-специално, позицията на Съвета подкрепя и допълнително прецизира предложението на Комисията, като се:</w:t>
      </w:r>
    </w:p>
    <w:p>
      <w:pPr>
        <w:pStyle w:val="Tiret0"/>
        <w:numPr>
          <w:ilvl w:val="0"/>
          <w:numId w:val="5"/>
        </w:numPr>
        <w:rPr>
          <w:noProof/>
        </w:rPr>
      </w:pPr>
      <w:r>
        <w:rPr>
          <w:noProof/>
        </w:rPr>
        <w:t xml:space="preserve">запазват първоначалните амбиции на Комисията по отношение на достъпа до вода, </w:t>
      </w:r>
    </w:p>
    <w:p>
      <w:pPr>
        <w:pStyle w:val="Tiret0"/>
        <w:rPr>
          <w:noProof/>
        </w:rPr>
      </w:pPr>
      <w:r>
        <w:rPr>
          <w:noProof/>
        </w:rPr>
        <w:t xml:space="preserve">подобрява и детайлизира основаният на риска подход към управлението на питейната вода, </w:t>
      </w:r>
    </w:p>
    <w:p>
      <w:pPr>
        <w:pStyle w:val="Tiret0"/>
        <w:rPr>
          <w:noProof/>
        </w:rPr>
      </w:pPr>
      <w:r>
        <w:rPr>
          <w:noProof/>
        </w:rPr>
        <w:t xml:space="preserve">установяват хармонизирани минимални изисквания за материалите в контакт с питейната вода (тази нова разпоредба е придружена от законодателна финансова обосновка, която беше одобрена от съзаконодателите по време на заключителното тристранно обсъждане), </w:t>
      </w:r>
    </w:p>
    <w:p>
      <w:pPr>
        <w:pStyle w:val="Tiret0"/>
        <w:rPr>
          <w:noProof/>
        </w:rPr>
      </w:pPr>
      <w:r>
        <w:rPr>
          <w:noProof/>
        </w:rPr>
        <w:t>въвежда ново изискване във връзка с течовете, а също се</w:t>
      </w:r>
    </w:p>
    <w:p>
      <w:pPr>
        <w:pStyle w:val="Tiret0"/>
        <w:rPr>
          <w:noProof/>
        </w:rPr>
      </w:pPr>
      <w:r>
        <w:rPr>
          <w:noProof/>
        </w:rPr>
        <w:t xml:space="preserve">въвежда списък за наблюдение за борба с нови замърсители, източник на обществена загриженост, като например вещества, нарушаващи функциите на ендокринната система, фармацевтични продукти и пластмасови микрочастици. </w:t>
      </w:r>
    </w:p>
    <w:p>
      <w:pPr>
        <w:rPr>
          <w:noProof/>
        </w:rPr>
      </w:pPr>
      <w:r>
        <w:rPr>
          <w:noProof/>
        </w:rPr>
        <w:t xml:space="preserve">Що се отнася до аспектите, свързани с опазването на човешкото здраве, Съветът прие балансирана позиция, като предложи някои подобрения в сравнение със съществуващата Директива за питейната вода, макар понякога същите да не са толкова амбициозни, колкото първоначалното предложение на Комисията (напр. по отношение на оловото, PFAS, бисфенол А, хлорат, хлорит). При все че Съветът донякъде ограничи първоначално предложените от Комисията задължения по отношение на прозрачността и достъпа до информация, най-важната информация за потребителите беше запазена. </w:t>
      </w:r>
    </w:p>
    <w:p>
      <w:pPr>
        <w:widowControl w:val="0"/>
        <w:rPr>
          <w:noProof/>
        </w:rPr>
      </w:pPr>
      <w:r>
        <w:rPr>
          <w:noProof/>
        </w:rPr>
        <w:t xml:space="preserve">Комисията обаче изразява съжалението си от предложеното ограничение на правомощието ѝ да изменя приложение II към директивата чрез делегиран акт, така както беше първоначално предложено и както е понастоящем предвидено съгласно съществуващата Директива за питейната вода. </w:t>
      </w:r>
    </w:p>
    <w:p>
      <w:pPr>
        <w:widowControl w:val="0"/>
        <w:rPr>
          <w:noProof/>
        </w:rPr>
      </w:pPr>
      <w:r>
        <w:rPr>
          <w:noProof/>
        </w:rPr>
        <w:t xml:space="preserve">Освен това Комисията изразява съжаление във връзка с въвеждането на т.нар. „клауза за непредоставяне на становище“ в члена относно актовете за изпълнение, която представлява отклонение от принципното правило и следва да бъде надлежно обоснована, тъй като ограничава възможността Комисията да приема актове за изпълнение, когато Комитетът не излезе със становище. </w:t>
      </w:r>
    </w:p>
    <w:p>
      <w:pPr>
        <w:pStyle w:val="ManualHeading1"/>
        <w:rPr>
          <w:noProof/>
        </w:rPr>
      </w:pPr>
      <w:r>
        <w:rPr>
          <w:noProof/>
        </w:rPr>
        <w:t>5.</w:t>
      </w:r>
      <w:r>
        <w:rPr>
          <w:noProof/>
        </w:rPr>
        <w:tab/>
        <w:t>Заключение</w:t>
      </w:r>
    </w:p>
    <w:p>
      <w:pPr>
        <w:rPr>
          <w:noProof/>
        </w:rPr>
      </w:pPr>
      <w:r>
        <w:rPr>
          <w:noProof/>
        </w:rPr>
        <w:t xml:space="preserve">Комисията приема позицията, възприета от Съвета, като излиза със следните две декларации: </w:t>
      </w:r>
    </w:p>
    <w:p>
      <w:pPr>
        <w:rPr>
          <w:bCs/>
          <w:noProof/>
        </w:rPr>
      </w:pPr>
      <w:r>
        <w:rPr>
          <w:noProof/>
        </w:rPr>
        <w:lastRenderedPageBreak/>
        <w:t>ДЕКЛАРАЦИЯ НА КОМИСИЯТА ОТНОСНО ДЕЛЕГИРАНИТЕ АКТОВЕ В ДИРЕКТИВАТА ЗА ПИТЕЙНАТА ВОДА</w:t>
      </w:r>
    </w:p>
    <w:p>
      <w:pPr>
        <w:rPr>
          <w:bCs/>
          <w:noProof/>
        </w:rPr>
      </w:pPr>
      <w:r>
        <w:rPr>
          <w:noProof/>
        </w:rPr>
        <w:t>Комисията изразява съжаление във връзка с решението на съзаконодателите да ограничат правомощието ѝ да изменя приложенията към преработената Директива за питейната вода само до приложение III, докато в първоначалното си предложение Комисията беше поискала съответно правомощие за изменение на приложения I — IV</w:t>
      </w:r>
      <w:r>
        <w:rPr>
          <w:rStyle w:val="FootnoteReference"/>
          <w:bCs/>
          <w:noProof/>
        </w:rPr>
        <w:footnoteReference w:id="1"/>
      </w:r>
      <w:r>
        <w:rPr>
          <w:noProof/>
        </w:rPr>
        <w:t xml:space="preserve">. </w:t>
      </w:r>
    </w:p>
    <w:p>
      <w:pPr>
        <w:rPr>
          <w:bCs/>
          <w:noProof/>
        </w:rPr>
      </w:pPr>
      <w:r>
        <w:rPr>
          <w:noProof/>
        </w:rPr>
        <w:t xml:space="preserve">Комисията по-специално изразява съжаление, че съзаконодателите не постигнаха съгласие във връзка с оправомощаване за изменение на приложение II, което е особено необходимо с оглед на необходимостта да се актуализират изискванията за мониторинг, определени в приложение II, за да бъдат съобразени с научно-техническия прогрес. </w:t>
      </w:r>
    </w:p>
    <w:p>
      <w:pPr>
        <w:rPr>
          <w:bCs/>
          <w:noProof/>
        </w:rPr>
      </w:pPr>
    </w:p>
    <w:p>
      <w:pPr>
        <w:rPr>
          <w:bCs/>
          <w:noProof/>
        </w:rPr>
      </w:pPr>
      <w:r>
        <w:rPr>
          <w:noProof/>
        </w:rPr>
        <w:t>ДЕКЛАРАЦИЯ НА КОМИСИЯТА ОТНОСНО ПРОЦЕДУРАТА ЗА ПРИЕМАНЕ НА АКТОВЕ ЗА ИЗПЪЛНЕНИЕ</w:t>
      </w:r>
    </w:p>
    <w:p>
      <w:pPr>
        <w:keepNext/>
        <w:rPr>
          <w:noProof/>
        </w:rPr>
      </w:pPr>
      <w:r>
        <w:rPr>
          <w:noProof/>
        </w:rPr>
        <w:t xml:space="preserve">Комисията подчертава, че позоваването, без надлежно обосноваване, на член 5, параграф 4, втора алинея, буква б) е в разрез с духа и буквата на Регламент (ЕС) № 182/2011 (ОВ L 55, 28.2.2011 г., стр. 13). До тази разпоредба трябва да се прибягва в отговор на специална необходимост да се направи изключение от принципното правило, което гласи, че Комисията </w:t>
      </w:r>
      <w:r>
        <w:rPr>
          <w:i/>
          <w:iCs/>
          <w:noProof/>
        </w:rPr>
        <w:t>може</w:t>
      </w:r>
      <w:r>
        <w:rPr>
          <w:noProof/>
        </w:rPr>
        <w:t xml:space="preserve"> да приеме проект на акт за изпълнение, когато не е дадено становище. Предвид това, че става дума за изключение от общото правило, установено в член 5, параграф 4, то не може да се разглежда просто като „дискреционно правомощие“ на законодателя, а трябва да се тълкува ограничително и следователно да бъде обосновано.</w:t>
      </w:r>
    </w:p>
    <w:p>
      <w:pPr>
        <w:rPr>
          <w:noProof/>
        </w:rPr>
      </w:pPr>
    </w:p>
    <w:sectPr>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tgtFrame="externalDocument" w:history="1">
        <w:r>
          <w:rPr>
            <w:rStyle w:val="Hyperlink"/>
          </w:rPr>
          <w:t>COM(2017)0753</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8633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3F048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6EC0B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EE7C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9EE08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DE4C9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B0E68B6"/>
    <w:lvl w:ilvl="0">
      <w:start w:val="1"/>
      <w:numFmt w:val="decimal"/>
      <w:pStyle w:val="ListNumber"/>
      <w:lvlText w:val="%1."/>
      <w:lvlJc w:val="left"/>
      <w:pPr>
        <w:tabs>
          <w:tab w:val="num" w:pos="360"/>
        </w:tabs>
        <w:ind w:left="360" w:hanging="360"/>
      </w:pPr>
    </w:lvl>
  </w:abstractNum>
  <w:abstractNum w:abstractNumId="7">
    <w:nsid w:val="FFFFFF89"/>
    <w:multiLevelType w:val="singleLevel"/>
    <w:tmpl w:val="79FC1F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3 14:24: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7F61937-418F-4141-B016-A354944A225B"/>
    <w:docVar w:name="LW_COVERPAGE_TYPE" w:val="1"/>
    <w:docVar w:name="LW_CROSSREFERENCE" w:val="&lt;UNUSED&gt;"/>
    <w:docVar w:name="LW_DocType" w:val="COM"/>
    <w:docVar w:name="LW_EMISSION" w:val="26.10.2020"/>
    <w:docVar w:name="LW_EMISSION_ISODATE" w:val="2020-10-26"/>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32"/>
    <w:docVar w:name="LW_REF.II.NEW.CP_YEAR" w:val="2017"/>
    <w:docVar w:name="LW_REF.INST.NEW" w:val="COM"/>
    <w:docVar w:name="LW_REF.INST.NEW_ADOPTED" w:val="final"/>
    <w:docVar w:name="LW_REF.INST.NEW_TEXT" w:val="(2020) 6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7?\u1086?\u1079?\u1080?\u1094?\u1080?\u1103?\u1090?\u1072? \u1085?\u1072? \u1057?\u1098?\u1074?\u1077?\u1090?\u1072? \u1074?\u1098?\u1074? \u1074?\u1088?\u1098?\u1079?\u1082?\u1072? \u1089? \u1087?\u1088?\u1080?\u1077?\u1084?\u1072?\u1085?\u1077?\u1090?\u1086? \u1085?\u1072? \u1044?\u1080?\u1088?\u1077?\u1082?\u1090?\u1080?\u1074?\u1072? \u1085?\u1072? \u1045?\u1074?\u1088?\u1086?\u1087?\u1077?\u1081?\u1089?\u1082?\u1080?\u1103? \u1087?\u1072?\u1088?\u1083?\u1072?\u1084?\u1077?\u1085?\u1090? \u1080? \u1085?\u1072? \u1057?\u1098?\u1074?\u1077?\u1090?\u1072? \u1086?\u1090?\u1085?\u1086?\u1089?\u1085?\u1086? \u1082?\u1072?\u1095?\u1077?\u1089?\u1090?\u1074?\u1086?\u1090?\u1086? \u1085?\u1072? \u1074?\u1086?\u1076?\u1080?\u1090?\u1077?, \u1087?\u1088?\u1077?\u1076?\u1085?\u1072?\u1079?\u1085?\u1072?\u1095?\u1077?\u1085?\u1080? \u1079?\u1072? \u1082?\u1086?\u1085?\u1089?\u1091?\u1084?\u1072?\u1094?\u1080?\u1103? \u1086?\u1090? \u1095?\u1086?\u1074?\u1077?\u1082?\u1072? (\u1087?\u1088?\u1077?\u1088?\u1072?\u1073?\u1086?\u1090?\u1077?\u1085?\u1072?)"/>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arl.europa.eu/RegData/docs_autres_institutions/commission_europeenne/com/2017/0753/COM_COM(2017)0753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Pages>
  <Words>887</Words>
  <Characters>5337</Characters>
  <Application>Microsoft Office Word</Application>
  <DocSecurity>0</DocSecurity>
  <Lines>111</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2020-02-18T13:58:00Z</cp:lastPrinted>
  <dcterms:created xsi:type="dcterms:W3CDTF">2020-10-02T12:51:00Z</dcterms:created>
  <dcterms:modified xsi:type="dcterms:W3CDTF">2020-10-23T12:24:00Z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