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36045C4-379B-447B-AD65-B1BA097C0EDB" style="width:450.75pt;height:45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ПРОЕКТ НА</w:t>
      </w:r>
    </w:p>
    <w:p>
      <w:pPr>
        <w:jc w:val="center"/>
        <w:rPr>
          <w:b/>
          <w:bCs/>
          <w:noProof/>
          <w:sz w:val="23"/>
          <w:szCs w:val="23"/>
        </w:rPr>
      </w:pPr>
      <w:r>
        <w:rPr>
          <w:b/>
          <w:bCs/>
          <w:noProof/>
          <w:sz w:val="23"/>
          <w:szCs w:val="23"/>
        </w:rPr>
        <w:t xml:space="preserve">РЕШЕНИЕ № 3/2020 НА СЪВМЕСТНИЯ КОМИТЕТ СЪГЛАСНО СПОРАЗУМЕНИЕТО МЕЖДУ ЕВРОПЕЙСКИЯ СЪЮЗ И ЯПОНИЯ ЗА ИКОНОМИЧЕСКО ПАРТНЬОРСТВО </w:t>
      </w:r>
    </w:p>
    <w:p>
      <w:pPr>
        <w:jc w:val="center"/>
        <w:rPr>
          <w:noProof/>
          <w:sz w:val="23"/>
          <w:szCs w:val="23"/>
        </w:rPr>
      </w:pPr>
      <w:r>
        <w:rPr>
          <w:b/>
          <w:bCs/>
          <w:noProof/>
          <w:sz w:val="23"/>
          <w:szCs w:val="23"/>
        </w:rPr>
        <w:t>от .../.../... г.</w:t>
      </w:r>
    </w:p>
    <w:p>
      <w:pPr>
        <w:jc w:val="center"/>
        <w:rPr>
          <w:noProof/>
          <w:sz w:val="23"/>
          <w:szCs w:val="23"/>
        </w:rPr>
      </w:pPr>
      <w:r>
        <w:rPr>
          <w:b/>
          <w:bCs/>
          <w:noProof/>
          <w:sz w:val="23"/>
          <w:szCs w:val="23"/>
        </w:rPr>
        <w:t xml:space="preserve">за изменение на допълнения 2-В-1 и 2-В-2 от приложение 2-В относно моторните превозни средства и частите </w:t>
      </w:r>
    </w:p>
    <w:p>
      <w:pPr>
        <w:rPr>
          <w:noProof/>
          <w:sz w:val="23"/>
          <w:szCs w:val="23"/>
        </w:rPr>
      </w:pPr>
      <w:r>
        <w:rPr>
          <w:noProof/>
          <w:sz w:val="23"/>
          <w:szCs w:val="23"/>
        </w:rPr>
        <w:t xml:space="preserve">СЪВМЕСТНИЯТ КОМИТЕТ, </w:t>
      </w:r>
    </w:p>
    <w:p>
      <w:pPr>
        <w:rPr>
          <w:noProof/>
          <w:sz w:val="23"/>
          <w:szCs w:val="23"/>
        </w:rPr>
      </w:pPr>
      <w:r>
        <w:rPr>
          <w:noProof/>
          <w:sz w:val="23"/>
          <w:szCs w:val="23"/>
        </w:rPr>
        <w:t xml:space="preserve">като взе предвид Споразумението между Европейския съюз и Япония за икономическо партньорство (наричано по-нататък „споразумението“), и по-специално член 23.2, параграф 3 и параграф 4, буква б) и член 9, параграф 1 от приложение 2-В към споразумението, </w:t>
      </w:r>
    </w:p>
    <w:p>
      <w:pPr>
        <w:rPr>
          <w:noProof/>
          <w:sz w:val="23"/>
          <w:szCs w:val="23"/>
        </w:rPr>
      </w:pPr>
      <w:r>
        <w:rPr>
          <w:noProof/>
          <w:sz w:val="23"/>
          <w:szCs w:val="23"/>
        </w:rPr>
        <w:t xml:space="preserve">като има предвид, че: </w:t>
      </w:r>
    </w:p>
    <w:p>
      <w:pPr>
        <w:pStyle w:val="Considrant"/>
        <w:numPr>
          <w:ilvl w:val="0"/>
          <w:numId w:val="8"/>
        </w:numPr>
        <w:rPr>
          <w:noProof/>
        </w:rPr>
      </w:pPr>
      <w:r>
        <w:rPr>
          <w:noProof/>
        </w:rPr>
        <w:t>След подписването на споразумението и в резултат на напредъка в регулаторните обсъждания в Икономическата комисия за Европа на Организацията на обединените нации (ИКЕ) на ООН, Европейският съюз и Япония (наричани по-нататък „страните“) прилагат допълнителни правила на ООН, които първоначално не са били изброени в допълнения 2-В-1 и 2-В-2. Включването на тези допълнителни правила на ООН в допълнение 2-В-1 би увеличило правната сигурност за икономическите оператори по отношение на регулаторната рамка за преференциалните търговски отношения между страните.</w:t>
      </w:r>
    </w:p>
    <w:p>
      <w:pPr>
        <w:pStyle w:val="Considrant"/>
        <w:rPr>
          <w:noProof/>
        </w:rPr>
      </w:pPr>
      <w:r>
        <w:rPr>
          <w:noProof/>
        </w:rPr>
        <w:t xml:space="preserve">След положителната оценка на Работната група по моторните превозни средства и частите от 11 ноември 2019 г. бе потвърдено изменението на допълнение 2-В-1, като в него бъдат включени правила № 53, 85, 145 и 146 на ИКЕ на ООН, както и на допълнение 2-В-2, като от него се заличат правила № 53 и 85 на ИКЕ на ООН. </w:t>
      </w:r>
    </w:p>
    <w:p>
      <w:pPr>
        <w:pStyle w:val="Considrant"/>
        <w:rPr>
          <w:noProof/>
        </w:rPr>
      </w:pPr>
      <w:r>
        <w:rPr>
          <w:noProof/>
        </w:rPr>
        <w:t xml:space="preserve">Страните вече са приключили вътрешните си процедури, необходими за приемането на решението от Съвместния комитет съгласно споразумението, поради което предвиждат размяна на дипломатически ноти, с които решението се потвърждава в рамките на 15 дни след приемането му, </w:t>
      </w:r>
    </w:p>
    <w:p>
      <w:pPr>
        <w:rPr>
          <w:noProof/>
          <w:sz w:val="23"/>
          <w:szCs w:val="23"/>
        </w:rPr>
      </w:pPr>
      <w:r>
        <w:rPr>
          <w:noProof/>
          <w:sz w:val="23"/>
          <w:szCs w:val="23"/>
        </w:rPr>
        <w:t xml:space="preserve">ПРИЕ НАСТОЯЩОТО РЕШЕНИЕ: </w:t>
      </w:r>
    </w:p>
    <w:p>
      <w:pPr>
        <w:jc w:val="center"/>
        <w:rPr>
          <w:i/>
          <w:iCs/>
          <w:noProof/>
          <w:sz w:val="23"/>
          <w:szCs w:val="23"/>
        </w:rPr>
      </w:pPr>
      <w:r>
        <w:rPr>
          <w:i/>
          <w:iCs/>
          <w:noProof/>
          <w:sz w:val="23"/>
          <w:szCs w:val="23"/>
        </w:rPr>
        <w:t>Член 1</w:t>
      </w:r>
    </w:p>
    <w:p>
      <w:pPr>
        <w:pStyle w:val="NumPar1"/>
        <w:numPr>
          <w:ilvl w:val="0"/>
          <w:numId w:val="9"/>
        </w:numPr>
        <w:rPr>
          <w:noProof/>
        </w:rPr>
      </w:pPr>
      <w:r>
        <w:rPr>
          <w:noProof/>
        </w:rPr>
        <w:t xml:space="preserve">Допълнение 2-В-1 към споразумението се заменя с текста на приложение 1 към настоящото решение. </w:t>
      </w:r>
    </w:p>
    <w:p>
      <w:pPr>
        <w:pStyle w:val="NumPar1"/>
        <w:rPr>
          <w:noProof/>
        </w:rPr>
      </w:pPr>
      <w:r>
        <w:rPr>
          <w:noProof/>
        </w:rPr>
        <w:t>Допълнение 2-В-2 към споразумението се заменя с текста на приложение 2 към настоящото решение.</w:t>
      </w:r>
    </w:p>
    <w:p>
      <w:pPr>
        <w:jc w:val="center"/>
        <w:rPr>
          <w:i/>
          <w:iCs/>
          <w:noProof/>
          <w:sz w:val="23"/>
          <w:szCs w:val="23"/>
        </w:rPr>
      </w:pPr>
      <w:r>
        <w:rPr>
          <w:i/>
          <w:iCs/>
          <w:noProof/>
          <w:sz w:val="23"/>
          <w:szCs w:val="23"/>
        </w:rPr>
        <w:t>Член 2</w:t>
      </w:r>
    </w:p>
    <w:p>
      <w:pPr>
        <w:rPr>
          <w:iCs/>
          <w:noProof/>
          <w:sz w:val="23"/>
          <w:szCs w:val="23"/>
        </w:rPr>
      </w:pPr>
      <w:r>
        <w:rPr>
          <w:iCs/>
          <w:noProof/>
          <w:sz w:val="23"/>
          <w:szCs w:val="23"/>
        </w:rPr>
        <w:t>Настоящото споразумение е съставено в два еднообразни екземпляра на автентичните езици на споразумението, предвидени в член 23.8, параграф 1 от споразумението, като всички текстове са еднакво автентични.</w:t>
      </w:r>
    </w:p>
    <w:p>
      <w:pPr>
        <w:jc w:val="center"/>
        <w:rPr>
          <w:i/>
          <w:iCs/>
          <w:noProof/>
          <w:sz w:val="23"/>
          <w:szCs w:val="23"/>
        </w:rPr>
      </w:pPr>
      <w:r>
        <w:rPr>
          <w:i/>
          <w:iCs/>
          <w:noProof/>
          <w:sz w:val="23"/>
          <w:szCs w:val="23"/>
        </w:rPr>
        <w:t>Член 3</w:t>
      </w:r>
    </w:p>
    <w:p>
      <w:pPr>
        <w:rPr>
          <w:noProof/>
        </w:rPr>
      </w:pPr>
      <w:r>
        <w:rPr>
          <w:noProof/>
        </w:rPr>
        <w:t xml:space="preserve">Настоящото решение се потвърждава от и влиза в сила след размяната на дипломатически ноти в съответствие с член 23.2, параграф 3 от споразумението. Настоящото решение влиза в сила на първия ден от месеца след размяната на тези дипломатически ноти. </w:t>
      </w:r>
    </w:p>
    <w:p>
      <w:pPr>
        <w:rPr>
          <w:noProof/>
          <w:sz w:val="23"/>
          <w:szCs w:val="23"/>
        </w:rPr>
      </w:pPr>
      <w:r>
        <w:rPr>
          <w:noProof/>
          <w:sz w:val="23"/>
          <w:szCs w:val="23"/>
        </w:rPr>
        <w:t>Съставено в Брюксел на […] година.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pStyle w:val="Default"/>
              <w:spacing w:before="120" w:after="120"/>
              <w:rPr>
                <w:rFonts w:ascii="TimesNewRomanPSMT" w:hAnsi="TimesNewRomanPSMT" w:cs="TimesNewRomanPSMT"/>
                <w:noProof/>
                <w:sz w:val="23"/>
                <w:szCs w:val="23"/>
                <w:lang w:val="bg-BG"/>
              </w:rPr>
            </w:pPr>
            <w:r>
              <w:rPr>
                <w:i/>
                <w:iCs/>
                <w:noProof/>
                <w:color w:val="auto"/>
                <w:sz w:val="23"/>
                <w:szCs w:val="23"/>
                <w:lang w:val="bg-BG"/>
              </w:rPr>
              <w:t xml:space="preserve">За Съвместния комитет по споразумението </w:t>
            </w:r>
          </w:p>
        </w:tc>
      </w:tr>
      <w:tr>
        <w:tc>
          <w:tcPr>
            <w:tcW w:w="4606" w:type="dxa"/>
          </w:tcPr>
          <w:p>
            <w:pPr>
              <w:rPr>
                <w:rFonts w:ascii="TimesNewRomanPSMT" w:hAnsi="TimesNewRomanPSMT" w:cs="TimesNewRomanPSMT"/>
                <w:noProof/>
                <w:sz w:val="23"/>
                <w:szCs w:val="23"/>
              </w:rPr>
            </w:pPr>
            <w:r>
              <w:rPr>
                <w:rFonts w:eastAsiaTheme="minorHAnsi"/>
                <w:noProof/>
                <w:sz w:val="23"/>
                <w:szCs w:val="23"/>
              </w:rPr>
              <w:t>Съпредседател</w:t>
            </w:r>
            <w:r>
              <w:rPr>
                <w:rFonts w:asciiTheme="minorHAnsi" w:hAnsiTheme="minorHAnsi"/>
                <w:noProof/>
                <w:sz w:val="23"/>
                <w:szCs w:val="23"/>
              </w:rPr>
              <w:t xml:space="preserve"> </w:t>
            </w:r>
            <w:r>
              <w:rPr>
                <w:rFonts w:ascii="TimesNewRomanPSMT" w:hAnsi="TimesNewRomanPSMT"/>
                <w:noProof/>
                <w:sz w:val="23"/>
                <w:szCs w:val="23"/>
              </w:rPr>
              <w:t>[</w:t>
            </w:r>
            <w:r>
              <w:rPr>
                <w:rFonts w:eastAsiaTheme="minorHAnsi"/>
                <w:noProof/>
                <w:sz w:val="23"/>
                <w:szCs w:val="23"/>
              </w:rPr>
              <w:t>за Япония</w:t>
            </w:r>
            <w:r>
              <w:rPr>
                <w:rFonts w:ascii="TimesNewRomanPSMT" w:hAnsi="TimesNewRomanPSMT"/>
                <w:noProof/>
                <w:sz w:val="23"/>
                <w:szCs w:val="23"/>
              </w:rPr>
              <w:t>]</w:t>
            </w:r>
          </w:p>
        </w:tc>
        <w:tc>
          <w:tcPr>
            <w:tcW w:w="4607" w:type="dxa"/>
          </w:tcPr>
          <w:p>
            <w:pPr>
              <w:rPr>
                <w:rFonts w:ascii="TimesNewRomanPSMT" w:hAnsi="TimesNewRomanPSMT" w:cs="TimesNewRomanPSMT"/>
                <w:noProof/>
                <w:sz w:val="23"/>
                <w:szCs w:val="23"/>
              </w:rPr>
            </w:pPr>
            <w:r>
              <w:rPr>
                <w:rFonts w:eastAsiaTheme="minorHAnsi"/>
                <w:noProof/>
                <w:sz w:val="23"/>
                <w:szCs w:val="23"/>
              </w:rPr>
              <w:t>Съпредседател</w:t>
            </w:r>
            <w:r>
              <w:rPr>
                <w:rFonts w:asciiTheme="minorHAnsi" w:hAnsiTheme="minorHAnsi"/>
                <w:noProof/>
                <w:sz w:val="23"/>
                <w:szCs w:val="23"/>
              </w:rPr>
              <w:t xml:space="preserve"> </w:t>
            </w:r>
            <w:r>
              <w:rPr>
                <w:rFonts w:ascii="TimesNewRomanPSMT" w:hAnsi="TimesNewRomanPSMT"/>
                <w:noProof/>
                <w:sz w:val="23"/>
                <w:szCs w:val="23"/>
              </w:rPr>
              <w:t>[</w:t>
            </w:r>
            <w:r>
              <w:rPr>
                <w:rFonts w:eastAsiaTheme="minorHAnsi"/>
                <w:noProof/>
                <w:sz w:val="23"/>
                <w:szCs w:val="23"/>
              </w:rPr>
              <w:t>за ЕС</w:t>
            </w:r>
            <w:r>
              <w:rPr>
                <w:rFonts w:ascii="TimesNewRomanPSMT" w:hAnsi="TimesNewRomanPSMT"/>
                <w:noProof/>
                <w:sz w:val="23"/>
                <w:szCs w:val="23"/>
              </w:rPr>
              <w:t>]</w:t>
            </w:r>
          </w:p>
        </w:tc>
      </w:tr>
    </w:tbl>
    <w:p>
      <w:pPr>
        <w:jc w:val="right"/>
        <w:rPr>
          <w:noProof/>
          <w:color w:val="000000"/>
          <w:sz w:val="23"/>
          <w:szCs w:val="23"/>
        </w:rPr>
      </w:pPr>
    </w:p>
    <w:p>
      <w:pPr>
        <w:jc w:val="right"/>
        <w:rPr>
          <w:noProof/>
          <w:color w:val="000000"/>
          <w:sz w:val="23"/>
          <w:szCs w:val="23"/>
        </w:rPr>
        <w:sectPr>
          <w:footerReference w:type="default" r:id="rId16"/>
          <w:footerReference w:type="first" r:id="rId17"/>
          <w:pgSz w:w="11907" w:h="16839"/>
          <w:pgMar w:top="1134" w:right="1417" w:bottom="1134" w:left="1417" w:header="709" w:footer="709" w:gutter="0"/>
          <w:cols w:space="720"/>
          <w:docGrid w:linePitch="360"/>
        </w:sectPr>
      </w:pPr>
    </w:p>
    <w:p>
      <w:pPr>
        <w:jc w:val="right"/>
        <w:rPr>
          <w:noProof/>
          <w:color w:val="000000"/>
          <w:sz w:val="23"/>
          <w:szCs w:val="23"/>
        </w:rPr>
      </w:pPr>
      <w:r>
        <w:rPr>
          <w:noProof/>
          <w:color w:val="000000"/>
          <w:sz w:val="23"/>
          <w:szCs w:val="23"/>
        </w:rPr>
        <w:t>Приложение 1</w:t>
      </w:r>
    </w:p>
    <w:p>
      <w:pPr>
        <w:spacing w:after="360"/>
        <w:jc w:val="center"/>
        <w:rPr>
          <w:noProof/>
          <w:color w:val="000000"/>
          <w:sz w:val="23"/>
          <w:szCs w:val="23"/>
        </w:rPr>
      </w:pPr>
      <w:r>
        <w:rPr>
          <w:noProof/>
          <w:color w:val="000000"/>
          <w:sz w:val="23"/>
          <w:szCs w:val="23"/>
        </w:rPr>
        <w:t>ДОПЪЛНЕНИЕ 2-В-1</w:t>
      </w:r>
    </w:p>
    <w:p>
      <w:pPr>
        <w:spacing w:after="360"/>
        <w:jc w:val="center"/>
        <w:rPr>
          <w:noProof/>
          <w:color w:val="000000"/>
          <w:sz w:val="23"/>
          <w:szCs w:val="23"/>
        </w:rPr>
      </w:pPr>
      <w:r>
        <w:rPr>
          <w:noProof/>
          <w:color w:val="000000"/>
          <w:sz w:val="23"/>
          <w:szCs w:val="23"/>
        </w:rPr>
        <w:t>ПРАВИЛА НА ООН, ПРИЛАГАНИ ОТ ДВЕТЕ СТРАНИ</w:t>
      </w:r>
    </w:p>
    <w:tbl>
      <w:tblPr>
        <w:tblStyle w:val="TableGrid"/>
        <w:tblW w:w="0" w:type="auto"/>
        <w:tblLook w:val="04A0" w:firstRow="1" w:lastRow="0" w:firstColumn="1" w:lastColumn="0" w:noHBand="0" w:noVBand="1"/>
      </w:tblPr>
      <w:tblGrid>
        <w:gridCol w:w="1226"/>
        <w:gridCol w:w="7790"/>
      </w:tblGrid>
      <w:tr>
        <w:tc>
          <w:tcPr>
            <w:tcW w:w="1226" w:type="dxa"/>
          </w:tcPr>
          <w:p>
            <w:pPr>
              <w:jc w:val="center"/>
              <w:rPr>
                <w:noProof/>
                <w:color w:val="000000"/>
                <w:sz w:val="20"/>
                <w:szCs w:val="20"/>
              </w:rPr>
            </w:pPr>
            <w:r>
              <w:rPr>
                <w:noProof/>
                <w:color w:val="000000"/>
                <w:sz w:val="20"/>
                <w:szCs w:val="20"/>
              </w:rPr>
              <w:t>Правило</w:t>
            </w:r>
          </w:p>
          <w:p>
            <w:pPr>
              <w:jc w:val="center"/>
              <w:rPr>
                <w:noProof/>
                <w:color w:val="000000"/>
                <w:sz w:val="23"/>
                <w:szCs w:val="23"/>
              </w:rPr>
            </w:pPr>
            <w:r>
              <w:rPr>
                <w:noProof/>
                <w:color w:val="000000"/>
                <w:sz w:val="23"/>
                <w:szCs w:val="23"/>
              </w:rPr>
              <w:t>№</w:t>
            </w:r>
          </w:p>
        </w:tc>
        <w:tc>
          <w:tcPr>
            <w:tcW w:w="7790" w:type="dxa"/>
          </w:tcPr>
          <w:p>
            <w:pPr>
              <w:jc w:val="center"/>
              <w:rPr>
                <w:noProof/>
                <w:color w:val="000000"/>
                <w:sz w:val="23"/>
                <w:szCs w:val="23"/>
              </w:rPr>
            </w:pPr>
            <w:r>
              <w:rPr>
                <w:noProof/>
                <w:color w:val="000000"/>
                <w:sz w:val="23"/>
                <w:szCs w:val="23"/>
              </w:rPr>
              <w:t>Наименование</w:t>
            </w:r>
          </w:p>
        </w:tc>
      </w:tr>
      <w:tr>
        <w:tc>
          <w:tcPr>
            <w:tcW w:w="1226" w:type="dxa"/>
          </w:tcPr>
          <w:p>
            <w:pPr>
              <w:jc w:val="center"/>
              <w:rPr>
                <w:noProof/>
                <w:color w:val="000000"/>
                <w:sz w:val="23"/>
                <w:szCs w:val="23"/>
              </w:rPr>
            </w:pPr>
            <w:r>
              <w:rPr>
                <w:noProof/>
                <w:color w:val="000000"/>
                <w:sz w:val="23"/>
                <w:szCs w:val="23"/>
              </w:rPr>
              <w:t>3</w:t>
            </w:r>
          </w:p>
        </w:tc>
        <w:tc>
          <w:tcPr>
            <w:tcW w:w="7790" w:type="dxa"/>
          </w:tcPr>
          <w:p>
            <w:pPr>
              <w:rPr>
                <w:noProof/>
                <w:color w:val="000000"/>
                <w:sz w:val="23"/>
                <w:szCs w:val="23"/>
              </w:rPr>
            </w:pPr>
            <w:r>
              <w:rPr>
                <w:noProof/>
                <w:color w:val="000000"/>
                <w:sz w:val="23"/>
                <w:szCs w:val="23"/>
              </w:rPr>
              <w:t>Единни условия относно одобряването на светлоотражатели за моторни превозни средства и техните ремаркета</w:t>
            </w:r>
          </w:p>
        </w:tc>
      </w:tr>
      <w:tr>
        <w:tc>
          <w:tcPr>
            <w:tcW w:w="1226" w:type="dxa"/>
          </w:tcPr>
          <w:p>
            <w:pPr>
              <w:jc w:val="center"/>
              <w:rPr>
                <w:noProof/>
                <w:color w:val="000000"/>
                <w:sz w:val="23"/>
                <w:szCs w:val="23"/>
              </w:rPr>
            </w:pPr>
            <w:r>
              <w:rPr>
                <w:noProof/>
                <w:color w:val="000000"/>
                <w:sz w:val="23"/>
                <w:szCs w:val="23"/>
              </w:rPr>
              <w:t>4</w:t>
            </w:r>
          </w:p>
        </w:tc>
        <w:tc>
          <w:tcPr>
            <w:tcW w:w="7790" w:type="dxa"/>
          </w:tcPr>
          <w:p>
            <w:pPr>
              <w:rPr>
                <w:noProof/>
                <w:color w:val="000000"/>
                <w:sz w:val="23"/>
                <w:szCs w:val="23"/>
              </w:rPr>
            </w:pPr>
            <w:r>
              <w:rPr>
                <w:noProof/>
                <w:color w:val="000000"/>
                <w:sz w:val="23"/>
                <w:szCs w:val="23"/>
              </w:rPr>
              <w:t>Единни разпоредби относно одобряването на устройства за осветяване на задните регистрационни табели на моторни превозни средства и техните ремаркета</w:t>
            </w:r>
          </w:p>
        </w:tc>
      </w:tr>
      <w:tr>
        <w:tc>
          <w:tcPr>
            <w:tcW w:w="1226" w:type="dxa"/>
          </w:tcPr>
          <w:p>
            <w:pPr>
              <w:jc w:val="center"/>
              <w:rPr>
                <w:noProof/>
                <w:color w:val="000000"/>
                <w:sz w:val="23"/>
                <w:szCs w:val="23"/>
              </w:rPr>
            </w:pPr>
            <w:r>
              <w:rPr>
                <w:noProof/>
                <w:color w:val="000000"/>
                <w:sz w:val="23"/>
                <w:szCs w:val="23"/>
              </w:rPr>
              <w:t>6</w:t>
            </w:r>
          </w:p>
        </w:tc>
        <w:tc>
          <w:tcPr>
            <w:tcW w:w="7790" w:type="dxa"/>
          </w:tcPr>
          <w:p>
            <w:pPr>
              <w:rPr>
                <w:noProof/>
                <w:color w:val="000000"/>
                <w:sz w:val="23"/>
                <w:szCs w:val="23"/>
              </w:rPr>
            </w:pPr>
            <w:r>
              <w:rPr>
                <w:noProof/>
                <w:color w:val="000000"/>
                <w:sz w:val="23"/>
                <w:szCs w:val="23"/>
              </w:rPr>
              <w:t>Единни предписания за одобряването на пътепоказатели на моторни превозни средства и техните ремаркета</w:t>
            </w:r>
          </w:p>
        </w:tc>
      </w:tr>
      <w:tr>
        <w:tc>
          <w:tcPr>
            <w:tcW w:w="1226" w:type="dxa"/>
          </w:tcPr>
          <w:p>
            <w:pPr>
              <w:jc w:val="center"/>
              <w:rPr>
                <w:noProof/>
                <w:color w:val="000000"/>
                <w:sz w:val="23"/>
                <w:szCs w:val="23"/>
              </w:rPr>
            </w:pPr>
            <w:r>
              <w:rPr>
                <w:noProof/>
                <w:color w:val="000000"/>
                <w:sz w:val="23"/>
                <w:szCs w:val="23"/>
              </w:rPr>
              <w:t>7</w:t>
            </w:r>
          </w:p>
        </w:tc>
        <w:tc>
          <w:tcPr>
            <w:tcW w:w="7790" w:type="dxa"/>
          </w:tcPr>
          <w:p>
            <w:pPr>
              <w:rPr>
                <w:noProof/>
                <w:color w:val="000000"/>
                <w:sz w:val="23"/>
                <w:szCs w:val="23"/>
              </w:rPr>
            </w:pPr>
            <w:r>
              <w:rPr>
                <w:noProof/>
                <w:color w:val="000000"/>
                <w:sz w:val="23"/>
                <w:szCs w:val="23"/>
              </w:rPr>
              <w:t>Единни разпоредби относно одобряването на предни и задни габаритни светлини, стопсветлини и светлини за обозначаване на най-външния габарит на моторни превозни средства (с изключение на мотоциклети) и техните ремаркета</w:t>
            </w:r>
          </w:p>
        </w:tc>
      </w:tr>
      <w:tr>
        <w:tc>
          <w:tcPr>
            <w:tcW w:w="1226" w:type="dxa"/>
          </w:tcPr>
          <w:p>
            <w:pPr>
              <w:jc w:val="center"/>
              <w:rPr>
                <w:noProof/>
                <w:color w:val="000000"/>
                <w:sz w:val="23"/>
                <w:szCs w:val="23"/>
              </w:rPr>
            </w:pPr>
            <w:r>
              <w:rPr>
                <w:noProof/>
                <w:color w:val="000000"/>
                <w:sz w:val="23"/>
                <w:szCs w:val="23"/>
              </w:rPr>
              <w:t>10</w:t>
            </w:r>
          </w:p>
        </w:tc>
        <w:tc>
          <w:tcPr>
            <w:tcW w:w="7790" w:type="dxa"/>
          </w:tcPr>
          <w:p>
            <w:pPr>
              <w:rPr>
                <w:noProof/>
                <w:color w:val="000000"/>
                <w:sz w:val="23"/>
                <w:szCs w:val="23"/>
              </w:rPr>
            </w:pPr>
            <w:r>
              <w:rPr>
                <w:noProof/>
                <w:color w:val="000000"/>
                <w:sz w:val="23"/>
                <w:szCs w:val="23"/>
              </w:rPr>
              <w:t>Единни предписания за одобрението на превозни средства по отношение на електромагнитната съвместимост</w:t>
            </w:r>
          </w:p>
        </w:tc>
      </w:tr>
      <w:tr>
        <w:tc>
          <w:tcPr>
            <w:tcW w:w="1226" w:type="dxa"/>
          </w:tcPr>
          <w:p>
            <w:pPr>
              <w:jc w:val="center"/>
              <w:rPr>
                <w:noProof/>
                <w:color w:val="000000"/>
                <w:sz w:val="23"/>
                <w:szCs w:val="23"/>
              </w:rPr>
            </w:pPr>
            <w:r>
              <w:rPr>
                <w:noProof/>
                <w:color w:val="000000"/>
                <w:sz w:val="23"/>
                <w:szCs w:val="23"/>
              </w:rPr>
              <w:t>11</w:t>
            </w:r>
          </w:p>
        </w:tc>
        <w:tc>
          <w:tcPr>
            <w:tcW w:w="7790" w:type="dxa"/>
          </w:tcPr>
          <w:p>
            <w:pPr>
              <w:rPr>
                <w:noProof/>
                <w:color w:val="000000"/>
                <w:sz w:val="23"/>
                <w:szCs w:val="23"/>
              </w:rPr>
            </w:pPr>
            <w:r>
              <w:rPr>
                <w:noProof/>
                <w:color w:val="000000"/>
                <w:sz w:val="23"/>
                <w:szCs w:val="23"/>
              </w:rPr>
              <w:t>Единни изисквания относно одобрението на превозни средства по отношение на заключалките на вратите и компонентите за закрепване на вратите</w:t>
            </w:r>
          </w:p>
        </w:tc>
      </w:tr>
      <w:tr>
        <w:tc>
          <w:tcPr>
            <w:tcW w:w="1226" w:type="dxa"/>
          </w:tcPr>
          <w:p>
            <w:pPr>
              <w:jc w:val="center"/>
              <w:rPr>
                <w:noProof/>
                <w:color w:val="000000"/>
                <w:sz w:val="23"/>
                <w:szCs w:val="23"/>
              </w:rPr>
            </w:pPr>
            <w:r>
              <w:rPr>
                <w:noProof/>
                <w:color w:val="000000"/>
                <w:sz w:val="23"/>
                <w:szCs w:val="23"/>
              </w:rPr>
              <w:t>12</w:t>
            </w:r>
          </w:p>
        </w:tc>
        <w:tc>
          <w:tcPr>
            <w:tcW w:w="7790" w:type="dxa"/>
          </w:tcPr>
          <w:p>
            <w:pPr>
              <w:rPr>
                <w:noProof/>
                <w:color w:val="000000"/>
                <w:sz w:val="23"/>
                <w:szCs w:val="23"/>
              </w:rPr>
            </w:pPr>
            <w:r>
              <w:rPr>
                <w:noProof/>
                <w:color w:val="000000"/>
                <w:sz w:val="23"/>
                <w:szCs w:val="23"/>
              </w:rPr>
              <w:t>Единни предписания относно одобрението на превозни средства по отношение на защитата на водача от кормилния механизъм в случай на удар</w:t>
            </w:r>
          </w:p>
        </w:tc>
      </w:tr>
      <w:tr>
        <w:tc>
          <w:tcPr>
            <w:tcW w:w="1226" w:type="dxa"/>
          </w:tcPr>
          <w:p>
            <w:pPr>
              <w:jc w:val="center"/>
              <w:rPr>
                <w:noProof/>
                <w:color w:val="000000"/>
                <w:sz w:val="23"/>
                <w:szCs w:val="23"/>
              </w:rPr>
            </w:pPr>
            <w:r>
              <w:rPr>
                <w:noProof/>
                <w:color w:val="000000"/>
                <w:sz w:val="23"/>
                <w:szCs w:val="23"/>
              </w:rPr>
              <w:t>13</w:t>
            </w:r>
          </w:p>
        </w:tc>
        <w:tc>
          <w:tcPr>
            <w:tcW w:w="7790" w:type="dxa"/>
          </w:tcPr>
          <w:p>
            <w:pPr>
              <w:rPr>
                <w:noProof/>
                <w:color w:val="000000"/>
                <w:sz w:val="23"/>
                <w:szCs w:val="23"/>
              </w:rPr>
            </w:pPr>
            <w:r>
              <w:rPr>
                <w:noProof/>
                <w:color w:val="000000"/>
                <w:sz w:val="23"/>
                <w:szCs w:val="23"/>
              </w:rPr>
              <w:t>Единни предписания за одобряването на превозни средства от категории M, N и O по отношение на спирането</w:t>
            </w:r>
          </w:p>
        </w:tc>
      </w:tr>
      <w:tr>
        <w:tc>
          <w:tcPr>
            <w:tcW w:w="1226" w:type="dxa"/>
          </w:tcPr>
          <w:p>
            <w:pPr>
              <w:jc w:val="center"/>
              <w:rPr>
                <w:noProof/>
                <w:color w:val="000000"/>
                <w:sz w:val="23"/>
                <w:szCs w:val="23"/>
              </w:rPr>
            </w:pPr>
            <w:r>
              <w:rPr>
                <w:noProof/>
                <w:color w:val="000000"/>
                <w:sz w:val="23"/>
                <w:szCs w:val="23"/>
              </w:rPr>
              <w:t>13-H</w:t>
            </w:r>
          </w:p>
        </w:tc>
        <w:tc>
          <w:tcPr>
            <w:tcW w:w="7790" w:type="dxa"/>
          </w:tcPr>
          <w:p>
            <w:pPr>
              <w:rPr>
                <w:noProof/>
                <w:color w:val="000000"/>
                <w:sz w:val="23"/>
                <w:szCs w:val="23"/>
              </w:rPr>
            </w:pPr>
            <w:r>
              <w:rPr>
                <w:noProof/>
                <w:color w:val="000000"/>
                <w:sz w:val="23"/>
                <w:szCs w:val="23"/>
              </w:rPr>
              <w:t>Единни предписания за одобрение на леки автомобили по отношение на спирането</w:t>
            </w:r>
          </w:p>
        </w:tc>
      </w:tr>
      <w:tr>
        <w:tc>
          <w:tcPr>
            <w:tcW w:w="1226" w:type="dxa"/>
          </w:tcPr>
          <w:p>
            <w:pPr>
              <w:jc w:val="center"/>
              <w:rPr>
                <w:noProof/>
                <w:color w:val="000000"/>
                <w:sz w:val="23"/>
                <w:szCs w:val="23"/>
              </w:rPr>
            </w:pPr>
            <w:r>
              <w:rPr>
                <w:noProof/>
                <w:color w:val="000000"/>
                <w:sz w:val="23"/>
                <w:szCs w:val="23"/>
              </w:rPr>
              <w:t>14</w:t>
            </w:r>
          </w:p>
        </w:tc>
        <w:tc>
          <w:tcPr>
            <w:tcW w:w="7790" w:type="dxa"/>
          </w:tcPr>
          <w:p>
            <w:pPr>
              <w:rPr>
                <w:noProof/>
                <w:color w:val="000000"/>
                <w:sz w:val="23"/>
                <w:szCs w:val="23"/>
              </w:rPr>
            </w:pPr>
            <w:r>
              <w:rPr>
                <w:noProof/>
                <w:color w:val="000000"/>
                <w:sz w:val="23"/>
                <w:szCs w:val="23"/>
              </w:rPr>
              <w:t>Единни предписания относно одобрението на превозни средства по отношение на устройствата за закрепване на обезопасителните колани, системите за закрепване ISOFIX и горните лентови устройства за закрепване ISOFIX и местата за сядане, съвместими със стандарта i-Size</w:t>
            </w:r>
          </w:p>
        </w:tc>
      </w:tr>
      <w:tr>
        <w:tc>
          <w:tcPr>
            <w:tcW w:w="1226" w:type="dxa"/>
          </w:tcPr>
          <w:p>
            <w:pPr>
              <w:jc w:val="center"/>
              <w:rPr>
                <w:noProof/>
                <w:color w:val="000000"/>
                <w:sz w:val="23"/>
                <w:szCs w:val="23"/>
              </w:rPr>
            </w:pPr>
            <w:r>
              <w:rPr>
                <w:noProof/>
                <w:color w:val="000000"/>
                <w:sz w:val="23"/>
                <w:szCs w:val="23"/>
              </w:rPr>
              <w:t>16</w:t>
            </w:r>
          </w:p>
        </w:tc>
        <w:tc>
          <w:tcPr>
            <w:tcW w:w="7790" w:type="dxa"/>
          </w:tcPr>
          <w:p>
            <w:pPr>
              <w:rPr>
                <w:noProof/>
                <w:color w:val="000000"/>
                <w:sz w:val="23"/>
                <w:szCs w:val="23"/>
              </w:rPr>
            </w:pPr>
            <w:r>
              <w:rPr>
                <w:noProof/>
                <w:color w:val="000000"/>
                <w:sz w:val="23"/>
                <w:szCs w:val="23"/>
              </w:rPr>
              <w:t xml:space="preserve">Единни предписания относно одобряването на: </w:t>
            </w:r>
          </w:p>
          <w:p>
            <w:pPr>
              <w:rPr>
                <w:noProof/>
                <w:color w:val="000000"/>
                <w:sz w:val="23"/>
                <w:szCs w:val="23"/>
              </w:rPr>
            </w:pPr>
            <w:r>
              <w:rPr>
                <w:noProof/>
                <w:color w:val="000000"/>
                <w:sz w:val="23"/>
                <w:szCs w:val="23"/>
              </w:rPr>
              <w:t xml:space="preserve">I. Обезопасителни колани, системи за обезопасяване, системи за обезопасяване на деца и системи ISOFIX за обезопасяване на деца за пътници в моторни превозни средства </w:t>
            </w:r>
          </w:p>
          <w:p>
            <w:pPr>
              <w:rPr>
                <w:noProof/>
                <w:color w:val="000000"/>
                <w:sz w:val="23"/>
                <w:szCs w:val="23"/>
              </w:rPr>
            </w:pPr>
            <w:r>
              <w:rPr>
                <w:noProof/>
                <w:color w:val="000000"/>
                <w:sz w:val="23"/>
                <w:szCs w:val="23"/>
              </w:rPr>
              <w:t>II. Превозни средства, оборудвани с обезопасителни колани, сигнализатори за непоставен обезопасителен колан, системи за обезопасяване, системи за обезопасяване за деца, системи ISOFIX и i-Size за обезопасяване на деца</w:t>
            </w:r>
          </w:p>
        </w:tc>
      </w:tr>
      <w:tr>
        <w:tc>
          <w:tcPr>
            <w:tcW w:w="1226" w:type="dxa"/>
          </w:tcPr>
          <w:p>
            <w:pPr>
              <w:jc w:val="center"/>
              <w:rPr>
                <w:noProof/>
                <w:color w:val="000000"/>
                <w:sz w:val="23"/>
                <w:szCs w:val="23"/>
              </w:rPr>
            </w:pPr>
            <w:r>
              <w:rPr>
                <w:noProof/>
                <w:color w:val="000000"/>
                <w:sz w:val="23"/>
                <w:szCs w:val="23"/>
              </w:rPr>
              <w:t>17</w:t>
            </w:r>
          </w:p>
        </w:tc>
        <w:tc>
          <w:tcPr>
            <w:tcW w:w="7790" w:type="dxa"/>
          </w:tcPr>
          <w:p>
            <w:pPr>
              <w:rPr>
                <w:noProof/>
                <w:color w:val="000000"/>
                <w:sz w:val="23"/>
                <w:szCs w:val="23"/>
              </w:rPr>
            </w:pPr>
            <w:r>
              <w:rPr>
                <w:noProof/>
                <w:color w:val="000000"/>
                <w:sz w:val="23"/>
                <w:szCs w:val="23"/>
              </w:rPr>
              <w:t>Единни разпоредби относно одобряването на превозни средства по отношение на седалките, тяхното закрепване и всички видове облегалки за глава</w:t>
            </w:r>
          </w:p>
        </w:tc>
      </w:tr>
      <w:tr>
        <w:tc>
          <w:tcPr>
            <w:tcW w:w="1226" w:type="dxa"/>
          </w:tcPr>
          <w:p>
            <w:pPr>
              <w:jc w:val="center"/>
              <w:rPr>
                <w:noProof/>
                <w:color w:val="000000"/>
                <w:sz w:val="23"/>
                <w:szCs w:val="23"/>
              </w:rPr>
            </w:pPr>
            <w:r>
              <w:rPr>
                <w:noProof/>
                <w:color w:val="000000"/>
                <w:sz w:val="23"/>
                <w:szCs w:val="23"/>
              </w:rPr>
              <w:t>19</w:t>
            </w:r>
          </w:p>
        </w:tc>
        <w:tc>
          <w:tcPr>
            <w:tcW w:w="7790" w:type="dxa"/>
          </w:tcPr>
          <w:p>
            <w:pPr>
              <w:rPr>
                <w:noProof/>
                <w:color w:val="000000"/>
                <w:sz w:val="23"/>
                <w:szCs w:val="23"/>
              </w:rPr>
            </w:pPr>
            <w:r>
              <w:rPr>
                <w:noProof/>
                <w:color w:val="000000"/>
                <w:sz w:val="23"/>
                <w:szCs w:val="23"/>
              </w:rPr>
              <w:t>Единни предписания за одобрение на предни фарове за мъгла за моторни превозни средства</w:t>
            </w:r>
          </w:p>
        </w:tc>
      </w:tr>
      <w:tr>
        <w:tc>
          <w:tcPr>
            <w:tcW w:w="1226" w:type="dxa"/>
          </w:tcPr>
          <w:p>
            <w:pPr>
              <w:jc w:val="center"/>
              <w:rPr>
                <w:noProof/>
                <w:color w:val="000000"/>
                <w:sz w:val="23"/>
                <w:szCs w:val="23"/>
              </w:rPr>
            </w:pPr>
            <w:r>
              <w:rPr>
                <w:noProof/>
                <w:color w:val="000000"/>
                <w:sz w:val="23"/>
                <w:szCs w:val="23"/>
              </w:rPr>
              <w:t>21</w:t>
            </w:r>
          </w:p>
        </w:tc>
        <w:tc>
          <w:tcPr>
            <w:tcW w:w="7790" w:type="dxa"/>
          </w:tcPr>
          <w:p>
            <w:pPr>
              <w:rPr>
                <w:noProof/>
                <w:color w:val="000000"/>
                <w:sz w:val="23"/>
                <w:szCs w:val="23"/>
              </w:rPr>
            </w:pPr>
            <w:r>
              <w:rPr>
                <w:noProof/>
                <w:color w:val="000000"/>
                <w:sz w:val="23"/>
                <w:szCs w:val="23"/>
              </w:rPr>
              <w:t>Единни разпоредби относно одобряването на моторни превозни средства по отношение на вътрешното оборудване</w:t>
            </w:r>
          </w:p>
        </w:tc>
      </w:tr>
      <w:tr>
        <w:tc>
          <w:tcPr>
            <w:tcW w:w="1226" w:type="dxa"/>
          </w:tcPr>
          <w:p>
            <w:pPr>
              <w:jc w:val="center"/>
              <w:rPr>
                <w:noProof/>
                <w:color w:val="000000"/>
                <w:sz w:val="23"/>
                <w:szCs w:val="23"/>
              </w:rPr>
            </w:pPr>
            <w:r>
              <w:rPr>
                <w:noProof/>
                <w:color w:val="000000"/>
                <w:sz w:val="23"/>
                <w:szCs w:val="23"/>
              </w:rPr>
              <w:t>23</w:t>
            </w:r>
          </w:p>
        </w:tc>
        <w:tc>
          <w:tcPr>
            <w:tcW w:w="7790" w:type="dxa"/>
          </w:tcPr>
          <w:p>
            <w:pPr>
              <w:rPr>
                <w:noProof/>
                <w:color w:val="000000"/>
                <w:sz w:val="23"/>
                <w:szCs w:val="23"/>
              </w:rPr>
            </w:pPr>
            <w:r>
              <w:rPr>
                <w:noProof/>
                <w:color w:val="000000"/>
                <w:sz w:val="23"/>
                <w:szCs w:val="23"/>
              </w:rPr>
              <w:t>Единни предписания за одобрение на фарове за заден ход и фарове за маневриране на моторни превозни средства и техните ремаркета</w:t>
            </w:r>
          </w:p>
        </w:tc>
      </w:tr>
      <w:tr>
        <w:tc>
          <w:tcPr>
            <w:tcW w:w="1226" w:type="dxa"/>
          </w:tcPr>
          <w:p>
            <w:pPr>
              <w:jc w:val="center"/>
              <w:rPr>
                <w:noProof/>
                <w:color w:val="000000"/>
                <w:sz w:val="23"/>
                <w:szCs w:val="23"/>
              </w:rPr>
            </w:pPr>
            <w:r>
              <w:rPr>
                <w:noProof/>
                <w:color w:val="000000"/>
                <w:sz w:val="23"/>
                <w:szCs w:val="23"/>
              </w:rPr>
              <w:t>25</w:t>
            </w:r>
          </w:p>
        </w:tc>
        <w:tc>
          <w:tcPr>
            <w:tcW w:w="7790" w:type="dxa"/>
          </w:tcPr>
          <w:p>
            <w:pPr>
              <w:rPr>
                <w:noProof/>
                <w:color w:val="000000"/>
                <w:sz w:val="23"/>
                <w:szCs w:val="23"/>
              </w:rPr>
            </w:pPr>
            <w:r>
              <w:rPr>
                <w:noProof/>
                <w:color w:val="000000"/>
                <w:sz w:val="23"/>
                <w:szCs w:val="23"/>
              </w:rPr>
              <w:t>Единни предписания за одобрение на облегалки за глава, монтирани или не в седалки на превозни средства</w:t>
            </w:r>
          </w:p>
        </w:tc>
      </w:tr>
      <w:tr>
        <w:tc>
          <w:tcPr>
            <w:tcW w:w="1226" w:type="dxa"/>
          </w:tcPr>
          <w:p>
            <w:pPr>
              <w:jc w:val="center"/>
              <w:rPr>
                <w:noProof/>
                <w:color w:val="000000"/>
                <w:sz w:val="23"/>
                <w:szCs w:val="23"/>
              </w:rPr>
            </w:pPr>
            <w:r>
              <w:rPr>
                <w:noProof/>
                <w:color w:val="000000"/>
                <w:sz w:val="23"/>
                <w:szCs w:val="23"/>
              </w:rPr>
              <w:t>26</w:t>
            </w:r>
          </w:p>
        </w:tc>
        <w:tc>
          <w:tcPr>
            <w:tcW w:w="7790" w:type="dxa"/>
          </w:tcPr>
          <w:p>
            <w:pPr>
              <w:rPr>
                <w:noProof/>
                <w:color w:val="000000"/>
                <w:sz w:val="23"/>
                <w:szCs w:val="23"/>
              </w:rPr>
            </w:pPr>
            <w:r>
              <w:rPr>
                <w:noProof/>
                <w:color w:val="000000"/>
                <w:sz w:val="23"/>
                <w:szCs w:val="23"/>
              </w:rPr>
              <w:t>Единни предписания относно одобрение на превозни средства по отношение на техните външни изпъкнали части</w:t>
            </w:r>
          </w:p>
        </w:tc>
      </w:tr>
      <w:tr>
        <w:tc>
          <w:tcPr>
            <w:tcW w:w="1226" w:type="dxa"/>
          </w:tcPr>
          <w:p>
            <w:pPr>
              <w:jc w:val="center"/>
              <w:rPr>
                <w:noProof/>
                <w:color w:val="000000"/>
                <w:sz w:val="23"/>
                <w:szCs w:val="23"/>
              </w:rPr>
            </w:pPr>
            <w:r>
              <w:rPr>
                <w:noProof/>
                <w:color w:val="000000"/>
                <w:sz w:val="23"/>
                <w:szCs w:val="23"/>
              </w:rPr>
              <w:t>27</w:t>
            </w:r>
          </w:p>
        </w:tc>
        <w:tc>
          <w:tcPr>
            <w:tcW w:w="7790" w:type="dxa"/>
          </w:tcPr>
          <w:p>
            <w:pPr>
              <w:rPr>
                <w:noProof/>
                <w:color w:val="000000"/>
                <w:sz w:val="23"/>
                <w:szCs w:val="23"/>
              </w:rPr>
            </w:pPr>
            <w:r>
              <w:rPr>
                <w:noProof/>
                <w:color w:val="000000"/>
                <w:sz w:val="23"/>
                <w:szCs w:val="23"/>
              </w:rPr>
              <w:t>Единни предписания за одобрение на предупредителни триъгълници</w:t>
            </w:r>
          </w:p>
        </w:tc>
      </w:tr>
      <w:tr>
        <w:tc>
          <w:tcPr>
            <w:tcW w:w="1226" w:type="dxa"/>
          </w:tcPr>
          <w:p>
            <w:pPr>
              <w:jc w:val="center"/>
              <w:rPr>
                <w:noProof/>
                <w:color w:val="000000"/>
                <w:sz w:val="23"/>
                <w:szCs w:val="23"/>
              </w:rPr>
            </w:pPr>
            <w:r>
              <w:rPr>
                <w:noProof/>
                <w:color w:val="000000"/>
                <w:sz w:val="23"/>
                <w:szCs w:val="23"/>
              </w:rPr>
              <w:t>28</w:t>
            </w:r>
          </w:p>
        </w:tc>
        <w:tc>
          <w:tcPr>
            <w:tcW w:w="7790" w:type="dxa"/>
          </w:tcPr>
          <w:p>
            <w:pPr>
              <w:rPr>
                <w:noProof/>
                <w:color w:val="000000"/>
                <w:sz w:val="23"/>
                <w:szCs w:val="23"/>
              </w:rPr>
            </w:pPr>
            <w:r>
              <w:rPr>
                <w:noProof/>
                <w:color w:val="000000"/>
                <w:sz w:val="23"/>
                <w:szCs w:val="23"/>
              </w:rPr>
              <w:t>Единни предписания за одобрение на звукови предупредителни устройства и на моторни превозни средства по отношение на тяхната звукова сигнализация</w:t>
            </w:r>
          </w:p>
        </w:tc>
      </w:tr>
      <w:tr>
        <w:tc>
          <w:tcPr>
            <w:tcW w:w="1226" w:type="dxa"/>
          </w:tcPr>
          <w:p>
            <w:pPr>
              <w:jc w:val="center"/>
              <w:rPr>
                <w:noProof/>
                <w:color w:val="000000"/>
                <w:sz w:val="23"/>
                <w:szCs w:val="23"/>
              </w:rPr>
            </w:pPr>
            <w:r>
              <w:rPr>
                <w:noProof/>
                <w:color w:val="000000"/>
                <w:sz w:val="23"/>
                <w:szCs w:val="23"/>
              </w:rPr>
              <w:t>30</w:t>
            </w:r>
          </w:p>
        </w:tc>
        <w:tc>
          <w:tcPr>
            <w:tcW w:w="7790" w:type="dxa"/>
          </w:tcPr>
          <w:p>
            <w:pPr>
              <w:rPr>
                <w:noProof/>
                <w:color w:val="000000"/>
                <w:sz w:val="23"/>
                <w:szCs w:val="23"/>
              </w:rPr>
            </w:pPr>
            <w:r>
              <w:rPr>
                <w:noProof/>
                <w:color w:val="000000"/>
                <w:sz w:val="23"/>
                <w:szCs w:val="23"/>
              </w:rPr>
              <w:t>Единни условия относно одобряването на пневматични гуми за моторни превозни средства и техните ремаркета</w:t>
            </w:r>
          </w:p>
        </w:tc>
      </w:tr>
      <w:tr>
        <w:tc>
          <w:tcPr>
            <w:tcW w:w="1226" w:type="dxa"/>
          </w:tcPr>
          <w:p>
            <w:pPr>
              <w:jc w:val="center"/>
              <w:rPr>
                <w:noProof/>
                <w:color w:val="000000"/>
                <w:sz w:val="23"/>
                <w:szCs w:val="23"/>
              </w:rPr>
            </w:pPr>
            <w:r>
              <w:rPr>
                <w:noProof/>
                <w:color w:val="000000"/>
                <w:sz w:val="23"/>
                <w:szCs w:val="23"/>
              </w:rPr>
              <w:t>34</w:t>
            </w:r>
          </w:p>
        </w:tc>
        <w:tc>
          <w:tcPr>
            <w:tcW w:w="7790" w:type="dxa"/>
          </w:tcPr>
          <w:p>
            <w:pPr>
              <w:rPr>
                <w:noProof/>
                <w:color w:val="000000"/>
                <w:sz w:val="23"/>
                <w:szCs w:val="23"/>
              </w:rPr>
            </w:pPr>
            <w:r>
              <w:rPr>
                <w:noProof/>
                <w:color w:val="000000"/>
                <w:sz w:val="23"/>
                <w:szCs w:val="23"/>
              </w:rPr>
              <w:t>Единни разпоредби относно одобряването на превозни средства по отношение на предотвратяването на опасността от възникване на пожар</w:t>
            </w:r>
          </w:p>
        </w:tc>
      </w:tr>
      <w:tr>
        <w:tc>
          <w:tcPr>
            <w:tcW w:w="1226" w:type="dxa"/>
          </w:tcPr>
          <w:p>
            <w:pPr>
              <w:jc w:val="center"/>
              <w:rPr>
                <w:noProof/>
                <w:color w:val="000000"/>
                <w:sz w:val="23"/>
                <w:szCs w:val="23"/>
              </w:rPr>
            </w:pPr>
            <w:r>
              <w:rPr>
                <w:noProof/>
                <w:color w:val="000000"/>
                <w:sz w:val="23"/>
                <w:szCs w:val="23"/>
              </w:rPr>
              <w:t>37</w:t>
            </w:r>
          </w:p>
        </w:tc>
        <w:tc>
          <w:tcPr>
            <w:tcW w:w="7790" w:type="dxa"/>
          </w:tcPr>
          <w:p>
            <w:pPr>
              <w:rPr>
                <w:noProof/>
                <w:color w:val="000000"/>
                <w:sz w:val="23"/>
                <w:szCs w:val="23"/>
              </w:rPr>
            </w:pPr>
            <w:r>
              <w:rPr>
                <w:noProof/>
                <w:color w:val="000000"/>
                <w:sz w:val="23"/>
                <w:szCs w:val="23"/>
              </w:rPr>
              <w:t>Единни предписания относно одобряването на нажежаеми лампи, предназначени за използване в одобрени осветители на моторните превозни средства и техните ремаркета</w:t>
            </w:r>
          </w:p>
        </w:tc>
      </w:tr>
      <w:tr>
        <w:tc>
          <w:tcPr>
            <w:tcW w:w="1226" w:type="dxa"/>
          </w:tcPr>
          <w:p>
            <w:pPr>
              <w:jc w:val="center"/>
              <w:rPr>
                <w:noProof/>
                <w:color w:val="000000"/>
                <w:sz w:val="23"/>
                <w:szCs w:val="23"/>
              </w:rPr>
            </w:pPr>
            <w:r>
              <w:rPr>
                <w:noProof/>
                <w:color w:val="000000"/>
                <w:sz w:val="23"/>
                <w:szCs w:val="23"/>
              </w:rPr>
              <w:t>38</w:t>
            </w:r>
          </w:p>
        </w:tc>
        <w:tc>
          <w:tcPr>
            <w:tcW w:w="7790" w:type="dxa"/>
          </w:tcPr>
          <w:p>
            <w:pPr>
              <w:tabs>
                <w:tab w:val="left" w:pos="930"/>
              </w:tabs>
              <w:rPr>
                <w:noProof/>
                <w:color w:val="000000"/>
                <w:sz w:val="23"/>
                <w:szCs w:val="23"/>
              </w:rPr>
            </w:pPr>
            <w:r>
              <w:rPr>
                <w:noProof/>
                <w:color w:val="000000"/>
                <w:sz w:val="23"/>
                <w:szCs w:val="23"/>
              </w:rPr>
              <w:t>Единни предписания за одобрение на задни фарове за мъгла за моторни превозни средства и техните ремаркета</w:t>
            </w:r>
          </w:p>
        </w:tc>
      </w:tr>
      <w:tr>
        <w:tc>
          <w:tcPr>
            <w:tcW w:w="1226" w:type="dxa"/>
          </w:tcPr>
          <w:p>
            <w:pPr>
              <w:jc w:val="center"/>
              <w:rPr>
                <w:noProof/>
                <w:color w:val="000000"/>
                <w:sz w:val="23"/>
                <w:szCs w:val="23"/>
              </w:rPr>
            </w:pPr>
            <w:r>
              <w:rPr>
                <w:noProof/>
                <w:color w:val="000000"/>
                <w:sz w:val="23"/>
                <w:szCs w:val="23"/>
              </w:rPr>
              <w:t>39</w:t>
            </w:r>
          </w:p>
        </w:tc>
        <w:tc>
          <w:tcPr>
            <w:tcW w:w="7790" w:type="dxa"/>
          </w:tcPr>
          <w:p>
            <w:pPr>
              <w:tabs>
                <w:tab w:val="left" w:pos="2280"/>
              </w:tabs>
              <w:rPr>
                <w:noProof/>
                <w:color w:val="000000"/>
                <w:sz w:val="23"/>
                <w:szCs w:val="23"/>
              </w:rPr>
            </w:pPr>
            <w:r>
              <w:rPr>
                <w:noProof/>
                <w:color w:val="000000"/>
                <w:sz w:val="23"/>
                <w:szCs w:val="23"/>
              </w:rPr>
              <w:t>Единни предписания за одобрение на типа на превозни средства по отношение на оборудването за измерване на скоростта, в т.ч. и неговия монтаж</w:t>
            </w:r>
          </w:p>
        </w:tc>
      </w:tr>
      <w:tr>
        <w:tc>
          <w:tcPr>
            <w:tcW w:w="1226" w:type="dxa"/>
          </w:tcPr>
          <w:p>
            <w:pPr>
              <w:jc w:val="center"/>
              <w:rPr>
                <w:noProof/>
                <w:color w:val="000000"/>
                <w:sz w:val="23"/>
                <w:szCs w:val="23"/>
              </w:rPr>
            </w:pPr>
            <w:r>
              <w:rPr>
                <w:noProof/>
                <w:color w:val="000000"/>
                <w:sz w:val="23"/>
                <w:szCs w:val="23"/>
              </w:rPr>
              <w:t>41</w:t>
            </w:r>
          </w:p>
        </w:tc>
        <w:tc>
          <w:tcPr>
            <w:tcW w:w="7790" w:type="dxa"/>
          </w:tcPr>
          <w:p>
            <w:pPr>
              <w:rPr>
                <w:noProof/>
                <w:color w:val="000000"/>
                <w:sz w:val="23"/>
                <w:szCs w:val="23"/>
              </w:rPr>
            </w:pPr>
            <w:r>
              <w:rPr>
                <w:noProof/>
                <w:color w:val="000000"/>
                <w:sz w:val="23"/>
                <w:szCs w:val="23"/>
              </w:rPr>
              <w:t>Единни предписания за одобрение на мотоциклети по отношение на шума</w:t>
            </w:r>
          </w:p>
        </w:tc>
      </w:tr>
      <w:tr>
        <w:tc>
          <w:tcPr>
            <w:tcW w:w="1226" w:type="dxa"/>
          </w:tcPr>
          <w:p>
            <w:pPr>
              <w:jc w:val="center"/>
              <w:rPr>
                <w:noProof/>
                <w:color w:val="000000"/>
                <w:sz w:val="23"/>
                <w:szCs w:val="23"/>
              </w:rPr>
            </w:pPr>
            <w:r>
              <w:rPr>
                <w:noProof/>
                <w:color w:val="000000"/>
                <w:sz w:val="23"/>
                <w:szCs w:val="23"/>
              </w:rPr>
              <w:t>43</w:t>
            </w:r>
          </w:p>
        </w:tc>
        <w:tc>
          <w:tcPr>
            <w:tcW w:w="7790" w:type="dxa"/>
          </w:tcPr>
          <w:p>
            <w:pPr>
              <w:rPr>
                <w:noProof/>
                <w:color w:val="000000"/>
                <w:sz w:val="23"/>
                <w:szCs w:val="23"/>
              </w:rPr>
            </w:pPr>
            <w:r>
              <w:rPr>
                <w:noProof/>
                <w:color w:val="000000"/>
                <w:sz w:val="23"/>
                <w:szCs w:val="23"/>
              </w:rPr>
              <w:t>Единни технически предписания за одобряване на материалите за безопасно остъкляване и техния монтаж на превозните средства</w:t>
            </w:r>
          </w:p>
        </w:tc>
      </w:tr>
      <w:tr>
        <w:tc>
          <w:tcPr>
            <w:tcW w:w="1226" w:type="dxa"/>
          </w:tcPr>
          <w:p>
            <w:pPr>
              <w:jc w:val="center"/>
              <w:rPr>
                <w:noProof/>
                <w:color w:val="000000"/>
                <w:sz w:val="23"/>
                <w:szCs w:val="23"/>
              </w:rPr>
            </w:pPr>
            <w:r>
              <w:rPr>
                <w:noProof/>
                <w:color w:val="000000"/>
                <w:sz w:val="23"/>
                <w:szCs w:val="23"/>
              </w:rPr>
              <w:t>44</w:t>
            </w:r>
          </w:p>
        </w:tc>
        <w:tc>
          <w:tcPr>
            <w:tcW w:w="7790" w:type="dxa"/>
          </w:tcPr>
          <w:p>
            <w:pPr>
              <w:rPr>
                <w:noProof/>
                <w:color w:val="000000"/>
                <w:sz w:val="23"/>
                <w:szCs w:val="23"/>
              </w:rPr>
            </w:pPr>
            <w:r>
              <w:rPr>
                <w:noProof/>
                <w:color w:val="000000"/>
                <w:sz w:val="23"/>
                <w:szCs w:val="23"/>
              </w:rPr>
              <w:t>Единни предписания относно одобрението на устройства за обезопасяване на деца пътници в моторни превозни средства („системи за обезопасяване на деца“)</w:t>
            </w:r>
          </w:p>
        </w:tc>
      </w:tr>
      <w:tr>
        <w:tc>
          <w:tcPr>
            <w:tcW w:w="1226" w:type="dxa"/>
          </w:tcPr>
          <w:p>
            <w:pPr>
              <w:jc w:val="center"/>
              <w:rPr>
                <w:noProof/>
                <w:color w:val="000000"/>
                <w:sz w:val="23"/>
                <w:szCs w:val="23"/>
              </w:rPr>
            </w:pPr>
            <w:r>
              <w:rPr>
                <w:noProof/>
                <w:color w:val="000000"/>
                <w:sz w:val="23"/>
                <w:szCs w:val="23"/>
              </w:rPr>
              <w:t>45</w:t>
            </w:r>
          </w:p>
        </w:tc>
        <w:tc>
          <w:tcPr>
            <w:tcW w:w="7790" w:type="dxa"/>
          </w:tcPr>
          <w:p>
            <w:pPr>
              <w:rPr>
                <w:noProof/>
                <w:color w:val="000000"/>
                <w:sz w:val="23"/>
                <w:szCs w:val="23"/>
              </w:rPr>
            </w:pPr>
            <w:r>
              <w:rPr>
                <w:noProof/>
                <w:color w:val="000000"/>
                <w:sz w:val="23"/>
                <w:szCs w:val="23"/>
              </w:rPr>
              <w:t>Единни предписания за одобрение на устройства за чистене на предни светлини и на моторни превозни средства по отношение на устройствата за чистене на предни светлини</w:t>
            </w:r>
          </w:p>
        </w:tc>
      </w:tr>
      <w:tr>
        <w:tc>
          <w:tcPr>
            <w:tcW w:w="1226" w:type="dxa"/>
          </w:tcPr>
          <w:p>
            <w:pPr>
              <w:jc w:val="center"/>
              <w:rPr>
                <w:noProof/>
                <w:color w:val="000000"/>
                <w:sz w:val="23"/>
                <w:szCs w:val="23"/>
              </w:rPr>
            </w:pPr>
            <w:r>
              <w:rPr>
                <w:noProof/>
                <w:color w:val="000000"/>
                <w:sz w:val="23"/>
                <w:szCs w:val="23"/>
              </w:rPr>
              <w:t>46</w:t>
            </w:r>
          </w:p>
        </w:tc>
        <w:tc>
          <w:tcPr>
            <w:tcW w:w="7790" w:type="dxa"/>
          </w:tcPr>
          <w:p>
            <w:pPr>
              <w:rPr>
                <w:noProof/>
                <w:color w:val="000000"/>
                <w:sz w:val="23"/>
                <w:szCs w:val="23"/>
              </w:rPr>
            </w:pPr>
            <w:r>
              <w:rPr>
                <w:noProof/>
                <w:color w:val="000000"/>
                <w:sz w:val="23"/>
                <w:szCs w:val="23"/>
              </w:rPr>
              <w:t>Единни предписания за одобрение на устройства за непряко виждане и на моторни превозни средства по отношение на монтирането на тези устройства</w:t>
            </w:r>
          </w:p>
        </w:tc>
      </w:tr>
      <w:tr>
        <w:tc>
          <w:tcPr>
            <w:tcW w:w="1226" w:type="dxa"/>
          </w:tcPr>
          <w:p>
            <w:pPr>
              <w:jc w:val="center"/>
              <w:rPr>
                <w:noProof/>
                <w:color w:val="000000"/>
                <w:sz w:val="23"/>
                <w:szCs w:val="23"/>
              </w:rPr>
            </w:pPr>
            <w:r>
              <w:rPr>
                <w:noProof/>
                <w:color w:val="000000"/>
                <w:sz w:val="23"/>
                <w:szCs w:val="23"/>
              </w:rPr>
              <w:t>48</w:t>
            </w:r>
          </w:p>
        </w:tc>
        <w:tc>
          <w:tcPr>
            <w:tcW w:w="7790" w:type="dxa"/>
          </w:tcPr>
          <w:p>
            <w:pPr>
              <w:rPr>
                <w:noProof/>
                <w:color w:val="000000"/>
                <w:sz w:val="23"/>
                <w:szCs w:val="23"/>
              </w:rPr>
            </w:pPr>
            <w:r>
              <w:rPr>
                <w:noProof/>
                <w:color w:val="000000"/>
                <w:sz w:val="23"/>
                <w:szCs w:val="23"/>
              </w:rPr>
              <w:t>Единни предписания относно одобряването на превозни средства по отношение монтирането на устройства за осветяване и светлинна сигнализация</w:t>
            </w:r>
          </w:p>
        </w:tc>
      </w:tr>
      <w:tr>
        <w:tc>
          <w:tcPr>
            <w:tcW w:w="1226" w:type="dxa"/>
            <w:tcBorders>
              <w:bottom w:val="single" w:sz="4" w:space="0" w:color="auto"/>
            </w:tcBorders>
          </w:tcPr>
          <w:p>
            <w:pPr>
              <w:jc w:val="center"/>
              <w:rPr>
                <w:noProof/>
                <w:color w:val="000000"/>
                <w:sz w:val="23"/>
                <w:szCs w:val="23"/>
              </w:rPr>
            </w:pPr>
            <w:r>
              <w:rPr>
                <w:noProof/>
                <w:color w:val="000000"/>
                <w:sz w:val="23"/>
                <w:szCs w:val="23"/>
              </w:rPr>
              <w:t>50</w:t>
            </w:r>
          </w:p>
        </w:tc>
        <w:tc>
          <w:tcPr>
            <w:tcW w:w="7790" w:type="dxa"/>
          </w:tcPr>
          <w:p>
            <w:pPr>
              <w:rPr>
                <w:noProof/>
                <w:color w:val="000000"/>
                <w:sz w:val="23"/>
                <w:szCs w:val="23"/>
              </w:rPr>
            </w:pPr>
            <w:r>
              <w:rPr>
                <w:noProof/>
                <w:color w:val="000000"/>
                <w:sz w:val="23"/>
                <w:szCs w:val="23"/>
              </w:rPr>
              <w:t>Единни предписания за одобрение на предни габаритни светлини, задни габаритни светлини, стоп-светлини, пътепоказатели и осветители на задния регистрационен номер за превозните средства от категория L</w:t>
            </w:r>
          </w:p>
        </w:tc>
      </w:tr>
      <w:tr>
        <w:trPr>
          <w:trHeight w:val="590"/>
        </w:trPr>
        <w:tc>
          <w:tcPr>
            <w:tcW w:w="1226" w:type="dxa"/>
            <w:tcBorders>
              <w:bottom w:val="single" w:sz="4" w:space="0" w:color="auto"/>
            </w:tcBorders>
          </w:tcPr>
          <w:p>
            <w:pPr>
              <w:jc w:val="center"/>
              <w:rPr>
                <w:noProof/>
                <w:color w:val="000000"/>
                <w:sz w:val="23"/>
                <w:szCs w:val="23"/>
              </w:rPr>
            </w:pPr>
            <w:r>
              <w:rPr>
                <w:noProof/>
                <w:color w:val="000000"/>
                <w:sz w:val="23"/>
                <w:szCs w:val="23"/>
              </w:rPr>
              <w:t>51</w:t>
            </w:r>
          </w:p>
        </w:tc>
        <w:tc>
          <w:tcPr>
            <w:tcW w:w="7790" w:type="dxa"/>
          </w:tcPr>
          <w:p>
            <w:pPr>
              <w:rPr>
                <w:noProof/>
                <w:color w:val="000000"/>
                <w:sz w:val="23"/>
                <w:szCs w:val="23"/>
              </w:rPr>
            </w:pPr>
            <w:r>
              <w:rPr>
                <w:noProof/>
                <w:color w:val="000000"/>
                <w:sz w:val="23"/>
                <w:szCs w:val="23"/>
              </w:rPr>
              <w:t>Единни разпоредби относно одобряването на моторни превозни средства, имащи най-малко четири колела, по отношение на излъчването на звук от тях</w:t>
            </w:r>
          </w:p>
        </w:tc>
      </w:tr>
      <w:tr>
        <w:trPr>
          <w:trHeight w:val="470"/>
        </w:trPr>
        <w:tc>
          <w:tcPr>
            <w:tcW w:w="1226" w:type="dxa"/>
            <w:tcBorders>
              <w:top w:val="single" w:sz="4" w:space="0" w:color="auto"/>
            </w:tcBorders>
          </w:tcPr>
          <w:p>
            <w:pPr>
              <w:jc w:val="center"/>
              <w:rPr>
                <w:noProof/>
                <w:color w:val="000000"/>
                <w:sz w:val="23"/>
                <w:szCs w:val="23"/>
                <w:highlight w:val="yellow"/>
              </w:rPr>
            </w:pPr>
            <w:r>
              <w:rPr>
                <w:noProof/>
                <w:color w:val="000000"/>
                <w:sz w:val="23"/>
                <w:szCs w:val="23"/>
              </w:rPr>
              <w:t>53</w:t>
            </w:r>
          </w:p>
        </w:tc>
        <w:tc>
          <w:tcPr>
            <w:tcW w:w="7790" w:type="dxa"/>
          </w:tcPr>
          <w:p>
            <w:pPr>
              <w:rPr>
                <w:noProof/>
                <w:color w:val="000000"/>
                <w:sz w:val="23"/>
                <w:szCs w:val="23"/>
              </w:rPr>
            </w:pPr>
            <w:r>
              <w:rPr>
                <w:noProof/>
                <w:color w:val="000000"/>
                <w:sz w:val="23"/>
                <w:szCs w:val="23"/>
              </w:rPr>
              <w:t>Единни разпоредби относно одобряването на типа на превозни средства от категория L3 по отношение на монтирането на устройства за осветяване и светлинна сигнализация</w:t>
            </w:r>
          </w:p>
        </w:tc>
      </w:tr>
      <w:tr>
        <w:tc>
          <w:tcPr>
            <w:tcW w:w="1226" w:type="dxa"/>
          </w:tcPr>
          <w:p>
            <w:pPr>
              <w:jc w:val="center"/>
              <w:rPr>
                <w:noProof/>
                <w:color w:val="000000"/>
                <w:sz w:val="23"/>
                <w:szCs w:val="23"/>
              </w:rPr>
            </w:pPr>
            <w:r>
              <w:rPr>
                <w:noProof/>
                <w:color w:val="000000"/>
                <w:sz w:val="23"/>
                <w:szCs w:val="23"/>
              </w:rPr>
              <w:t>54</w:t>
            </w:r>
          </w:p>
        </w:tc>
        <w:tc>
          <w:tcPr>
            <w:tcW w:w="7790" w:type="dxa"/>
          </w:tcPr>
          <w:p>
            <w:pPr>
              <w:rPr>
                <w:noProof/>
                <w:color w:val="000000"/>
                <w:sz w:val="23"/>
                <w:szCs w:val="23"/>
              </w:rPr>
            </w:pPr>
            <w:r>
              <w:rPr>
                <w:noProof/>
                <w:color w:val="000000"/>
                <w:sz w:val="23"/>
                <w:szCs w:val="23"/>
              </w:rPr>
              <w:t>Единни разпоредби за одобрение на пневматични гуми за товарни превозни средства и техните ремаркета</w:t>
            </w:r>
          </w:p>
        </w:tc>
      </w:tr>
      <w:tr>
        <w:tc>
          <w:tcPr>
            <w:tcW w:w="1226" w:type="dxa"/>
          </w:tcPr>
          <w:p>
            <w:pPr>
              <w:jc w:val="center"/>
              <w:rPr>
                <w:noProof/>
                <w:color w:val="000000"/>
                <w:sz w:val="23"/>
                <w:szCs w:val="23"/>
              </w:rPr>
            </w:pPr>
            <w:r>
              <w:rPr>
                <w:noProof/>
                <w:color w:val="000000"/>
                <w:sz w:val="23"/>
                <w:szCs w:val="23"/>
              </w:rPr>
              <w:t>58</w:t>
            </w:r>
          </w:p>
        </w:tc>
        <w:tc>
          <w:tcPr>
            <w:tcW w:w="7790" w:type="dxa"/>
          </w:tcPr>
          <w:p>
            <w:pPr>
              <w:rPr>
                <w:noProof/>
                <w:color w:val="000000"/>
                <w:sz w:val="23"/>
                <w:szCs w:val="23"/>
              </w:rPr>
            </w:pPr>
            <w:r>
              <w:rPr>
                <w:noProof/>
                <w:color w:val="000000"/>
                <w:sz w:val="23"/>
                <w:szCs w:val="23"/>
              </w:rPr>
              <w:t xml:space="preserve">Единни предписания за одобрение на: </w:t>
            </w:r>
          </w:p>
          <w:p>
            <w:pPr>
              <w:pStyle w:val="ListParagraph"/>
              <w:numPr>
                <w:ilvl w:val="0"/>
                <w:numId w:val="5"/>
              </w:numPr>
              <w:spacing w:after="0" w:line="240" w:lineRule="auto"/>
              <w:ind w:left="330" w:hanging="330"/>
              <w:rPr>
                <w:rFonts w:ascii="Times New Roman" w:hAnsi="Times New Roman" w:cs="Times New Roman"/>
                <w:noProof/>
                <w:color w:val="000000"/>
                <w:sz w:val="23"/>
                <w:szCs w:val="23"/>
              </w:rPr>
            </w:pPr>
            <w:r>
              <w:rPr>
                <w:rFonts w:ascii="Times New Roman" w:hAnsi="Times New Roman"/>
                <w:noProof/>
                <w:color w:val="000000"/>
                <w:sz w:val="23"/>
                <w:szCs w:val="23"/>
              </w:rPr>
              <w:t xml:space="preserve">Задни нискоразположени защитни устройства (ЗНЗУ) </w:t>
            </w:r>
          </w:p>
          <w:p>
            <w:pPr>
              <w:pStyle w:val="ListParagraph"/>
              <w:numPr>
                <w:ilvl w:val="0"/>
                <w:numId w:val="5"/>
              </w:numPr>
              <w:spacing w:after="0" w:line="240" w:lineRule="auto"/>
              <w:ind w:left="330" w:hanging="330"/>
              <w:rPr>
                <w:rFonts w:ascii="Times New Roman" w:hAnsi="Times New Roman" w:cs="Times New Roman"/>
                <w:noProof/>
                <w:color w:val="000000"/>
                <w:sz w:val="23"/>
                <w:szCs w:val="23"/>
              </w:rPr>
            </w:pPr>
            <w:r>
              <w:rPr>
                <w:rFonts w:ascii="Times New Roman" w:hAnsi="Times New Roman"/>
                <w:noProof/>
                <w:color w:val="000000"/>
                <w:sz w:val="23"/>
                <w:szCs w:val="23"/>
              </w:rPr>
              <w:t xml:space="preserve">Превозни средства по отношение на монтиране на ЗНЗУ от одобрен тип </w:t>
            </w:r>
          </w:p>
          <w:p>
            <w:pPr>
              <w:pStyle w:val="ListParagraph"/>
              <w:numPr>
                <w:ilvl w:val="0"/>
                <w:numId w:val="5"/>
              </w:numPr>
              <w:spacing w:after="0" w:line="240" w:lineRule="auto"/>
              <w:ind w:left="330" w:hanging="330"/>
              <w:rPr>
                <w:rFonts w:ascii="Times New Roman" w:hAnsi="Times New Roman" w:cs="Times New Roman"/>
                <w:noProof/>
                <w:color w:val="000000"/>
                <w:sz w:val="23"/>
                <w:szCs w:val="23"/>
              </w:rPr>
            </w:pPr>
            <w:r>
              <w:rPr>
                <w:rFonts w:ascii="Times New Roman" w:hAnsi="Times New Roman"/>
                <w:noProof/>
                <w:color w:val="000000"/>
                <w:sz w:val="23"/>
                <w:szCs w:val="23"/>
              </w:rPr>
              <w:t>Превозни средства по отношение на тяхната задна нискоразположена защита (ЗНЗ)</w:t>
            </w:r>
          </w:p>
        </w:tc>
      </w:tr>
      <w:tr>
        <w:tc>
          <w:tcPr>
            <w:tcW w:w="1226" w:type="dxa"/>
          </w:tcPr>
          <w:p>
            <w:pPr>
              <w:jc w:val="center"/>
              <w:rPr>
                <w:noProof/>
                <w:color w:val="000000"/>
                <w:sz w:val="23"/>
                <w:szCs w:val="23"/>
              </w:rPr>
            </w:pPr>
            <w:r>
              <w:rPr>
                <w:noProof/>
                <w:color w:val="000000"/>
                <w:sz w:val="23"/>
                <w:szCs w:val="23"/>
              </w:rPr>
              <w:t>60</w:t>
            </w:r>
          </w:p>
        </w:tc>
        <w:tc>
          <w:tcPr>
            <w:tcW w:w="7790" w:type="dxa"/>
          </w:tcPr>
          <w:p>
            <w:pPr>
              <w:rPr>
                <w:noProof/>
                <w:color w:val="000000"/>
                <w:sz w:val="23"/>
                <w:szCs w:val="23"/>
              </w:rPr>
            </w:pPr>
            <w:r>
              <w:rPr>
                <w:noProof/>
                <w:color w:val="000000"/>
                <w:sz w:val="23"/>
                <w:szCs w:val="23"/>
              </w:rPr>
              <w:t>Единни разпоредби относно одобрението на двуколесни мотоциклети и мотопеди по отношение на органите за управление, задействани от водача, включително органите за управление, сигналните лампи и показващите уреди</w:t>
            </w:r>
          </w:p>
        </w:tc>
      </w:tr>
      <w:tr>
        <w:tc>
          <w:tcPr>
            <w:tcW w:w="1226" w:type="dxa"/>
          </w:tcPr>
          <w:p>
            <w:pPr>
              <w:jc w:val="center"/>
              <w:rPr>
                <w:noProof/>
                <w:color w:val="000000"/>
                <w:sz w:val="23"/>
                <w:szCs w:val="23"/>
              </w:rPr>
            </w:pPr>
            <w:r>
              <w:rPr>
                <w:noProof/>
                <w:color w:val="000000"/>
                <w:sz w:val="23"/>
                <w:szCs w:val="23"/>
              </w:rPr>
              <w:t>62</w:t>
            </w:r>
          </w:p>
        </w:tc>
        <w:tc>
          <w:tcPr>
            <w:tcW w:w="7790" w:type="dxa"/>
          </w:tcPr>
          <w:p>
            <w:pPr>
              <w:rPr>
                <w:noProof/>
                <w:color w:val="000000"/>
                <w:sz w:val="23"/>
                <w:szCs w:val="23"/>
              </w:rPr>
            </w:pPr>
            <w:r>
              <w:rPr>
                <w:noProof/>
                <w:color w:val="000000"/>
                <w:sz w:val="23"/>
                <w:szCs w:val="23"/>
              </w:rPr>
              <w:t>Единни предписания относно одобрението на моторни превозни средства с кормило от мотоциклетен тип по отношение на тяхната защита срещу неразрешено използване</w:t>
            </w:r>
          </w:p>
        </w:tc>
      </w:tr>
      <w:tr>
        <w:tc>
          <w:tcPr>
            <w:tcW w:w="1226" w:type="dxa"/>
          </w:tcPr>
          <w:p>
            <w:pPr>
              <w:jc w:val="center"/>
              <w:rPr>
                <w:noProof/>
                <w:color w:val="000000"/>
                <w:sz w:val="23"/>
                <w:szCs w:val="23"/>
              </w:rPr>
            </w:pPr>
            <w:r>
              <w:rPr>
                <w:noProof/>
                <w:color w:val="000000"/>
                <w:sz w:val="23"/>
                <w:szCs w:val="23"/>
              </w:rPr>
              <w:t>64</w:t>
            </w:r>
          </w:p>
        </w:tc>
        <w:tc>
          <w:tcPr>
            <w:tcW w:w="7790" w:type="dxa"/>
          </w:tcPr>
          <w:p>
            <w:pPr>
              <w:rPr>
                <w:noProof/>
                <w:color w:val="000000"/>
                <w:sz w:val="23"/>
                <w:szCs w:val="23"/>
              </w:rPr>
            </w:pPr>
            <w:r>
              <w:rPr>
                <w:noProof/>
                <w:color w:val="000000"/>
                <w:sz w:val="23"/>
                <w:szCs w:val="23"/>
              </w:rPr>
              <w:t>Единни технически предписания за одобрение на превозни средства по отношение на оборудването им, което може да включва резервен комплект за временно използване, гуми за движение в спукано състояние и/или система за движение с гуми в спукано състояние, и/или система за следене на налягането в гумите</w:t>
            </w:r>
          </w:p>
        </w:tc>
      </w:tr>
      <w:tr>
        <w:tc>
          <w:tcPr>
            <w:tcW w:w="1226" w:type="dxa"/>
          </w:tcPr>
          <w:p>
            <w:pPr>
              <w:jc w:val="center"/>
              <w:rPr>
                <w:noProof/>
                <w:color w:val="000000"/>
                <w:sz w:val="23"/>
                <w:szCs w:val="23"/>
              </w:rPr>
            </w:pPr>
            <w:r>
              <w:rPr>
                <w:noProof/>
                <w:color w:val="000000"/>
                <w:sz w:val="23"/>
                <w:szCs w:val="23"/>
              </w:rPr>
              <w:t>66</w:t>
            </w:r>
          </w:p>
        </w:tc>
        <w:tc>
          <w:tcPr>
            <w:tcW w:w="7790" w:type="dxa"/>
          </w:tcPr>
          <w:p>
            <w:pPr>
              <w:rPr>
                <w:noProof/>
                <w:color w:val="000000"/>
                <w:sz w:val="23"/>
                <w:szCs w:val="23"/>
              </w:rPr>
            </w:pPr>
            <w:r>
              <w:rPr>
                <w:noProof/>
                <w:color w:val="000000"/>
                <w:sz w:val="23"/>
                <w:szCs w:val="23"/>
              </w:rPr>
              <w:t>Единни предписания относно одобрението на пътнически превозни средства с голям капацитет по отношение на якостта на тяхната надстройка</w:t>
            </w:r>
          </w:p>
        </w:tc>
      </w:tr>
      <w:tr>
        <w:tc>
          <w:tcPr>
            <w:tcW w:w="1226" w:type="dxa"/>
          </w:tcPr>
          <w:p>
            <w:pPr>
              <w:jc w:val="center"/>
              <w:rPr>
                <w:noProof/>
                <w:color w:val="000000"/>
                <w:sz w:val="23"/>
                <w:szCs w:val="23"/>
              </w:rPr>
            </w:pPr>
            <w:r>
              <w:rPr>
                <w:noProof/>
                <w:color w:val="000000"/>
                <w:sz w:val="23"/>
                <w:szCs w:val="23"/>
              </w:rPr>
              <w:t>70</w:t>
            </w:r>
          </w:p>
        </w:tc>
        <w:tc>
          <w:tcPr>
            <w:tcW w:w="7790" w:type="dxa"/>
          </w:tcPr>
          <w:p>
            <w:pPr>
              <w:rPr>
                <w:noProof/>
                <w:color w:val="000000"/>
                <w:sz w:val="23"/>
                <w:szCs w:val="23"/>
              </w:rPr>
            </w:pPr>
            <w:r>
              <w:rPr>
                <w:noProof/>
                <w:color w:val="000000"/>
                <w:sz w:val="23"/>
                <w:szCs w:val="23"/>
              </w:rPr>
              <w:t>Единни предписания за одобрение на задни маркировъчни табели за тежки и дълги превозни средства</w:t>
            </w:r>
          </w:p>
        </w:tc>
      </w:tr>
      <w:tr>
        <w:tc>
          <w:tcPr>
            <w:tcW w:w="1226" w:type="dxa"/>
          </w:tcPr>
          <w:p>
            <w:pPr>
              <w:jc w:val="center"/>
              <w:rPr>
                <w:noProof/>
                <w:color w:val="000000"/>
                <w:sz w:val="23"/>
                <w:szCs w:val="23"/>
              </w:rPr>
            </w:pPr>
            <w:r>
              <w:rPr>
                <w:noProof/>
                <w:color w:val="000000"/>
                <w:sz w:val="23"/>
                <w:szCs w:val="23"/>
              </w:rPr>
              <w:t>75</w:t>
            </w:r>
          </w:p>
        </w:tc>
        <w:tc>
          <w:tcPr>
            <w:tcW w:w="7790" w:type="dxa"/>
          </w:tcPr>
          <w:p>
            <w:pPr>
              <w:rPr>
                <w:noProof/>
                <w:color w:val="000000"/>
                <w:sz w:val="23"/>
                <w:szCs w:val="23"/>
              </w:rPr>
            </w:pPr>
            <w:r>
              <w:rPr>
                <w:noProof/>
                <w:color w:val="000000"/>
                <w:sz w:val="23"/>
                <w:szCs w:val="23"/>
              </w:rPr>
              <w:t>Единни предписания относно одобрението на пневматични гуми за превозни средства от категория L</w:t>
            </w:r>
          </w:p>
        </w:tc>
      </w:tr>
      <w:tr>
        <w:tc>
          <w:tcPr>
            <w:tcW w:w="1226" w:type="dxa"/>
          </w:tcPr>
          <w:p>
            <w:pPr>
              <w:jc w:val="center"/>
              <w:rPr>
                <w:noProof/>
                <w:color w:val="000000"/>
                <w:sz w:val="23"/>
                <w:szCs w:val="23"/>
              </w:rPr>
            </w:pPr>
            <w:r>
              <w:rPr>
                <w:noProof/>
                <w:color w:val="000000"/>
                <w:sz w:val="23"/>
                <w:szCs w:val="23"/>
              </w:rPr>
              <w:t>77</w:t>
            </w:r>
          </w:p>
        </w:tc>
        <w:tc>
          <w:tcPr>
            <w:tcW w:w="7790" w:type="dxa"/>
          </w:tcPr>
          <w:p>
            <w:pPr>
              <w:rPr>
                <w:noProof/>
                <w:color w:val="000000"/>
                <w:sz w:val="23"/>
                <w:szCs w:val="23"/>
              </w:rPr>
            </w:pPr>
            <w:r>
              <w:rPr>
                <w:noProof/>
                <w:color w:val="000000"/>
                <w:sz w:val="23"/>
                <w:szCs w:val="23"/>
              </w:rPr>
              <w:t>Единни предписания за одобрение на светлинно устройство за паркиране за моторни превозни средства</w:t>
            </w:r>
          </w:p>
        </w:tc>
      </w:tr>
      <w:tr>
        <w:tc>
          <w:tcPr>
            <w:tcW w:w="1226" w:type="dxa"/>
          </w:tcPr>
          <w:p>
            <w:pPr>
              <w:jc w:val="center"/>
              <w:rPr>
                <w:noProof/>
                <w:color w:val="000000"/>
                <w:sz w:val="23"/>
                <w:szCs w:val="23"/>
              </w:rPr>
            </w:pPr>
            <w:r>
              <w:rPr>
                <w:noProof/>
                <w:color w:val="000000"/>
                <w:sz w:val="23"/>
                <w:szCs w:val="23"/>
              </w:rPr>
              <w:t>78</w:t>
            </w:r>
          </w:p>
        </w:tc>
        <w:tc>
          <w:tcPr>
            <w:tcW w:w="7790" w:type="dxa"/>
          </w:tcPr>
          <w:p>
            <w:pPr>
              <w:rPr>
                <w:noProof/>
                <w:color w:val="000000"/>
                <w:sz w:val="23"/>
                <w:szCs w:val="23"/>
              </w:rPr>
            </w:pPr>
            <w:r>
              <w:rPr>
                <w:noProof/>
                <w:color w:val="000000"/>
                <w:sz w:val="23"/>
                <w:szCs w:val="23"/>
              </w:rPr>
              <w:t>Единни предписания за одобрение на превозни средства от категории L1, L2, L3, L4 и L5 по отношение на спирането</w:t>
            </w:r>
          </w:p>
        </w:tc>
      </w:tr>
      <w:tr>
        <w:tc>
          <w:tcPr>
            <w:tcW w:w="1226" w:type="dxa"/>
          </w:tcPr>
          <w:p>
            <w:pPr>
              <w:jc w:val="center"/>
              <w:rPr>
                <w:noProof/>
                <w:color w:val="000000"/>
                <w:sz w:val="23"/>
                <w:szCs w:val="23"/>
              </w:rPr>
            </w:pPr>
            <w:r>
              <w:rPr>
                <w:noProof/>
                <w:color w:val="000000"/>
                <w:sz w:val="23"/>
                <w:szCs w:val="23"/>
              </w:rPr>
              <w:t>79</w:t>
            </w:r>
          </w:p>
        </w:tc>
        <w:tc>
          <w:tcPr>
            <w:tcW w:w="7790" w:type="dxa"/>
          </w:tcPr>
          <w:p>
            <w:pPr>
              <w:rPr>
                <w:noProof/>
                <w:color w:val="000000"/>
                <w:sz w:val="23"/>
                <w:szCs w:val="23"/>
              </w:rPr>
            </w:pPr>
            <w:r>
              <w:rPr>
                <w:noProof/>
                <w:color w:val="000000"/>
                <w:sz w:val="23"/>
                <w:szCs w:val="23"/>
              </w:rPr>
              <w:t>Eдинни разпоредби относно одобряването на моторни превозни средства по отношение на кормилните уредби</w:t>
            </w:r>
          </w:p>
        </w:tc>
      </w:tr>
      <w:tr>
        <w:tc>
          <w:tcPr>
            <w:tcW w:w="1226" w:type="dxa"/>
          </w:tcPr>
          <w:p>
            <w:pPr>
              <w:jc w:val="center"/>
              <w:rPr>
                <w:noProof/>
                <w:color w:val="000000"/>
                <w:sz w:val="23"/>
                <w:szCs w:val="23"/>
              </w:rPr>
            </w:pPr>
            <w:r>
              <w:rPr>
                <w:noProof/>
                <w:color w:val="000000"/>
                <w:sz w:val="23"/>
                <w:szCs w:val="23"/>
              </w:rPr>
              <w:t>80</w:t>
            </w:r>
          </w:p>
        </w:tc>
        <w:tc>
          <w:tcPr>
            <w:tcW w:w="7790" w:type="dxa"/>
          </w:tcPr>
          <w:p>
            <w:pPr>
              <w:rPr>
                <w:noProof/>
                <w:color w:val="000000"/>
                <w:sz w:val="23"/>
                <w:szCs w:val="23"/>
              </w:rPr>
            </w:pPr>
            <w:r>
              <w:rPr>
                <w:noProof/>
                <w:color w:val="000000"/>
                <w:sz w:val="23"/>
                <w:szCs w:val="23"/>
              </w:rPr>
              <w:t>Единни разпоредби относно одобрението на седалки за големи пътнически превозни средства и на тези превозни средства по отношение на якостта на седалките и техните закрепвания</w:t>
            </w:r>
          </w:p>
        </w:tc>
      </w:tr>
      <w:tr>
        <w:tc>
          <w:tcPr>
            <w:tcW w:w="1226" w:type="dxa"/>
          </w:tcPr>
          <w:p>
            <w:pPr>
              <w:jc w:val="center"/>
              <w:rPr>
                <w:noProof/>
                <w:color w:val="000000"/>
                <w:sz w:val="23"/>
                <w:szCs w:val="23"/>
              </w:rPr>
            </w:pPr>
            <w:r>
              <w:rPr>
                <w:noProof/>
                <w:color w:val="000000"/>
                <w:sz w:val="23"/>
                <w:szCs w:val="23"/>
              </w:rPr>
              <w:t>81</w:t>
            </w:r>
          </w:p>
        </w:tc>
        <w:tc>
          <w:tcPr>
            <w:tcW w:w="7790" w:type="dxa"/>
          </w:tcPr>
          <w:p>
            <w:pPr>
              <w:rPr>
                <w:noProof/>
                <w:color w:val="000000"/>
                <w:sz w:val="23"/>
                <w:szCs w:val="23"/>
              </w:rPr>
            </w:pPr>
            <w:r>
              <w:rPr>
                <w:noProof/>
                <w:color w:val="000000"/>
                <w:sz w:val="23"/>
                <w:szCs w:val="23"/>
              </w:rPr>
              <w:t>Единни предписания относно одобрението на огледала за обратно виждане на двуколесни моторни превозни средства със или без кош по отношение на монтирането на огледала за обратно виждане на кормилото</w:t>
            </w:r>
          </w:p>
        </w:tc>
      </w:tr>
      <w:tr>
        <w:trPr>
          <w:trHeight w:val="303"/>
        </w:trPr>
        <w:tc>
          <w:tcPr>
            <w:tcW w:w="1226" w:type="dxa"/>
          </w:tcPr>
          <w:p>
            <w:pPr>
              <w:jc w:val="center"/>
              <w:rPr>
                <w:noProof/>
                <w:color w:val="000000"/>
                <w:sz w:val="23"/>
                <w:szCs w:val="23"/>
              </w:rPr>
            </w:pPr>
            <w:r>
              <w:rPr>
                <w:noProof/>
                <w:color w:val="000000"/>
                <w:sz w:val="23"/>
                <w:szCs w:val="23"/>
              </w:rPr>
              <w:t>85</w:t>
            </w:r>
          </w:p>
        </w:tc>
        <w:tc>
          <w:tcPr>
            <w:tcW w:w="7790" w:type="dxa"/>
          </w:tcPr>
          <w:p>
            <w:pPr>
              <w:rPr>
                <w:noProof/>
                <w:color w:val="000000"/>
                <w:sz w:val="23"/>
                <w:szCs w:val="23"/>
              </w:rPr>
            </w:pPr>
            <w:r>
              <w:rPr>
                <w:noProof/>
                <w:color w:val="000000"/>
                <w:sz w:val="23"/>
                <w:szCs w:val="23"/>
              </w:rPr>
              <w:t>Единни предписания за одобряване на двигателите с вътрешно горене или електрическите задвижвания за моторните превозни средства от категории М и N по отношение на измерването на полезната (ефективната) мощност и максималната 30-минутна мощност на електрическите задвижвания</w:t>
            </w:r>
          </w:p>
        </w:tc>
      </w:tr>
      <w:tr>
        <w:trPr>
          <w:trHeight w:val="480"/>
        </w:trPr>
        <w:tc>
          <w:tcPr>
            <w:tcW w:w="1226" w:type="dxa"/>
          </w:tcPr>
          <w:p>
            <w:pPr>
              <w:jc w:val="center"/>
              <w:rPr>
                <w:noProof/>
                <w:color w:val="000000"/>
                <w:sz w:val="23"/>
                <w:szCs w:val="23"/>
              </w:rPr>
            </w:pPr>
            <w:r>
              <w:rPr>
                <w:noProof/>
                <w:color w:val="000000"/>
                <w:sz w:val="23"/>
                <w:szCs w:val="23"/>
              </w:rPr>
              <w:t>87</w:t>
            </w:r>
          </w:p>
        </w:tc>
        <w:tc>
          <w:tcPr>
            <w:tcW w:w="7790" w:type="dxa"/>
          </w:tcPr>
          <w:p>
            <w:pPr>
              <w:rPr>
                <w:noProof/>
                <w:color w:val="000000"/>
                <w:sz w:val="23"/>
                <w:szCs w:val="23"/>
              </w:rPr>
            </w:pPr>
            <w:r>
              <w:rPr>
                <w:noProof/>
                <w:color w:val="000000"/>
                <w:sz w:val="23"/>
                <w:szCs w:val="23"/>
              </w:rPr>
              <w:t>Единни предписания за одобрение на светлини за движение през деня за моторни превозни средства</w:t>
            </w:r>
          </w:p>
        </w:tc>
      </w:tr>
      <w:tr>
        <w:tc>
          <w:tcPr>
            <w:tcW w:w="1226" w:type="dxa"/>
          </w:tcPr>
          <w:p>
            <w:pPr>
              <w:jc w:val="center"/>
              <w:rPr>
                <w:noProof/>
                <w:color w:val="000000"/>
                <w:sz w:val="23"/>
                <w:szCs w:val="23"/>
              </w:rPr>
            </w:pPr>
            <w:r>
              <w:rPr>
                <w:noProof/>
                <w:color w:val="000000"/>
                <w:sz w:val="23"/>
                <w:szCs w:val="23"/>
              </w:rPr>
              <w:t>91</w:t>
            </w:r>
          </w:p>
        </w:tc>
        <w:tc>
          <w:tcPr>
            <w:tcW w:w="7790" w:type="dxa"/>
          </w:tcPr>
          <w:p>
            <w:pPr>
              <w:rPr>
                <w:noProof/>
                <w:color w:val="000000"/>
                <w:sz w:val="23"/>
                <w:szCs w:val="23"/>
              </w:rPr>
            </w:pPr>
            <w:r>
              <w:rPr>
                <w:noProof/>
                <w:color w:val="000000"/>
                <w:sz w:val="23"/>
                <w:szCs w:val="23"/>
              </w:rPr>
              <w:t>Единни условия относно одобряването на странични габаритни светлини за моторни превозни средства и техните ремаркета</w:t>
            </w:r>
          </w:p>
        </w:tc>
      </w:tr>
      <w:tr>
        <w:tc>
          <w:tcPr>
            <w:tcW w:w="1226" w:type="dxa"/>
          </w:tcPr>
          <w:p>
            <w:pPr>
              <w:jc w:val="center"/>
              <w:rPr>
                <w:noProof/>
                <w:color w:val="000000"/>
                <w:sz w:val="23"/>
                <w:szCs w:val="23"/>
              </w:rPr>
            </w:pPr>
            <w:r>
              <w:rPr>
                <w:noProof/>
                <w:color w:val="000000"/>
                <w:sz w:val="23"/>
                <w:szCs w:val="23"/>
              </w:rPr>
              <w:t>93</w:t>
            </w:r>
          </w:p>
        </w:tc>
        <w:tc>
          <w:tcPr>
            <w:tcW w:w="7790" w:type="dxa"/>
          </w:tcPr>
          <w:p>
            <w:pPr>
              <w:rPr>
                <w:noProof/>
                <w:color w:val="000000"/>
                <w:sz w:val="23"/>
                <w:szCs w:val="23"/>
              </w:rPr>
            </w:pPr>
            <w:r>
              <w:rPr>
                <w:noProof/>
                <w:color w:val="000000"/>
                <w:sz w:val="23"/>
                <w:szCs w:val="23"/>
              </w:rPr>
              <w:t xml:space="preserve">Единни технически предписания за одобрение на: </w:t>
            </w:r>
          </w:p>
          <w:p>
            <w:pPr>
              <w:pStyle w:val="ListParagraph"/>
              <w:numPr>
                <w:ilvl w:val="0"/>
                <w:numId w:val="6"/>
              </w:numPr>
              <w:spacing w:after="0" w:line="240" w:lineRule="auto"/>
              <w:ind w:left="471" w:hanging="425"/>
              <w:rPr>
                <w:rFonts w:ascii="Times New Roman" w:hAnsi="Times New Roman" w:cs="Times New Roman"/>
                <w:noProof/>
                <w:color w:val="000000"/>
                <w:sz w:val="23"/>
                <w:szCs w:val="23"/>
              </w:rPr>
            </w:pPr>
            <w:r>
              <w:rPr>
                <w:rFonts w:ascii="Times New Roman" w:hAnsi="Times New Roman"/>
                <w:noProof/>
                <w:color w:val="000000"/>
                <w:sz w:val="23"/>
                <w:szCs w:val="23"/>
              </w:rPr>
              <w:t xml:space="preserve">Предни нискоразположени защитни устройства (ПНРЗУ) </w:t>
            </w:r>
          </w:p>
          <w:p>
            <w:pPr>
              <w:pStyle w:val="ListParagraph"/>
              <w:numPr>
                <w:ilvl w:val="0"/>
                <w:numId w:val="6"/>
              </w:numPr>
              <w:spacing w:after="0" w:line="240" w:lineRule="auto"/>
              <w:ind w:left="471" w:hanging="425"/>
              <w:rPr>
                <w:rFonts w:ascii="Times New Roman" w:hAnsi="Times New Roman" w:cs="Times New Roman"/>
                <w:noProof/>
                <w:color w:val="000000"/>
                <w:sz w:val="23"/>
                <w:szCs w:val="23"/>
              </w:rPr>
            </w:pPr>
            <w:r>
              <w:rPr>
                <w:rFonts w:ascii="Times New Roman" w:hAnsi="Times New Roman"/>
                <w:noProof/>
                <w:color w:val="000000"/>
                <w:sz w:val="23"/>
                <w:szCs w:val="23"/>
              </w:rPr>
              <w:t xml:space="preserve">Превозни средства по отношение на монтиране на ПНРЗУ от одобрен тип </w:t>
            </w:r>
          </w:p>
          <w:p>
            <w:pPr>
              <w:pStyle w:val="ListParagraph"/>
              <w:numPr>
                <w:ilvl w:val="0"/>
                <w:numId w:val="6"/>
              </w:numPr>
              <w:spacing w:after="0" w:line="240" w:lineRule="auto"/>
              <w:ind w:left="471" w:hanging="425"/>
              <w:rPr>
                <w:rFonts w:ascii="Times New Roman" w:hAnsi="Times New Roman" w:cs="Times New Roman"/>
                <w:noProof/>
                <w:color w:val="000000"/>
                <w:sz w:val="23"/>
                <w:szCs w:val="23"/>
              </w:rPr>
            </w:pPr>
            <w:r>
              <w:rPr>
                <w:rFonts w:ascii="Times New Roman" w:hAnsi="Times New Roman"/>
                <w:noProof/>
                <w:color w:val="000000"/>
                <w:sz w:val="23"/>
                <w:szCs w:val="23"/>
              </w:rPr>
              <w:t>Превозни средства по отношение на тяхната предна нискоразположена защита (ПНРЗ)</w:t>
            </w:r>
          </w:p>
        </w:tc>
      </w:tr>
      <w:tr>
        <w:tc>
          <w:tcPr>
            <w:tcW w:w="1226" w:type="dxa"/>
          </w:tcPr>
          <w:p>
            <w:pPr>
              <w:jc w:val="center"/>
              <w:rPr>
                <w:noProof/>
                <w:color w:val="000000"/>
                <w:sz w:val="23"/>
                <w:szCs w:val="23"/>
              </w:rPr>
            </w:pPr>
            <w:r>
              <w:rPr>
                <w:noProof/>
                <w:color w:val="000000"/>
                <w:sz w:val="23"/>
                <w:szCs w:val="23"/>
              </w:rPr>
              <w:t>94</w:t>
            </w:r>
          </w:p>
        </w:tc>
        <w:tc>
          <w:tcPr>
            <w:tcW w:w="7790" w:type="dxa"/>
          </w:tcPr>
          <w:p>
            <w:pPr>
              <w:rPr>
                <w:noProof/>
                <w:color w:val="000000"/>
                <w:sz w:val="23"/>
                <w:szCs w:val="23"/>
              </w:rPr>
            </w:pPr>
            <w:r>
              <w:rPr>
                <w:noProof/>
                <w:color w:val="000000"/>
                <w:sz w:val="23"/>
                <w:szCs w:val="23"/>
              </w:rPr>
              <w:t>Единни предписания за одобряване на превозни средства по отношение на защитата на пътниците в случай на челен удар</w:t>
            </w:r>
          </w:p>
        </w:tc>
      </w:tr>
      <w:tr>
        <w:tc>
          <w:tcPr>
            <w:tcW w:w="1226" w:type="dxa"/>
          </w:tcPr>
          <w:p>
            <w:pPr>
              <w:jc w:val="center"/>
              <w:rPr>
                <w:noProof/>
                <w:color w:val="000000"/>
                <w:sz w:val="23"/>
                <w:szCs w:val="23"/>
              </w:rPr>
            </w:pPr>
            <w:r>
              <w:rPr>
                <w:noProof/>
                <w:color w:val="000000"/>
                <w:sz w:val="23"/>
                <w:szCs w:val="23"/>
              </w:rPr>
              <w:t>95</w:t>
            </w:r>
          </w:p>
        </w:tc>
        <w:tc>
          <w:tcPr>
            <w:tcW w:w="7790" w:type="dxa"/>
          </w:tcPr>
          <w:p>
            <w:pPr>
              <w:rPr>
                <w:noProof/>
                <w:color w:val="000000"/>
                <w:sz w:val="23"/>
                <w:szCs w:val="23"/>
              </w:rPr>
            </w:pPr>
            <w:r>
              <w:rPr>
                <w:noProof/>
                <w:color w:val="000000"/>
                <w:sz w:val="23"/>
                <w:szCs w:val="23"/>
              </w:rPr>
              <w:t>Единни предписания за одобряване на превозни средства по отношение на защитата на пътниците в случай на страничен удар</w:t>
            </w:r>
          </w:p>
        </w:tc>
      </w:tr>
      <w:tr>
        <w:tc>
          <w:tcPr>
            <w:tcW w:w="1226" w:type="dxa"/>
          </w:tcPr>
          <w:p>
            <w:pPr>
              <w:jc w:val="center"/>
              <w:rPr>
                <w:noProof/>
                <w:color w:val="000000"/>
                <w:sz w:val="23"/>
                <w:szCs w:val="23"/>
              </w:rPr>
            </w:pPr>
            <w:r>
              <w:rPr>
                <w:noProof/>
                <w:color w:val="000000"/>
                <w:sz w:val="23"/>
                <w:szCs w:val="23"/>
              </w:rPr>
              <w:t>98</w:t>
            </w:r>
          </w:p>
        </w:tc>
        <w:tc>
          <w:tcPr>
            <w:tcW w:w="7790" w:type="dxa"/>
          </w:tcPr>
          <w:p>
            <w:pPr>
              <w:rPr>
                <w:noProof/>
                <w:color w:val="000000"/>
                <w:sz w:val="23"/>
                <w:szCs w:val="23"/>
              </w:rPr>
            </w:pPr>
            <w:r>
              <w:rPr>
                <w:noProof/>
                <w:color w:val="000000"/>
                <w:sz w:val="23"/>
                <w:szCs w:val="23"/>
              </w:rPr>
              <w:t>Единни предписания по отношение на одобряването на фарове на моторни превозни средства, оборудвани с газоразредни светлинни източници</w:t>
            </w:r>
          </w:p>
        </w:tc>
      </w:tr>
      <w:tr>
        <w:tc>
          <w:tcPr>
            <w:tcW w:w="1226" w:type="dxa"/>
          </w:tcPr>
          <w:p>
            <w:pPr>
              <w:jc w:val="center"/>
              <w:rPr>
                <w:noProof/>
                <w:color w:val="000000"/>
                <w:sz w:val="23"/>
                <w:szCs w:val="23"/>
              </w:rPr>
            </w:pPr>
            <w:r>
              <w:rPr>
                <w:noProof/>
                <w:color w:val="000000"/>
                <w:sz w:val="23"/>
                <w:szCs w:val="23"/>
              </w:rPr>
              <w:t>99</w:t>
            </w:r>
          </w:p>
        </w:tc>
        <w:tc>
          <w:tcPr>
            <w:tcW w:w="7790" w:type="dxa"/>
          </w:tcPr>
          <w:p>
            <w:pPr>
              <w:rPr>
                <w:noProof/>
                <w:color w:val="000000"/>
                <w:sz w:val="23"/>
                <w:szCs w:val="23"/>
              </w:rPr>
            </w:pPr>
            <w:r>
              <w:rPr>
                <w:noProof/>
                <w:color w:val="000000"/>
                <w:sz w:val="23"/>
                <w:szCs w:val="23"/>
              </w:rPr>
              <w:t>Единни предписания за одобрение на газоразрядни светлинни източници, предназначени за използване в одобрени газоразрядни лампови устройства на моторни превозни средства</w:t>
            </w:r>
          </w:p>
        </w:tc>
      </w:tr>
      <w:tr>
        <w:tc>
          <w:tcPr>
            <w:tcW w:w="1226" w:type="dxa"/>
          </w:tcPr>
          <w:p>
            <w:pPr>
              <w:jc w:val="center"/>
              <w:rPr>
                <w:noProof/>
                <w:color w:val="000000"/>
                <w:sz w:val="23"/>
                <w:szCs w:val="23"/>
              </w:rPr>
            </w:pPr>
            <w:r>
              <w:rPr>
                <w:noProof/>
                <w:color w:val="000000"/>
                <w:sz w:val="23"/>
                <w:szCs w:val="23"/>
              </w:rPr>
              <w:t>100</w:t>
            </w:r>
          </w:p>
        </w:tc>
        <w:tc>
          <w:tcPr>
            <w:tcW w:w="7790" w:type="dxa"/>
          </w:tcPr>
          <w:p>
            <w:pPr>
              <w:rPr>
                <w:noProof/>
                <w:color w:val="000000"/>
                <w:sz w:val="23"/>
                <w:szCs w:val="23"/>
              </w:rPr>
            </w:pPr>
            <w:r>
              <w:rPr>
                <w:noProof/>
                <w:color w:val="000000"/>
                <w:sz w:val="23"/>
                <w:szCs w:val="23"/>
              </w:rPr>
              <w:t>Единни предписания относно одобряването на превозни средства по отношение на специфичните изисквания за електрическото силово предаване</w:t>
            </w:r>
          </w:p>
        </w:tc>
      </w:tr>
      <w:tr>
        <w:tc>
          <w:tcPr>
            <w:tcW w:w="1226" w:type="dxa"/>
          </w:tcPr>
          <w:p>
            <w:pPr>
              <w:jc w:val="center"/>
              <w:rPr>
                <w:noProof/>
                <w:color w:val="000000"/>
                <w:sz w:val="23"/>
                <w:szCs w:val="23"/>
              </w:rPr>
            </w:pPr>
            <w:r>
              <w:rPr>
                <w:noProof/>
                <w:color w:val="000000"/>
                <w:sz w:val="23"/>
                <w:szCs w:val="23"/>
              </w:rPr>
              <w:t>104</w:t>
            </w:r>
          </w:p>
        </w:tc>
        <w:tc>
          <w:tcPr>
            <w:tcW w:w="7790" w:type="dxa"/>
          </w:tcPr>
          <w:p>
            <w:pPr>
              <w:tabs>
                <w:tab w:val="left" w:pos="2380"/>
              </w:tabs>
              <w:rPr>
                <w:noProof/>
                <w:color w:val="000000"/>
                <w:sz w:val="23"/>
                <w:szCs w:val="23"/>
              </w:rPr>
            </w:pPr>
            <w:r>
              <w:rPr>
                <w:noProof/>
                <w:color w:val="000000"/>
                <w:sz w:val="23"/>
                <w:szCs w:val="23"/>
              </w:rPr>
              <w:t>Единни предписания относно одобряването на светлоотразителните маркировки за превозните средства от категории M, N и O</w:t>
            </w:r>
          </w:p>
        </w:tc>
      </w:tr>
      <w:tr>
        <w:tc>
          <w:tcPr>
            <w:tcW w:w="1226" w:type="dxa"/>
          </w:tcPr>
          <w:p>
            <w:pPr>
              <w:jc w:val="center"/>
              <w:rPr>
                <w:noProof/>
                <w:color w:val="000000"/>
                <w:sz w:val="23"/>
                <w:szCs w:val="23"/>
              </w:rPr>
            </w:pPr>
            <w:r>
              <w:rPr>
                <w:noProof/>
                <w:color w:val="000000"/>
                <w:sz w:val="23"/>
                <w:szCs w:val="23"/>
              </w:rPr>
              <w:t>110</w:t>
            </w:r>
          </w:p>
        </w:tc>
        <w:tc>
          <w:tcPr>
            <w:tcW w:w="7790" w:type="dxa"/>
          </w:tcPr>
          <w:p>
            <w:pPr>
              <w:rPr>
                <w:noProof/>
                <w:color w:val="000000"/>
                <w:sz w:val="23"/>
                <w:szCs w:val="23"/>
              </w:rPr>
            </w:pPr>
            <w:r>
              <w:rPr>
                <w:noProof/>
                <w:color w:val="000000"/>
                <w:sz w:val="23"/>
                <w:szCs w:val="23"/>
              </w:rPr>
              <w:t xml:space="preserve">Единни предписания относно одобрението на: </w:t>
            </w:r>
          </w:p>
          <w:p>
            <w:pPr>
              <w:pStyle w:val="ListParagraph"/>
              <w:numPr>
                <w:ilvl w:val="0"/>
                <w:numId w:val="7"/>
              </w:numPr>
              <w:spacing w:after="0" w:line="240" w:lineRule="auto"/>
              <w:ind w:left="471" w:hanging="467"/>
              <w:rPr>
                <w:rFonts w:ascii="Times New Roman" w:hAnsi="Times New Roman" w:cs="Times New Roman"/>
                <w:noProof/>
                <w:color w:val="000000"/>
                <w:sz w:val="23"/>
                <w:szCs w:val="23"/>
              </w:rPr>
            </w:pPr>
            <w:r>
              <w:rPr>
                <w:rFonts w:ascii="Times New Roman" w:hAnsi="Times New Roman"/>
                <w:noProof/>
                <w:color w:val="000000"/>
                <w:sz w:val="23"/>
                <w:szCs w:val="23"/>
              </w:rPr>
              <w:t xml:space="preserve">Специалните компоненти на моторните превозни средства, в чиято система за задвижване се използва сгъстен природен газ (СПГ) и/или втечнен природен газ (ВПГ) </w:t>
            </w:r>
          </w:p>
          <w:p>
            <w:pPr>
              <w:pStyle w:val="ListParagraph"/>
              <w:numPr>
                <w:ilvl w:val="0"/>
                <w:numId w:val="7"/>
              </w:numPr>
              <w:spacing w:after="0" w:line="240" w:lineRule="auto"/>
              <w:ind w:left="471" w:hanging="467"/>
              <w:rPr>
                <w:rFonts w:ascii="Times New Roman" w:hAnsi="Times New Roman" w:cs="Times New Roman"/>
                <w:noProof/>
                <w:color w:val="000000"/>
                <w:sz w:val="23"/>
                <w:szCs w:val="23"/>
              </w:rPr>
            </w:pPr>
            <w:r>
              <w:rPr>
                <w:rFonts w:ascii="Times New Roman" w:hAnsi="Times New Roman"/>
                <w:noProof/>
                <w:color w:val="000000"/>
                <w:sz w:val="23"/>
                <w:szCs w:val="23"/>
              </w:rPr>
              <w:t>Превозните средства по отношение на монтирането на специални компоненти от одобрен тип за използване на сгъстен природен газ (СПГ) и/или втечнен природен газ (ВПГ) в системата им за задвижване</w:t>
            </w:r>
          </w:p>
        </w:tc>
      </w:tr>
      <w:tr>
        <w:tc>
          <w:tcPr>
            <w:tcW w:w="1226" w:type="dxa"/>
          </w:tcPr>
          <w:p>
            <w:pPr>
              <w:jc w:val="center"/>
              <w:rPr>
                <w:noProof/>
                <w:color w:val="000000"/>
                <w:sz w:val="23"/>
                <w:szCs w:val="23"/>
              </w:rPr>
            </w:pPr>
            <w:r>
              <w:rPr>
                <w:noProof/>
                <w:color w:val="000000"/>
                <w:sz w:val="23"/>
                <w:szCs w:val="23"/>
              </w:rPr>
              <w:t>112</w:t>
            </w:r>
          </w:p>
        </w:tc>
        <w:tc>
          <w:tcPr>
            <w:tcW w:w="7790" w:type="dxa"/>
          </w:tcPr>
          <w:p>
            <w:pPr>
              <w:rPr>
                <w:noProof/>
                <w:color w:val="000000"/>
                <w:sz w:val="23"/>
                <w:szCs w:val="23"/>
              </w:rPr>
            </w:pPr>
            <w:r>
              <w:rPr>
                <w:noProof/>
                <w:color w:val="000000"/>
                <w:sz w:val="23"/>
                <w:szCs w:val="23"/>
              </w:rPr>
              <w:t>Единни условия относно одобрението на фарове за моторни превозни средства, излъчващи асиметрична къса и/или дълга светлина, оборудвани с нажежаеми лампи и/или светодиодни модули</w:t>
            </w:r>
          </w:p>
        </w:tc>
      </w:tr>
      <w:tr>
        <w:tc>
          <w:tcPr>
            <w:tcW w:w="1226" w:type="dxa"/>
          </w:tcPr>
          <w:p>
            <w:pPr>
              <w:jc w:val="center"/>
              <w:rPr>
                <w:noProof/>
                <w:color w:val="000000"/>
                <w:sz w:val="23"/>
                <w:szCs w:val="23"/>
              </w:rPr>
            </w:pPr>
            <w:r>
              <w:rPr>
                <w:noProof/>
                <w:color w:val="000000"/>
                <w:sz w:val="23"/>
                <w:szCs w:val="23"/>
              </w:rPr>
              <w:t>113</w:t>
            </w:r>
          </w:p>
        </w:tc>
        <w:tc>
          <w:tcPr>
            <w:tcW w:w="7790" w:type="dxa"/>
          </w:tcPr>
          <w:p>
            <w:pPr>
              <w:rPr>
                <w:noProof/>
                <w:color w:val="000000"/>
                <w:sz w:val="23"/>
                <w:szCs w:val="23"/>
              </w:rPr>
            </w:pPr>
            <w:r>
              <w:rPr>
                <w:noProof/>
                <w:color w:val="000000"/>
                <w:sz w:val="23"/>
                <w:szCs w:val="23"/>
              </w:rPr>
              <w:t>Единни предписания относно одобряването на фаровете за моторни превозни средства, излъчващи симетрична къса и/или дълга светлина, оборудвани с нажежаеми лампи, газоразрядни светлинни източници или светодиодни модули</w:t>
            </w:r>
          </w:p>
        </w:tc>
      </w:tr>
      <w:tr>
        <w:tc>
          <w:tcPr>
            <w:tcW w:w="1226" w:type="dxa"/>
          </w:tcPr>
          <w:p>
            <w:pPr>
              <w:jc w:val="center"/>
              <w:rPr>
                <w:noProof/>
                <w:color w:val="000000"/>
                <w:sz w:val="23"/>
                <w:szCs w:val="23"/>
              </w:rPr>
            </w:pPr>
            <w:r>
              <w:rPr>
                <w:noProof/>
                <w:color w:val="000000"/>
                <w:sz w:val="23"/>
                <w:szCs w:val="23"/>
              </w:rPr>
              <w:t>116</w:t>
            </w:r>
          </w:p>
        </w:tc>
        <w:tc>
          <w:tcPr>
            <w:tcW w:w="7790" w:type="dxa"/>
          </w:tcPr>
          <w:p>
            <w:pPr>
              <w:rPr>
                <w:noProof/>
                <w:color w:val="000000"/>
                <w:sz w:val="23"/>
                <w:szCs w:val="23"/>
              </w:rPr>
            </w:pPr>
            <w:r>
              <w:rPr>
                <w:noProof/>
                <w:color w:val="000000"/>
                <w:sz w:val="23"/>
                <w:szCs w:val="23"/>
              </w:rPr>
              <w:t>Единни технически предписания относно защитата на моторните превозни средства срещу неразрешено използване</w:t>
            </w:r>
          </w:p>
        </w:tc>
      </w:tr>
      <w:tr>
        <w:tc>
          <w:tcPr>
            <w:tcW w:w="1226" w:type="dxa"/>
          </w:tcPr>
          <w:p>
            <w:pPr>
              <w:jc w:val="center"/>
              <w:rPr>
                <w:noProof/>
                <w:color w:val="000000"/>
                <w:sz w:val="23"/>
                <w:szCs w:val="23"/>
              </w:rPr>
            </w:pPr>
            <w:r>
              <w:rPr>
                <w:noProof/>
                <w:color w:val="000000"/>
                <w:sz w:val="23"/>
                <w:szCs w:val="23"/>
              </w:rPr>
              <w:t>117</w:t>
            </w:r>
          </w:p>
        </w:tc>
        <w:tc>
          <w:tcPr>
            <w:tcW w:w="7790" w:type="dxa"/>
          </w:tcPr>
          <w:p>
            <w:pPr>
              <w:rPr>
                <w:noProof/>
                <w:color w:val="000000"/>
                <w:sz w:val="23"/>
                <w:szCs w:val="23"/>
              </w:rPr>
            </w:pPr>
            <w:r>
              <w:rPr>
                <w:noProof/>
                <w:color w:val="000000"/>
                <w:sz w:val="23"/>
                <w:szCs w:val="23"/>
              </w:rPr>
              <w:t>Единни предписания относно одобряването на гуми по отношение на шума, излъчван при търкаляне, сцеплението върху влажна повърхност и/или съпротивлението при търкаляне</w:t>
            </w:r>
          </w:p>
        </w:tc>
      </w:tr>
      <w:tr>
        <w:tc>
          <w:tcPr>
            <w:tcW w:w="1226" w:type="dxa"/>
          </w:tcPr>
          <w:p>
            <w:pPr>
              <w:jc w:val="center"/>
              <w:rPr>
                <w:noProof/>
                <w:color w:val="000000"/>
                <w:sz w:val="23"/>
                <w:szCs w:val="23"/>
              </w:rPr>
            </w:pPr>
            <w:r>
              <w:rPr>
                <w:noProof/>
                <w:color w:val="000000"/>
                <w:sz w:val="23"/>
                <w:szCs w:val="23"/>
              </w:rPr>
              <w:t>119</w:t>
            </w:r>
          </w:p>
        </w:tc>
        <w:tc>
          <w:tcPr>
            <w:tcW w:w="7790" w:type="dxa"/>
          </w:tcPr>
          <w:p>
            <w:pPr>
              <w:rPr>
                <w:noProof/>
                <w:color w:val="000000"/>
                <w:sz w:val="23"/>
                <w:szCs w:val="23"/>
              </w:rPr>
            </w:pPr>
            <w:r>
              <w:rPr>
                <w:noProof/>
                <w:color w:val="000000"/>
                <w:sz w:val="23"/>
                <w:szCs w:val="23"/>
              </w:rPr>
              <w:t>Единни предписания относно одобряването на светлините за завой за моторните превозни средства</w:t>
            </w:r>
          </w:p>
        </w:tc>
      </w:tr>
      <w:tr>
        <w:tc>
          <w:tcPr>
            <w:tcW w:w="1226" w:type="dxa"/>
          </w:tcPr>
          <w:p>
            <w:pPr>
              <w:jc w:val="center"/>
              <w:rPr>
                <w:noProof/>
                <w:color w:val="000000"/>
                <w:sz w:val="23"/>
                <w:szCs w:val="23"/>
              </w:rPr>
            </w:pPr>
            <w:r>
              <w:rPr>
                <w:noProof/>
                <w:color w:val="000000"/>
                <w:sz w:val="23"/>
                <w:szCs w:val="23"/>
              </w:rPr>
              <w:t>121</w:t>
            </w:r>
          </w:p>
        </w:tc>
        <w:tc>
          <w:tcPr>
            <w:tcW w:w="7790" w:type="dxa"/>
          </w:tcPr>
          <w:p>
            <w:pPr>
              <w:rPr>
                <w:noProof/>
                <w:color w:val="000000"/>
                <w:sz w:val="23"/>
                <w:szCs w:val="23"/>
              </w:rPr>
            </w:pPr>
            <w:r>
              <w:rPr>
                <w:noProof/>
                <w:color w:val="000000"/>
                <w:sz w:val="23"/>
                <w:szCs w:val="23"/>
              </w:rPr>
              <w:t>Единни предписания за одобрение на превозни средства по отношение на местоположението и обозначението на органите за ръчно управление, сигналните устройства и показващите уреди</w:t>
            </w:r>
          </w:p>
        </w:tc>
      </w:tr>
      <w:tr>
        <w:tc>
          <w:tcPr>
            <w:tcW w:w="1226" w:type="dxa"/>
          </w:tcPr>
          <w:p>
            <w:pPr>
              <w:jc w:val="center"/>
              <w:rPr>
                <w:noProof/>
                <w:color w:val="000000"/>
                <w:sz w:val="23"/>
                <w:szCs w:val="23"/>
              </w:rPr>
            </w:pPr>
            <w:r>
              <w:rPr>
                <w:noProof/>
                <w:color w:val="000000"/>
                <w:sz w:val="23"/>
                <w:szCs w:val="23"/>
              </w:rPr>
              <w:t>123</w:t>
            </w:r>
          </w:p>
        </w:tc>
        <w:tc>
          <w:tcPr>
            <w:tcW w:w="7790" w:type="dxa"/>
          </w:tcPr>
          <w:p>
            <w:pPr>
              <w:rPr>
                <w:noProof/>
                <w:color w:val="000000"/>
                <w:sz w:val="23"/>
                <w:szCs w:val="23"/>
              </w:rPr>
            </w:pPr>
            <w:r>
              <w:rPr>
                <w:noProof/>
                <w:color w:val="000000"/>
                <w:sz w:val="23"/>
                <w:szCs w:val="23"/>
              </w:rPr>
              <w:t>Единни разпоредби относно одобрението на адаптиращи се системи за предно осветяване (АСПО) за моторни превозни средства</w:t>
            </w:r>
          </w:p>
        </w:tc>
      </w:tr>
      <w:tr>
        <w:tc>
          <w:tcPr>
            <w:tcW w:w="1226" w:type="dxa"/>
          </w:tcPr>
          <w:p>
            <w:pPr>
              <w:jc w:val="center"/>
              <w:rPr>
                <w:noProof/>
                <w:color w:val="000000"/>
                <w:sz w:val="23"/>
                <w:szCs w:val="23"/>
              </w:rPr>
            </w:pPr>
            <w:r>
              <w:rPr>
                <w:noProof/>
                <w:color w:val="000000"/>
                <w:sz w:val="23"/>
                <w:szCs w:val="23"/>
              </w:rPr>
              <w:t>125</w:t>
            </w:r>
          </w:p>
        </w:tc>
        <w:tc>
          <w:tcPr>
            <w:tcW w:w="7790" w:type="dxa"/>
          </w:tcPr>
          <w:p>
            <w:pPr>
              <w:rPr>
                <w:noProof/>
                <w:color w:val="000000"/>
                <w:sz w:val="23"/>
                <w:szCs w:val="23"/>
              </w:rPr>
            </w:pPr>
            <w:r>
              <w:rPr>
                <w:noProof/>
                <w:color w:val="000000"/>
                <w:sz w:val="23"/>
                <w:szCs w:val="23"/>
              </w:rPr>
              <w:t>Единни разпоредби относно одобряването на моторни превозни средства по отношение на полето на видимост напред на водача на моторното превозно средство</w:t>
            </w:r>
          </w:p>
        </w:tc>
      </w:tr>
      <w:tr>
        <w:tc>
          <w:tcPr>
            <w:tcW w:w="1226" w:type="dxa"/>
          </w:tcPr>
          <w:p>
            <w:pPr>
              <w:jc w:val="center"/>
              <w:rPr>
                <w:noProof/>
                <w:color w:val="000000"/>
                <w:sz w:val="23"/>
                <w:szCs w:val="23"/>
              </w:rPr>
            </w:pPr>
            <w:r>
              <w:rPr>
                <w:noProof/>
                <w:color w:val="000000"/>
                <w:sz w:val="23"/>
                <w:szCs w:val="23"/>
              </w:rPr>
              <w:t>127</w:t>
            </w:r>
          </w:p>
        </w:tc>
        <w:tc>
          <w:tcPr>
            <w:tcW w:w="7790" w:type="dxa"/>
          </w:tcPr>
          <w:p>
            <w:pPr>
              <w:rPr>
                <w:noProof/>
                <w:color w:val="000000"/>
                <w:sz w:val="23"/>
                <w:szCs w:val="23"/>
              </w:rPr>
            </w:pPr>
            <w:r>
              <w:rPr>
                <w:noProof/>
                <w:color w:val="000000"/>
                <w:sz w:val="23"/>
                <w:szCs w:val="23"/>
              </w:rPr>
              <w:t>Единни предписания за одобряване на моторни превозни средства по отношение на техните показатели за безопасност на пешеходците</w:t>
            </w:r>
          </w:p>
        </w:tc>
      </w:tr>
      <w:tr>
        <w:tc>
          <w:tcPr>
            <w:tcW w:w="1226" w:type="dxa"/>
          </w:tcPr>
          <w:p>
            <w:pPr>
              <w:jc w:val="center"/>
              <w:rPr>
                <w:noProof/>
                <w:color w:val="000000"/>
                <w:sz w:val="23"/>
                <w:szCs w:val="23"/>
              </w:rPr>
            </w:pPr>
            <w:r>
              <w:rPr>
                <w:noProof/>
                <w:color w:val="000000"/>
                <w:sz w:val="23"/>
                <w:szCs w:val="23"/>
              </w:rPr>
              <w:t>128</w:t>
            </w:r>
          </w:p>
        </w:tc>
        <w:tc>
          <w:tcPr>
            <w:tcW w:w="7790" w:type="dxa"/>
          </w:tcPr>
          <w:p>
            <w:pPr>
              <w:rPr>
                <w:noProof/>
                <w:color w:val="000000"/>
                <w:sz w:val="23"/>
                <w:szCs w:val="23"/>
              </w:rPr>
            </w:pPr>
            <w:r>
              <w:rPr>
                <w:noProof/>
                <w:color w:val="000000"/>
                <w:sz w:val="23"/>
                <w:szCs w:val="23"/>
              </w:rPr>
              <w:t>Единни предписания за одобрение на светодиодни светлинни източници, предназначени за използване в одобрени светлинни модули на моторните превозни средства и техните ремаркета</w:t>
            </w:r>
          </w:p>
        </w:tc>
      </w:tr>
      <w:tr>
        <w:tc>
          <w:tcPr>
            <w:tcW w:w="1226" w:type="dxa"/>
          </w:tcPr>
          <w:p>
            <w:pPr>
              <w:jc w:val="center"/>
              <w:rPr>
                <w:noProof/>
                <w:color w:val="000000"/>
                <w:sz w:val="23"/>
                <w:szCs w:val="23"/>
              </w:rPr>
            </w:pPr>
            <w:r>
              <w:rPr>
                <w:noProof/>
                <w:color w:val="000000"/>
                <w:sz w:val="23"/>
                <w:szCs w:val="23"/>
              </w:rPr>
              <w:t>129</w:t>
            </w:r>
          </w:p>
        </w:tc>
        <w:tc>
          <w:tcPr>
            <w:tcW w:w="7790" w:type="dxa"/>
          </w:tcPr>
          <w:p>
            <w:pPr>
              <w:rPr>
                <w:noProof/>
                <w:color w:val="000000"/>
                <w:sz w:val="23"/>
                <w:szCs w:val="23"/>
              </w:rPr>
            </w:pPr>
            <w:r>
              <w:rPr>
                <w:noProof/>
                <w:color w:val="000000"/>
                <w:sz w:val="23"/>
                <w:szCs w:val="23"/>
              </w:rPr>
              <w:t>Единни разпоредби относно одобрението на усъвършенстваните системи за обезопасяване на деца в моторните превозни средства (ECRS)</w:t>
            </w:r>
          </w:p>
        </w:tc>
      </w:tr>
      <w:tr>
        <w:tc>
          <w:tcPr>
            <w:tcW w:w="1226" w:type="dxa"/>
          </w:tcPr>
          <w:p>
            <w:pPr>
              <w:jc w:val="center"/>
              <w:rPr>
                <w:noProof/>
                <w:color w:val="000000"/>
                <w:sz w:val="23"/>
                <w:szCs w:val="23"/>
              </w:rPr>
            </w:pPr>
            <w:r>
              <w:rPr>
                <w:noProof/>
                <w:color w:val="000000"/>
                <w:sz w:val="23"/>
                <w:szCs w:val="23"/>
              </w:rPr>
              <w:t>130</w:t>
            </w:r>
          </w:p>
        </w:tc>
        <w:tc>
          <w:tcPr>
            <w:tcW w:w="7790" w:type="dxa"/>
          </w:tcPr>
          <w:p>
            <w:pPr>
              <w:rPr>
                <w:noProof/>
                <w:color w:val="000000"/>
                <w:sz w:val="23"/>
                <w:szCs w:val="23"/>
              </w:rPr>
            </w:pPr>
            <w:r>
              <w:rPr>
                <w:noProof/>
                <w:color w:val="000000"/>
                <w:sz w:val="23"/>
                <w:szCs w:val="23"/>
              </w:rPr>
              <w:t>Единни предписания относно одобряването на моторните превозни средства по отношение на системата за предупреждение при напускане на лентата за движение (LDWS)</w:t>
            </w:r>
          </w:p>
        </w:tc>
      </w:tr>
      <w:tr>
        <w:tc>
          <w:tcPr>
            <w:tcW w:w="1226" w:type="dxa"/>
          </w:tcPr>
          <w:p>
            <w:pPr>
              <w:jc w:val="center"/>
              <w:rPr>
                <w:noProof/>
                <w:color w:val="000000"/>
                <w:sz w:val="23"/>
                <w:szCs w:val="23"/>
              </w:rPr>
            </w:pPr>
            <w:r>
              <w:rPr>
                <w:noProof/>
                <w:color w:val="000000"/>
                <w:sz w:val="23"/>
                <w:szCs w:val="23"/>
              </w:rPr>
              <w:t>131</w:t>
            </w:r>
          </w:p>
        </w:tc>
        <w:tc>
          <w:tcPr>
            <w:tcW w:w="7790" w:type="dxa"/>
          </w:tcPr>
          <w:p>
            <w:pPr>
              <w:rPr>
                <w:noProof/>
                <w:color w:val="000000"/>
                <w:sz w:val="23"/>
                <w:szCs w:val="23"/>
              </w:rPr>
            </w:pPr>
            <w:r>
              <w:rPr>
                <w:noProof/>
                <w:color w:val="000000"/>
                <w:sz w:val="23"/>
                <w:szCs w:val="23"/>
              </w:rPr>
              <w:t>Единни предписания относно одобряването на моторните превозни средства по отношение на усъвършенстваните системи за аварийно спиране (AEBS)</w:t>
            </w:r>
          </w:p>
        </w:tc>
      </w:tr>
      <w:tr>
        <w:trPr>
          <w:trHeight w:val="800"/>
        </w:trPr>
        <w:tc>
          <w:tcPr>
            <w:tcW w:w="1226" w:type="dxa"/>
          </w:tcPr>
          <w:p>
            <w:pPr>
              <w:jc w:val="center"/>
              <w:rPr>
                <w:noProof/>
                <w:color w:val="000000"/>
                <w:sz w:val="23"/>
                <w:szCs w:val="23"/>
              </w:rPr>
            </w:pPr>
            <w:r>
              <w:rPr>
                <w:noProof/>
                <w:color w:val="000000"/>
                <w:sz w:val="23"/>
                <w:szCs w:val="23"/>
              </w:rPr>
              <w:t>134</w:t>
            </w:r>
          </w:p>
        </w:tc>
        <w:tc>
          <w:tcPr>
            <w:tcW w:w="7790" w:type="dxa"/>
          </w:tcPr>
          <w:p>
            <w:pPr>
              <w:rPr>
                <w:noProof/>
                <w:color w:val="000000"/>
                <w:sz w:val="23"/>
                <w:szCs w:val="23"/>
              </w:rPr>
            </w:pPr>
            <w:r>
              <w:rPr>
                <w:noProof/>
                <w:color w:val="000000"/>
                <w:sz w:val="23"/>
                <w:szCs w:val="23"/>
              </w:rPr>
              <w:t>Единни предписания за одобрение на моторни превозни средства и техните компоненти по отношение на характеристиките, свързани с безопасността на превозни средства, работещи с водородно гориво</w:t>
            </w:r>
            <w:r>
              <w:rPr>
                <w:rStyle w:val="FootnoteReference"/>
                <w:noProof/>
                <w:color w:val="000000"/>
                <w:sz w:val="23"/>
                <w:szCs w:val="23"/>
              </w:rPr>
              <w:footnoteReference w:id="1"/>
            </w:r>
          </w:p>
        </w:tc>
      </w:tr>
      <w:tr>
        <w:trPr>
          <w:trHeight w:val="160"/>
        </w:trPr>
        <w:tc>
          <w:tcPr>
            <w:tcW w:w="1226" w:type="dxa"/>
          </w:tcPr>
          <w:p>
            <w:pPr>
              <w:jc w:val="center"/>
              <w:rPr>
                <w:noProof/>
                <w:color w:val="000000"/>
                <w:sz w:val="23"/>
                <w:szCs w:val="23"/>
              </w:rPr>
            </w:pPr>
            <w:r>
              <w:rPr>
                <w:noProof/>
                <w:color w:val="000000"/>
                <w:sz w:val="23"/>
                <w:szCs w:val="23"/>
              </w:rPr>
              <w:t>135</w:t>
            </w:r>
          </w:p>
        </w:tc>
        <w:tc>
          <w:tcPr>
            <w:tcW w:w="7790" w:type="dxa"/>
          </w:tcPr>
          <w:p>
            <w:pPr>
              <w:tabs>
                <w:tab w:val="left" w:pos="1380"/>
              </w:tabs>
              <w:rPr>
                <w:noProof/>
                <w:color w:val="000000"/>
                <w:sz w:val="23"/>
                <w:szCs w:val="23"/>
              </w:rPr>
            </w:pPr>
            <w:r>
              <w:rPr>
                <w:noProof/>
                <w:color w:val="000000"/>
                <w:sz w:val="23"/>
                <w:szCs w:val="23"/>
              </w:rPr>
              <w:t>Единни предписания за одобряване на превозни средства по отношение на техните показатели при страничен удар в стълб (СУС)</w:t>
            </w:r>
          </w:p>
        </w:tc>
      </w:tr>
      <w:tr>
        <w:trPr>
          <w:trHeight w:val="230"/>
        </w:trPr>
        <w:tc>
          <w:tcPr>
            <w:tcW w:w="1226" w:type="dxa"/>
          </w:tcPr>
          <w:p>
            <w:pPr>
              <w:jc w:val="center"/>
              <w:rPr>
                <w:noProof/>
                <w:color w:val="000000"/>
                <w:sz w:val="23"/>
                <w:szCs w:val="23"/>
              </w:rPr>
            </w:pPr>
            <w:r>
              <w:rPr>
                <w:noProof/>
                <w:color w:val="000000"/>
                <w:sz w:val="23"/>
                <w:szCs w:val="23"/>
              </w:rPr>
              <w:t>136</w:t>
            </w:r>
          </w:p>
        </w:tc>
        <w:tc>
          <w:tcPr>
            <w:tcW w:w="7790" w:type="dxa"/>
          </w:tcPr>
          <w:p>
            <w:pPr>
              <w:rPr>
                <w:noProof/>
                <w:color w:val="000000"/>
                <w:sz w:val="23"/>
                <w:szCs w:val="23"/>
              </w:rPr>
            </w:pPr>
            <w:r>
              <w:rPr>
                <w:noProof/>
                <w:color w:val="000000"/>
                <w:sz w:val="23"/>
                <w:szCs w:val="23"/>
              </w:rPr>
              <w:t>Единни предписания относно одобрението на превозни средства от категория L по отношение на специфичните изисквания за електрическото силово предаване</w:t>
            </w:r>
          </w:p>
        </w:tc>
      </w:tr>
      <w:tr>
        <w:trPr>
          <w:trHeight w:val="150"/>
        </w:trPr>
        <w:tc>
          <w:tcPr>
            <w:tcW w:w="1226" w:type="dxa"/>
          </w:tcPr>
          <w:p>
            <w:pPr>
              <w:jc w:val="center"/>
              <w:rPr>
                <w:noProof/>
                <w:color w:val="000000"/>
                <w:sz w:val="23"/>
                <w:szCs w:val="23"/>
              </w:rPr>
            </w:pPr>
            <w:r>
              <w:rPr>
                <w:noProof/>
                <w:color w:val="000000"/>
                <w:sz w:val="23"/>
                <w:szCs w:val="23"/>
              </w:rPr>
              <w:t>137</w:t>
            </w:r>
          </w:p>
        </w:tc>
        <w:tc>
          <w:tcPr>
            <w:tcW w:w="7790" w:type="dxa"/>
          </w:tcPr>
          <w:p>
            <w:pPr>
              <w:tabs>
                <w:tab w:val="left" w:pos="1410"/>
              </w:tabs>
              <w:rPr>
                <w:noProof/>
                <w:color w:val="000000"/>
                <w:sz w:val="23"/>
                <w:szCs w:val="23"/>
              </w:rPr>
            </w:pPr>
            <w:r>
              <w:rPr>
                <w:noProof/>
                <w:color w:val="000000"/>
                <w:sz w:val="23"/>
                <w:szCs w:val="23"/>
              </w:rPr>
              <w:t>Единни предписания за одобряване на леки автомобили в случай на челен удар с обръщане на особено внимание на системата за обезопасяване</w:t>
            </w:r>
          </w:p>
        </w:tc>
      </w:tr>
      <w:tr>
        <w:trPr>
          <w:trHeight w:val="104"/>
        </w:trPr>
        <w:tc>
          <w:tcPr>
            <w:tcW w:w="1226" w:type="dxa"/>
          </w:tcPr>
          <w:p>
            <w:pPr>
              <w:jc w:val="center"/>
              <w:rPr>
                <w:noProof/>
                <w:color w:val="000000"/>
                <w:sz w:val="23"/>
                <w:szCs w:val="23"/>
              </w:rPr>
            </w:pPr>
            <w:r>
              <w:rPr>
                <w:noProof/>
                <w:color w:val="000000"/>
                <w:sz w:val="23"/>
                <w:szCs w:val="23"/>
              </w:rPr>
              <w:t>138</w:t>
            </w:r>
          </w:p>
        </w:tc>
        <w:tc>
          <w:tcPr>
            <w:tcW w:w="7790" w:type="dxa"/>
          </w:tcPr>
          <w:p>
            <w:pPr>
              <w:tabs>
                <w:tab w:val="left" w:pos="2910"/>
              </w:tabs>
              <w:rPr>
                <w:noProof/>
                <w:color w:val="000000"/>
                <w:sz w:val="23"/>
                <w:szCs w:val="23"/>
              </w:rPr>
            </w:pPr>
            <w:r>
              <w:rPr>
                <w:noProof/>
                <w:color w:val="000000"/>
                <w:sz w:val="23"/>
                <w:szCs w:val="23"/>
              </w:rPr>
              <w:t>Единни разпоредби за одобряване на тихи пътни превозни средства по отношение на тяхната намалена чуваемост</w:t>
            </w:r>
          </w:p>
        </w:tc>
      </w:tr>
      <w:tr>
        <w:trPr>
          <w:trHeight w:val="114"/>
        </w:trPr>
        <w:tc>
          <w:tcPr>
            <w:tcW w:w="1226" w:type="dxa"/>
          </w:tcPr>
          <w:p>
            <w:pPr>
              <w:jc w:val="center"/>
              <w:rPr>
                <w:noProof/>
                <w:color w:val="000000"/>
                <w:sz w:val="23"/>
                <w:szCs w:val="23"/>
              </w:rPr>
            </w:pPr>
            <w:r>
              <w:rPr>
                <w:noProof/>
                <w:color w:val="000000"/>
                <w:sz w:val="23"/>
                <w:szCs w:val="23"/>
              </w:rPr>
              <w:t>139</w:t>
            </w:r>
          </w:p>
        </w:tc>
        <w:tc>
          <w:tcPr>
            <w:tcW w:w="7790" w:type="dxa"/>
          </w:tcPr>
          <w:p>
            <w:pPr>
              <w:rPr>
                <w:noProof/>
                <w:color w:val="000000"/>
                <w:sz w:val="23"/>
                <w:szCs w:val="23"/>
              </w:rPr>
            </w:pPr>
            <w:r>
              <w:rPr>
                <w:noProof/>
                <w:color w:val="000000"/>
                <w:sz w:val="23"/>
                <w:szCs w:val="23"/>
              </w:rPr>
              <w:t>Единни предписания за одобрение на леки автомобили по отношение на спирачните сервоусилватели (BAS)</w:t>
            </w:r>
          </w:p>
        </w:tc>
      </w:tr>
      <w:tr>
        <w:trPr>
          <w:trHeight w:val="140"/>
        </w:trPr>
        <w:tc>
          <w:tcPr>
            <w:tcW w:w="1226" w:type="dxa"/>
          </w:tcPr>
          <w:p>
            <w:pPr>
              <w:jc w:val="center"/>
              <w:rPr>
                <w:noProof/>
                <w:color w:val="000000"/>
                <w:sz w:val="23"/>
                <w:szCs w:val="23"/>
              </w:rPr>
            </w:pPr>
            <w:r>
              <w:rPr>
                <w:noProof/>
                <w:color w:val="000000"/>
                <w:sz w:val="23"/>
                <w:szCs w:val="23"/>
              </w:rPr>
              <w:t>140</w:t>
            </w:r>
          </w:p>
        </w:tc>
        <w:tc>
          <w:tcPr>
            <w:tcW w:w="7790" w:type="dxa"/>
          </w:tcPr>
          <w:p>
            <w:pPr>
              <w:tabs>
                <w:tab w:val="left" w:pos="2130"/>
              </w:tabs>
              <w:rPr>
                <w:noProof/>
                <w:color w:val="000000"/>
                <w:sz w:val="23"/>
                <w:szCs w:val="23"/>
              </w:rPr>
            </w:pPr>
            <w:r>
              <w:rPr>
                <w:noProof/>
                <w:color w:val="000000"/>
                <w:sz w:val="23"/>
                <w:szCs w:val="23"/>
              </w:rPr>
              <w:t>Единни предписания за одобрение на леки автомобили по отношение на електронните системи за управление на стабилността (електронните системи за УС)</w:t>
            </w:r>
          </w:p>
        </w:tc>
      </w:tr>
      <w:tr>
        <w:trPr>
          <w:trHeight w:val="170"/>
        </w:trPr>
        <w:tc>
          <w:tcPr>
            <w:tcW w:w="1226" w:type="dxa"/>
          </w:tcPr>
          <w:p>
            <w:pPr>
              <w:jc w:val="center"/>
              <w:rPr>
                <w:noProof/>
                <w:color w:val="000000"/>
                <w:sz w:val="23"/>
                <w:szCs w:val="23"/>
              </w:rPr>
            </w:pPr>
            <w:r>
              <w:rPr>
                <w:noProof/>
                <w:color w:val="000000"/>
                <w:sz w:val="23"/>
                <w:szCs w:val="23"/>
              </w:rPr>
              <w:t>141</w:t>
            </w:r>
          </w:p>
        </w:tc>
        <w:tc>
          <w:tcPr>
            <w:tcW w:w="7790" w:type="dxa"/>
          </w:tcPr>
          <w:p>
            <w:pPr>
              <w:rPr>
                <w:noProof/>
                <w:color w:val="000000"/>
                <w:sz w:val="23"/>
                <w:szCs w:val="23"/>
              </w:rPr>
            </w:pPr>
            <w:r>
              <w:rPr>
                <w:noProof/>
                <w:color w:val="000000"/>
                <w:sz w:val="23"/>
                <w:szCs w:val="23"/>
              </w:rPr>
              <w:t>Единни предписания за одобрение на превозните средства по отношение на системите им за следене на налягането в гумите (ССНГ)</w:t>
            </w:r>
          </w:p>
        </w:tc>
      </w:tr>
      <w:tr>
        <w:trPr>
          <w:trHeight w:val="200"/>
        </w:trPr>
        <w:tc>
          <w:tcPr>
            <w:tcW w:w="1226" w:type="dxa"/>
          </w:tcPr>
          <w:p>
            <w:pPr>
              <w:jc w:val="center"/>
              <w:rPr>
                <w:noProof/>
                <w:color w:val="000000"/>
                <w:sz w:val="23"/>
                <w:szCs w:val="23"/>
              </w:rPr>
            </w:pPr>
            <w:r>
              <w:rPr>
                <w:noProof/>
                <w:color w:val="000000"/>
                <w:sz w:val="23"/>
                <w:szCs w:val="23"/>
              </w:rPr>
              <w:t>142</w:t>
            </w:r>
          </w:p>
        </w:tc>
        <w:tc>
          <w:tcPr>
            <w:tcW w:w="7790" w:type="dxa"/>
          </w:tcPr>
          <w:p>
            <w:pPr>
              <w:rPr>
                <w:noProof/>
                <w:color w:val="000000"/>
                <w:sz w:val="23"/>
                <w:szCs w:val="23"/>
              </w:rPr>
            </w:pPr>
            <w:r>
              <w:rPr>
                <w:noProof/>
                <w:color w:val="000000"/>
                <w:sz w:val="23"/>
                <w:szCs w:val="23"/>
              </w:rPr>
              <w:t>Единни разпоредби относно одобрението на моторни превозни средства по отношение на монтирането на техните гуми</w:t>
            </w:r>
          </w:p>
        </w:tc>
      </w:tr>
      <w:tr>
        <w:tc>
          <w:tcPr>
            <w:tcW w:w="1226" w:type="dxa"/>
          </w:tcPr>
          <w:p>
            <w:pPr>
              <w:jc w:val="center"/>
              <w:rPr>
                <w:noProof/>
                <w:color w:val="000000"/>
                <w:sz w:val="23"/>
                <w:szCs w:val="23"/>
              </w:rPr>
            </w:pPr>
            <w:r>
              <w:rPr>
                <w:noProof/>
                <w:color w:val="000000"/>
                <w:sz w:val="23"/>
                <w:szCs w:val="23"/>
              </w:rPr>
              <w:t>145</w:t>
            </w:r>
          </w:p>
        </w:tc>
        <w:tc>
          <w:tcPr>
            <w:tcW w:w="7790" w:type="dxa"/>
          </w:tcPr>
          <w:p>
            <w:pPr>
              <w:rPr>
                <w:noProof/>
                <w:color w:val="000000"/>
                <w:sz w:val="23"/>
                <w:szCs w:val="23"/>
              </w:rPr>
            </w:pPr>
            <w:r>
              <w:rPr>
                <w:noProof/>
                <w:color w:val="000000"/>
                <w:sz w:val="23"/>
                <w:szCs w:val="23"/>
              </w:rPr>
              <w:t>Единни предписания относно одобряването на превозни средства по отношение на системите за закрепване ISOFIX, горните лентови устройства за закрепване ISOFIX и местата за сядане, съвместими със сядане по стандарта i-Size</w:t>
            </w:r>
          </w:p>
        </w:tc>
      </w:tr>
      <w:tr>
        <w:tc>
          <w:tcPr>
            <w:tcW w:w="1226" w:type="dxa"/>
          </w:tcPr>
          <w:p>
            <w:pPr>
              <w:jc w:val="center"/>
              <w:rPr>
                <w:noProof/>
                <w:color w:val="000000"/>
                <w:sz w:val="23"/>
                <w:szCs w:val="23"/>
              </w:rPr>
            </w:pPr>
            <w:r>
              <w:rPr>
                <w:noProof/>
                <w:color w:val="000000"/>
                <w:sz w:val="23"/>
                <w:szCs w:val="23"/>
              </w:rPr>
              <w:t>146</w:t>
            </w:r>
          </w:p>
        </w:tc>
        <w:tc>
          <w:tcPr>
            <w:tcW w:w="7790" w:type="dxa"/>
          </w:tcPr>
          <w:p>
            <w:pPr>
              <w:rPr>
                <w:noProof/>
                <w:color w:val="000000"/>
                <w:sz w:val="23"/>
                <w:szCs w:val="23"/>
              </w:rPr>
            </w:pPr>
            <w:r>
              <w:rPr>
                <w:noProof/>
                <w:color w:val="000000"/>
                <w:sz w:val="23"/>
                <w:szCs w:val="23"/>
              </w:rPr>
              <w:t>Единни предписания за одобрение на моторни превозни средства и техните компоненти по отношение на свързаните с безопасността характеристики на превозните средства, използващи за гориво водород, от категории L1, L2, L3, L4 и L5</w:t>
            </w:r>
          </w:p>
        </w:tc>
      </w:tr>
    </w:tbl>
    <w:p>
      <w:pPr>
        <w:rPr>
          <w:noProof/>
          <w:color w:val="000000"/>
          <w:sz w:val="23"/>
          <w:szCs w:val="23"/>
        </w:rPr>
        <w:sectPr>
          <w:pgSz w:w="11907" w:h="16839"/>
          <w:pgMar w:top="1134" w:right="1417" w:bottom="1134" w:left="1417" w:header="709" w:footer="709" w:gutter="0"/>
          <w:cols w:space="720"/>
          <w:docGrid w:linePitch="360"/>
        </w:sectPr>
      </w:pPr>
    </w:p>
    <w:p>
      <w:pPr>
        <w:jc w:val="right"/>
        <w:rPr>
          <w:noProof/>
          <w:color w:val="000000"/>
          <w:sz w:val="23"/>
          <w:szCs w:val="23"/>
        </w:rPr>
      </w:pPr>
      <w:r>
        <w:rPr>
          <w:noProof/>
          <w:color w:val="000000"/>
          <w:sz w:val="23"/>
          <w:szCs w:val="23"/>
        </w:rPr>
        <w:t>Приложение 2</w:t>
      </w:r>
    </w:p>
    <w:p>
      <w:pPr>
        <w:spacing w:after="360"/>
        <w:jc w:val="center"/>
        <w:rPr>
          <w:noProof/>
          <w:color w:val="000000"/>
          <w:sz w:val="23"/>
          <w:szCs w:val="23"/>
        </w:rPr>
      </w:pPr>
      <w:r>
        <w:rPr>
          <w:noProof/>
          <w:color w:val="000000"/>
          <w:sz w:val="23"/>
          <w:szCs w:val="23"/>
        </w:rPr>
        <w:t>ДОПЪЛНЕНИЕ 2-В-2</w:t>
      </w:r>
    </w:p>
    <w:p>
      <w:pPr>
        <w:spacing w:after="360"/>
        <w:jc w:val="center"/>
        <w:rPr>
          <w:noProof/>
          <w:color w:val="000000"/>
          <w:sz w:val="23"/>
          <w:szCs w:val="23"/>
        </w:rPr>
      </w:pPr>
      <w:r>
        <w:rPr>
          <w:noProof/>
          <w:color w:val="000000"/>
          <w:sz w:val="23"/>
          <w:szCs w:val="23"/>
        </w:rPr>
        <w:t>ПРАВИЛА НА ООН, ПРИЛАГАНИ ОТ ЕДНА ОТ СТРАНИТЕ, КОИТО ВСЕ ОЩЕ НЕ СА ВЗЕТИ ПРЕДВИД ОТ ДРУГАТА СТРАНА</w:t>
      </w:r>
    </w:p>
    <w:tbl>
      <w:tblPr>
        <w:tblStyle w:val="TableGrid"/>
        <w:tblW w:w="0" w:type="auto"/>
        <w:tblLook w:val="04A0" w:firstRow="1" w:lastRow="0" w:firstColumn="1" w:lastColumn="0" w:noHBand="0" w:noVBand="1"/>
      </w:tblPr>
      <w:tblGrid>
        <w:gridCol w:w="1226"/>
        <w:gridCol w:w="5913"/>
        <w:gridCol w:w="1877"/>
      </w:tblGrid>
      <w:tr>
        <w:trPr>
          <w:trHeight w:val="140"/>
        </w:trPr>
        <w:tc>
          <w:tcPr>
            <w:tcW w:w="1226" w:type="dxa"/>
          </w:tcPr>
          <w:p>
            <w:pPr>
              <w:jc w:val="center"/>
              <w:rPr>
                <w:noProof/>
                <w:color w:val="000000"/>
                <w:sz w:val="20"/>
                <w:szCs w:val="20"/>
              </w:rPr>
            </w:pPr>
            <w:r>
              <w:rPr>
                <w:noProof/>
                <w:color w:val="000000"/>
                <w:sz w:val="20"/>
                <w:szCs w:val="20"/>
              </w:rPr>
              <w:t>Правило №</w:t>
            </w:r>
          </w:p>
        </w:tc>
        <w:tc>
          <w:tcPr>
            <w:tcW w:w="5913" w:type="dxa"/>
          </w:tcPr>
          <w:p>
            <w:pPr>
              <w:tabs>
                <w:tab w:val="left" w:pos="2130"/>
              </w:tabs>
              <w:jc w:val="center"/>
              <w:rPr>
                <w:noProof/>
                <w:color w:val="000000"/>
                <w:sz w:val="23"/>
                <w:szCs w:val="23"/>
              </w:rPr>
            </w:pPr>
            <w:r>
              <w:rPr>
                <w:noProof/>
                <w:color w:val="000000"/>
                <w:sz w:val="23"/>
                <w:szCs w:val="23"/>
              </w:rPr>
              <w:t>Наименование</w:t>
            </w:r>
          </w:p>
        </w:tc>
        <w:tc>
          <w:tcPr>
            <w:tcW w:w="1877" w:type="dxa"/>
          </w:tcPr>
          <w:p>
            <w:pPr>
              <w:tabs>
                <w:tab w:val="left" w:pos="2130"/>
              </w:tabs>
              <w:jc w:val="center"/>
              <w:rPr>
                <w:noProof/>
                <w:color w:val="000000"/>
                <w:sz w:val="23"/>
                <w:szCs w:val="23"/>
              </w:rPr>
            </w:pPr>
            <w:r>
              <w:rPr>
                <w:noProof/>
                <w:color w:val="000000"/>
                <w:sz w:val="23"/>
                <w:szCs w:val="23"/>
              </w:rPr>
              <w:t>Дата на прилагане от другата страна</w:t>
            </w:r>
            <w:r>
              <w:rPr>
                <w:rStyle w:val="FootnoteReference"/>
                <w:noProof/>
                <w:color w:val="000000"/>
                <w:sz w:val="23"/>
                <w:szCs w:val="23"/>
              </w:rPr>
              <w:footnoteReference w:id="2"/>
            </w:r>
          </w:p>
        </w:tc>
      </w:tr>
      <w:tr>
        <w:trPr>
          <w:trHeight w:val="140"/>
        </w:trPr>
        <w:tc>
          <w:tcPr>
            <w:tcW w:w="1226" w:type="dxa"/>
          </w:tcPr>
          <w:p>
            <w:pPr>
              <w:jc w:val="center"/>
              <w:rPr>
                <w:noProof/>
                <w:color w:val="000000"/>
                <w:sz w:val="23"/>
                <w:szCs w:val="23"/>
                <w:highlight w:val="yellow"/>
              </w:rPr>
            </w:pPr>
            <w:r>
              <w:rPr>
                <w:noProof/>
                <w:color w:val="000000"/>
                <w:sz w:val="23"/>
                <w:szCs w:val="23"/>
              </w:rPr>
              <w:t>73</w:t>
            </w:r>
          </w:p>
        </w:tc>
        <w:tc>
          <w:tcPr>
            <w:tcW w:w="5913" w:type="dxa"/>
          </w:tcPr>
          <w:p>
            <w:pPr>
              <w:tabs>
                <w:tab w:val="left" w:pos="2130"/>
              </w:tabs>
              <w:rPr>
                <w:noProof/>
                <w:color w:val="000000"/>
                <w:sz w:val="23"/>
                <w:szCs w:val="23"/>
                <w:highlight w:val="yellow"/>
              </w:rPr>
            </w:pPr>
            <w:r>
              <w:rPr>
                <w:noProof/>
                <w:color w:val="000000"/>
                <w:sz w:val="23"/>
                <w:szCs w:val="23"/>
              </w:rPr>
              <w:t>Единни предписания относно одобрението на: I. Превозни средства по отношение на техните устройства за странична защита (УСЗ) II. Устройства за странична защита (УСЗ) III. Превозни средства по отношение на монтажа на УСЗ от одобрен тип съгласно част II от настоящото правило</w:t>
            </w:r>
          </w:p>
        </w:tc>
        <w:tc>
          <w:tcPr>
            <w:tcW w:w="1877" w:type="dxa"/>
          </w:tcPr>
          <w:p>
            <w:pPr>
              <w:tabs>
                <w:tab w:val="left" w:pos="2130"/>
              </w:tabs>
              <w:jc w:val="center"/>
              <w:rPr>
                <w:noProof/>
                <w:color w:val="000000"/>
                <w:sz w:val="23"/>
                <w:szCs w:val="23"/>
              </w:rPr>
            </w:pPr>
          </w:p>
        </w:tc>
      </w:tr>
      <w:tr>
        <w:trPr>
          <w:trHeight w:val="170"/>
        </w:trPr>
        <w:tc>
          <w:tcPr>
            <w:tcW w:w="1226" w:type="dxa"/>
          </w:tcPr>
          <w:p>
            <w:pPr>
              <w:jc w:val="center"/>
              <w:rPr>
                <w:noProof/>
                <w:color w:val="000000"/>
                <w:sz w:val="23"/>
                <w:szCs w:val="23"/>
              </w:rPr>
            </w:pPr>
            <w:r>
              <w:rPr>
                <w:noProof/>
                <w:color w:val="000000"/>
                <w:sz w:val="23"/>
                <w:szCs w:val="23"/>
              </w:rPr>
              <w:t>126</w:t>
            </w:r>
          </w:p>
        </w:tc>
        <w:tc>
          <w:tcPr>
            <w:tcW w:w="5913" w:type="dxa"/>
          </w:tcPr>
          <w:p>
            <w:pPr>
              <w:rPr>
                <w:noProof/>
                <w:color w:val="000000"/>
                <w:sz w:val="23"/>
                <w:szCs w:val="23"/>
              </w:rPr>
            </w:pPr>
            <w:r>
              <w:rPr>
                <w:noProof/>
                <w:color w:val="000000"/>
                <w:sz w:val="23"/>
                <w:szCs w:val="23"/>
              </w:rPr>
              <w:t>Единни разпоредби относно одобрението на системи за преграждане с оглед на защитата на пътниците от изместен багаж, доставяни като непървоначално оборудване на превозното средство</w:t>
            </w:r>
          </w:p>
        </w:tc>
        <w:tc>
          <w:tcPr>
            <w:tcW w:w="1877" w:type="dxa"/>
          </w:tcPr>
          <w:p>
            <w:pPr>
              <w:rPr>
                <w:noProof/>
                <w:color w:val="000000"/>
                <w:sz w:val="23"/>
                <w:szCs w:val="23"/>
              </w:rPr>
            </w:pP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color w:val="000000"/>
        </w:rPr>
        <w:t>Що се отнася до Япония, доколкото резервоарите са маркирани в съответствие с член 46 от японския Закон за безопасност на газта под високо налягане (Закон № 204 от 1951 г.), условията за одобряване на даден тип превозно средство, който е бил одобрен от орган по одобряването на типа на Европейския съюз в съответствие с Правило № 134 на ООН, са, както следва:</w:t>
      </w:r>
      <w:r>
        <w:t xml:space="preserve"> </w:t>
      </w:r>
    </w:p>
    <w:p>
      <w:pPr>
        <w:pStyle w:val="Point0letter"/>
        <w:spacing w:before="0" w:after="0"/>
        <w:rPr>
          <w:sz w:val="20"/>
          <w:szCs w:val="20"/>
        </w:rPr>
      </w:pPr>
      <w:r>
        <w:rPr>
          <w:sz w:val="20"/>
          <w:szCs w:val="20"/>
        </w:rPr>
        <w:t xml:space="preserve">към момента на подаване на заявлението в съответствие с японския Закон за безопасност на газта под високо налягане производителят или неговият законен представител в Япония представя доказателство, че: </w:t>
      </w:r>
    </w:p>
    <w:p>
      <w:pPr>
        <w:pStyle w:val="Point1"/>
        <w:spacing w:before="0" w:after="0"/>
        <w:rPr>
          <w:sz w:val="20"/>
          <w:szCs w:val="20"/>
        </w:rPr>
      </w:pPr>
      <w:r>
        <w:rPr>
          <w:sz w:val="20"/>
          <w:szCs w:val="20"/>
        </w:rPr>
        <w:t>i)</w:t>
      </w:r>
      <w:r>
        <w:tab/>
      </w:r>
      <w:r>
        <w:rPr>
          <w:sz w:val="20"/>
          <w:szCs w:val="20"/>
        </w:rPr>
        <w:t xml:space="preserve">материалът, от който са направени резервоарите, е равностоен на SUS F 316L, указан съгласно JIS (японски промишлен стандарт) G 3214; за целите на настоящата подточка съответствието с DIN1.4435 от датата на влизане в сила на настоящото споразумение се счита за изпълнение на това изискване; </w:t>
      </w:r>
    </w:p>
    <w:p>
      <w:pPr>
        <w:pStyle w:val="Point1"/>
        <w:spacing w:before="0" w:after="0"/>
        <w:rPr>
          <w:sz w:val="20"/>
          <w:szCs w:val="20"/>
        </w:rPr>
      </w:pPr>
      <w:r>
        <w:rPr>
          <w:sz w:val="20"/>
          <w:szCs w:val="20"/>
        </w:rPr>
        <w:t>ii)</w:t>
      </w:r>
      <w:r>
        <w:tab/>
      </w:r>
      <w:r>
        <w:rPr>
          <w:sz w:val="20"/>
          <w:szCs w:val="20"/>
        </w:rPr>
        <w:t xml:space="preserve">„никеловият еквивалент“ (тегловни %) е над 28,5; за целите на настоящата подточка „никеловият еквивалент“ (в тегловни %) се определя като: „12,6[C]+0,35[Si]+1,05[Mn]+[Ni]+0,65[Cr]+0,98[Mo]“, като се доказва чрез протокол за заводско изпитване на материала; и </w:t>
      </w:r>
    </w:p>
    <w:p>
      <w:pPr>
        <w:pStyle w:val="Point1"/>
        <w:spacing w:before="0" w:after="0"/>
        <w:rPr>
          <w:sz w:val="20"/>
          <w:szCs w:val="20"/>
        </w:rPr>
      </w:pPr>
      <w:r>
        <w:rPr>
          <w:sz w:val="20"/>
          <w:szCs w:val="20"/>
        </w:rPr>
        <w:t>iii)</w:t>
      </w:r>
      <w:r>
        <w:tab/>
      </w:r>
      <w:r>
        <w:rPr>
          <w:sz w:val="20"/>
          <w:szCs w:val="20"/>
        </w:rPr>
        <w:t xml:space="preserve">резултатът от изпитването за „относително свиване“ е над 75 %; в случай че резултатът от изпитването е между 72 % и 75 %, заявлението ще бъде разгледано, като се вземе предвид „никеловият еквивалент“; и </w:t>
      </w:r>
    </w:p>
    <w:p>
      <w:pPr>
        <w:pStyle w:val="Point0letter"/>
        <w:spacing w:before="0" w:after="0"/>
        <w:rPr>
          <w:color w:val="000000"/>
          <w:sz w:val="20"/>
          <w:szCs w:val="20"/>
        </w:rPr>
      </w:pPr>
      <w:r>
        <w:rPr>
          <w:sz w:val="20"/>
          <w:szCs w:val="20"/>
        </w:rPr>
        <w:t xml:space="preserve">отделните </w:t>
      </w:r>
      <w:r>
        <w:rPr>
          <w:color w:val="000000"/>
          <w:sz w:val="20"/>
          <w:szCs w:val="20"/>
        </w:rPr>
        <w:t xml:space="preserve">превозни средства подлежат на двегодишна периодична инспекция на системата за съхранение на водород в съответствие с членове 49 и 49-4 от японския Закон за безопасността на газта под високо налягане и системата се демонтира след изтичане на 15 години от датата на производство. </w:t>
      </w:r>
    </w:p>
    <w:p>
      <w:pPr>
        <w:pStyle w:val="Text1"/>
        <w:spacing w:before="0" w:after="0"/>
        <w:rPr>
          <w:sz w:val="20"/>
          <w:szCs w:val="20"/>
        </w:rPr>
      </w:pPr>
      <w:r>
        <w:rPr>
          <w:sz w:val="20"/>
          <w:szCs w:val="20"/>
        </w:rPr>
        <w:t>Настоящата бележка под линия престава да поражда действие към момента, в който двете страни приключат работата по етап 2 от Глобално техническо правило (ГТП) № 13 относно водородните превозни средства и превозните средства с горивни елементи и приложат съответното правило на ООН съгласно Спогодбата от 1958 г.</w:t>
      </w:r>
    </w:p>
  </w:footnote>
  <w:footnote w:id="2">
    <w:p>
      <w:pPr>
        <w:pStyle w:val="FootnoteText"/>
      </w:pPr>
      <w:r>
        <w:rPr>
          <w:rStyle w:val="FootnoteReference"/>
        </w:rPr>
        <w:footnoteRef/>
      </w:r>
      <w:r>
        <w:tab/>
        <w:t>Дати, относно които трябва да бъде постигнато споразумение в съответствие с член 5, параграф 2 от настоящото приложение.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18F6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B96F4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B92F9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58B0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71AD6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4A7B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BC7426"/>
    <w:lvl w:ilvl="0">
      <w:start w:val="1"/>
      <w:numFmt w:val="decimal"/>
      <w:pStyle w:val="ListNumber"/>
      <w:lvlText w:val="%1."/>
      <w:lvlJc w:val="left"/>
      <w:pPr>
        <w:tabs>
          <w:tab w:val="num" w:pos="360"/>
        </w:tabs>
        <w:ind w:left="360" w:hanging="360"/>
      </w:pPr>
    </w:lvl>
  </w:abstractNum>
  <w:abstractNum w:abstractNumId="7">
    <w:nsid w:val="FFFFFF89"/>
    <w:multiLevelType w:val="singleLevel"/>
    <w:tmpl w:val="4FCA7D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06250C"/>
    <w:multiLevelType w:val="hybridMultilevel"/>
    <w:tmpl w:val="75D2976E"/>
    <w:lvl w:ilvl="0" w:tplc="AD201EF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F635AA3"/>
    <w:multiLevelType w:val="hybridMultilevel"/>
    <w:tmpl w:val="73D4EB7E"/>
    <w:lvl w:ilvl="0" w:tplc="580ACC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A17083E"/>
    <w:multiLevelType w:val="hybridMultilevel"/>
    <w:tmpl w:val="4F807232"/>
    <w:lvl w:ilvl="0" w:tplc="01D6AD2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7"/>
  </w:num>
  <w:num w:numId="6">
    <w:abstractNumId w:val="8"/>
  </w:num>
  <w:num w:numId="7">
    <w:abstractNumId w:val="10"/>
  </w:num>
  <w:num w:numId="8">
    <w:abstractNumId w:val="24"/>
    <w:lvlOverride w:ilvl="0">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21"/>
  </w:num>
  <w:num w:numId="15">
    <w:abstractNumId w:val="14"/>
  </w:num>
  <w:num w:numId="16">
    <w:abstractNumId w:val="23"/>
  </w:num>
  <w:num w:numId="17">
    <w:abstractNumId w:val="13"/>
  </w:num>
  <w:num w:numId="18">
    <w:abstractNumId w:val="15"/>
  </w:num>
  <w:num w:numId="19">
    <w:abstractNumId w:val="11"/>
  </w:num>
  <w:num w:numId="20">
    <w:abstractNumId w:val="22"/>
  </w:num>
  <w:num w:numId="21">
    <w:abstractNumId w:val="9"/>
  </w:num>
  <w:num w:numId="22">
    <w:abstractNumId w:val="16"/>
  </w:num>
  <w:num w:numId="23">
    <w:abstractNumId w:val="19"/>
  </w:num>
  <w:num w:numId="24">
    <w:abstractNumId w:val="20"/>
  </w:num>
  <w:num w:numId="25">
    <w:abstractNumId w:val="12"/>
  </w:num>
  <w:num w:numId="26">
    <w:abstractNumId w:val="18"/>
  </w:num>
  <w:num w:numId="27">
    <w:abstractNumId w:val="24"/>
  </w:num>
  <w:num w:numId="28">
    <w:abstractNumId w:val="21"/>
  </w:num>
  <w:num w:numId="29">
    <w:abstractNumId w:val="14"/>
  </w:num>
  <w:num w:numId="30">
    <w:abstractNumId w:val="23"/>
  </w:num>
  <w:num w:numId="31">
    <w:abstractNumId w:val="13"/>
  </w:num>
  <w:num w:numId="32">
    <w:abstractNumId w:val="15"/>
  </w:num>
  <w:num w:numId="33">
    <w:abstractNumId w:val="11"/>
  </w:num>
  <w:num w:numId="34">
    <w:abstractNumId w:val="22"/>
  </w:num>
  <w:num w:numId="35">
    <w:abstractNumId w:val="9"/>
  </w:num>
  <w:num w:numId="36">
    <w:abstractNumId w:val="16"/>
  </w:num>
  <w:num w:numId="37">
    <w:abstractNumId w:val="19"/>
  </w:num>
  <w:num w:numId="38">
    <w:abstractNumId w:val="20"/>
  </w:num>
  <w:num w:numId="39">
    <w:abstractNumId w:val="12"/>
  </w:num>
  <w:num w:numId="40">
    <w:abstractNumId w:val="18"/>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0 16:49: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6"/>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E36045C4-379B-447B-AD65-B1BA097C0EDB"/>
    <w:docVar w:name="LW_COVERPAGE_TYPE" w:val="1"/>
    <w:docVar w:name="LW_CROSSREFERENCE" w:val="&lt;UNUSED&gt;"/>
    <w:docVar w:name="LW_DocType" w:val="ANNEX"/>
    <w:docVar w:name="LW_EMISSION" w:val="28.10.2020"/>
    <w:docVar w:name="LW_EMISSION_ISODATE" w:val="2020-10-28"/>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9?\u1098?\u1075?\u1083?\u1072?\u1089?\u1085?\u1086? \u1057?\u1087?\u1086?\u1088?\u1072?\u1079?\u1091?\u1084?\u1077?\u1085?\u1080?\u1077?\u1090?\u1086? \u1084?\u1077?\u1078?\u1076?\u1091? \u1045?\u1074?\u1088?\u1086?\u1087?\u1077?\u1081?\u1089?\u1082?\u1080?\u1103? \u1089?\u1098?\u1102?\u1079? \u1080? \u1071?\u1087?\u1086?\u1085?\u1080?\u1103? \u1079?\u1072? \u1080?\u1082?\u1086?\u1085?\u1086?\u1084?\u1080?\u1095?\u1077?\u1089?\u1082?\u1086? \u1087?\u1072?\u1088?\u1090?\u1085?\u1100?\u1086?\u1088?\u1089?\u1090?\u1074?\u1086?, \u1087?\u1086? \u1086?\u1090?\u1085?\u1086?\u1096?\u1077?\u1085?\u1080?\u1077? \u1085?\u1072? \u1080?\u1079?\u1084?\u1077?\u1085?\u1077?\u1085?\u1080?\u1077?\u1090?\u1086? \u1085?\u1072? \u1076?\u1086?\u1087?\u1098?\u1083?\u1085?\u1077?\u1085?\u1080?\u1103? 2-\u1042?-1 \u1080? 2-\u1042?-2 \u1086?\u1090? \u1087?\u1088?\u1080?\u1083?\u1086?\u1078?\u1077?\u1085?\u1080?\u1077? 2-\u1042? \u1086?\u1090?\u1085?\u1086?\u1089?\u1085?\u1086? \u1084?\u1086?\u1090?\u1086?\u1088?\u1085?\u1080?\u1090?\u1077? \u1087?\u1088?\u1077?\u1074?\u1086?\u1079?\u1085?\u1080? \u1089?\u1088?\u1077?\u1076?\u1089?\u1090?\u1074?\u1072? \u1080? \u1095?\u1072?\u1089?\u1090?\u1080?\u1090?\u1077?"/>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9?\u1098?\u1075?\u1083?\u1072?\u1089?\u1085?\u1086? \u1057?\u1087?\u1086?\u1088?\u1072?\u1079?\u1091?\u1084?\u1077?\u1085?\u1080?\u1077?\u1090?\u1086? \u1084?\u1077?\u1078?\u1076?\u1091? \u1045?\u1074?\u1088?\u1086?\u1087?\u1077?\u1081?\u1089?\u1082?\u1080?\u1103? \u1089?\u1098?\u1102?\u1079? \u1080? \u1071?\u1087?\u1086?\u1085?\u1080?\u1103? \u1079?\u1072? \u1080?\u1082?\u1086?\u1085?\u1086?\u1084?\u1080?\u1095?\u1077?\u1089?\u1082?\u1086? \u1087?\u1072?\u1088?\u1090?\u1085?\u1100?\u1086?\u1088?\u1089?\u1090?\u1074?\u1086?, \u1087?\u1086? \u1086?\u1090?\u1085?\u1086?\u1096?\u1077?\u1085?\u1080?\u1077? \u1085?\u1072? \u1080?\u1079?\u1084?\u1077?\u1085?\u1077?\u1085?\u1080?\u1077?\u1090?\u1086? \u1085?\u1072? \u1076?\u1086?\u1087?\u1098?\u1083?\u1085?\u1077?\u1085?\u1080?\u1103? 2-\u1042?-1 \u1080? 2-\u1042?-2 \u1086?\u1090? \u1087?\u1088?\u1080?\u1083?\u1086?\u1078?\u1077?\u1085?\u1080?\u1077? 2-\u1042? \u1086?\u1090?\u1085?\u1086?\u1089?\u1085?\u1086? \u1084?\u1086?\u1090?\u1086?\u1088?\u1085?\u1080?\u1090?\u1077? \u1087?\u1088?\u1077?\u1074?\u1086?\u1079?\u1085?\u1080? \u1089?\u1088?\u1077?\u1076?\u1089?\u1090?\u1074?\u1072? \u1080? \u1095?\u1072?\u1089?\u1090?\u1080?\u1090?\u1077?"/>
    <w:docVar w:name="LW_PART_NBR" w:val="1"/>
    <w:docVar w:name="LW_PART_NBR_TOTAL" w:val="1"/>
    <w:docVar w:name="LW_REF.INST.NEW" w:val="COM"/>
    <w:docVar w:name="LW_REF.INST.NEW_ADOPTED" w:val="final"/>
    <w:docVar w:name="LW_REF.INST.NEW_TEXT" w:val="(2020) 6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_x000b__x000b_\u1056?\u1077?\u1096?\u1077?\u1085?\u1080?\u1077? \u1085?\u1072? \u1057?\u1098?\u1074?\u1077?\u1090?\u1072?"/>
    <w:docVar w:name="LW_TYPEACTEPRINCIPAL.CP" w:val="\u1055?\u1088?\u1077?\u1076?\u1083?\u1086?\u1078?\u1077?\u1085?\u1080?\u1077? \u1079?\u1072?_x000b__x000b_\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0" w:after="160" w:line="259" w:lineRule="auto"/>
      <w:ind w:left="720"/>
      <w:contextualSpacing/>
      <w:jc w:val="left"/>
    </w:pPr>
    <w:rPr>
      <w:rFonts w:asciiTheme="minorHAnsi" w:eastAsiaTheme="minorEastAsia"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0" w:after="160" w:line="259" w:lineRule="auto"/>
      <w:ind w:left="720"/>
      <w:contextualSpacing/>
      <w:jc w:val="left"/>
    </w:pPr>
    <w:rPr>
      <w:rFonts w:asciiTheme="minorHAnsi" w:eastAsiaTheme="minorEastAsia"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D9EC03-092D-4564-B827-91F06287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11</Pages>
  <Words>2235</Words>
  <Characters>13545</Characters>
  <Application>Microsoft Office Word</Application>
  <DocSecurity>0</DocSecurity>
  <Lines>387</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DIGIT/C6</cp:lastModifiedBy>
  <cp:revision>9</cp:revision>
  <dcterms:created xsi:type="dcterms:W3CDTF">2020-10-19T14:51:00Z</dcterms:created>
  <dcterms:modified xsi:type="dcterms:W3CDTF">2020-10-20T14:49:00Z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