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CAC79E06-A6CA-4522-82DC-75570B7C893B" style="width:450.7pt;height:393.65pt">
            <v:imagedata r:id="rId8" o:title=""/>
          </v:shape>
        </w:pict>
      </w:r>
    </w:p>
    <w:p>
      <w:pPr>
        <w:rPr>
          <w:noProof/>
        </w:rPr>
        <w:sectPr>
          <w:footerReference w:type="default" r:id="rId9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t>1.</w:t>
      </w:r>
      <w:r>
        <w:tab/>
      </w:r>
      <w:r>
        <w:rPr>
          <w:noProof/>
        </w:rPr>
        <w:t>Предмет на предложението</w:t>
      </w:r>
    </w:p>
    <w:p>
      <w:pPr>
        <w:rPr>
          <w:noProof/>
        </w:rPr>
      </w:pPr>
      <w:r>
        <w:rPr>
          <w:noProof/>
        </w:rPr>
        <w:t>Настоящото предложение се отнася до решение за установяване на позицията, която трябва да се заеме от името на Съюза в рамките на Съвместния комитет, създаден със Споразумението между Европейския съюз и Япония за икономическо партньорство, във връзка с предвиденото приемане на решение на Съвместния комитет за изменение на допълнения 2-В-1 и 2-В-2 от приложение 2-В относно моторните превозни средства и частите.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Контекст на предложението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>Споразумението между Европейския съюз и Япония за икономическо партньорство</w:t>
      </w:r>
    </w:p>
    <w:p>
      <w:pPr>
        <w:rPr>
          <w:noProof/>
        </w:rPr>
      </w:pPr>
      <w:r>
        <w:rPr>
          <w:noProof/>
        </w:rPr>
        <w:t>Споразумението между Европейския съюз и Япония за икономическо партньорство („споразумението“) има за цел да либерализира и улесни търговията и инвестициите, както и да насърчи по-тесните икономически връзки между страните. Споразумението влезе в сила на 1 февруари 2019 г.</w:t>
      </w:r>
    </w:p>
    <w:p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</w:rPr>
        <w:t>Съвместен комитет</w:t>
      </w:r>
    </w:p>
    <w:p>
      <w:pPr>
        <w:rPr>
          <w:noProof/>
        </w:rPr>
      </w:pPr>
      <w:r>
        <w:rPr>
          <w:noProof/>
        </w:rPr>
        <w:t xml:space="preserve">По силата на член 22.1, параграф 1 от споразумението се създава Съвместен комитет, съставен от представители на двете страни. Член 22.1, параграф 4 гласи, че за да гарантира надлежното и ефикасно действие на споразумението, „Съвместният комитет: 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приема на първото си заседание свой процедурен правилник; и 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приема на първото си заседание Процедурния правилник на специална група и Кодекса за поведение на арбитрите, посочени в член 21.30, както и Процедурата по медиация, посочена в член 21.6, параграф 2.“. </w:t>
      </w:r>
    </w:p>
    <w:p>
      <w:pPr>
        <w:rPr>
          <w:noProof/>
        </w:rPr>
      </w:pPr>
      <w:r>
        <w:rPr>
          <w:noProof/>
        </w:rPr>
        <w:t xml:space="preserve">Съгласно член 22.2, параграф 3 всички решения и препоръки на Съвместния комитет се вземат с консенсус. 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 xml:space="preserve">Предвиденият акт на Съвместния комитет </w:t>
      </w:r>
    </w:p>
    <w:p>
      <w:pPr>
        <w:rPr>
          <w:noProof/>
        </w:rPr>
      </w:pPr>
      <w:r>
        <w:rPr>
          <w:noProof/>
        </w:rPr>
        <w:t>С цел да се вземе предвид регулаторното развитие, настъпило в Япония и в ЕС по отношение на прилагането на правилата на ИКЕ на ООН, се предлага Съвместният комитет да приеме решение за изменение на допълнения 2-В-1 и 2-В-2 от приложение 2-В към споразумението. Измененията се отнасят до включването на правила 53, 85, 145 и 146 на ИКЕ на ООН в допълнение 2-В-1, като се заличават правила 53 и 85 на ИКЕ на ООН от допълнение 2-В-2.</w:t>
      </w:r>
    </w:p>
    <w:p>
      <w:pPr>
        <w:rPr>
          <w:noProof/>
        </w:rPr>
      </w:pPr>
      <w:r>
        <w:rPr>
          <w:noProof/>
        </w:rPr>
        <w:t>Предвиденият акт ще стане задължителен за страните в съответствие с член 22.2, параграф 1 от споразумението, в който се предвижда, че: „Съвместният комитет може да взема решения в случаите, предвидени в настоящото споразумение. Тези решения имат задължителна сила за страните. Всяка от страните взема необходимите мерки за изпълнение на взетите решения.“</w:t>
      </w:r>
    </w:p>
    <w:p>
      <w:pPr>
        <w:pStyle w:val="ManualHeading1"/>
        <w:rPr>
          <w:noProof/>
        </w:rPr>
      </w:pPr>
      <w:r>
        <w:t>3.</w:t>
      </w:r>
      <w:r>
        <w:tab/>
      </w:r>
      <w:r>
        <w:rPr>
          <w:noProof/>
        </w:rPr>
        <w:t>Позиция, която трябва да се заеме от името на Съюза</w:t>
      </w:r>
    </w:p>
    <w:p>
      <w:pPr>
        <w:rPr>
          <w:noProof/>
        </w:rPr>
      </w:pPr>
      <w:r>
        <w:rPr>
          <w:noProof/>
        </w:rPr>
        <w:t xml:space="preserve">С настоящото предложение за решение на Съвета се установява позицията, която трябва да се заеме от името на Съюза в рамките на Съвместния комитет, създаден със </w:t>
      </w:r>
      <w:r>
        <w:rPr>
          <w:noProof/>
        </w:rPr>
        <w:lastRenderedPageBreak/>
        <w:t>споразумението, относно изменението на допълнения 2-В-1 и 2-В-2 от приложение 2-В към споразумението.</w:t>
      </w:r>
    </w:p>
    <w:p>
      <w:pPr>
        <w:rPr>
          <w:noProof/>
        </w:rPr>
      </w:pPr>
      <w:r>
        <w:rPr>
          <w:noProof/>
        </w:rPr>
        <w:t>Въз основа на оценката на първата Работна група по моторните превозни средства и частите страните се споразумяха да препоръчат на Съвместния комитет да приеме решение за изменение на посочените по-горе допълнения, за да се отрази постигнатият напредък в регулаторните обсъждания на Икономическата комисия за Европа на Организацията на обединените нации (ИКЕ на ООН) след подписването на споразумението.</w:t>
      </w:r>
    </w:p>
    <w:p>
      <w:pPr>
        <w:rPr>
          <w:noProof/>
        </w:rPr>
      </w:pPr>
      <w:r>
        <w:rPr>
          <w:noProof/>
        </w:rPr>
        <w:t>Включването на тези допълнителни правила на ООН в съответните допълнения би повишило правната сигурност за икономическите оператори по отношение на регулаторната рамка на преференциалните търговски отношения между страните.</w:t>
      </w:r>
    </w:p>
    <w:p>
      <w:pPr>
        <w:pStyle w:val="ManualHeading1"/>
        <w:rPr>
          <w:noProof/>
        </w:rPr>
      </w:pPr>
      <w:r>
        <w:t>4.</w:t>
      </w:r>
      <w:r>
        <w:tab/>
      </w:r>
      <w:r>
        <w:rPr>
          <w:noProof/>
        </w:rPr>
        <w:t>Правно основание</w:t>
      </w:r>
    </w:p>
    <w:p>
      <w:pPr>
        <w:pStyle w:val="ManualHeading2"/>
        <w:rPr>
          <w:noProof/>
        </w:rPr>
      </w:pPr>
      <w:r>
        <w:t>4.1.</w:t>
      </w:r>
      <w:r>
        <w:tab/>
      </w:r>
      <w:r>
        <w:rPr>
          <w:noProof/>
        </w:rPr>
        <w:t>Процесуалноправно основание</w:t>
      </w:r>
    </w:p>
    <w:p>
      <w:pPr>
        <w:pStyle w:val="ManualHeading3"/>
        <w:rPr>
          <w:noProof/>
        </w:rPr>
      </w:pPr>
      <w:r>
        <w:t>4.1.1.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В член 218, параграф 9 от Договора за функционирането на Европейския съюз (ДФЕС) се предвижда приемането на решения за установяване на „позициите,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споразумението“.</w:t>
      </w:r>
    </w:p>
    <w:p>
      <w:pPr>
        <w:rPr>
          <w:noProof/>
        </w:rPr>
      </w:pPr>
      <w:r>
        <w:rPr>
          <w:noProof/>
        </w:rPr>
        <w:t>Понятието „актове с правно действие“ включва актове с правно действие по силата на нормите на международното право, които уреждат съответния орган. То включва и инструменти, които нямат обвързващ характер съгласно международното право, но са „годни да окажат съществено въздействие върху съдържанието на приеманата от законодателя на Съюза нормативна уредба“</w:t>
      </w:r>
      <w:r>
        <w:rPr>
          <w:rStyle w:val="FootnoteReference"/>
          <w:noProof/>
        </w:rPr>
        <w:footnoteReference w:id="1"/>
      </w:r>
      <w:r>
        <w:rPr>
          <w:noProof/>
        </w:rPr>
        <w:t>.</w:t>
      </w:r>
    </w:p>
    <w:p>
      <w:pPr>
        <w:pStyle w:val="ManualHeading3"/>
        <w:rPr>
          <w:noProof/>
        </w:rPr>
      </w:pPr>
      <w:r>
        <w:t>4.1.2.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Съвместният комитет е орган, създаден със споразумение, а именно със Споразумението между Европейския съюз и Япония за икономическо партньорство.</w:t>
      </w:r>
    </w:p>
    <w:p>
      <w:pPr>
        <w:rPr>
          <w:noProof/>
        </w:rPr>
      </w:pPr>
      <w:r>
        <w:rPr>
          <w:noProof/>
        </w:rPr>
        <w:t>Актът, който Съвместният комитет има за задача да приеме, представлява акт с правно действие. Предвиденият акт ще бъде обвързващ съгласно международното право в съответствие с член 22.2 от споразумението.</w:t>
      </w:r>
    </w:p>
    <w:p>
      <w:pPr>
        <w:rPr>
          <w:noProof/>
        </w:rPr>
      </w:pPr>
      <w:r>
        <w:rPr>
          <w:noProof/>
        </w:rPr>
        <w:t>Предвиденият акт не допълва, нито изменя институционалната рамка на Споразумението.</w:t>
      </w:r>
    </w:p>
    <w:p>
      <w:pPr>
        <w:rPr>
          <w:noProof/>
        </w:rPr>
      </w:pPr>
      <w:r>
        <w:rPr>
          <w:noProof/>
        </w:rPr>
        <w:t>Поради това процесуалноправното основание за предложеното решение е член 218, параграф 9 от ДФЕС.</w:t>
      </w:r>
    </w:p>
    <w:p>
      <w:pPr>
        <w:pStyle w:val="ManualHeading2"/>
        <w:rPr>
          <w:noProof/>
        </w:rPr>
      </w:pPr>
      <w:r>
        <w:t>4.2.</w:t>
      </w:r>
      <w:r>
        <w:tab/>
      </w:r>
      <w:r>
        <w:rPr>
          <w:noProof/>
        </w:rPr>
        <w:t>Материалноправно основание</w:t>
      </w:r>
    </w:p>
    <w:p>
      <w:pPr>
        <w:pStyle w:val="ManualHeading3"/>
        <w:rPr>
          <w:noProof/>
        </w:rPr>
      </w:pPr>
      <w:r>
        <w:t>4.2.1.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 xml:space="preserve">Материалноправното основание за дадено решение съгласно член 218, параграф 9 от ДФЕС зависи преди всичко от целта и съдържанието на предвидения акт, във връзка с който се заема позиция от името на Съюза. Ако предвиденият акт преследва две цели или се състои от две части и ако едната от целите или частите може да се определи като </w:t>
      </w:r>
      <w:r>
        <w:rPr>
          <w:noProof/>
        </w:rPr>
        <w:lastRenderedPageBreak/>
        <w:t>основна, докато другата е само акцесорна, решението съгласно член 218, параграф 9 от ДФЕС трябва да се основава на едно-единствено материалноправно основание, а именно на изискваното от основната или преобладаващата цел или част.</w:t>
      </w:r>
    </w:p>
    <w:p>
      <w:pPr>
        <w:pStyle w:val="ManualHeading3"/>
        <w:rPr>
          <w:noProof/>
        </w:rPr>
      </w:pPr>
      <w:r>
        <w:t>4.2.2.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Основната цел и съдържанието на предвидения акт са свързани с общата търговска политика.</w:t>
      </w:r>
    </w:p>
    <w:p>
      <w:pPr>
        <w:rPr>
          <w:noProof/>
        </w:rPr>
      </w:pPr>
      <w:r>
        <w:rPr>
          <w:noProof/>
        </w:rPr>
        <w:t>Поради това материалноправното основание за предложеното решение е член 207 от ДФЕС.</w:t>
      </w:r>
    </w:p>
    <w:p>
      <w:pPr>
        <w:pStyle w:val="ManualHeading2"/>
        <w:rPr>
          <w:noProof/>
        </w:rPr>
      </w:pPr>
      <w:r>
        <w:t>4.3.</w:t>
      </w:r>
      <w:r>
        <w:tab/>
      </w:r>
      <w:r>
        <w:rPr>
          <w:noProof/>
        </w:rPr>
        <w:t>Заключение</w:t>
      </w:r>
    </w:p>
    <w:p>
      <w:pPr>
        <w:rPr>
          <w:noProof/>
        </w:rPr>
      </w:pPr>
      <w:r>
        <w:rPr>
          <w:noProof/>
        </w:rPr>
        <w:t>Правното основание на предложеното решение е член 207 от ДФЕС във връзка с член 218, параграф 9 от ДФЕС.</w:t>
      </w:r>
    </w:p>
    <w:p>
      <w:pPr>
        <w:pStyle w:val="ManualHeading1"/>
        <w:rPr>
          <w:noProof/>
        </w:rPr>
      </w:pPr>
      <w:r>
        <w:t>5.</w:t>
      </w:r>
      <w:r>
        <w:tab/>
      </w:r>
      <w:r>
        <w:rPr>
          <w:noProof/>
        </w:rPr>
        <w:t>Публикуване на предвидения акт</w:t>
      </w:r>
    </w:p>
    <w:p>
      <w:pPr>
        <w:rPr>
          <w:noProof/>
        </w:rPr>
      </w:pPr>
      <w:r>
        <w:rPr>
          <w:noProof/>
        </w:rPr>
        <w:t xml:space="preserve">Тъй като актът на Съвместния комитет ще измени допълнения 2-В-1 и 2-В-2 от приложение 2-В към споразумението, е целесъобразно да бъде публикуван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след приемането му.</w:t>
      </w:r>
    </w:p>
    <w:p>
      <w:pPr>
        <w:rPr>
          <w:noProof/>
        </w:rPr>
        <w:sectPr>
          <w:footerReference w:type="default" r:id="rId10"/>
          <w:footerReference w:type="first" r:id="rId11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2020/0309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трябва да се заеме от името на Европейския съюз в рамките на Съвместния комитет, създаден съгласно Споразумението между Европейския съюз и Япония за икономическо партньорство, по отношение на изменението на допълнения 2-В-1 и 2-В-2 от приложение 2-В относно моторните превозни средства и частите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207, параграф 4, първа алинея във връзка с член 218, параграф 9 от него,</w:t>
      </w:r>
    </w:p>
    <w:p>
      <w:pPr>
        <w:rPr>
          <w:noProof/>
        </w:rPr>
      </w:pPr>
      <w:r>
        <w:rPr>
          <w:noProof/>
        </w:rPr>
        <w:t xml:space="preserve">като взе предвид предложението на Европейската комисия, 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Споразумението между Европейския съюз и Япония за икономическо партньорство („споразумението“) влезе в сила на 1 февруари 2019 г.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 xml:space="preserve">В приложение 2-В относно моторните превозни средства и частите към споразумението се съдържа списък на правилата на ООН, прилагани от двете страни (в допълнение 2-В-1), а в допълнение 2-В-2 — списък на правилата на ООН, прилагани от една от страните, които все още не са взети предвид от другата страна. 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След подписването на споразумението и в резултат на напредъка в регулаторните обсъждания в Икономическата комисия за Европа на Организацията на обединените нации (ИКЕ на ООН) страните прилагат допълнителни правила на ООН, които първоначално не са били включени в допълнения 2-В-1 и 2-В-2. Включването на тези допълнителни правила на ООН в съответните допълнения би повишило правната сигурност за икономическите оператори по отношение на регулаторната рамка на преференциалните търговски отношения между страните,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 xml:space="preserve">Съгласно член 23.2, параграф 3 и член 23.2, параграф 4, буква б) от споразумението, в съответствие със съответните вътрешни правни процедури на страните, Съвместният комитет има право да приема решения за изменение на допълнения 2-В-1 и 2-В-2 от приложение 2-В към споразумението. 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Съгласно правните изисквания е необходимо да се установи позицията, която трябва да се заеме от името на Съюза в рамките на Съвместния комитет, тъй като предвиденото решение на Съвместния комитет ще бъде обвързващо за Съюза.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 xml:space="preserve">С решението на Съвместния комитет ще се измени споразумението; поради това е целесъобразно посоченото решение да бъде публикувано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след приемането му от Съвместния комитет,</w:t>
      </w:r>
    </w:p>
    <w:p>
      <w:pPr>
        <w:pStyle w:val="Formuledadoption"/>
        <w:rPr>
          <w:noProof/>
        </w:rPr>
      </w:pPr>
      <w:r>
        <w:rPr>
          <w:noProof/>
        </w:rPr>
        <w:lastRenderedPageBreak/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Позицията относно изменението на допълнения 2-В-1 и 2-В-2 от приложение 2-В към споразумението, която трябва да се заеме от името на Съюза в рамките на Съвместния комитет, е определена в приложението.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Адресат на настоящото решение е Комисията.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 xml:space="preserve">Решението на Съвместния комитет се публикува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Решение на Съда на Европейския съюз от 7 октомври 2014 г., Германия/Съвет, C-399/12, ECLI:EU:C:2014:2258, т. 61—64.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ОВ L 330, 27.12.2018 г., стр. 1—2.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410B1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0DE0D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72AA1E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36D618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E8AE0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D343F7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C9A7F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948D0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0-20 16:48:06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CAC79E06-A6CA-4522-82DC-75570B7C893B"/>
    <w:docVar w:name="LW_COVERPAGE_TYPE" w:val="1"/>
    <w:docVar w:name="LW_CROSSREFERENCE" w:val="&lt;UNUSED&gt;"/>
    <w:docVar w:name="LW_DocType" w:val="COM"/>
    <w:docVar w:name="LW_EMISSION" w:val="28.10.2020"/>
    <w:docVar w:name="LW_EMISSION_ISODATE" w:val="2020-10-28"/>
    <w:docVar w:name="LW_EMISSION_LOCATION" w:val="BRX"/>
    <w:docVar w:name="LW_EMISSION_PREFIX" w:val="Брюксел, "/>
    <w:docVar w:name="LW_EMISSION_SUFFIX" w:val=" \u1075?.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309"/>
    <w:docVar w:name="LW_REF.II.NEW.CP_YEAR" w:val="2020"/>
    <w:docVar w:name="LW_REF.INST.NEW" w:val="COM"/>
    <w:docVar w:name="LW_REF.INST.NEW_ADOPTED" w:val="final"/>
    <w:docVar w:name="LW_REF.INST.NEW_TEXT" w:val="(2020) 67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, \u1089?\u1098?\u1079?\u1076?\u1072?\u1076?\u1077?\u1085? \u1089?\u1098?\u1075?\u1083?\u1072?\u1089?\u1085?\u1086? \u1057?\u1087?\u1086?\u1088?\u1072?\u1079?\u1091?\u1084?\u1077?\u1085?\u1080?\u1077?\u1090?\u1086? \u1084?\u1077?\u1078?\u1076?\u1091? \u1045?\u1074?\u1088?\u1086?\u1087?\u1077?\u1081?\u1089?\u1082?\u1080?\u1103? \u1089?\u1098?\u1102?\u1079? \u1080? \u1071?\u1087?\u1086?\u1085?\u1080?\u1103? \u1079?\u1072? \u1080?\u1082?\u1086?\u1085?\u1086?\u1084?\u1080?\u1095?\u1077?\u1089?\u1082?\u1086? \u1087?\u1072?\u1088?\u1090?\u1085?\u1100?\u1086?\u1088?\u1089?\u1090?\u1074?\u1086?, \u1087?\u1086? \u1086?\u1090?\u1085?\u1086?\u1096?\u1077?\u1085?\u1080?\u1077? \u1085?\u1072? \u1080?\u1079?\u1084?\u1077?\u1085?\u1077?\u1085?\u1080?\u1077?\u1090?\u1086? \u1085?\u1072? \u1076?\u1086?\u1087?\u1098?\u1083?\u1085?\u1077?\u1085?\u1080?\u1103? 2-\u1042?-1 \u1080? 2-\u1042?-2 \u1086?\u1090? \u1087?\u1088?\u1080?\u1083?\u1086?\u1078?\u1077?\u1085?\u1080?\u1077? 2-\u1042? \u1086?\u1090?\u1085?\u1086?\u1089?\u1085?\u1086? \u1084?\u1086?\u1090?\u1086?\u1088?\u1085?\u1080?\u1090?\u1077? \u1087?\u1088?\u1077?\u1074?\u1086?\u1079?\u1085?\u1080? \u1089?\u1088?\u1077?\u1076?\u1089?\u1090?\u1074?\u1072? \u1080? \u1095?\u1072?\u1089?\u1090?\u1080?\u1090?\u1077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Bodytext2">
    <w:name w:val="Body text|2_"/>
    <w:basedOn w:val="DefaultParagraphFont"/>
    <w:link w:val="Bodytext20"/>
    <w:rPr>
      <w:shd w:val="clear" w:color="auto" w:fill="FFFFFF"/>
    </w:rPr>
  </w:style>
  <w:style w:type="paragraph" w:customStyle="1" w:styleId="Bodytext20">
    <w:name w:val="Body text|2"/>
    <w:basedOn w:val="Normal"/>
    <w:link w:val="Bodytext2"/>
    <w:qFormat/>
    <w:pPr>
      <w:widowControl w:val="0"/>
      <w:shd w:val="clear" w:color="auto" w:fill="FFFFFF"/>
      <w:spacing w:before="860" w:after="380" w:line="244" w:lineRule="exact"/>
      <w:jc w:val="left"/>
    </w:pPr>
    <w:rPr>
      <w:rFonts w:asciiTheme="minorHAnsi" w:hAnsiTheme="minorHAnsi" w:cstheme="minorBid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Bodytext2">
    <w:name w:val="Body text|2_"/>
    <w:basedOn w:val="DefaultParagraphFont"/>
    <w:link w:val="Bodytext20"/>
    <w:rPr>
      <w:shd w:val="clear" w:color="auto" w:fill="FFFFFF"/>
    </w:rPr>
  </w:style>
  <w:style w:type="paragraph" w:customStyle="1" w:styleId="Bodytext20">
    <w:name w:val="Body text|2"/>
    <w:basedOn w:val="Normal"/>
    <w:link w:val="Bodytext2"/>
    <w:qFormat/>
    <w:pPr>
      <w:widowControl w:val="0"/>
      <w:shd w:val="clear" w:color="auto" w:fill="FFFFFF"/>
      <w:spacing w:before="860" w:after="380" w:line="244" w:lineRule="exact"/>
      <w:jc w:val="left"/>
    </w:pPr>
    <w:rPr>
      <w:rFonts w:asciiTheme="minorHAnsi" w:hAnsiTheme="minorHAnsi" w:cstheme="minorBid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3</TotalTime>
  <Pages>6</Pages>
  <Words>1277</Words>
  <Characters>7347</Characters>
  <Application>Microsoft Office Word</Application>
  <DocSecurity>0</DocSecurity>
  <Lines>153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DIGIT/C6</cp:lastModifiedBy>
  <cp:revision>19</cp:revision>
  <dcterms:created xsi:type="dcterms:W3CDTF">2020-10-19T14:55:00Z</dcterms:created>
  <dcterms:modified xsi:type="dcterms:W3CDTF">2020-10-20T14:48:00Z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Green (DQC version 03)</vt:lpwstr>
  </property>
</Properties>
</file>