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F2439D7-DAAD-4990-9439-8B9434999338" style="width:450.6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jc w:val="center"/>
        <w:rPr>
          <w:b/>
          <w:bCs/>
          <w:noProof/>
          <w:sz w:val="23"/>
          <w:szCs w:val="23"/>
        </w:rPr>
      </w:pPr>
      <w:r>
        <w:rPr>
          <w:b/>
          <w:bCs/>
          <w:noProof/>
          <w:sz w:val="23"/>
          <w:szCs w:val="23"/>
        </w:rPr>
        <w:t xml:space="preserve">DECISION No 3/2020 OF THE JOINT COMMITTEE UNDER THE AGREEMENT BETWEEN THE EUROPEAN UNION AND JAPAN FOR AN ECONOMIC PARTNERSHIP </w:t>
      </w:r>
    </w:p>
    <w:p>
      <w:pPr>
        <w:jc w:val="center"/>
        <w:rPr>
          <w:noProof/>
          <w:sz w:val="23"/>
          <w:szCs w:val="23"/>
        </w:rPr>
      </w:pPr>
      <w:r>
        <w:rPr>
          <w:b/>
          <w:bCs/>
          <w:noProof/>
          <w:sz w:val="23"/>
          <w:szCs w:val="23"/>
        </w:rPr>
        <w:t>of [date]</w:t>
      </w:r>
    </w:p>
    <w:p>
      <w:pPr>
        <w:jc w:val="center"/>
        <w:rPr>
          <w:noProof/>
          <w:sz w:val="23"/>
          <w:szCs w:val="23"/>
        </w:rPr>
      </w:pPr>
      <w:r>
        <w:rPr>
          <w:b/>
          <w:bCs/>
          <w:noProof/>
          <w:sz w:val="23"/>
          <w:szCs w:val="23"/>
        </w:rPr>
        <w:t xml:space="preserve">on the amendment of Appendices 2-C-1 and 2-C-2 of Annex 2-C on Motor Vehicles and Parts </w:t>
      </w:r>
    </w:p>
    <w:p>
      <w:pPr>
        <w:rPr>
          <w:noProof/>
          <w:sz w:val="23"/>
          <w:szCs w:val="23"/>
        </w:rPr>
      </w:pPr>
      <w:r>
        <w:rPr>
          <w:noProof/>
          <w:sz w:val="23"/>
          <w:szCs w:val="23"/>
        </w:rPr>
        <w:t xml:space="preserve">THE JOINT COMMITTEE, </w:t>
      </w:r>
    </w:p>
    <w:p>
      <w:pPr>
        <w:rPr>
          <w:noProof/>
          <w:sz w:val="23"/>
          <w:szCs w:val="23"/>
        </w:rPr>
      </w:pPr>
      <w:r>
        <w:rPr>
          <w:noProof/>
          <w:sz w:val="23"/>
          <w:szCs w:val="23"/>
        </w:rPr>
        <w:t xml:space="preserve">Having regard to the Agreement between the European Union and Japan for an Economic Partnership (hereinafter </w:t>
      </w:r>
      <w:r>
        <w:rPr>
          <w:rFonts w:hint="eastAsia"/>
          <w:noProof/>
          <w:sz w:val="23"/>
          <w:szCs w:val="23"/>
        </w:rPr>
        <w:t xml:space="preserve">referred to as </w:t>
      </w:r>
      <w:r>
        <w:rPr>
          <w:noProof/>
          <w:sz w:val="23"/>
          <w:szCs w:val="23"/>
        </w:rPr>
        <w:t xml:space="preserve">“the Agreement”), and in particular paragraphs 3 and 4(b) of Article 23.2 and paragraph 1 of Article 9 of Annex 2-C of the Agreement, </w:t>
      </w:r>
    </w:p>
    <w:p>
      <w:pPr>
        <w:rPr>
          <w:noProof/>
          <w:sz w:val="23"/>
          <w:szCs w:val="23"/>
        </w:rPr>
      </w:pPr>
      <w:r>
        <w:rPr>
          <w:noProof/>
          <w:sz w:val="23"/>
          <w:szCs w:val="23"/>
        </w:rPr>
        <w:t xml:space="preserve">Whereas: </w:t>
      </w:r>
    </w:p>
    <w:p>
      <w:pPr>
        <w:pStyle w:val="Considrant"/>
        <w:numPr>
          <w:ilvl w:val="0"/>
          <w:numId w:val="8"/>
        </w:numPr>
        <w:rPr>
          <w:noProof/>
        </w:rPr>
      </w:pPr>
      <w:r>
        <w:rPr>
          <w:noProof/>
        </w:rPr>
        <w:t>Since the signing of the Agreement, and as a result of the progress in regulatory discussions in the United Nations Economic Commission for Europe (UNECE), the European Union and Japan (hereinafter referred to as “</w:t>
      </w:r>
      <w:r>
        <w:rPr>
          <w:rFonts w:hint="eastAsia"/>
          <w:noProof/>
          <w:lang w:eastAsia="ja-JP"/>
        </w:rPr>
        <w:t>the Parties</w:t>
      </w:r>
      <w:r>
        <w:rPr>
          <w:noProof/>
          <w:lang w:eastAsia="ja-JP"/>
        </w:rPr>
        <w:t>”)</w:t>
      </w:r>
      <w:r>
        <w:rPr>
          <w:noProof/>
        </w:rPr>
        <w:t xml:space="preserve"> apply additional UN Regulations that were not originally listed in Appendices 2-C-1 and 2-C-2. The inclusion of those additional UN Regulations in </w:t>
      </w:r>
      <w:r>
        <w:rPr>
          <w:noProof/>
          <w:lang w:eastAsia="ja-JP"/>
        </w:rPr>
        <w:t>Appendix 2-C-1</w:t>
      </w:r>
      <w:r>
        <w:rPr>
          <w:noProof/>
        </w:rPr>
        <w:t xml:space="preserve"> would increase the legal certainty for economic operators as regards the regulatory framework of the preferential trade relations between the Parties.</w:t>
      </w:r>
    </w:p>
    <w:p>
      <w:pPr>
        <w:pStyle w:val="Considrant"/>
        <w:rPr>
          <w:noProof/>
        </w:rPr>
      </w:pPr>
      <w:r>
        <w:rPr>
          <w:noProof/>
        </w:rPr>
        <w:t>Following the favourable assessment of the Working Group on Motor Vehicles and Parts of 11</w:t>
      </w:r>
      <w:r>
        <w:rPr>
          <w:noProof/>
          <w:vertAlign w:val="superscript"/>
        </w:rPr>
        <w:t>th</w:t>
      </w:r>
      <w:r>
        <w:rPr>
          <w:noProof/>
        </w:rPr>
        <w:t xml:space="preserve"> November 2019, it has been confirmed to amend Appendix 2-C-1 by including UNECE Regulations 53, 85, 145 and 146, and to amend Appendix 2-C-2 by delisting UNECE Regulations 53 and 85. </w:t>
      </w:r>
    </w:p>
    <w:p>
      <w:pPr>
        <w:pStyle w:val="Considrant"/>
        <w:rPr>
          <w:noProof/>
        </w:rPr>
      </w:pPr>
      <w:r>
        <w:rPr>
          <w:noProof/>
        </w:rPr>
        <w:t xml:space="preserve">The Parties have already completed their internal procedures necessary for adoption of the Decision by the Joint Committee under the Agreement; and therefore envisage to exchange the diplomatic notes confirming the Decision within 15 days following the adoption. </w:t>
      </w:r>
    </w:p>
    <w:p>
      <w:pPr>
        <w:rPr>
          <w:noProof/>
          <w:sz w:val="23"/>
          <w:szCs w:val="23"/>
        </w:rPr>
      </w:pPr>
      <w:r>
        <w:rPr>
          <w:noProof/>
          <w:sz w:val="23"/>
          <w:szCs w:val="23"/>
        </w:rPr>
        <w:t xml:space="preserve">HAS ADOPTED THIS DECISION: </w:t>
      </w:r>
    </w:p>
    <w:p>
      <w:pPr>
        <w:jc w:val="center"/>
        <w:rPr>
          <w:i/>
          <w:iCs/>
          <w:noProof/>
          <w:sz w:val="23"/>
          <w:szCs w:val="23"/>
        </w:rPr>
      </w:pPr>
      <w:r>
        <w:rPr>
          <w:i/>
          <w:iCs/>
          <w:noProof/>
          <w:sz w:val="23"/>
          <w:szCs w:val="23"/>
        </w:rPr>
        <w:t>Article 1</w:t>
      </w:r>
    </w:p>
    <w:p>
      <w:pPr>
        <w:pStyle w:val="NumPar1"/>
        <w:numPr>
          <w:ilvl w:val="0"/>
          <w:numId w:val="9"/>
        </w:numPr>
        <w:rPr>
          <w:noProof/>
        </w:rPr>
      </w:pPr>
      <w:r>
        <w:rPr>
          <w:noProof/>
        </w:rPr>
        <w:t xml:space="preserve">Appendix 2-C-1 of the Agreement is hereby replaced by the text of Annex 1 to this Decision. </w:t>
      </w:r>
    </w:p>
    <w:p>
      <w:pPr>
        <w:pStyle w:val="NumPar1"/>
        <w:rPr>
          <w:noProof/>
        </w:rPr>
      </w:pPr>
      <w:r>
        <w:rPr>
          <w:noProof/>
        </w:rPr>
        <w:t>Appendix 2-C-2 of the Agreement is hereby replaced by the text of Annex 2 to this Decision.</w:t>
      </w:r>
    </w:p>
    <w:p>
      <w:pPr>
        <w:jc w:val="center"/>
        <w:rPr>
          <w:i/>
          <w:iCs/>
          <w:noProof/>
          <w:sz w:val="23"/>
          <w:szCs w:val="23"/>
        </w:rPr>
      </w:pPr>
      <w:r>
        <w:rPr>
          <w:i/>
          <w:iCs/>
          <w:noProof/>
          <w:sz w:val="23"/>
          <w:szCs w:val="23"/>
        </w:rPr>
        <w:t>Article 2</w:t>
      </w:r>
    </w:p>
    <w:p>
      <w:pPr>
        <w:rPr>
          <w:iCs/>
          <w:noProof/>
          <w:sz w:val="23"/>
          <w:szCs w:val="23"/>
        </w:rPr>
      </w:pPr>
      <w:r>
        <w:rPr>
          <w:iCs/>
          <w:noProof/>
          <w:sz w:val="23"/>
          <w:szCs w:val="23"/>
        </w:rPr>
        <w:t>This Decision is drawn up in duplicate in the authentic languages of the Agreement provided</w:t>
      </w:r>
      <w:r>
        <w:rPr>
          <w:iCs/>
          <w:noProof/>
          <w:sz w:val="23"/>
          <w:szCs w:val="23"/>
          <w:lang w:eastAsia="ja-JP"/>
        </w:rPr>
        <w:t xml:space="preserve"> for</w:t>
      </w:r>
      <w:r>
        <w:rPr>
          <w:iCs/>
          <w:noProof/>
          <w:sz w:val="23"/>
          <w:szCs w:val="23"/>
        </w:rPr>
        <w:t xml:space="preserve"> in paragraph 1 of Article 23.8 of the Agreement</w:t>
      </w:r>
      <w:r>
        <w:rPr>
          <w:bCs/>
          <w:iCs/>
          <w:noProof/>
          <w:sz w:val="23"/>
          <w:szCs w:val="23"/>
        </w:rPr>
        <w:t>, all texts being equally authentic.</w:t>
      </w:r>
    </w:p>
    <w:p>
      <w:pPr>
        <w:jc w:val="center"/>
        <w:rPr>
          <w:i/>
          <w:iCs/>
          <w:noProof/>
          <w:sz w:val="23"/>
          <w:szCs w:val="23"/>
        </w:rPr>
      </w:pPr>
      <w:r>
        <w:rPr>
          <w:i/>
          <w:iCs/>
          <w:noProof/>
          <w:sz w:val="23"/>
          <w:szCs w:val="23"/>
        </w:rPr>
        <w:t>Article 3</w:t>
      </w:r>
    </w:p>
    <w:p>
      <w:pPr>
        <w:rPr>
          <w:noProof/>
        </w:rPr>
      </w:pPr>
      <w:r>
        <w:rPr>
          <w:noProof/>
          <w:lang w:eastAsia="ja-JP"/>
        </w:rPr>
        <w:t xml:space="preserve">This Decision shall be confirmed by and enter into force upon the exchange of diplomatic notes in accordance with paragraph 3 of Article 23.2 of the Agreement. </w:t>
      </w:r>
      <w:r>
        <w:rPr>
          <w:noProof/>
        </w:rPr>
        <w:t xml:space="preserve">This Decision shall enter into force on the first day of the month following the exchange of those diplomatic notes. </w:t>
      </w:r>
    </w:p>
    <w:p>
      <w:pPr>
        <w:rPr>
          <w:noProof/>
          <w:sz w:val="23"/>
          <w:szCs w:val="23"/>
        </w:rPr>
      </w:pPr>
      <w:r>
        <w:rPr>
          <w:noProof/>
          <w:sz w:val="23"/>
          <w:szCs w:val="23"/>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Default"/>
              <w:spacing w:before="120" w:after="120"/>
              <w:rPr>
                <w:rFonts w:ascii="TimesNewRomanPSMT" w:hAnsi="TimesNewRomanPSMT" w:cs="TimesNewRomanPSMT"/>
                <w:noProof/>
                <w:sz w:val="23"/>
                <w:szCs w:val="23"/>
              </w:rPr>
            </w:pPr>
            <w:r>
              <w:rPr>
                <w:i/>
                <w:iCs/>
                <w:noProof/>
                <w:color w:val="auto"/>
                <w:sz w:val="23"/>
                <w:szCs w:val="23"/>
              </w:rPr>
              <w:t xml:space="preserve">For the Joint Committee of the Agreement </w:t>
            </w:r>
          </w:p>
        </w:tc>
      </w:tr>
      <w:tr>
        <w:tc>
          <w:tcPr>
            <w:tcW w:w="4606" w:type="dxa"/>
          </w:tcPr>
          <w:p>
            <w:pPr>
              <w:rPr>
                <w:rFonts w:ascii="TimesNewRomanPSMT" w:hAnsi="TimesNewRomanPSMT" w:cs="TimesNewRomanPSMT"/>
                <w:noProof/>
                <w:sz w:val="23"/>
                <w:szCs w:val="23"/>
              </w:rPr>
            </w:pPr>
            <w:r>
              <w:rPr>
                <w:rFonts w:ascii="TimesNewRomanPSMT" w:hAnsi="TimesNewRomanPSMT" w:cs="TimesNewRomanPSMT"/>
                <w:noProof/>
                <w:sz w:val="23"/>
                <w:szCs w:val="23"/>
                <w:lang w:eastAsia="ja-JP"/>
              </w:rPr>
              <w:t>Co-Chair [of Japan]</w:t>
            </w:r>
          </w:p>
        </w:tc>
        <w:tc>
          <w:tcPr>
            <w:tcW w:w="4607" w:type="dxa"/>
          </w:tcPr>
          <w:p>
            <w:pPr>
              <w:rPr>
                <w:rFonts w:ascii="TimesNewRomanPSMT" w:hAnsi="TimesNewRomanPSMT" w:cs="TimesNewRomanPSMT"/>
                <w:noProof/>
                <w:sz w:val="23"/>
                <w:szCs w:val="23"/>
              </w:rPr>
            </w:pPr>
            <w:r>
              <w:rPr>
                <w:rFonts w:ascii="TimesNewRomanPSMT" w:hAnsi="TimesNewRomanPSMT" w:cs="TimesNewRomanPSMT"/>
                <w:noProof/>
                <w:sz w:val="23"/>
                <w:szCs w:val="23"/>
                <w:lang w:eastAsia="ja-JP"/>
              </w:rPr>
              <w:t>Co-Chair [of the EU]</w:t>
            </w:r>
          </w:p>
        </w:tc>
      </w:tr>
    </w:tbl>
    <w:p>
      <w:pPr>
        <w:jc w:val="right"/>
        <w:rPr>
          <w:noProof/>
          <w:color w:val="000000"/>
          <w:sz w:val="23"/>
          <w:szCs w:val="23"/>
        </w:rPr>
      </w:pPr>
    </w:p>
    <w:p>
      <w:pPr>
        <w:jc w:val="right"/>
        <w:rPr>
          <w:noProof/>
          <w:color w:val="000000"/>
          <w:sz w:val="23"/>
          <w:szCs w:val="23"/>
        </w:rPr>
        <w:sectPr>
          <w:footerReference w:type="default" r:id="rId16"/>
          <w:footerReference w:type="first" r:id="rId17"/>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Annex 1</w:t>
      </w:r>
    </w:p>
    <w:p>
      <w:pPr>
        <w:spacing w:after="360"/>
        <w:jc w:val="center"/>
        <w:rPr>
          <w:noProof/>
          <w:color w:val="000000"/>
          <w:sz w:val="23"/>
          <w:szCs w:val="23"/>
        </w:rPr>
      </w:pPr>
      <w:r>
        <w:rPr>
          <w:noProof/>
          <w:color w:val="000000"/>
          <w:sz w:val="23"/>
          <w:szCs w:val="23"/>
        </w:rPr>
        <w:t>APPENDIX 2-C-1</w:t>
      </w:r>
    </w:p>
    <w:p>
      <w:pPr>
        <w:spacing w:after="360"/>
        <w:jc w:val="center"/>
        <w:rPr>
          <w:noProof/>
          <w:color w:val="000000"/>
          <w:sz w:val="23"/>
          <w:szCs w:val="23"/>
        </w:rPr>
      </w:pPr>
      <w:r>
        <w:rPr>
          <w:noProof/>
          <w:color w:val="000000"/>
          <w:sz w:val="23"/>
          <w:szCs w:val="23"/>
        </w:rPr>
        <w:t>UN REGULATIONS APPLIED BY BOTH PARTIES</w:t>
      </w:r>
    </w:p>
    <w:tbl>
      <w:tblPr>
        <w:tblStyle w:val="TableGrid"/>
        <w:tblW w:w="0" w:type="auto"/>
        <w:tblLook w:val="04A0" w:firstRow="1" w:lastRow="0" w:firstColumn="1" w:lastColumn="0" w:noHBand="0" w:noVBand="1"/>
      </w:tblPr>
      <w:tblGrid>
        <w:gridCol w:w="1226"/>
        <w:gridCol w:w="7790"/>
      </w:tblGrid>
      <w:tr>
        <w:tc>
          <w:tcPr>
            <w:tcW w:w="1226" w:type="dxa"/>
          </w:tcPr>
          <w:p>
            <w:pPr>
              <w:jc w:val="center"/>
              <w:rPr>
                <w:noProof/>
                <w:color w:val="000000"/>
                <w:sz w:val="20"/>
                <w:szCs w:val="20"/>
              </w:rPr>
            </w:pPr>
            <w:r>
              <w:rPr>
                <w:noProof/>
                <w:color w:val="000000"/>
                <w:sz w:val="20"/>
                <w:szCs w:val="20"/>
              </w:rPr>
              <w:t>Regulation</w:t>
            </w:r>
          </w:p>
          <w:p>
            <w:pPr>
              <w:jc w:val="center"/>
              <w:rPr>
                <w:noProof/>
                <w:color w:val="000000"/>
                <w:sz w:val="23"/>
                <w:szCs w:val="23"/>
              </w:rPr>
            </w:pPr>
            <w:r>
              <w:rPr>
                <w:noProof/>
                <w:color w:val="000000"/>
                <w:sz w:val="23"/>
                <w:szCs w:val="23"/>
              </w:rPr>
              <w:t>No.</w:t>
            </w:r>
          </w:p>
        </w:tc>
        <w:tc>
          <w:tcPr>
            <w:tcW w:w="7790" w:type="dxa"/>
          </w:tcPr>
          <w:p>
            <w:pPr>
              <w:jc w:val="center"/>
              <w:rPr>
                <w:noProof/>
                <w:color w:val="000000"/>
                <w:sz w:val="23"/>
                <w:szCs w:val="23"/>
              </w:rPr>
            </w:pPr>
            <w:r>
              <w:rPr>
                <w:noProof/>
                <w:color w:val="000000"/>
                <w:sz w:val="23"/>
                <w:szCs w:val="23"/>
              </w:rPr>
              <w:t>Title</w:t>
            </w:r>
          </w:p>
        </w:tc>
      </w:tr>
      <w:tr>
        <w:tc>
          <w:tcPr>
            <w:tcW w:w="1226" w:type="dxa"/>
          </w:tcPr>
          <w:p>
            <w:pPr>
              <w:jc w:val="center"/>
              <w:rPr>
                <w:noProof/>
                <w:color w:val="000000"/>
                <w:sz w:val="23"/>
                <w:szCs w:val="23"/>
              </w:rPr>
            </w:pPr>
            <w:r>
              <w:rPr>
                <w:noProof/>
                <w:color w:val="000000"/>
                <w:sz w:val="23"/>
                <w:szCs w:val="23"/>
              </w:rPr>
              <w:t>3</w:t>
            </w:r>
          </w:p>
        </w:tc>
        <w:tc>
          <w:tcPr>
            <w:tcW w:w="7790" w:type="dxa"/>
          </w:tcPr>
          <w:p>
            <w:pPr>
              <w:rPr>
                <w:noProof/>
                <w:color w:val="000000"/>
                <w:sz w:val="23"/>
                <w:szCs w:val="23"/>
              </w:rPr>
            </w:pPr>
            <w:r>
              <w:rPr>
                <w:noProof/>
                <w:color w:val="000000"/>
                <w:sz w:val="23"/>
                <w:szCs w:val="23"/>
              </w:rPr>
              <w:t>Uniform provisions concerning the approval of retro-reflecting devices for power-driven vehicles and their trailers</w:t>
            </w:r>
          </w:p>
        </w:tc>
      </w:tr>
      <w:tr>
        <w:tc>
          <w:tcPr>
            <w:tcW w:w="1226" w:type="dxa"/>
          </w:tcPr>
          <w:p>
            <w:pPr>
              <w:jc w:val="center"/>
              <w:rPr>
                <w:noProof/>
                <w:color w:val="000000"/>
                <w:sz w:val="23"/>
                <w:szCs w:val="23"/>
              </w:rPr>
            </w:pPr>
            <w:r>
              <w:rPr>
                <w:noProof/>
                <w:color w:val="000000"/>
                <w:sz w:val="23"/>
                <w:szCs w:val="23"/>
              </w:rPr>
              <w:t>4</w:t>
            </w:r>
          </w:p>
        </w:tc>
        <w:tc>
          <w:tcPr>
            <w:tcW w:w="7790" w:type="dxa"/>
          </w:tcPr>
          <w:p>
            <w:pPr>
              <w:rPr>
                <w:noProof/>
                <w:color w:val="000000"/>
                <w:sz w:val="23"/>
                <w:szCs w:val="23"/>
              </w:rPr>
            </w:pPr>
            <w:r>
              <w:rPr>
                <w:noProof/>
                <w:color w:val="000000"/>
                <w:sz w:val="23"/>
                <w:szCs w:val="23"/>
              </w:rPr>
              <w:t>Uniform provisions concerning the approval of devices for the illumination of rear registration plates of power-driven vehicles and their trailers</w:t>
            </w:r>
          </w:p>
        </w:tc>
      </w:tr>
      <w:tr>
        <w:tc>
          <w:tcPr>
            <w:tcW w:w="1226" w:type="dxa"/>
          </w:tcPr>
          <w:p>
            <w:pPr>
              <w:jc w:val="center"/>
              <w:rPr>
                <w:noProof/>
                <w:color w:val="000000"/>
                <w:sz w:val="23"/>
                <w:szCs w:val="23"/>
              </w:rPr>
            </w:pPr>
            <w:r>
              <w:rPr>
                <w:noProof/>
                <w:color w:val="000000"/>
                <w:sz w:val="23"/>
                <w:szCs w:val="23"/>
              </w:rPr>
              <w:t>6</w:t>
            </w:r>
          </w:p>
        </w:tc>
        <w:tc>
          <w:tcPr>
            <w:tcW w:w="7790" w:type="dxa"/>
          </w:tcPr>
          <w:p>
            <w:pPr>
              <w:rPr>
                <w:noProof/>
                <w:color w:val="000000"/>
                <w:sz w:val="23"/>
                <w:szCs w:val="23"/>
              </w:rPr>
            </w:pPr>
            <w:r>
              <w:rPr>
                <w:noProof/>
                <w:color w:val="000000"/>
                <w:sz w:val="23"/>
                <w:szCs w:val="23"/>
              </w:rPr>
              <w:t>Uniform provisions concerning the approval of direction indicators for power-driven vehicles and their trailers</w:t>
            </w:r>
          </w:p>
        </w:tc>
      </w:tr>
      <w:tr>
        <w:tc>
          <w:tcPr>
            <w:tcW w:w="1226" w:type="dxa"/>
          </w:tcPr>
          <w:p>
            <w:pPr>
              <w:jc w:val="center"/>
              <w:rPr>
                <w:noProof/>
                <w:color w:val="000000"/>
                <w:sz w:val="23"/>
                <w:szCs w:val="23"/>
              </w:rPr>
            </w:pPr>
            <w:r>
              <w:rPr>
                <w:noProof/>
                <w:color w:val="000000"/>
                <w:sz w:val="23"/>
                <w:szCs w:val="23"/>
              </w:rPr>
              <w:t>7</w:t>
            </w:r>
          </w:p>
        </w:tc>
        <w:tc>
          <w:tcPr>
            <w:tcW w:w="7790" w:type="dxa"/>
          </w:tcPr>
          <w:p>
            <w:pPr>
              <w:rPr>
                <w:noProof/>
                <w:color w:val="000000"/>
                <w:sz w:val="23"/>
                <w:szCs w:val="23"/>
              </w:rPr>
            </w:pPr>
            <w:r>
              <w:rPr>
                <w:noProof/>
                <w:color w:val="000000"/>
                <w:sz w:val="23"/>
                <w:szCs w:val="23"/>
              </w:rPr>
              <w:t>Uniform provisions concerning the approval of front and rear position lamps, stop-lamps and end-outline marker lamps for motor vehicles (except motor cycles) and their trailers</w:t>
            </w:r>
          </w:p>
        </w:tc>
      </w:tr>
      <w:tr>
        <w:tc>
          <w:tcPr>
            <w:tcW w:w="1226" w:type="dxa"/>
          </w:tcPr>
          <w:p>
            <w:pPr>
              <w:jc w:val="center"/>
              <w:rPr>
                <w:noProof/>
                <w:color w:val="000000"/>
                <w:sz w:val="23"/>
                <w:szCs w:val="23"/>
              </w:rPr>
            </w:pPr>
            <w:r>
              <w:rPr>
                <w:noProof/>
                <w:color w:val="000000"/>
                <w:sz w:val="23"/>
                <w:szCs w:val="23"/>
              </w:rPr>
              <w:t>10</w:t>
            </w:r>
          </w:p>
        </w:tc>
        <w:tc>
          <w:tcPr>
            <w:tcW w:w="7790" w:type="dxa"/>
          </w:tcPr>
          <w:p>
            <w:pPr>
              <w:rPr>
                <w:noProof/>
                <w:color w:val="000000"/>
                <w:sz w:val="23"/>
                <w:szCs w:val="23"/>
              </w:rPr>
            </w:pPr>
            <w:r>
              <w:rPr>
                <w:noProof/>
                <w:color w:val="000000"/>
                <w:sz w:val="23"/>
                <w:szCs w:val="23"/>
              </w:rPr>
              <w:t>Uniform provisions concerning the approval of vehicles with regard to electromagnetic compatibility</w:t>
            </w:r>
          </w:p>
        </w:tc>
      </w:tr>
      <w:tr>
        <w:tc>
          <w:tcPr>
            <w:tcW w:w="1226" w:type="dxa"/>
          </w:tcPr>
          <w:p>
            <w:pPr>
              <w:jc w:val="center"/>
              <w:rPr>
                <w:noProof/>
                <w:color w:val="000000"/>
                <w:sz w:val="23"/>
                <w:szCs w:val="23"/>
              </w:rPr>
            </w:pPr>
            <w:r>
              <w:rPr>
                <w:noProof/>
                <w:color w:val="000000"/>
                <w:sz w:val="23"/>
                <w:szCs w:val="23"/>
              </w:rPr>
              <w:t>11</w:t>
            </w:r>
          </w:p>
        </w:tc>
        <w:tc>
          <w:tcPr>
            <w:tcW w:w="7790" w:type="dxa"/>
          </w:tcPr>
          <w:p>
            <w:pPr>
              <w:rPr>
                <w:noProof/>
                <w:color w:val="000000"/>
                <w:sz w:val="23"/>
                <w:szCs w:val="23"/>
              </w:rPr>
            </w:pPr>
            <w:r>
              <w:rPr>
                <w:noProof/>
                <w:color w:val="000000"/>
                <w:sz w:val="23"/>
                <w:szCs w:val="23"/>
              </w:rPr>
              <w:t>Uniform provisions concerning the approval of vehicles with regard to door latches and door retention components</w:t>
            </w:r>
          </w:p>
        </w:tc>
      </w:tr>
      <w:tr>
        <w:tc>
          <w:tcPr>
            <w:tcW w:w="1226" w:type="dxa"/>
          </w:tcPr>
          <w:p>
            <w:pPr>
              <w:jc w:val="center"/>
              <w:rPr>
                <w:noProof/>
                <w:color w:val="000000"/>
                <w:sz w:val="23"/>
                <w:szCs w:val="23"/>
              </w:rPr>
            </w:pPr>
            <w:r>
              <w:rPr>
                <w:noProof/>
                <w:color w:val="000000"/>
                <w:sz w:val="23"/>
                <w:szCs w:val="23"/>
              </w:rPr>
              <w:t>12</w:t>
            </w:r>
          </w:p>
        </w:tc>
        <w:tc>
          <w:tcPr>
            <w:tcW w:w="7790" w:type="dxa"/>
          </w:tcPr>
          <w:p>
            <w:pPr>
              <w:rPr>
                <w:noProof/>
                <w:color w:val="000000"/>
                <w:sz w:val="23"/>
                <w:szCs w:val="23"/>
              </w:rPr>
            </w:pPr>
            <w:r>
              <w:rPr>
                <w:noProof/>
                <w:color w:val="000000"/>
                <w:sz w:val="23"/>
                <w:szCs w:val="23"/>
              </w:rPr>
              <w:t>Uniform provisions concerning the approval of vehicles with regard to the protection of the driver against the steering mechanism in the event of impact</w:t>
            </w:r>
          </w:p>
        </w:tc>
      </w:tr>
      <w:tr>
        <w:tc>
          <w:tcPr>
            <w:tcW w:w="1226" w:type="dxa"/>
          </w:tcPr>
          <w:p>
            <w:pPr>
              <w:jc w:val="center"/>
              <w:rPr>
                <w:noProof/>
                <w:color w:val="000000"/>
                <w:sz w:val="23"/>
                <w:szCs w:val="23"/>
              </w:rPr>
            </w:pPr>
            <w:r>
              <w:rPr>
                <w:noProof/>
                <w:color w:val="000000"/>
                <w:sz w:val="23"/>
                <w:szCs w:val="23"/>
              </w:rPr>
              <w:t>13</w:t>
            </w:r>
          </w:p>
        </w:tc>
        <w:tc>
          <w:tcPr>
            <w:tcW w:w="7790" w:type="dxa"/>
          </w:tcPr>
          <w:p>
            <w:pPr>
              <w:rPr>
                <w:noProof/>
                <w:color w:val="000000"/>
                <w:sz w:val="23"/>
                <w:szCs w:val="23"/>
              </w:rPr>
            </w:pPr>
            <w:r>
              <w:rPr>
                <w:noProof/>
                <w:color w:val="000000"/>
                <w:sz w:val="23"/>
                <w:szCs w:val="23"/>
              </w:rPr>
              <w:t>Uniform provisions concerning the approval of vehicles of categories M, N and O with regard to braking</w:t>
            </w:r>
          </w:p>
        </w:tc>
      </w:tr>
      <w:tr>
        <w:tc>
          <w:tcPr>
            <w:tcW w:w="1226" w:type="dxa"/>
          </w:tcPr>
          <w:p>
            <w:pPr>
              <w:jc w:val="center"/>
              <w:rPr>
                <w:noProof/>
                <w:color w:val="000000"/>
                <w:sz w:val="23"/>
                <w:szCs w:val="23"/>
              </w:rPr>
            </w:pPr>
            <w:r>
              <w:rPr>
                <w:noProof/>
                <w:color w:val="000000"/>
                <w:sz w:val="23"/>
                <w:szCs w:val="23"/>
              </w:rPr>
              <w:t>13-H</w:t>
            </w:r>
          </w:p>
        </w:tc>
        <w:tc>
          <w:tcPr>
            <w:tcW w:w="7790" w:type="dxa"/>
          </w:tcPr>
          <w:p>
            <w:pPr>
              <w:rPr>
                <w:noProof/>
                <w:color w:val="000000"/>
                <w:sz w:val="23"/>
                <w:szCs w:val="23"/>
              </w:rPr>
            </w:pPr>
            <w:r>
              <w:rPr>
                <w:noProof/>
                <w:color w:val="000000"/>
                <w:sz w:val="23"/>
                <w:szCs w:val="23"/>
              </w:rPr>
              <w:t>Uniform provisions concerning the approval of passenger cars with regard to braking</w:t>
            </w:r>
          </w:p>
        </w:tc>
      </w:tr>
      <w:tr>
        <w:tc>
          <w:tcPr>
            <w:tcW w:w="1226" w:type="dxa"/>
          </w:tcPr>
          <w:p>
            <w:pPr>
              <w:jc w:val="center"/>
              <w:rPr>
                <w:noProof/>
                <w:color w:val="000000"/>
                <w:sz w:val="23"/>
                <w:szCs w:val="23"/>
              </w:rPr>
            </w:pPr>
            <w:r>
              <w:rPr>
                <w:noProof/>
                <w:color w:val="000000"/>
                <w:sz w:val="23"/>
                <w:szCs w:val="23"/>
              </w:rPr>
              <w:t>14</w:t>
            </w:r>
          </w:p>
        </w:tc>
        <w:tc>
          <w:tcPr>
            <w:tcW w:w="7790" w:type="dxa"/>
          </w:tcPr>
          <w:p>
            <w:pPr>
              <w:rPr>
                <w:noProof/>
                <w:color w:val="000000"/>
                <w:sz w:val="23"/>
                <w:szCs w:val="23"/>
              </w:rPr>
            </w:pPr>
            <w:r>
              <w:rPr>
                <w:noProof/>
                <w:color w:val="000000"/>
                <w:sz w:val="23"/>
                <w:szCs w:val="23"/>
              </w:rPr>
              <w:t>Uniform provisions concerning the approval of vehicles with regard to safety-belt anchorages, ISOFIX anchorages systems, ISOFIX top tether anchorages and i-Size seating positions</w:t>
            </w:r>
          </w:p>
        </w:tc>
      </w:tr>
      <w:tr>
        <w:tc>
          <w:tcPr>
            <w:tcW w:w="1226" w:type="dxa"/>
          </w:tcPr>
          <w:p>
            <w:pPr>
              <w:jc w:val="center"/>
              <w:rPr>
                <w:noProof/>
                <w:color w:val="000000"/>
                <w:sz w:val="23"/>
                <w:szCs w:val="23"/>
              </w:rPr>
            </w:pPr>
            <w:r>
              <w:rPr>
                <w:noProof/>
                <w:color w:val="000000"/>
                <w:sz w:val="23"/>
                <w:szCs w:val="23"/>
              </w:rPr>
              <w:t>16</w:t>
            </w:r>
          </w:p>
        </w:tc>
        <w:tc>
          <w:tcPr>
            <w:tcW w:w="7790" w:type="dxa"/>
          </w:tcPr>
          <w:p>
            <w:pPr>
              <w:rPr>
                <w:noProof/>
                <w:color w:val="000000"/>
                <w:sz w:val="23"/>
                <w:szCs w:val="23"/>
              </w:rPr>
            </w:pPr>
            <w:r>
              <w:rPr>
                <w:noProof/>
                <w:color w:val="000000"/>
                <w:sz w:val="23"/>
                <w:szCs w:val="23"/>
              </w:rPr>
              <w:t xml:space="preserve">Uniform provisions concerning the approval of: </w:t>
            </w:r>
          </w:p>
          <w:p>
            <w:pPr>
              <w:rPr>
                <w:noProof/>
                <w:color w:val="000000"/>
                <w:sz w:val="23"/>
                <w:szCs w:val="23"/>
              </w:rPr>
            </w:pPr>
            <w:r>
              <w:rPr>
                <w:noProof/>
                <w:color w:val="000000"/>
                <w:sz w:val="23"/>
                <w:szCs w:val="23"/>
              </w:rPr>
              <w:t xml:space="preserve">I. Safety-belts, restraint systems, child restraint systems and ISOFIX child restraint systems for occupants of power-driven vehicles </w:t>
            </w:r>
          </w:p>
          <w:p>
            <w:pPr>
              <w:rPr>
                <w:noProof/>
                <w:color w:val="000000"/>
                <w:sz w:val="23"/>
                <w:szCs w:val="23"/>
              </w:rPr>
            </w:pPr>
            <w:r>
              <w:rPr>
                <w:noProof/>
                <w:color w:val="000000"/>
                <w:sz w:val="23"/>
                <w:szCs w:val="23"/>
              </w:rPr>
              <w:t>II. Vehicles equipped with safety-belts, safety-belt reminder, restraint systems, child restraint systems, ISOFIX child restraint systems and i-Size child restraint systems</w:t>
            </w:r>
          </w:p>
        </w:tc>
      </w:tr>
      <w:tr>
        <w:tc>
          <w:tcPr>
            <w:tcW w:w="1226" w:type="dxa"/>
          </w:tcPr>
          <w:p>
            <w:pPr>
              <w:jc w:val="center"/>
              <w:rPr>
                <w:noProof/>
                <w:color w:val="000000"/>
                <w:sz w:val="23"/>
                <w:szCs w:val="23"/>
              </w:rPr>
            </w:pPr>
            <w:r>
              <w:rPr>
                <w:noProof/>
                <w:color w:val="000000"/>
                <w:sz w:val="23"/>
                <w:szCs w:val="23"/>
              </w:rPr>
              <w:t>17</w:t>
            </w:r>
          </w:p>
        </w:tc>
        <w:tc>
          <w:tcPr>
            <w:tcW w:w="7790" w:type="dxa"/>
          </w:tcPr>
          <w:p>
            <w:pPr>
              <w:rPr>
                <w:noProof/>
                <w:color w:val="000000"/>
                <w:sz w:val="23"/>
                <w:szCs w:val="23"/>
              </w:rPr>
            </w:pPr>
            <w:r>
              <w:rPr>
                <w:noProof/>
                <w:color w:val="000000"/>
                <w:sz w:val="23"/>
                <w:szCs w:val="23"/>
              </w:rPr>
              <w:t>Uniform provisions concerning the approval of vehicles with regard to the seats, their anchorages and any head restraints</w:t>
            </w:r>
          </w:p>
        </w:tc>
      </w:tr>
      <w:tr>
        <w:tc>
          <w:tcPr>
            <w:tcW w:w="1226" w:type="dxa"/>
          </w:tcPr>
          <w:p>
            <w:pPr>
              <w:jc w:val="center"/>
              <w:rPr>
                <w:noProof/>
                <w:color w:val="000000"/>
                <w:sz w:val="23"/>
                <w:szCs w:val="23"/>
              </w:rPr>
            </w:pPr>
            <w:r>
              <w:rPr>
                <w:noProof/>
                <w:color w:val="000000"/>
                <w:sz w:val="23"/>
                <w:szCs w:val="23"/>
              </w:rPr>
              <w:t>19</w:t>
            </w:r>
          </w:p>
        </w:tc>
        <w:tc>
          <w:tcPr>
            <w:tcW w:w="7790" w:type="dxa"/>
          </w:tcPr>
          <w:p>
            <w:pPr>
              <w:rPr>
                <w:noProof/>
                <w:color w:val="000000"/>
                <w:sz w:val="23"/>
                <w:szCs w:val="23"/>
              </w:rPr>
            </w:pPr>
            <w:r>
              <w:rPr>
                <w:noProof/>
                <w:color w:val="000000"/>
                <w:sz w:val="23"/>
                <w:szCs w:val="23"/>
              </w:rPr>
              <w:t>Uniform provisions concerning the approval of power-driven vehicle front fog lamps</w:t>
            </w:r>
          </w:p>
        </w:tc>
      </w:tr>
      <w:tr>
        <w:tc>
          <w:tcPr>
            <w:tcW w:w="1226" w:type="dxa"/>
          </w:tcPr>
          <w:p>
            <w:pPr>
              <w:jc w:val="center"/>
              <w:rPr>
                <w:noProof/>
                <w:color w:val="000000"/>
                <w:sz w:val="23"/>
                <w:szCs w:val="23"/>
              </w:rPr>
            </w:pPr>
            <w:r>
              <w:rPr>
                <w:noProof/>
                <w:color w:val="000000"/>
                <w:sz w:val="23"/>
                <w:szCs w:val="23"/>
              </w:rPr>
              <w:t>21</w:t>
            </w:r>
          </w:p>
        </w:tc>
        <w:tc>
          <w:tcPr>
            <w:tcW w:w="7790" w:type="dxa"/>
          </w:tcPr>
          <w:p>
            <w:pPr>
              <w:rPr>
                <w:noProof/>
                <w:color w:val="000000"/>
                <w:sz w:val="23"/>
                <w:szCs w:val="23"/>
              </w:rPr>
            </w:pPr>
            <w:r>
              <w:rPr>
                <w:noProof/>
                <w:color w:val="000000"/>
                <w:sz w:val="23"/>
                <w:szCs w:val="23"/>
              </w:rPr>
              <w:t>Uniform provisions concerning the approval of vehicles with regard to their interior fittings</w:t>
            </w:r>
          </w:p>
        </w:tc>
      </w:tr>
      <w:tr>
        <w:tc>
          <w:tcPr>
            <w:tcW w:w="1226" w:type="dxa"/>
          </w:tcPr>
          <w:p>
            <w:pPr>
              <w:jc w:val="center"/>
              <w:rPr>
                <w:noProof/>
                <w:color w:val="000000"/>
                <w:sz w:val="23"/>
                <w:szCs w:val="23"/>
              </w:rPr>
            </w:pPr>
            <w:r>
              <w:rPr>
                <w:noProof/>
                <w:color w:val="000000"/>
                <w:sz w:val="23"/>
                <w:szCs w:val="23"/>
              </w:rPr>
              <w:t>23</w:t>
            </w:r>
          </w:p>
        </w:tc>
        <w:tc>
          <w:tcPr>
            <w:tcW w:w="7790" w:type="dxa"/>
          </w:tcPr>
          <w:p>
            <w:pPr>
              <w:rPr>
                <w:noProof/>
                <w:color w:val="000000"/>
                <w:sz w:val="23"/>
                <w:szCs w:val="23"/>
              </w:rPr>
            </w:pPr>
            <w:r>
              <w:rPr>
                <w:noProof/>
                <w:color w:val="000000"/>
                <w:sz w:val="23"/>
                <w:szCs w:val="23"/>
              </w:rPr>
              <w:t>Uniform provisions concerning the approval of reversing and manoeuvring lamps for power-driven vehicles and their trailers</w:t>
            </w:r>
          </w:p>
        </w:tc>
      </w:tr>
      <w:tr>
        <w:tc>
          <w:tcPr>
            <w:tcW w:w="1226" w:type="dxa"/>
          </w:tcPr>
          <w:p>
            <w:pPr>
              <w:jc w:val="center"/>
              <w:rPr>
                <w:noProof/>
                <w:color w:val="000000"/>
                <w:sz w:val="23"/>
                <w:szCs w:val="23"/>
              </w:rPr>
            </w:pPr>
            <w:r>
              <w:rPr>
                <w:noProof/>
                <w:color w:val="000000"/>
                <w:sz w:val="23"/>
                <w:szCs w:val="23"/>
              </w:rPr>
              <w:t>25</w:t>
            </w:r>
          </w:p>
        </w:tc>
        <w:tc>
          <w:tcPr>
            <w:tcW w:w="7790" w:type="dxa"/>
          </w:tcPr>
          <w:p>
            <w:pPr>
              <w:rPr>
                <w:noProof/>
                <w:color w:val="000000"/>
                <w:sz w:val="23"/>
                <w:szCs w:val="23"/>
              </w:rPr>
            </w:pPr>
            <w:r>
              <w:rPr>
                <w:noProof/>
                <w:color w:val="000000"/>
                <w:sz w:val="23"/>
                <w:szCs w:val="23"/>
              </w:rPr>
              <w:t>Uniform provisions concerning the approval of head restraints (headrests), whether or not incorporated in vehicle seats</w:t>
            </w:r>
          </w:p>
        </w:tc>
      </w:tr>
      <w:tr>
        <w:tc>
          <w:tcPr>
            <w:tcW w:w="1226" w:type="dxa"/>
          </w:tcPr>
          <w:p>
            <w:pPr>
              <w:jc w:val="center"/>
              <w:rPr>
                <w:noProof/>
                <w:color w:val="000000"/>
                <w:sz w:val="23"/>
                <w:szCs w:val="23"/>
              </w:rPr>
            </w:pPr>
            <w:r>
              <w:rPr>
                <w:noProof/>
                <w:color w:val="000000"/>
                <w:sz w:val="23"/>
                <w:szCs w:val="23"/>
              </w:rPr>
              <w:t>26</w:t>
            </w:r>
          </w:p>
        </w:tc>
        <w:tc>
          <w:tcPr>
            <w:tcW w:w="7790" w:type="dxa"/>
          </w:tcPr>
          <w:p>
            <w:pPr>
              <w:rPr>
                <w:noProof/>
                <w:color w:val="000000"/>
                <w:sz w:val="23"/>
                <w:szCs w:val="23"/>
              </w:rPr>
            </w:pPr>
            <w:r>
              <w:rPr>
                <w:noProof/>
                <w:color w:val="000000"/>
                <w:sz w:val="23"/>
                <w:szCs w:val="23"/>
              </w:rPr>
              <w:t>Uniform provisions concerning the approval of vehicles with regard to their external projections</w:t>
            </w:r>
          </w:p>
        </w:tc>
      </w:tr>
      <w:tr>
        <w:tc>
          <w:tcPr>
            <w:tcW w:w="1226" w:type="dxa"/>
          </w:tcPr>
          <w:p>
            <w:pPr>
              <w:jc w:val="center"/>
              <w:rPr>
                <w:noProof/>
                <w:color w:val="000000"/>
                <w:sz w:val="23"/>
                <w:szCs w:val="23"/>
              </w:rPr>
            </w:pPr>
            <w:r>
              <w:rPr>
                <w:noProof/>
                <w:color w:val="000000"/>
                <w:sz w:val="23"/>
                <w:szCs w:val="23"/>
              </w:rPr>
              <w:t>27</w:t>
            </w:r>
          </w:p>
        </w:tc>
        <w:tc>
          <w:tcPr>
            <w:tcW w:w="7790" w:type="dxa"/>
          </w:tcPr>
          <w:p>
            <w:pPr>
              <w:rPr>
                <w:noProof/>
                <w:color w:val="000000"/>
                <w:sz w:val="23"/>
                <w:szCs w:val="23"/>
              </w:rPr>
            </w:pPr>
            <w:r>
              <w:rPr>
                <w:noProof/>
                <w:color w:val="000000"/>
                <w:sz w:val="23"/>
                <w:szCs w:val="23"/>
              </w:rPr>
              <w:t>Uniform provisions concerning the approval of advance warning triangles</w:t>
            </w:r>
          </w:p>
        </w:tc>
      </w:tr>
      <w:tr>
        <w:tc>
          <w:tcPr>
            <w:tcW w:w="1226" w:type="dxa"/>
          </w:tcPr>
          <w:p>
            <w:pPr>
              <w:jc w:val="center"/>
              <w:rPr>
                <w:noProof/>
                <w:color w:val="000000"/>
                <w:sz w:val="23"/>
                <w:szCs w:val="23"/>
              </w:rPr>
            </w:pPr>
            <w:r>
              <w:rPr>
                <w:noProof/>
                <w:color w:val="000000"/>
                <w:sz w:val="23"/>
                <w:szCs w:val="23"/>
              </w:rPr>
              <w:t>28</w:t>
            </w:r>
          </w:p>
        </w:tc>
        <w:tc>
          <w:tcPr>
            <w:tcW w:w="7790" w:type="dxa"/>
          </w:tcPr>
          <w:p>
            <w:pPr>
              <w:rPr>
                <w:noProof/>
                <w:color w:val="000000"/>
                <w:sz w:val="23"/>
                <w:szCs w:val="23"/>
              </w:rPr>
            </w:pPr>
            <w:r>
              <w:rPr>
                <w:noProof/>
                <w:color w:val="000000"/>
                <w:sz w:val="23"/>
                <w:szCs w:val="23"/>
              </w:rPr>
              <w:t>Uniform provisions concerning the approval of audible warning devices and of motor vehicles with regard to their audible signals</w:t>
            </w:r>
          </w:p>
        </w:tc>
      </w:tr>
      <w:tr>
        <w:tc>
          <w:tcPr>
            <w:tcW w:w="1226" w:type="dxa"/>
          </w:tcPr>
          <w:p>
            <w:pPr>
              <w:jc w:val="center"/>
              <w:rPr>
                <w:noProof/>
                <w:color w:val="000000"/>
                <w:sz w:val="23"/>
                <w:szCs w:val="23"/>
              </w:rPr>
            </w:pPr>
            <w:r>
              <w:rPr>
                <w:noProof/>
                <w:color w:val="000000"/>
                <w:sz w:val="23"/>
                <w:szCs w:val="23"/>
              </w:rPr>
              <w:t>30</w:t>
            </w:r>
          </w:p>
        </w:tc>
        <w:tc>
          <w:tcPr>
            <w:tcW w:w="7790" w:type="dxa"/>
          </w:tcPr>
          <w:p>
            <w:pPr>
              <w:rPr>
                <w:noProof/>
                <w:color w:val="000000"/>
                <w:sz w:val="23"/>
                <w:szCs w:val="23"/>
              </w:rPr>
            </w:pPr>
            <w:r>
              <w:rPr>
                <w:noProof/>
                <w:color w:val="000000"/>
                <w:sz w:val="23"/>
                <w:szCs w:val="23"/>
              </w:rPr>
              <w:t>Uniform provisions concerning the approval of pneumatic tyres for motor vehicles and their trailers</w:t>
            </w:r>
          </w:p>
        </w:tc>
      </w:tr>
      <w:tr>
        <w:tc>
          <w:tcPr>
            <w:tcW w:w="1226" w:type="dxa"/>
          </w:tcPr>
          <w:p>
            <w:pPr>
              <w:jc w:val="center"/>
              <w:rPr>
                <w:noProof/>
                <w:color w:val="000000"/>
                <w:sz w:val="23"/>
                <w:szCs w:val="23"/>
              </w:rPr>
            </w:pPr>
            <w:r>
              <w:rPr>
                <w:noProof/>
                <w:color w:val="000000"/>
                <w:sz w:val="23"/>
                <w:szCs w:val="23"/>
              </w:rPr>
              <w:t>34</w:t>
            </w:r>
          </w:p>
        </w:tc>
        <w:tc>
          <w:tcPr>
            <w:tcW w:w="7790" w:type="dxa"/>
          </w:tcPr>
          <w:p>
            <w:pPr>
              <w:rPr>
                <w:noProof/>
                <w:color w:val="000000"/>
                <w:sz w:val="23"/>
                <w:szCs w:val="23"/>
              </w:rPr>
            </w:pPr>
            <w:r>
              <w:rPr>
                <w:noProof/>
                <w:color w:val="000000"/>
                <w:sz w:val="23"/>
                <w:szCs w:val="23"/>
              </w:rPr>
              <w:t>Uniform provisions concerning the approval of vehicles with regard to the prevention of fire risks</w:t>
            </w:r>
          </w:p>
        </w:tc>
      </w:tr>
      <w:tr>
        <w:tc>
          <w:tcPr>
            <w:tcW w:w="1226" w:type="dxa"/>
          </w:tcPr>
          <w:p>
            <w:pPr>
              <w:jc w:val="center"/>
              <w:rPr>
                <w:noProof/>
                <w:color w:val="000000"/>
                <w:sz w:val="23"/>
                <w:szCs w:val="23"/>
              </w:rPr>
            </w:pPr>
            <w:r>
              <w:rPr>
                <w:noProof/>
                <w:color w:val="000000"/>
                <w:sz w:val="23"/>
                <w:szCs w:val="23"/>
              </w:rPr>
              <w:t>37</w:t>
            </w:r>
          </w:p>
        </w:tc>
        <w:tc>
          <w:tcPr>
            <w:tcW w:w="7790" w:type="dxa"/>
          </w:tcPr>
          <w:p>
            <w:pPr>
              <w:rPr>
                <w:noProof/>
                <w:color w:val="000000"/>
                <w:sz w:val="23"/>
                <w:szCs w:val="23"/>
              </w:rPr>
            </w:pPr>
            <w:r>
              <w:rPr>
                <w:noProof/>
                <w:color w:val="000000"/>
                <w:sz w:val="23"/>
                <w:szCs w:val="23"/>
              </w:rPr>
              <w:t>Uniform provisions concerning the approval of filament lamps for use in approved lamp units of power-driven vehicles and of their trailers</w:t>
            </w:r>
          </w:p>
        </w:tc>
      </w:tr>
      <w:tr>
        <w:tc>
          <w:tcPr>
            <w:tcW w:w="1226" w:type="dxa"/>
          </w:tcPr>
          <w:p>
            <w:pPr>
              <w:jc w:val="center"/>
              <w:rPr>
                <w:noProof/>
                <w:color w:val="000000"/>
                <w:sz w:val="23"/>
                <w:szCs w:val="23"/>
              </w:rPr>
            </w:pPr>
            <w:r>
              <w:rPr>
                <w:noProof/>
                <w:color w:val="000000"/>
                <w:sz w:val="23"/>
                <w:szCs w:val="23"/>
              </w:rPr>
              <w:t>38</w:t>
            </w:r>
          </w:p>
        </w:tc>
        <w:tc>
          <w:tcPr>
            <w:tcW w:w="7790" w:type="dxa"/>
          </w:tcPr>
          <w:p>
            <w:pPr>
              <w:tabs>
                <w:tab w:val="left" w:pos="930"/>
              </w:tabs>
              <w:rPr>
                <w:noProof/>
                <w:color w:val="000000"/>
                <w:sz w:val="23"/>
                <w:szCs w:val="23"/>
              </w:rPr>
            </w:pPr>
            <w:r>
              <w:rPr>
                <w:noProof/>
                <w:color w:val="000000"/>
                <w:sz w:val="23"/>
                <w:szCs w:val="23"/>
              </w:rPr>
              <w:t>Uniform provisions concerning the approval of rear fog lamps for power-driven vehicles and their trailers</w:t>
            </w:r>
          </w:p>
        </w:tc>
      </w:tr>
      <w:tr>
        <w:tc>
          <w:tcPr>
            <w:tcW w:w="1226" w:type="dxa"/>
          </w:tcPr>
          <w:p>
            <w:pPr>
              <w:jc w:val="center"/>
              <w:rPr>
                <w:noProof/>
                <w:color w:val="000000"/>
                <w:sz w:val="23"/>
                <w:szCs w:val="23"/>
              </w:rPr>
            </w:pPr>
            <w:r>
              <w:rPr>
                <w:noProof/>
                <w:color w:val="000000"/>
                <w:sz w:val="23"/>
                <w:szCs w:val="23"/>
              </w:rPr>
              <w:t>39</w:t>
            </w:r>
          </w:p>
        </w:tc>
        <w:tc>
          <w:tcPr>
            <w:tcW w:w="7790" w:type="dxa"/>
          </w:tcPr>
          <w:p>
            <w:pPr>
              <w:tabs>
                <w:tab w:val="left" w:pos="2280"/>
              </w:tabs>
              <w:rPr>
                <w:noProof/>
                <w:color w:val="000000"/>
                <w:sz w:val="23"/>
                <w:szCs w:val="23"/>
              </w:rPr>
            </w:pPr>
            <w:r>
              <w:rPr>
                <w:noProof/>
                <w:color w:val="000000"/>
                <w:sz w:val="23"/>
                <w:szCs w:val="23"/>
              </w:rPr>
              <w:t>Uniform provisions concerning the approval of vehicles with regard to the speedometer and odometer equipment including its installation</w:t>
            </w:r>
          </w:p>
        </w:tc>
      </w:tr>
      <w:tr>
        <w:tc>
          <w:tcPr>
            <w:tcW w:w="1226" w:type="dxa"/>
          </w:tcPr>
          <w:p>
            <w:pPr>
              <w:jc w:val="center"/>
              <w:rPr>
                <w:noProof/>
                <w:color w:val="000000"/>
                <w:sz w:val="23"/>
                <w:szCs w:val="23"/>
              </w:rPr>
            </w:pPr>
            <w:r>
              <w:rPr>
                <w:noProof/>
                <w:color w:val="000000"/>
                <w:sz w:val="23"/>
                <w:szCs w:val="23"/>
              </w:rPr>
              <w:t>41</w:t>
            </w:r>
          </w:p>
        </w:tc>
        <w:tc>
          <w:tcPr>
            <w:tcW w:w="7790" w:type="dxa"/>
          </w:tcPr>
          <w:p>
            <w:pPr>
              <w:rPr>
                <w:noProof/>
                <w:color w:val="000000"/>
                <w:sz w:val="23"/>
                <w:szCs w:val="23"/>
              </w:rPr>
            </w:pPr>
            <w:r>
              <w:rPr>
                <w:noProof/>
                <w:color w:val="000000"/>
                <w:sz w:val="23"/>
                <w:szCs w:val="23"/>
              </w:rPr>
              <w:t>Uniform provisions concerning the approval of motor cycles with regard to noise</w:t>
            </w:r>
          </w:p>
        </w:tc>
      </w:tr>
      <w:tr>
        <w:tc>
          <w:tcPr>
            <w:tcW w:w="1226" w:type="dxa"/>
          </w:tcPr>
          <w:p>
            <w:pPr>
              <w:jc w:val="center"/>
              <w:rPr>
                <w:noProof/>
                <w:color w:val="000000"/>
                <w:sz w:val="23"/>
                <w:szCs w:val="23"/>
              </w:rPr>
            </w:pPr>
            <w:r>
              <w:rPr>
                <w:noProof/>
                <w:color w:val="000000"/>
                <w:sz w:val="23"/>
                <w:szCs w:val="23"/>
              </w:rPr>
              <w:t>43</w:t>
            </w:r>
          </w:p>
        </w:tc>
        <w:tc>
          <w:tcPr>
            <w:tcW w:w="7790" w:type="dxa"/>
          </w:tcPr>
          <w:p>
            <w:pPr>
              <w:rPr>
                <w:noProof/>
                <w:color w:val="000000"/>
                <w:sz w:val="23"/>
                <w:szCs w:val="23"/>
              </w:rPr>
            </w:pPr>
            <w:r>
              <w:rPr>
                <w:noProof/>
                <w:color w:val="000000"/>
                <w:sz w:val="23"/>
                <w:szCs w:val="23"/>
              </w:rPr>
              <w:t>Uniform provisions concerning the approval of safety glazing materials and their installation on vehicles</w:t>
            </w:r>
          </w:p>
        </w:tc>
      </w:tr>
      <w:tr>
        <w:tc>
          <w:tcPr>
            <w:tcW w:w="1226" w:type="dxa"/>
          </w:tcPr>
          <w:p>
            <w:pPr>
              <w:jc w:val="center"/>
              <w:rPr>
                <w:noProof/>
                <w:color w:val="000000"/>
                <w:sz w:val="23"/>
                <w:szCs w:val="23"/>
              </w:rPr>
            </w:pPr>
            <w:r>
              <w:rPr>
                <w:noProof/>
                <w:color w:val="000000"/>
                <w:sz w:val="23"/>
                <w:szCs w:val="23"/>
              </w:rPr>
              <w:t>44</w:t>
            </w:r>
          </w:p>
        </w:tc>
        <w:tc>
          <w:tcPr>
            <w:tcW w:w="7790" w:type="dxa"/>
          </w:tcPr>
          <w:p>
            <w:pPr>
              <w:rPr>
                <w:noProof/>
                <w:color w:val="000000"/>
                <w:sz w:val="23"/>
                <w:szCs w:val="23"/>
              </w:rPr>
            </w:pPr>
            <w:r>
              <w:rPr>
                <w:noProof/>
                <w:color w:val="000000"/>
                <w:sz w:val="23"/>
                <w:szCs w:val="23"/>
              </w:rPr>
              <w:t>Uniform provisions concerning the approval of restraining devices for child occupants of power-driven vehicles ("Child Restraint Systems")</w:t>
            </w:r>
          </w:p>
        </w:tc>
      </w:tr>
      <w:tr>
        <w:tc>
          <w:tcPr>
            <w:tcW w:w="1226" w:type="dxa"/>
          </w:tcPr>
          <w:p>
            <w:pPr>
              <w:jc w:val="center"/>
              <w:rPr>
                <w:noProof/>
                <w:color w:val="000000"/>
                <w:sz w:val="23"/>
                <w:szCs w:val="23"/>
              </w:rPr>
            </w:pPr>
            <w:r>
              <w:rPr>
                <w:noProof/>
                <w:color w:val="000000"/>
                <w:sz w:val="23"/>
                <w:szCs w:val="23"/>
              </w:rPr>
              <w:t>45</w:t>
            </w:r>
          </w:p>
        </w:tc>
        <w:tc>
          <w:tcPr>
            <w:tcW w:w="7790" w:type="dxa"/>
          </w:tcPr>
          <w:p>
            <w:pPr>
              <w:rPr>
                <w:noProof/>
                <w:color w:val="000000"/>
                <w:sz w:val="23"/>
                <w:szCs w:val="23"/>
              </w:rPr>
            </w:pPr>
            <w:r>
              <w:rPr>
                <w:noProof/>
                <w:color w:val="000000"/>
                <w:sz w:val="23"/>
                <w:szCs w:val="23"/>
              </w:rPr>
              <w:t>Uniform provisions concerning the approval of headlamp cleaners, and of power-driven vehicles with regard to headlamp cleaners</w:t>
            </w:r>
          </w:p>
        </w:tc>
      </w:tr>
      <w:tr>
        <w:tc>
          <w:tcPr>
            <w:tcW w:w="1226" w:type="dxa"/>
          </w:tcPr>
          <w:p>
            <w:pPr>
              <w:jc w:val="center"/>
              <w:rPr>
                <w:noProof/>
                <w:color w:val="000000"/>
                <w:sz w:val="23"/>
                <w:szCs w:val="23"/>
              </w:rPr>
            </w:pPr>
            <w:r>
              <w:rPr>
                <w:noProof/>
                <w:color w:val="000000"/>
                <w:sz w:val="23"/>
                <w:szCs w:val="23"/>
              </w:rPr>
              <w:t>46</w:t>
            </w:r>
          </w:p>
        </w:tc>
        <w:tc>
          <w:tcPr>
            <w:tcW w:w="7790" w:type="dxa"/>
          </w:tcPr>
          <w:p>
            <w:pPr>
              <w:rPr>
                <w:noProof/>
                <w:color w:val="000000"/>
                <w:sz w:val="23"/>
                <w:szCs w:val="23"/>
              </w:rPr>
            </w:pPr>
            <w:r>
              <w:rPr>
                <w:noProof/>
                <w:color w:val="000000"/>
                <w:sz w:val="23"/>
                <w:szCs w:val="23"/>
              </w:rPr>
              <w:t>Uniform provisions concerning the approval of devices for indirect vision and of motor vehicles with regard to the installation of these devices</w:t>
            </w:r>
          </w:p>
        </w:tc>
      </w:tr>
      <w:tr>
        <w:tc>
          <w:tcPr>
            <w:tcW w:w="1226" w:type="dxa"/>
          </w:tcPr>
          <w:p>
            <w:pPr>
              <w:jc w:val="center"/>
              <w:rPr>
                <w:noProof/>
                <w:color w:val="000000"/>
                <w:sz w:val="23"/>
                <w:szCs w:val="23"/>
              </w:rPr>
            </w:pPr>
            <w:r>
              <w:rPr>
                <w:noProof/>
                <w:color w:val="000000"/>
                <w:sz w:val="23"/>
                <w:szCs w:val="23"/>
              </w:rPr>
              <w:t>48</w:t>
            </w:r>
          </w:p>
        </w:tc>
        <w:tc>
          <w:tcPr>
            <w:tcW w:w="7790" w:type="dxa"/>
          </w:tcPr>
          <w:p>
            <w:pPr>
              <w:rPr>
                <w:noProof/>
                <w:color w:val="000000"/>
                <w:sz w:val="23"/>
                <w:szCs w:val="23"/>
              </w:rPr>
            </w:pPr>
            <w:r>
              <w:rPr>
                <w:noProof/>
                <w:color w:val="000000"/>
                <w:sz w:val="23"/>
                <w:szCs w:val="23"/>
              </w:rPr>
              <w:t>Uniform provisions concerning the approval of vehicles with regard to the installation of lighting and light-signalling devices</w:t>
            </w:r>
          </w:p>
        </w:tc>
      </w:tr>
      <w:tr>
        <w:tc>
          <w:tcPr>
            <w:tcW w:w="1226" w:type="dxa"/>
            <w:tcBorders>
              <w:bottom w:val="single" w:sz="4" w:space="0" w:color="auto"/>
            </w:tcBorders>
          </w:tcPr>
          <w:p>
            <w:pPr>
              <w:jc w:val="center"/>
              <w:rPr>
                <w:noProof/>
                <w:color w:val="000000"/>
                <w:sz w:val="23"/>
                <w:szCs w:val="23"/>
              </w:rPr>
            </w:pPr>
            <w:r>
              <w:rPr>
                <w:noProof/>
                <w:color w:val="000000"/>
                <w:sz w:val="23"/>
                <w:szCs w:val="23"/>
              </w:rPr>
              <w:t>50</w:t>
            </w:r>
          </w:p>
        </w:tc>
        <w:tc>
          <w:tcPr>
            <w:tcW w:w="7790" w:type="dxa"/>
          </w:tcPr>
          <w:p>
            <w:pPr>
              <w:rPr>
                <w:noProof/>
                <w:color w:val="000000"/>
                <w:sz w:val="23"/>
                <w:szCs w:val="23"/>
              </w:rPr>
            </w:pPr>
            <w:r>
              <w:rPr>
                <w:noProof/>
                <w:color w:val="000000"/>
                <w:sz w:val="23"/>
                <w:szCs w:val="23"/>
              </w:rPr>
              <w:t>Uniform provisions concerning the approval of front position lamps, rear position lamps, stop lamps, direction indicators and rear-registration-plate illuminating devices for vehicles of category L</w:t>
            </w:r>
          </w:p>
        </w:tc>
      </w:tr>
      <w:tr>
        <w:trPr>
          <w:trHeight w:val="590"/>
        </w:trPr>
        <w:tc>
          <w:tcPr>
            <w:tcW w:w="1226" w:type="dxa"/>
            <w:tcBorders>
              <w:bottom w:val="single" w:sz="4" w:space="0" w:color="auto"/>
            </w:tcBorders>
          </w:tcPr>
          <w:p>
            <w:pPr>
              <w:jc w:val="center"/>
              <w:rPr>
                <w:noProof/>
                <w:color w:val="000000"/>
                <w:sz w:val="23"/>
                <w:szCs w:val="23"/>
              </w:rPr>
            </w:pPr>
            <w:r>
              <w:rPr>
                <w:noProof/>
                <w:color w:val="000000"/>
                <w:sz w:val="23"/>
                <w:szCs w:val="23"/>
              </w:rPr>
              <w:t>51</w:t>
            </w:r>
          </w:p>
        </w:tc>
        <w:tc>
          <w:tcPr>
            <w:tcW w:w="7790" w:type="dxa"/>
          </w:tcPr>
          <w:p>
            <w:pPr>
              <w:rPr>
                <w:noProof/>
                <w:color w:val="000000"/>
                <w:sz w:val="23"/>
                <w:szCs w:val="23"/>
              </w:rPr>
            </w:pPr>
            <w:r>
              <w:rPr>
                <w:noProof/>
                <w:color w:val="000000"/>
                <w:sz w:val="23"/>
                <w:szCs w:val="23"/>
              </w:rPr>
              <w:t>Uniform provisions concerning the approval of motor vehicles having at least four wheels with regard to their sound emissions</w:t>
            </w:r>
          </w:p>
        </w:tc>
      </w:tr>
      <w:tr>
        <w:trPr>
          <w:trHeight w:val="470"/>
        </w:trPr>
        <w:tc>
          <w:tcPr>
            <w:tcW w:w="1226" w:type="dxa"/>
            <w:tcBorders>
              <w:top w:val="single" w:sz="4" w:space="0" w:color="auto"/>
            </w:tcBorders>
          </w:tcPr>
          <w:p>
            <w:pPr>
              <w:jc w:val="center"/>
              <w:rPr>
                <w:noProof/>
                <w:color w:val="000000"/>
                <w:sz w:val="23"/>
                <w:szCs w:val="23"/>
                <w:highlight w:val="yellow"/>
              </w:rPr>
            </w:pPr>
            <w:r>
              <w:rPr>
                <w:noProof/>
                <w:color w:val="000000"/>
                <w:sz w:val="23"/>
                <w:szCs w:val="23"/>
              </w:rPr>
              <w:t>53</w:t>
            </w:r>
          </w:p>
        </w:tc>
        <w:tc>
          <w:tcPr>
            <w:tcW w:w="7790" w:type="dxa"/>
          </w:tcPr>
          <w:p>
            <w:pPr>
              <w:rPr>
                <w:noProof/>
                <w:color w:val="000000"/>
                <w:sz w:val="23"/>
                <w:szCs w:val="23"/>
              </w:rPr>
            </w:pPr>
            <w:r>
              <w:rPr>
                <w:noProof/>
                <w:color w:val="000000"/>
                <w:sz w:val="23"/>
                <w:szCs w:val="23"/>
              </w:rPr>
              <w:t>Uniform provisions concerning the approval of category L3 vehicles with regard to the installation of lighting and light-signalling devices</w:t>
            </w:r>
          </w:p>
        </w:tc>
      </w:tr>
      <w:tr>
        <w:tc>
          <w:tcPr>
            <w:tcW w:w="1226" w:type="dxa"/>
          </w:tcPr>
          <w:p>
            <w:pPr>
              <w:jc w:val="center"/>
              <w:rPr>
                <w:noProof/>
                <w:color w:val="000000"/>
                <w:sz w:val="23"/>
                <w:szCs w:val="23"/>
              </w:rPr>
            </w:pPr>
            <w:r>
              <w:rPr>
                <w:noProof/>
                <w:color w:val="000000"/>
                <w:sz w:val="23"/>
                <w:szCs w:val="23"/>
              </w:rPr>
              <w:t>54</w:t>
            </w:r>
          </w:p>
        </w:tc>
        <w:tc>
          <w:tcPr>
            <w:tcW w:w="7790" w:type="dxa"/>
          </w:tcPr>
          <w:p>
            <w:pPr>
              <w:rPr>
                <w:noProof/>
                <w:color w:val="000000"/>
                <w:sz w:val="23"/>
                <w:szCs w:val="23"/>
              </w:rPr>
            </w:pPr>
            <w:r>
              <w:rPr>
                <w:noProof/>
                <w:color w:val="000000"/>
                <w:sz w:val="23"/>
                <w:szCs w:val="23"/>
              </w:rPr>
              <w:t>Uniform provisions concerning the approval of pneumatic tyres for commercial vehicles and their trailers</w:t>
            </w:r>
          </w:p>
        </w:tc>
      </w:tr>
      <w:tr>
        <w:tc>
          <w:tcPr>
            <w:tcW w:w="1226" w:type="dxa"/>
          </w:tcPr>
          <w:p>
            <w:pPr>
              <w:jc w:val="center"/>
              <w:rPr>
                <w:noProof/>
                <w:color w:val="000000"/>
                <w:sz w:val="23"/>
                <w:szCs w:val="23"/>
              </w:rPr>
            </w:pPr>
            <w:r>
              <w:rPr>
                <w:noProof/>
                <w:color w:val="000000"/>
                <w:sz w:val="23"/>
                <w:szCs w:val="23"/>
              </w:rPr>
              <w:t>58</w:t>
            </w:r>
          </w:p>
        </w:tc>
        <w:tc>
          <w:tcPr>
            <w:tcW w:w="7790" w:type="dxa"/>
          </w:tcPr>
          <w:p>
            <w:pPr>
              <w:rPr>
                <w:noProof/>
                <w:color w:val="000000"/>
                <w:sz w:val="23"/>
                <w:szCs w:val="23"/>
              </w:rPr>
            </w:pPr>
            <w:r>
              <w:rPr>
                <w:noProof/>
                <w:color w:val="000000"/>
                <w:sz w:val="23"/>
                <w:szCs w:val="23"/>
              </w:rPr>
              <w:t xml:space="preserve">Uniform provisions concerning the approval of: </w:t>
            </w:r>
          </w:p>
          <w:p>
            <w:pPr>
              <w:pStyle w:val="ListParagraph"/>
              <w:numPr>
                <w:ilvl w:val="0"/>
                <w:numId w:val="5"/>
              </w:numPr>
              <w:spacing w:after="0" w:line="240" w:lineRule="auto"/>
              <w:ind w:left="330" w:hanging="330"/>
              <w:rPr>
                <w:rFonts w:ascii="Times New Roman" w:hAnsi="Times New Roman" w:cs="Times New Roman"/>
                <w:noProof/>
                <w:color w:val="000000"/>
                <w:sz w:val="23"/>
                <w:szCs w:val="23"/>
                <w:lang w:val="fr-FR"/>
              </w:rPr>
            </w:pPr>
            <w:r>
              <w:rPr>
                <w:rFonts w:ascii="Times New Roman" w:hAnsi="Times New Roman" w:cs="Times New Roman"/>
                <w:noProof/>
                <w:color w:val="000000"/>
                <w:sz w:val="23"/>
                <w:szCs w:val="23"/>
                <w:lang w:val="fr-FR"/>
              </w:rPr>
              <w:t xml:space="preserve">Rear underrun protective devices (RUPDs)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cs="Times New Roman"/>
                <w:noProof/>
                <w:color w:val="000000"/>
                <w:sz w:val="23"/>
                <w:szCs w:val="23"/>
              </w:rPr>
              <w:t xml:space="preserve">Vehicles with regard to the installation of an RUPD of an approved type </w:t>
            </w:r>
          </w:p>
          <w:p>
            <w:pPr>
              <w:pStyle w:val="ListParagraph"/>
              <w:numPr>
                <w:ilvl w:val="0"/>
                <w:numId w:val="5"/>
              </w:numPr>
              <w:spacing w:after="0" w:line="240" w:lineRule="auto"/>
              <w:ind w:left="330" w:hanging="330"/>
              <w:rPr>
                <w:rFonts w:ascii="Times New Roman" w:hAnsi="Times New Roman" w:cs="Times New Roman"/>
                <w:noProof/>
                <w:color w:val="000000"/>
                <w:sz w:val="23"/>
                <w:szCs w:val="23"/>
              </w:rPr>
            </w:pPr>
            <w:r>
              <w:rPr>
                <w:rFonts w:ascii="Times New Roman" w:hAnsi="Times New Roman" w:cs="Times New Roman"/>
                <w:noProof/>
                <w:color w:val="000000"/>
                <w:sz w:val="23"/>
                <w:szCs w:val="23"/>
              </w:rPr>
              <w:t>Vehicles with regard to their rear underrun protection (RUP)</w:t>
            </w:r>
          </w:p>
        </w:tc>
      </w:tr>
      <w:tr>
        <w:tc>
          <w:tcPr>
            <w:tcW w:w="1226" w:type="dxa"/>
          </w:tcPr>
          <w:p>
            <w:pPr>
              <w:jc w:val="center"/>
              <w:rPr>
                <w:noProof/>
                <w:color w:val="000000"/>
                <w:sz w:val="23"/>
                <w:szCs w:val="23"/>
              </w:rPr>
            </w:pPr>
            <w:r>
              <w:rPr>
                <w:noProof/>
                <w:color w:val="000000"/>
                <w:sz w:val="23"/>
                <w:szCs w:val="23"/>
              </w:rPr>
              <w:t>60</w:t>
            </w:r>
          </w:p>
        </w:tc>
        <w:tc>
          <w:tcPr>
            <w:tcW w:w="7790" w:type="dxa"/>
          </w:tcPr>
          <w:p>
            <w:pPr>
              <w:rPr>
                <w:noProof/>
                <w:color w:val="000000"/>
                <w:sz w:val="23"/>
                <w:szCs w:val="23"/>
              </w:rPr>
            </w:pPr>
            <w:r>
              <w:rPr>
                <w:noProof/>
                <w:color w:val="000000"/>
                <w:sz w:val="23"/>
                <w:szCs w:val="23"/>
              </w:rPr>
              <w:t>Uniform provisions concerning the approval of two-wheeled motor cycles and mopeds with regard to driver-operated controls including the identification of controls, tell-tales and indicators</w:t>
            </w:r>
          </w:p>
        </w:tc>
      </w:tr>
      <w:tr>
        <w:tc>
          <w:tcPr>
            <w:tcW w:w="1226" w:type="dxa"/>
          </w:tcPr>
          <w:p>
            <w:pPr>
              <w:jc w:val="center"/>
              <w:rPr>
                <w:noProof/>
                <w:color w:val="000000"/>
                <w:sz w:val="23"/>
                <w:szCs w:val="23"/>
              </w:rPr>
            </w:pPr>
            <w:r>
              <w:rPr>
                <w:noProof/>
                <w:color w:val="000000"/>
                <w:sz w:val="23"/>
                <w:szCs w:val="23"/>
              </w:rPr>
              <w:t>62</w:t>
            </w:r>
          </w:p>
        </w:tc>
        <w:tc>
          <w:tcPr>
            <w:tcW w:w="7790" w:type="dxa"/>
          </w:tcPr>
          <w:p>
            <w:pPr>
              <w:rPr>
                <w:noProof/>
                <w:color w:val="000000"/>
                <w:sz w:val="23"/>
                <w:szCs w:val="23"/>
              </w:rPr>
            </w:pPr>
            <w:r>
              <w:rPr>
                <w:noProof/>
                <w:color w:val="000000"/>
                <w:sz w:val="23"/>
                <w:szCs w:val="23"/>
              </w:rPr>
              <w:t>Uniform provisions concerning the approval of power-driven vehicles with handlebars with regard to their protection against unauthorized use</w:t>
            </w:r>
          </w:p>
        </w:tc>
      </w:tr>
      <w:tr>
        <w:tc>
          <w:tcPr>
            <w:tcW w:w="1226" w:type="dxa"/>
          </w:tcPr>
          <w:p>
            <w:pPr>
              <w:jc w:val="center"/>
              <w:rPr>
                <w:noProof/>
                <w:color w:val="000000"/>
                <w:sz w:val="23"/>
                <w:szCs w:val="23"/>
              </w:rPr>
            </w:pPr>
            <w:r>
              <w:rPr>
                <w:noProof/>
                <w:color w:val="000000"/>
                <w:sz w:val="23"/>
                <w:szCs w:val="23"/>
              </w:rPr>
              <w:t>64</w:t>
            </w:r>
          </w:p>
        </w:tc>
        <w:tc>
          <w:tcPr>
            <w:tcW w:w="7790" w:type="dxa"/>
          </w:tcPr>
          <w:p>
            <w:pPr>
              <w:rPr>
                <w:noProof/>
                <w:color w:val="000000"/>
                <w:sz w:val="23"/>
                <w:szCs w:val="23"/>
              </w:rPr>
            </w:pPr>
            <w:r>
              <w:rPr>
                <w:noProof/>
                <w:color w:val="000000"/>
                <w:sz w:val="23"/>
                <w:szCs w:val="23"/>
              </w:rPr>
              <w:t>Uniform provisions concerning the approval of vehicles with regard to their equipment which may include: a temporary-use spare unit, run-flat tyres and/or a run-flat system, and/or a tyre pressure monitoring system</w:t>
            </w:r>
          </w:p>
        </w:tc>
      </w:tr>
      <w:tr>
        <w:tc>
          <w:tcPr>
            <w:tcW w:w="1226" w:type="dxa"/>
          </w:tcPr>
          <w:p>
            <w:pPr>
              <w:jc w:val="center"/>
              <w:rPr>
                <w:noProof/>
                <w:color w:val="000000"/>
                <w:sz w:val="23"/>
                <w:szCs w:val="23"/>
              </w:rPr>
            </w:pPr>
            <w:r>
              <w:rPr>
                <w:noProof/>
                <w:color w:val="000000"/>
                <w:sz w:val="23"/>
                <w:szCs w:val="23"/>
              </w:rPr>
              <w:t>66</w:t>
            </w:r>
          </w:p>
        </w:tc>
        <w:tc>
          <w:tcPr>
            <w:tcW w:w="7790" w:type="dxa"/>
          </w:tcPr>
          <w:p>
            <w:pPr>
              <w:rPr>
                <w:noProof/>
                <w:color w:val="000000"/>
                <w:sz w:val="23"/>
                <w:szCs w:val="23"/>
              </w:rPr>
            </w:pPr>
            <w:r>
              <w:rPr>
                <w:noProof/>
                <w:color w:val="000000"/>
                <w:sz w:val="23"/>
                <w:szCs w:val="23"/>
              </w:rPr>
              <w:t>Uniform provisions concerning the approval of large passenger vehicles with regard to the strength of their superstructure</w:t>
            </w:r>
          </w:p>
        </w:tc>
      </w:tr>
      <w:tr>
        <w:tc>
          <w:tcPr>
            <w:tcW w:w="1226" w:type="dxa"/>
          </w:tcPr>
          <w:p>
            <w:pPr>
              <w:jc w:val="center"/>
              <w:rPr>
                <w:noProof/>
                <w:color w:val="000000"/>
                <w:sz w:val="23"/>
                <w:szCs w:val="23"/>
              </w:rPr>
            </w:pPr>
            <w:r>
              <w:rPr>
                <w:noProof/>
                <w:color w:val="000000"/>
                <w:sz w:val="23"/>
                <w:szCs w:val="23"/>
              </w:rPr>
              <w:t>70</w:t>
            </w:r>
          </w:p>
        </w:tc>
        <w:tc>
          <w:tcPr>
            <w:tcW w:w="7790" w:type="dxa"/>
          </w:tcPr>
          <w:p>
            <w:pPr>
              <w:rPr>
                <w:noProof/>
                <w:color w:val="000000"/>
                <w:sz w:val="23"/>
                <w:szCs w:val="23"/>
              </w:rPr>
            </w:pPr>
            <w:r>
              <w:rPr>
                <w:noProof/>
                <w:color w:val="000000"/>
                <w:sz w:val="23"/>
                <w:szCs w:val="23"/>
              </w:rPr>
              <w:t>Uniform provisions concerning the approval of rear marking plates for heavy and long vehicles</w:t>
            </w:r>
          </w:p>
        </w:tc>
      </w:tr>
      <w:tr>
        <w:tc>
          <w:tcPr>
            <w:tcW w:w="1226" w:type="dxa"/>
          </w:tcPr>
          <w:p>
            <w:pPr>
              <w:jc w:val="center"/>
              <w:rPr>
                <w:noProof/>
                <w:color w:val="000000"/>
                <w:sz w:val="23"/>
                <w:szCs w:val="23"/>
              </w:rPr>
            </w:pPr>
            <w:r>
              <w:rPr>
                <w:noProof/>
                <w:color w:val="000000"/>
                <w:sz w:val="23"/>
                <w:szCs w:val="23"/>
              </w:rPr>
              <w:t>75</w:t>
            </w:r>
          </w:p>
        </w:tc>
        <w:tc>
          <w:tcPr>
            <w:tcW w:w="7790" w:type="dxa"/>
          </w:tcPr>
          <w:p>
            <w:pPr>
              <w:rPr>
                <w:noProof/>
                <w:color w:val="000000"/>
                <w:sz w:val="23"/>
                <w:szCs w:val="23"/>
              </w:rPr>
            </w:pPr>
            <w:r>
              <w:rPr>
                <w:noProof/>
                <w:color w:val="000000"/>
                <w:sz w:val="23"/>
                <w:szCs w:val="23"/>
              </w:rPr>
              <w:t>Uniform provisions concerning the approval of pneumatic tyres for L-category vehicles</w:t>
            </w:r>
          </w:p>
        </w:tc>
      </w:tr>
      <w:tr>
        <w:tc>
          <w:tcPr>
            <w:tcW w:w="1226" w:type="dxa"/>
          </w:tcPr>
          <w:p>
            <w:pPr>
              <w:jc w:val="center"/>
              <w:rPr>
                <w:noProof/>
                <w:color w:val="000000"/>
                <w:sz w:val="23"/>
                <w:szCs w:val="23"/>
              </w:rPr>
            </w:pPr>
            <w:r>
              <w:rPr>
                <w:noProof/>
                <w:color w:val="000000"/>
                <w:sz w:val="23"/>
                <w:szCs w:val="23"/>
              </w:rPr>
              <w:t>77</w:t>
            </w:r>
          </w:p>
        </w:tc>
        <w:tc>
          <w:tcPr>
            <w:tcW w:w="7790" w:type="dxa"/>
          </w:tcPr>
          <w:p>
            <w:pPr>
              <w:rPr>
                <w:noProof/>
                <w:color w:val="000000"/>
                <w:sz w:val="23"/>
                <w:szCs w:val="23"/>
              </w:rPr>
            </w:pPr>
            <w:r>
              <w:rPr>
                <w:noProof/>
                <w:color w:val="000000"/>
                <w:sz w:val="23"/>
                <w:szCs w:val="23"/>
              </w:rPr>
              <w:t>Uniform provisions concerning the approval of parking lamps for power-driven vehicles</w:t>
            </w:r>
          </w:p>
        </w:tc>
      </w:tr>
      <w:tr>
        <w:tc>
          <w:tcPr>
            <w:tcW w:w="1226" w:type="dxa"/>
          </w:tcPr>
          <w:p>
            <w:pPr>
              <w:jc w:val="center"/>
              <w:rPr>
                <w:noProof/>
                <w:color w:val="000000"/>
                <w:sz w:val="23"/>
                <w:szCs w:val="23"/>
              </w:rPr>
            </w:pPr>
            <w:r>
              <w:rPr>
                <w:noProof/>
                <w:color w:val="000000"/>
                <w:sz w:val="23"/>
                <w:szCs w:val="23"/>
              </w:rPr>
              <w:t>78</w:t>
            </w:r>
          </w:p>
        </w:tc>
        <w:tc>
          <w:tcPr>
            <w:tcW w:w="7790" w:type="dxa"/>
          </w:tcPr>
          <w:p>
            <w:pPr>
              <w:rPr>
                <w:noProof/>
                <w:color w:val="000000"/>
                <w:sz w:val="23"/>
                <w:szCs w:val="23"/>
              </w:rPr>
            </w:pPr>
            <w:r>
              <w:rPr>
                <w:noProof/>
                <w:color w:val="000000"/>
                <w:sz w:val="23"/>
                <w:szCs w:val="23"/>
              </w:rPr>
              <w:t>Uniform provisions concerning the approval of vehicles of categories L1, L2, L3, L4 and L5 with regard to braking</w:t>
            </w:r>
          </w:p>
        </w:tc>
      </w:tr>
      <w:tr>
        <w:tc>
          <w:tcPr>
            <w:tcW w:w="1226" w:type="dxa"/>
          </w:tcPr>
          <w:p>
            <w:pPr>
              <w:jc w:val="center"/>
              <w:rPr>
                <w:noProof/>
                <w:color w:val="000000"/>
                <w:sz w:val="23"/>
                <w:szCs w:val="23"/>
              </w:rPr>
            </w:pPr>
            <w:r>
              <w:rPr>
                <w:noProof/>
                <w:color w:val="000000"/>
                <w:sz w:val="23"/>
                <w:szCs w:val="23"/>
              </w:rPr>
              <w:t>79</w:t>
            </w:r>
          </w:p>
        </w:tc>
        <w:tc>
          <w:tcPr>
            <w:tcW w:w="7790" w:type="dxa"/>
          </w:tcPr>
          <w:p>
            <w:pPr>
              <w:rPr>
                <w:noProof/>
                <w:color w:val="000000"/>
                <w:sz w:val="23"/>
                <w:szCs w:val="23"/>
              </w:rPr>
            </w:pPr>
            <w:r>
              <w:rPr>
                <w:noProof/>
                <w:color w:val="000000"/>
                <w:sz w:val="23"/>
                <w:szCs w:val="23"/>
              </w:rPr>
              <w:t>Uniform provisions concerning the approval of vehicles with regard to steering equipment</w:t>
            </w:r>
          </w:p>
        </w:tc>
      </w:tr>
      <w:tr>
        <w:tc>
          <w:tcPr>
            <w:tcW w:w="1226" w:type="dxa"/>
          </w:tcPr>
          <w:p>
            <w:pPr>
              <w:jc w:val="center"/>
              <w:rPr>
                <w:noProof/>
                <w:color w:val="000000"/>
                <w:sz w:val="23"/>
                <w:szCs w:val="23"/>
              </w:rPr>
            </w:pPr>
            <w:r>
              <w:rPr>
                <w:noProof/>
                <w:color w:val="000000"/>
                <w:sz w:val="23"/>
                <w:szCs w:val="23"/>
              </w:rPr>
              <w:t>80</w:t>
            </w:r>
          </w:p>
        </w:tc>
        <w:tc>
          <w:tcPr>
            <w:tcW w:w="7790" w:type="dxa"/>
          </w:tcPr>
          <w:p>
            <w:pPr>
              <w:rPr>
                <w:noProof/>
                <w:color w:val="000000"/>
                <w:sz w:val="23"/>
                <w:szCs w:val="23"/>
              </w:rPr>
            </w:pPr>
            <w:r>
              <w:rPr>
                <w:noProof/>
                <w:color w:val="000000"/>
                <w:sz w:val="23"/>
                <w:szCs w:val="23"/>
              </w:rPr>
              <w:t>Uniform provisions concerning the approval of seats of large passenger vehicles and of these vehicles with regard to the strength of the seats and their anchorages</w:t>
            </w:r>
          </w:p>
        </w:tc>
      </w:tr>
      <w:tr>
        <w:tc>
          <w:tcPr>
            <w:tcW w:w="1226" w:type="dxa"/>
          </w:tcPr>
          <w:p>
            <w:pPr>
              <w:jc w:val="center"/>
              <w:rPr>
                <w:noProof/>
                <w:color w:val="000000"/>
                <w:sz w:val="23"/>
                <w:szCs w:val="23"/>
              </w:rPr>
            </w:pPr>
            <w:r>
              <w:rPr>
                <w:noProof/>
                <w:color w:val="000000"/>
                <w:sz w:val="23"/>
                <w:szCs w:val="23"/>
              </w:rPr>
              <w:t>81</w:t>
            </w:r>
          </w:p>
        </w:tc>
        <w:tc>
          <w:tcPr>
            <w:tcW w:w="7790" w:type="dxa"/>
          </w:tcPr>
          <w:p>
            <w:pPr>
              <w:rPr>
                <w:noProof/>
                <w:color w:val="000000"/>
                <w:sz w:val="23"/>
                <w:szCs w:val="23"/>
              </w:rPr>
            </w:pPr>
            <w:r>
              <w:rPr>
                <w:noProof/>
                <w:color w:val="000000"/>
                <w:sz w:val="23"/>
                <w:szCs w:val="23"/>
              </w:rPr>
              <w:t>Uniform provisions concerning the approval of rear-view mirrors of two-wheeled power-driven vehicles with or without side car, with regard to the mounting of rear-view mirrors on handlebars</w:t>
            </w:r>
          </w:p>
        </w:tc>
      </w:tr>
      <w:tr>
        <w:trPr>
          <w:trHeight w:val="303"/>
        </w:trPr>
        <w:tc>
          <w:tcPr>
            <w:tcW w:w="1226" w:type="dxa"/>
          </w:tcPr>
          <w:p>
            <w:pPr>
              <w:jc w:val="center"/>
              <w:rPr>
                <w:noProof/>
                <w:color w:val="000000"/>
                <w:sz w:val="23"/>
                <w:szCs w:val="23"/>
              </w:rPr>
            </w:pPr>
            <w:r>
              <w:rPr>
                <w:noProof/>
                <w:color w:val="000000"/>
                <w:sz w:val="23"/>
                <w:szCs w:val="23"/>
              </w:rPr>
              <w:t>85</w:t>
            </w:r>
          </w:p>
        </w:tc>
        <w:tc>
          <w:tcPr>
            <w:tcW w:w="7790" w:type="dxa"/>
          </w:tcPr>
          <w:p>
            <w:pPr>
              <w:rPr>
                <w:noProof/>
                <w:color w:val="000000"/>
                <w:sz w:val="23"/>
                <w:szCs w:val="23"/>
              </w:rPr>
            </w:pPr>
            <w:r>
              <w:rPr>
                <w:noProof/>
                <w:color w:val="000000"/>
                <w:sz w:val="23"/>
                <w:szCs w:val="23"/>
              </w:rPr>
              <w:t>Uniform provisions concerning the approval of internal combustion engines or electric drive trains intended for the propulsion of motor vehicles of categories M and N with regard to the measurement of net power and the maximum 30 minutes power of electric drive trains</w:t>
            </w:r>
          </w:p>
        </w:tc>
      </w:tr>
      <w:tr>
        <w:trPr>
          <w:trHeight w:val="480"/>
        </w:trPr>
        <w:tc>
          <w:tcPr>
            <w:tcW w:w="1226" w:type="dxa"/>
          </w:tcPr>
          <w:p>
            <w:pPr>
              <w:jc w:val="center"/>
              <w:rPr>
                <w:noProof/>
                <w:color w:val="000000"/>
                <w:sz w:val="23"/>
                <w:szCs w:val="23"/>
              </w:rPr>
            </w:pPr>
            <w:r>
              <w:rPr>
                <w:noProof/>
                <w:color w:val="000000"/>
                <w:sz w:val="23"/>
                <w:szCs w:val="23"/>
              </w:rPr>
              <w:t>87</w:t>
            </w:r>
          </w:p>
        </w:tc>
        <w:tc>
          <w:tcPr>
            <w:tcW w:w="7790" w:type="dxa"/>
          </w:tcPr>
          <w:p>
            <w:pPr>
              <w:rPr>
                <w:noProof/>
                <w:color w:val="000000"/>
                <w:sz w:val="23"/>
                <w:szCs w:val="23"/>
              </w:rPr>
            </w:pPr>
            <w:r>
              <w:rPr>
                <w:noProof/>
                <w:color w:val="000000"/>
                <w:sz w:val="23"/>
                <w:szCs w:val="23"/>
              </w:rPr>
              <w:t>Uniform provisions concerning the approval of daytime running lamps for power-driven vehicles</w:t>
            </w:r>
          </w:p>
        </w:tc>
      </w:tr>
      <w:tr>
        <w:tc>
          <w:tcPr>
            <w:tcW w:w="1226" w:type="dxa"/>
          </w:tcPr>
          <w:p>
            <w:pPr>
              <w:jc w:val="center"/>
              <w:rPr>
                <w:noProof/>
                <w:color w:val="000000"/>
                <w:sz w:val="23"/>
                <w:szCs w:val="23"/>
              </w:rPr>
            </w:pPr>
            <w:r>
              <w:rPr>
                <w:noProof/>
                <w:color w:val="000000"/>
                <w:sz w:val="23"/>
                <w:szCs w:val="23"/>
              </w:rPr>
              <w:t>91</w:t>
            </w:r>
          </w:p>
        </w:tc>
        <w:tc>
          <w:tcPr>
            <w:tcW w:w="7790" w:type="dxa"/>
          </w:tcPr>
          <w:p>
            <w:pPr>
              <w:rPr>
                <w:noProof/>
                <w:color w:val="000000"/>
                <w:sz w:val="23"/>
                <w:szCs w:val="23"/>
              </w:rPr>
            </w:pPr>
            <w:r>
              <w:rPr>
                <w:noProof/>
                <w:color w:val="000000"/>
                <w:sz w:val="23"/>
                <w:szCs w:val="23"/>
              </w:rPr>
              <w:t>Uniform provisions concerning the approval of side-marker lamps for motor vehicles and their trailers</w:t>
            </w:r>
          </w:p>
        </w:tc>
      </w:tr>
      <w:tr>
        <w:tc>
          <w:tcPr>
            <w:tcW w:w="1226" w:type="dxa"/>
          </w:tcPr>
          <w:p>
            <w:pPr>
              <w:jc w:val="center"/>
              <w:rPr>
                <w:noProof/>
                <w:color w:val="000000"/>
                <w:sz w:val="23"/>
                <w:szCs w:val="23"/>
              </w:rPr>
            </w:pPr>
            <w:r>
              <w:rPr>
                <w:noProof/>
                <w:color w:val="000000"/>
                <w:sz w:val="23"/>
                <w:szCs w:val="23"/>
              </w:rPr>
              <w:t>93</w:t>
            </w:r>
          </w:p>
        </w:tc>
        <w:tc>
          <w:tcPr>
            <w:tcW w:w="7790" w:type="dxa"/>
          </w:tcPr>
          <w:p>
            <w:pPr>
              <w:rPr>
                <w:noProof/>
                <w:color w:val="000000"/>
                <w:sz w:val="23"/>
                <w:szCs w:val="23"/>
              </w:rPr>
            </w:pPr>
            <w:r>
              <w:rPr>
                <w:noProof/>
                <w:color w:val="000000"/>
                <w:sz w:val="23"/>
                <w:szCs w:val="23"/>
              </w:rPr>
              <w:t xml:space="preserve">Uniform provisions concerning the approval of: </w:t>
            </w:r>
          </w:p>
          <w:p>
            <w:pPr>
              <w:pStyle w:val="ListParagraph"/>
              <w:numPr>
                <w:ilvl w:val="0"/>
                <w:numId w:val="6"/>
              </w:numPr>
              <w:spacing w:after="0" w:line="240" w:lineRule="auto"/>
              <w:ind w:left="471" w:hanging="425"/>
              <w:rPr>
                <w:rFonts w:ascii="Times New Roman" w:hAnsi="Times New Roman" w:cs="Times New Roman"/>
                <w:noProof/>
                <w:color w:val="000000"/>
                <w:sz w:val="23"/>
                <w:szCs w:val="23"/>
                <w:lang w:val="fr-BE"/>
              </w:rPr>
            </w:pPr>
            <w:r>
              <w:rPr>
                <w:rFonts w:ascii="Times New Roman" w:hAnsi="Times New Roman" w:cs="Times New Roman"/>
                <w:noProof/>
                <w:color w:val="000000"/>
                <w:sz w:val="23"/>
                <w:szCs w:val="23"/>
                <w:lang w:val="fr-BE"/>
              </w:rPr>
              <w:t xml:space="preserve">Front underrun protective devices (FUPDs)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cs="Times New Roman"/>
                <w:noProof/>
                <w:color w:val="000000"/>
                <w:sz w:val="23"/>
                <w:szCs w:val="23"/>
              </w:rPr>
              <w:t xml:space="preserve">Vehicles with regard to the installation of an FUPD of an approved type </w:t>
            </w:r>
          </w:p>
          <w:p>
            <w:pPr>
              <w:pStyle w:val="ListParagraph"/>
              <w:numPr>
                <w:ilvl w:val="0"/>
                <w:numId w:val="6"/>
              </w:numPr>
              <w:spacing w:after="0" w:line="240" w:lineRule="auto"/>
              <w:ind w:left="471" w:hanging="425"/>
              <w:rPr>
                <w:rFonts w:ascii="Times New Roman" w:hAnsi="Times New Roman" w:cs="Times New Roman"/>
                <w:noProof/>
                <w:color w:val="000000"/>
                <w:sz w:val="23"/>
                <w:szCs w:val="23"/>
              </w:rPr>
            </w:pPr>
            <w:r>
              <w:rPr>
                <w:rFonts w:ascii="Times New Roman" w:hAnsi="Times New Roman" w:cs="Times New Roman"/>
                <w:noProof/>
                <w:color w:val="000000"/>
                <w:sz w:val="23"/>
                <w:szCs w:val="23"/>
              </w:rPr>
              <w:t>Vehicles with regard to their front underrun protection (FUP)</w:t>
            </w:r>
          </w:p>
        </w:tc>
      </w:tr>
      <w:tr>
        <w:tc>
          <w:tcPr>
            <w:tcW w:w="1226" w:type="dxa"/>
          </w:tcPr>
          <w:p>
            <w:pPr>
              <w:jc w:val="center"/>
              <w:rPr>
                <w:noProof/>
                <w:color w:val="000000"/>
                <w:sz w:val="23"/>
                <w:szCs w:val="23"/>
              </w:rPr>
            </w:pPr>
            <w:r>
              <w:rPr>
                <w:noProof/>
                <w:color w:val="000000"/>
                <w:sz w:val="23"/>
                <w:szCs w:val="23"/>
              </w:rPr>
              <w:t>94</w:t>
            </w:r>
          </w:p>
        </w:tc>
        <w:tc>
          <w:tcPr>
            <w:tcW w:w="7790" w:type="dxa"/>
          </w:tcPr>
          <w:p>
            <w:pPr>
              <w:rPr>
                <w:noProof/>
                <w:color w:val="000000"/>
                <w:sz w:val="23"/>
                <w:szCs w:val="23"/>
              </w:rPr>
            </w:pPr>
            <w:r>
              <w:rPr>
                <w:noProof/>
                <w:color w:val="000000"/>
                <w:sz w:val="23"/>
                <w:szCs w:val="23"/>
              </w:rPr>
              <w:t>Uniform provisions concerning the approval of vehicles with regard to the protection of the occupants in the event of a frontal collision</w:t>
            </w:r>
          </w:p>
        </w:tc>
      </w:tr>
      <w:tr>
        <w:tc>
          <w:tcPr>
            <w:tcW w:w="1226" w:type="dxa"/>
          </w:tcPr>
          <w:p>
            <w:pPr>
              <w:jc w:val="center"/>
              <w:rPr>
                <w:noProof/>
                <w:color w:val="000000"/>
                <w:sz w:val="23"/>
                <w:szCs w:val="23"/>
              </w:rPr>
            </w:pPr>
            <w:r>
              <w:rPr>
                <w:noProof/>
                <w:color w:val="000000"/>
                <w:sz w:val="23"/>
                <w:szCs w:val="23"/>
              </w:rPr>
              <w:t>95</w:t>
            </w:r>
          </w:p>
        </w:tc>
        <w:tc>
          <w:tcPr>
            <w:tcW w:w="7790" w:type="dxa"/>
          </w:tcPr>
          <w:p>
            <w:pPr>
              <w:rPr>
                <w:noProof/>
                <w:color w:val="000000"/>
                <w:sz w:val="23"/>
                <w:szCs w:val="23"/>
              </w:rPr>
            </w:pPr>
            <w:r>
              <w:rPr>
                <w:noProof/>
                <w:color w:val="000000"/>
                <w:sz w:val="23"/>
                <w:szCs w:val="23"/>
              </w:rPr>
              <w:t>Uniform provisions concerning the approval of vehicles with regard to the protection of the occupants in the event of a lateral collision</w:t>
            </w:r>
          </w:p>
        </w:tc>
      </w:tr>
      <w:tr>
        <w:tc>
          <w:tcPr>
            <w:tcW w:w="1226" w:type="dxa"/>
          </w:tcPr>
          <w:p>
            <w:pPr>
              <w:jc w:val="center"/>
              <w:rPr>
                <w:noProof/>
                <w:color w:val="000000"/>
                <w:sz w:val="23"/>
                <w:szCs w:val="23"/>
              </w:rPr>
            </w:pPr>
            <w:r>
              <w:rPr>
                <w:noProof/>
                <w:color w:val="000000"/>
                <w:sz w:val="23"/>
                <w:szCs w:val="23"/>
              </w:rPr>
              <w:t>98</w:t>
            </w:r>
          </w:p>
        </w:tc>
        <w:tc>
          <w:tcPr>
            <w:tcW w:w="7790" w:type="dxa"/>
          </w:tcPr>
          <w:p>
            <w:pPr>
              <w:rPr>
                <w:noProof/>
                <w:color w:val="000000"/>
                <w:sz w:val="23"/>
                <w:szCs w:val="23"/>
              </w:rPr>
            </w:pPr>
            <w:r>
              <w:rPr>
                <w:noProof/>
                <w:color w:val="000000"/>
                <w:sz w:val="23"/>
                <w:szCs w:val="23"/>
              </w:rPr>
              <w:t>Uniform provisions concerning the approval of motor vehicle headlamps equipped with gas-discharge light sources</w:t>
            </w:r>
          </w:p>
        </w:tc>
      </w:tr>
      <w:tr>
        <w:tc>
          <w:tcPr>
            <w:tcW w:w="1226" w:type="dxa"/>
          </w:tcPr>
          <w:p>
            <w:pPr>
              <w:jc w:val="center"/>
              <w:rPr>
                <w:noProof/>
                <w:color w:val="000000"/>
                <w:sz w:val="23"/>
                <w:szCs w:val="23"/>
              </w:rPr>
            </w:pPr>
            <w:r>
              <w:rPr>
                <w:noProof/>
                <w:color w:val="000000"/>
                <w:sz w:val="23"/>
                <w:szCs w:val="23"/>
              </w:rPr>
              <w:t>99</w:t>
            </w:r>
          </w:p>
        </w:tc>
        <w:tc>
          <w:tcPr>
            <w:tcW w:w="7790" w:type="dxa"/>
          </w:tcPr>
          <w:p>
            <w:pPr>
              <w:rPr>
                <w:noProof/>
                <w:color w:val="000000"/>
                <w:sz w:val="23"/>
                <w:szCs w:val="23"/>
              </w:rPr>
            </w:pPr>
            <w:r>
              <w:rPr>
                <w:noProof/>
                <w:color w:val="000000"/>
                <w:sz w:val="23"/>
                <w:szCs w:val="23"/>
              </w:rPr>
              <w:t>Uniform provisions concerning the approval of gas-discharge light sources for use in approved gas-discharge lamp units of power-driven vehicles</w:t>
            </w:r>
          </w:p>
        </w:tc>
      </w:tr>
      <w:tr>
        <w:tc>
          <w:tcPr>
            <w:tcW w:w="1226" w:type="dxa"/>
          </w:tcPr>
          <w:p>
            <w:pPr>
              <w:jc w:val="center"/>
              <w:rPr>
                <w:noProof/>
                <w:color w:val="000000"/>
                <w:sz w:val="23"/>
                <w:szCs w:val="23"/>
              </w:rPr>
            </w:pPr>
            <w:r>
              <w:rPr>
                <w:noProof/>
                <w:color w:val="000000"/>
                <w:sz w:val="23"/>
                <w:szCs w:val="23"/>
              </w:rPr>
              <w:t>100</w:t>
            </w:r>
          </w:p>
        </w:tc>
        <w:tc>
          <w:tcPr>
            <w:tcW w:w="7790" w:type="dxa"/>
          </w:tcPr>
          <w:p>
            <w:pPr>
              <w:rPr>
                <w:noProof/>
                <w:color w:val="000000"/>
                <w:sz w:val="23"/>
                <w:szCs w:val="23"/>
              </w:rPr>
            </w:pPr>
            <w:r>
              <w:rPr>
                <w:noProof/>
                <w:color w:val="000000"/>
                <w:sz w:val="23"/>
                <w:szCs w:val="23"/>
              </w:rPr>
              <w:t>Uniform provisions concerning the approval of vehicles with regard to specific requirements for the electric power train</w:t>
            </w:r>
          </w:p>
        </w:tc>
      </w:tr>
      <w:tr>
        <w:tc>
          <w:tcPr>
            <w:tcW w:w="1226" w:type="dxa"/>
          </w:tcPr>
          <w:p>
            <w:pPr>
              <w:jc w:val="center"/>
              <w:rPr>
                <w:noProof/>
                <w:color w:val="000000"/>
                <w:sz w:val="23"/>
                <w:szCs w:val="23"/>
              </w:rPr>
            </w:pPr>
            <w:r>
              <w:rPr>
                <w:noProof/>
                <w:color w:val="000000"/>
                <w:sz w:val="23"/>
                <w:szCs w:val="23"/>
              </w:rPr>
              <w:t>104</w:t>
            </w:r>
          </w:p>
        </w:tc>
        <w:tc>
          <w:tcPr>
            <w:tcW w:w="7790" w:type="dxa"/>
          </w:tcPr>
          <w:p>
            <w:pPr>
              <w:tabs>
                <w:tab w:val="left" w:pos="2380"/>
              </w:tabs>
              <w:rPr>
                <w:noProof/>
                <w:color w:val="000000"/>
                <w:sz w:val="23"/>
                <w:szCs w:val="23"/>
              </w:rPr>
            </w:pPr>
            <w:r>
              <w:rPr>
                <w:noProof/>
                <w:color w:val="000000"/>
                <w:sz w:val="23"/>
                <w:szCs w:val="23"/>
              </w:rPr>
              <w:t>Uniform provisions concerning the approval of retro-reflective markings for vehicles of category M, N and O</w:t>
            </w:r>
          </w:p>
        </w:tc>
      </w:tr>
      <w:tr>
        <w:tc>
          <w:tcPr>
            <w:tcW w:w="1226" w:type="dxa"/>
          </w:tcPr>
          <w:p>
            <w:pPr>
              <w:jc w:val="center"/>
              <w:rPr>
                <w:noProof/>
                <w:color w:val="000000"/>
                <w:sz w:val="23"/>
                <w:szCs w:val="23"/>
              </w:rPr>
            </w:pPr>
            <w:r>
              <w:rPr>
                <w:noProof/>
                <w:color w:val="000000"/>
                <w:sz w:val="23"/>
                <w:szCs w:val="23"/>
              </w:rPr>
              <w:t>110</w:t>
            </w:r>
          </w:p>
        </w:tc>
        <w:tc>
          <w:tcPr>
            <w:tcW w:w="7790" w:type="dxa"/>
          </w:tcPr>
          <w:p>
            <w:pPr>
              <w:rPr>
                <w:noProof/>
                <w:color w:val="000000"/>
                <w:sz w:val="23"/>
                <w:szCs w:val="23"/>
              </w:rPr>
            </w:pPr>
            <w:r>
              <w:rPr>
                <w:noProof/>
                <w:color w:val="000000"/>
                <w:sz w:val="23"/>
                <w:szCs w:val="23"/>
              </w:rPr>
              <w:t xml:space="preserve">Uniform provisions concerning the approval of: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cs="Times New Roman"/>
                <w:noProof/>
                <w:color w:val="000000"/>
                <w:sz w:val="23"/>
                <w:szCs w:val="23"/>
              </w:rPr>
              <w:t xml:space="preserve">Specific components of motor vehicles using compressed natural gas (CNG) and/or liquefied natural gas (LNG) in their propulsion system </w:t>
            </w:r>
          </w:p>
          <w:p>
            <w:pPr>
              <w:pStyle w:val="ListParagraph"/>
              <w:numPr>
                <w:ilvl w:val="0"/>
                <w:numId w:val="7"/>
              </w:numPr>
              <w:spacing w:after="0" w:line="240" w:lineRule="auto"/>
              <w:ind w:left="471" w:hanging="467"/>
              <w:rPr>
                <w:rFonts w:ascii="Times New Roman" w:hAnsi="Times New Roman" w:cs="Times New Roman"/>
                <w:noProof/>
                <w:color w:val="000000"/>
                <w:sz w:val="23"/>
                <w:szCs w:val="23"/>
              </w:rPr>
            </w:pPr>
            <w:r>
              <w:rPr>
                <w:rFonts w:ascii="Times New Roman" w:hAnsi="Times New Roman" w:cs="Times New Roman"/>
                <w:noProof/>
                <w:color w:val="000000"/>
                <w:sz w:val="23"/>
                <w:szCs w:val="23"/>
              </w:rPr>
              <w:t>Vehicles with regard to the installation of specific components of an approved type for the use of compressed natural gas (CNG) and/or liquefied natural gas (LNG) in their propulsion system</w:t>
            </w:r>
          </w:p>
        </w:tc>
      </w:tr>
      <w:tr>
        <w:tc>
          <w:tcPr>
            <w:tcW w:w="1226" w:type="dxa"/>
          </w:tcPr>
          <w:p>
            <w:pPr>
              <w:jc w:val="center"/>
              <w:rPr>
                <w:noProof/>
                <w:color w:val="000000"/>
                <w:sz w:val="23"/>
                <w:szCs w:val="23"/>
              </w:rPr>
            </w:pPr>
            <w:r>
              <w:rPr>
                <w:noProof/>
                <w:color w:val="000000"/>
                <w:sz w:val="23"/>
                <w:szCs w:val="23"/>
              </w:rPr>
              <w:t>112</w:t>
            </w:r>
          </w:p>
        </w:tc>
        <w:tc>
          <w:tcPr>
            <w:tcW w:w="7790" w:type="dxa"/>
          </w:tcPr>
          <w:p>
            <w:pPr>
              <w:rPr>
                <w:noProof/>
                <w:color w:val="000000"/>
                <w:sz w:val="23"/>
                <w:szCs w:val="23"/>
              </w:rPr>
            </w:pPr>
            <w:r>
              <w:rPr>
                <w:noProof/>
                <w:color w:val="000000"/>
                <w:sz w:val="23"/>
                <w:szCs w:val="23"/>
              </w:rPr>
              <w:t>Uniform provisions concerning the approval of motor vehicle headlamps emitting an asymmetrical passing-beam or a driving-beam or both and equipped with filament lamps and/or light-emitting diode (LED) modules</w:t>
            </w:r>
          </w:p>
        </w:tc>
      </w:tr>
      <w:tr>
        <w:tc>
          <w:tcPr>
            <w:tcW w:w="1226" w:type="dxa"/>
          </w:tcPr>
          <w:p>
            <w:pPr>
              <w:jc w:val="center"/>
              <w:rPr>
                <w:noProof/>
                <w:color w:val="000000"/>
                <w:sz w:val="23"/>
                <w:szCs w:val="23"/>
              </w:rPr>
            </w:pPr>
            <w:r>
              <w:rPr>
                <w:noProof/>
                <w:color w:val="000000"/>
                <w:sz w:val="23"/>
                <w:szCs w:val="23"/>
              </w:rPr>
              <w:t>113</w:t>
            </w:r>
          </w:p>
        </w:tc>
        <w:tc>
          <w:tcPr>
            <w:tcW w:w="7790" w:type="dxa"/>
          </w:tcPr>
          <w:p>
            <w:pPr>
              <w:rPr>
                <w:noProof/>
                <w:color w:val="000000"/>
                <w:sz w:val="23"/>
                <w:szCs w:val="23"/>
              </w:rPr>
            </w:pPr>
            <w:r>
              <w:rPr>
                <w:noProof/>
                <w:color w:val="000000"/>
                <w:sz w:val="23"/>
                <w:szCs w:val="23"/>
              </w:rPr>
              <w:t>Uniform provisions concerning the approval of motor vehicle headlamps emitting a symmetrical passing-beam or a driving-beam or both and equipped with filament, gas-discharge light sources or LED modules</w:t>
            </w:r>
          </w:p>
        </w:tc>
      </w:tr>
      <w:tr>
        <w:tc>
          <w:tcPr>
            <w:tcW w:w="1226" w:type="dxa"/>
          </w:tcPr>
          <w:p>
            <w:pPr>
              <w:jc w:val="center"/>
              <w:rPr>
                <w:noProof/>
                <w:color w:val="000000"/>
                <w:sz w:val="23"/>
                <w:szCs w:val="23"/>
              </w:rPr>
            </w:pPr>
            <w:r>
              <w:rPr>
                <w:noProof/>
                <w:color w:val="000000"/>
                <w:sz w:val="23"/>
                <w:szCs w:val="23"/>
              </w:rPr>
              <w:t>116</w:t>
            </w:r>
          </w:p>
        </w:tc>
        <w:tc>
          <w:tcPr>
            <w:tcW w:w="7790" w:type="dxa"/>
          </w:tcPr>
          <w:p>
            <w:pPr>
              <w:rPr>
                <w:noProof/>
                <w:color w:val="000000"/>
                <w:sz w:val="23"/>
                <w:szCs w:val="23"/>
              </w:rPr>
            </w:pPr>
            <w:r>
              <w:rPr>
                <w:noProof/>
                <w:color w:val="000000"/>
                <w:sz w:val="23"/>
                <w:szCs w:val="23"/>
              </w:rPr>
              <w:t>Uniform provisions concerning the protection of motor vehicles against unauthorized use</w:t>
            </w:r>
          </w:p>
        </w:tc>
      </w:tr>
      <w:tr>
        <w:tc>
          <w:tcPr>
            <w:tcW w:w="1226" w:type="dxa"/>
          </w:tcPr>
          <w:p>
            <w:pPr>
              <w:jc w:val="center"/>
              <w:rPr>
                <w:noProof/>
                <w:color w:val="000000"/>
                <w:sz w:val="23"/>
                <w:szCs w:val="23"/>
              </w:rPr>
            </w:pPr>
            <w:r>
              <w:rPr>
                <w:noProof/>
                <w:color w:val="000000"/>
                <w:sz w:val="23"/>
                <w:szCs w:val="23"/>
              </w:rPr>
              <w:t>117</w:t>
            </w:r>
          </w:p>
        </w:tc>
        <w:tc>
          <w:tcPr>
            <w:tcW w:w="7790" w:type="dxa"/>
          </w:tcPr>
          <w:p>
            <w:pPr>
              <w:rPr>
                <w:noProof/>
                <w:color w:val="000000"/>
                <w:sz w:val="23"/>
                <w:szCs w:val="23"/>
              </w:rPr>
            </w:pPr>
            <w:r>
              <w:rPr>
                <w:noProof/>
                <w:color w:val="000000"/>
                <w:sz w:val="23"/>
                <w:szCs w:val="23"/>
              </w:rPr>
              <w:t>Uniform provisions concerning the approval of tyres with regard to rolling sound emissions and/or to adhesion on wet surfaces and/or to rolling resistance</w:t>
            </w:r>
          </w:p>
        </w:tc>
      </w:tr>
      <w:tr>
        <w:tc>
          <w:tcPr>
            <w:tcW w:w="1226" w:type="dxa"/>
          </w:tcPr>
          <w:p>
            <w:pPr>
              <w:jc w:val="center"/>
              <w:rPr>
                <w:noProof/>
                <w:color w:val="000000"/>
                <w:sz w:val="23"/>
                <w:szCs w:val="23"/>
              </w:rPr>
            </w:pPr>
            <w:r>
              <w:rPr>
                <w:noProof/>
                <w:color w:val="000000"/>
                <w:sz w:val="23"/>
                <w:szCs w:val="23"/>
              </w:rPr>
              <w:t>119</w:t>
            </w:r>
          </w:p>
        </w:tc>
        <w:tc>
          <w:tcPr>
            <w:tcW w:w="7790" w:type="dxa"/>
          </w:tcPr>
          <w:p>
            <w:pPr>
              <w:rPr>
                <w:noProof/>
                <w:color w:val="000000"/>
                <w:sz w:val="23"/>
                <w:szCs w:val="23"/>
              </w:rPr>
            </w:pPr>
            <w:r>
              <w:rPr>
                <w:noProof/>
                <w:color w:val="000000"/>
                <w:sz w:val="23"/>
                <w:szCs w:val="23"/>
              </w:rPr>
              <w:t>Uniform provisions concerning the approval of cornering lamps for power-driven vehicles</w:t>
            </w:r>
          </w:p>
        </w:tc>
      </w:tr>
      <w:tr>
        <w:tc>
          <w:tcPr>
            <w:tcW w:w="1226" w:type="dxa"/>
          </w:tcPr>
          <w:p>
            <w:pPr>
              <w:jc w:val="center"/>
              <w:rPr>
                <w:noProof/>
                <w:color w:val="000000"/>
                <w:sz w:val="23"/>
                <w:szCs w:val="23"/>
              </w:rPr>
            </w:pPr>
            <w:r>
              <w:rPr>
                <w:noProof/>
                <w:color w:val="000000"/>
                <w:sz w:val="23"/>
                <w:szCs w:val="23"/>
              </w:rPr>
              <w:t>121</w:t>
            </w:r>
          </w:p>
        </w:tc>
        <w:tc>
          <w:tcPr>
            <w:tcW w:w="7790" w:type="dxa"/>
          </w:tcPr>
          <w:p>
            <w:pPr>
              <w:rPr>
                <w:noProof/>
                <w:color w:val="000000"/>
                <w:sz w:val="23"/>
                <w:szCs w:val="23"/>
              </w:rPr>
            </w:pPr>
            <w:r>
              <w:rPr>
                <w:noProof/>
                <w:color w:val="000000"/>
                <w:sz w:val="23"/>
                <w:szCs w:val="23"/>
              </w:rPr>
              <w:t>Uniform provisions concerning the approval of vehicles with regard to the location and identification of hand controls, tell-tales and indicators</w:t>
            </w:r>
          </w:p>
        </w:tc>
      </w:tr>
      <w:tr>
        <w:tc>
          <w:tcPr>
            <w:tcW w:w="1226" w:type="dxa"/>
          </w:tcPr>
          <w:p>
            <w:pPr>
              <w:jc w:val="center"/>
              <w:rPr>
                <w:noProof/>
                <w:color w:val="000000"/>
                <w:sz w:val="23"/>
                <w:szCs w:val="23"/>
              </w:rPr>
            </w:pPr>
            <w:r>
              <w:rPr>
                <w:noProof/>
                <w:color w:val="000000"/>
                <w:sz w:val="23"/>
                <w:szCs w:val="23"/>
              </w:rPr>
              <w:t>123</w:t>
            </w:r>
          </w:p>
        </w:tc>
        <w:tc>
          <w:tcPr>
            <w:tcW w:w="7790" w:type="dxa"/>
          </w:tcPr>
          <w:p>
            <w:pPr>
              <w:rPr>
                <w:noProof/>
                <w:color w:val="000000"/>
                <w:sz w:val="23"/>
                <w:szCs w:val="23"/>
              </w:rPr>
            </w:pPr>
            <w:r>
              <w:rPr>
                <w:noProof/>
                <w:color w:val="000000"/>
                <w:sz w:val="23"/>
                <w:szCs w:val="23"/>
              </w:rPr>
              <w:t>Uniform provisions concerning the approval of adaptive front-lighting systems (AFS) for motor vehicles</w:t>
            </w:r>
          </w:p>
        </w:tc>
      </w:tr>
      <w:tr>
        <w:tc>
          <w:tcPr>
            <w:tcW w:w="1226" w:type="dxa"/>
          </w:tcPr>
          <w:p>
            <w:pPr>
              <w:jc w:val="center"/>
              <w:rPr>
                <w:noProof/>
                <w:color w:val="000000"/>
                <w:sz w:val="23"/>
                <w:szCs w:val="23"/>
              </w:rPr>
            </w:pPr>
            <w:r>
              <w:rPr>
                <w:noProof/>
                <w:color w:val="000000"/>
                <w:sz w:val="23"/>
                <w:szCs w:val="23"/>
              </w:rPr>
              <w:t>125</w:t>
            </w:r>
          </w:p>
        </w:tc>
        <w:tc>
          <w:tcPr>
            <w:tcW w:w="7790" w:type="dxa"/>
          </w:tcPr>
          <w:p>
            <w:pPr>
              <w:rPr>
                <w:noProof/>
                <w:color w:val="000000"/>
                <w:sz w:val="23"/>
                <w:szCs w:val="23"/>
              </w:rPr>
            </w:pPr>
            <w:r>
              <w:rPr>
                <w:noProof/>
                <w:color w:val="000000"/>
                <w:sz w:val="23"/>
                <w:szCs w:val="23"/>
              </w:rPr>
              <w:t>Uniform provisions concerning the approval of motor vehicles with regard to the forward field of vision of the motor vehicle driver</w:t>
            </w:r>
          </w:p>
        </w:tc>
      </w:tr>
      <w:tr>
        <w:tc>
          <w:tcPr>
            <w:tcW w:w="1226" w:type="dxa"/>
          </w:tcPr>
          <w:p>
            <w:pPr>
              <w:jc w:val="center"/>
              <w:rPr>
                <w:noProof/>
                <w:color w:val="000000"/>
                <w:sz w:val="23"/>
                <w:szCs w:val="23"/>
              </w:rPr>
            </w:pPr>
            <w:r>
              <w:rPr>
                <w:noProof/>
                <w:color w:val="000000"/>
                <w:sz w:val="23"/>
                <w:szCs w:val="23"/>
              </w:rPr>
              <w:t>127</w:t>
            </w:r>
          </w:p>
        </w:tc>
        <w:tc>
          <w:tcPr>
            <w:tcW w:w="7790" w:type="dxa"/>
          </w:tcPr>
          <w:p>
            <w:pPr>
              <w:rPr>
                <w:noProof/>
                <w:color w:val="000000"/>
                <w:sz w:val="23"/>
                <w:szCs w:val="23"/>
              </w:rPr>
            </w:pPr>
            <w:r>
              <w:rPr>
                <w:noProof/>
                <w:color w:val="000000"/>
                <w:sz w:val="23"/>
                <w:szCs w:val="23"/>
              </w:rPr>
              <w:t>Uniform provisions concerning the approval of motor vehicles with regard to their pedestrian safety performance</w:t>
            </w:r>
          </w:p>
        </w:tc>
      </w:tr>
      <w:tr>
        <w:tc>
          <w:tcPr>
            <w:tcW w:w="1226" w:type="dxa"/>
          </w:tcPr>
          <w:p>
            <w:pPr>
              <w:jc w:val="center"/>
              <w:rPr>
                <w:noProof/>
                <w:color w:val="000000"/>
                <w:sz w:val="23"/>
                <w:szCs w:val="23"/>
              </w:rPr>
            </w:pPr>
            <w:r>
              <w:rPr>
                <w:noProof/>
                <w:color w:val="000000"/>
                <w:sz w:val="23"/>
                <w:szCs w:val="23"/>
              </w:rPr>
              <w:t>128</w:t>
            </w:r>
          </w:p>
        </w:tc>
        <w:tc>
          <w:tcPr>
            <w:tcW w:w="7790" w:type="dxa"/>
          </w:tcPr>
          <w:p>
            <w:pPr>
              <w:rPr>
                <w:noProof/>
                <w:color w:val="000000"/>
                <w:sz w:val="23"/>
                <w:szCs w:val="23"/>
              </w:rPr>
            </w:pPr>
            <w:r>
              <w:rPr>
                <w:noProof/>
                <w:color w:val="000000"/>
                <w:sz w:val="23"/>
                <w:szCs w:val="23"/>
              </w:rPr>
              <w:t>Uniform provisions concerning the approval of light emitting diode (LED) light sources for use in approved lamp units on power-driven vehicles and their trailers</w:t>
            </w:r>
          </w:p>
        </w:tc>
      </w:tr>
      <w:tr>
        <w:tc>
          <w:tcPr>
            <w:tcW w:w="1226" w:type="dxa"/>
          </w:tcPr>
          <w:p>
            <w:pPr>
              <w:jc w:val="center"/>
              <w:rPr>
                <w:noProof/>
                <w:color w:val="000000"/>
                <w:sz w:val="23"/>
                <w:szCs w:val="23"/>
              </w:rPr>
            </w:pPr>
            <w:r>
              <w:rPr>
                <w:noProof/>
                <w:color w:val="000000"/>
                <w:sz w:val="23"/>
                <w:szCs w:val="23"/>
              </w:rPr>
              <w:t>129</w:t>
            </w:r>
          </w:p>
        </w:tc>
        <w:tc>
          <w:tcPr>
            <w:tcW w:w="7790" w:type="dxa"/>
          </w:tcPr>
          <w:p>
            <w:pPr>
              <w:rPr>
                <w:noProof/>
                <w:color w:val="000000"/>
                <w:sz w:val="23"/>
                <w:szCs w:val="23"/>
              </w:rPr>
            </w:pPr>
            <w:r>
              <w:rPr>
                <w:noProof/>
                <w:color w:val="000000"/>
                <w:sz w:val="23"/>
                <w:szCs w:val="23"/>
              </w:rPr>
              <w:t>Uniform provisions concerning the approval of Enhanced Child Restraint Systems used on board of motor vehicles (ECRS)</w:t>
            </w:r>
          </w:p>
        </w:tc>
      </w:tr>
      <w:tr>
        <w:tc>
          <w:tcPr>
            <w:tcW w:w="1226" w:type="dxa"/>
          </w:tcPr>
          <w:p>
            <w:pPr>
              <w:jc w:val="center"/>
              <w:rPr>
                <w:noProof/>
                <w:color w:val="000000"/>
                <w:sz w:val="23"/>
                <w:szCs w:val="23"/>
              </w:rPr>
            </w:pPr>
            <w:r>
              <w:rPr>
                <w:noProof/>
                <w:color w:val="000000"/>
                <w:sz w:val="23"/>
                <w:szCs w:val="23"/>
              </w:rPr>
              <w:t>130</w:t>
            </w:r>
          </w:p>
        </w:tc>
        <w:tc>
          <w:tcPr>
            <w:tcW w:w="7790" w:type="dxa"/>
          </w:tcPr>
          <w:p>
            <w:pPr>
              <w:rPr>
                <w:noProof/>
                <w:color w:val="000000"/>
                <w:sz w:val="23"/>
                <w:szCs w:val="23"/>
              </w:rPr>
            </w:pPr>
            <w:r>
              <w:rPr>
                <w:noProof/>
                <w:color w:val="000000"/>
                <w:sz w:val="23"/>
                <w:szCs w:val="23"/>
              </w:rPr>
              <w:t>Uniform provisions concerning the approval of motor vehicles with regard to the Lane Departure Warning System (LDWS)</w:t>
            </w:r>
          </w:p>
        </w:tc>
      </w:tr>
      <w:tr>
        <w:tc>
          <w:tcPr>
            <w:tcW w:w="1226" w:type="dxa"/>
          </w:tcPr>
          <w:p>
            <w:pPr>
              <w:jc w:val="center"/>
              <w:rPr>
                <w:noProof/>
                <w:color w:val="000000"/>
                <w:sz w:val="23"/>
                <w:szCs w:val="23"/>
              </w:rPr>
            </w:pPr>
            <w:r>
              <w:rPr>
                <w:noProof/>
                <w:color w:val="000000"/>
                <w:sz w:val="23"/>
                <w:szCs w:val="23"/>
              </w:rPr>
              <w:t>131</w:t>
            </w:r>
          </w:p>
        </w:tc>
        <w:tc>
          <w:tcPr>
            <w:tcW w:w="7790" w:type="dxa"/>
          </w:tcPr>
          <w:p>
            <w:pPr>
              <w:rPr>
                <w:noProof/>
                <w:color w:val="000000"/>
                <w:sz w:val="23"/>
                <w:szCs w:val="23"/>
              </w:rPr>
            </w:pPr>
            <w:r>
              <w:rPr>
                <w:noProof/>
                <w:color w:val="000000"/>
                <w:sz w:val="23"/>
                <w:szCs w:val="23"/>
              </w:rPr>
              <w:t>Uniform provisions concerning the approval of motor vehicles with regard to the Advanced Emergency Braking Systems (AEBS)</w:t>
            </w:r>
          </w:p>
        </w:tc>
      </w:tr>
      <w:tr>
        <w:trPr>
          <w:trHeight w:val="800"/>
        </w:trPr>
        <w:tc>
          <w:tcPr>
            <w:tcW w:w="1226" w:type="dxa"/>
          </w:tcPr>
          <w:p>
            <w:pPr>
              <w:jc w:val="center"/>
              <w:rPr>
                <w:noProof/>
                <w:color w:val="000000"/>
                <w:sz w:val="23"/>
                <w:szCs w:val="23"/>
              </w:rPr>
            </w:pPr>
            <w:r>
              <w:rPr>
                <w:noProof/>
                <w:color w:val="000000"/>
                <w:sz w:val="23"/>
                <w:szCs w:val="23"/>
              </w:rPr>
              <w:t>134</w:t>
            </w:r>
          </w:p>
        </w:tc>
        <w:tc>
          <w:tcPr>
            <w:tcW w:w="7790" w:type="dxa"/>
          </w:tcPr>
          <w:p>
            <w:pPr>
              <w:rPr>
                <w:noProof/>
                <w:color w:val="000000"/>
                <w:sz w:val="23"/>
                <w:szCs w:val="23"/>
              </w:rPr>
            </w:pPr>
            <w:r>
              <w:rPr>
                <w:noProof/>
                <w:color w:val="000000"/>
                <w:sz w:val="23"/>
                <w:szCs w:val="23"/>
              </w:rPr>
              <w:t>Uniform provisions concerning the approval of motor vehicles and their components with regard to the safety-related performance of Hydrogen-Fuelled Vehicles (HFCV)</w:t>
            </w:r>
            <w:r>
              <w:rPr>
                <w:rStyle w:val="FootnoteReference"/>
                <w:noProof/>
                <w:color w:val="000000"/>
                <w:sz w:val="23"/>
                <w:szCs w:val="23"/>
              </w:rPr>
              <w:footnoteReference w:id="1"/>
            </w:r>
          </w:p>
        </w:tc>
      </w:tr>
      <w:tr>
        <w:trPr>
          <w:trHeight w:val="160"/>
        </w:trPr>
        <w:tc>
          <w:tcPr>
            <w:tcW w:w="1226" w:type="dxa"/>
          </w:tcPr>
          <w:p>
            <w:pPr>
              <w:jc w:val="center"/>
              <w:rPr>
                <w:noProof/>
                <w:color w:val="000000"/>
                <w:sz w:val="23"/>
                <w:szCs w:val="23"/>
              </w:rPr>
            </w:pPr>
            <w:r>
              <w:rPr>
                <w:noProof/>
                <w:color w:val="000000"/>
                <w:sz w:val="23"/>
                <w:szCs w:val="23"/>
              </w:rPr>
              <w:t>135</w:t>
            </w:r>
          </w:p>
        </w:tc>
        <w:tc>
          <w:tcPr>
            <w:tcW w:w="7790" w:type="dxa"/>
          </w:tcPr>
          <w:p>
            <w:pPr>
              <w:tabs>
                <w:tab w:val="left" w:pos="1380"/>
              </w:tabs>
              <w:rPr>
                <w:noProof/>
                <w:color w:val="000000"/>
                <w:sz w:val="23"/>
                <w:szCs w:val="23"/>
              </w:rPr>
            </w:pPr>
            <w:r>
              <w:rPr>
                <w:noProof/>
                <w:color w:val="000000"/>
                <w:sz w:val="23"/>
                <w:szCs w:val="23"/>
              </w:rPr>
              <w:t>Uniform provisions concerning the approval of vehicles with regard to their Pole Side Impact performance (PSI)</w:t>
            </w:r>
          </w:p>
        </w:tc>
      </w:tr>
      <w:tr>
        <w:trPr>
          <w:trHeight w:val="230"/>
        </w:trPr>
        <w:tc>
          <w:tcPr>
            <w:tcW w:w="1226" w:type="dxa"/>
          </w:tcPr>
          <w:p>
            <w:pPr>
              <w:jc w:val="center"/>
              <w:rPr>
                <w:noProof/>
                <w:color w:val="000000"/>
                <w:sz w:val="23"/>
                <w:szCs w:val="23"/>
              </w:rPr>
            </w:pPr>
            <w:r>
              <w:rPr>
                <w:noProof/>
                <w:color w:val="000000"/>
                <w:sz w:val="23"/>
                <w:szCs w:val="23"/>
              </w:rPr>
              <w:t>136</w:t>
            </w:r>
          </w:p>
        </w:tc>
        <w:tc>
          <w:tcPr>
            <w:tcW w:w="7790" w:type="dxa"/>
          </w:tcPr>
          <w:p>
            <w:pPr>
              <w:rPr>
                <w:noProof/>
                <w:color w:val="000000"/>
                <w:sz w:val="23"/>
                <w:szCs w:val="23"/>
              </w:rPr>
            </w:pPr>
            <w:r>
              <w:rPr>
                <w:noProof/>
                <w:color w:val="000000"/>
                <w:sz w:val="23"/>
                <w:szCs w:val="23"/>
              </w:rPr>
              <w:t>Uniform provisions concerning the approval of vehicles of category L with regard to specific requirements for the electric power train</w:t>
            </w:r>
          </w:p>
        </w:tc>
      </w:tr>
      <w:tr>
        <w:trPr>
          <w:trHeight w:val="150"/>
        </w:trPr>
        <w:tc>
          <w:tcPr>
            <w:tcW w:w="1226" w:type="dxa"/>
          </w:tcPr>
          <w:p>
            <w:pPr>
              <w:jc w:val="center"/>
              <w:rPr>
                <w:noProof/>
                <w:color w:val="000000"/>
                <w:sz w:val="23"/>
                <w:szCs w:val="23"/>
              </w:rPr>
            </w:pPr>
            <w:r>
              <w:rPr>
                <w:noProof/>
                <w:color w:val="000000"/>
                <w:sz w:val="23"/>
                <w:szCs w:val="23"/>
              </w:rPr>
              <w:t>137</w:t>
            </w:r>
          </w:p>
        </w:tc>
        <w:tc>
          <w:tcPr>
            <w:tcW w:w="7790" w:type="dxa"/>
          </w:tcPr>
          <w:p>
            <w:pPr>
              <w:tabs>
                <w:tab w:val="left" w:pos="1410"/>
              </w:tabs>
              <w:rPr>
                <w:noProof/>
                <w:color w:val="000000"/>
                <w:sz w:val="23"/>
                <w:szCs w:val="23"/>
              </w:rPr>
            </w:pPr>
            <w:r>
              <w:rPr>
                <w:noProof/>
                <w:color w:val="000000"/>
                <w:sz w:val="23"/>
                <w:szCs w:val="23"/>
              </w:rPr>
              <w:t>Uniform provisions concerning the approval of passenger cars in the event of a frontal collision with focus on the restraint system</w:t>
            </w:r>
          </w:p>
        </w:tc>
      </w:tr>
      <w:tr>
        <w:trPr>
          <w:trHeight w:val="104"/>
        </w:trPr>
        <w:tc>
          <w:tcPr>
            <w:tcW w:w="1226" w:type="dxa"/>
          </w:tcPr>
          <w:p>
            <w:pPr>
              <w:jc w:val="center"/>
              <w:rPr>
                <w:noProof/>
                <w:color w:val="000000"/>
                <w:sz w:val="23"/>
                <w:szCs w:val="23"/>
              </w:rPr>
            </w:pPr>
            <w:r>
              <w:rPr>
                <w:noProof/>
                <w:color w:val="000000"/>
                <w:sz w:val="23"/>
                <w:szCs w:val="23"/>
              </w:rPr>
              <w:t>138</w:t>
            </w:r>
          </w:p>
        </w:tc>
        <w:tc>
          <w:tcPr>
            <w:tcW w:w="7790" w:type="dxa"/>
          </w:tcPr>
          <w:p>
            <w:pPr>
              <w:tabs>
                <w:tab w:val="left" w:pos="2910"/>
              </w:tabs>
              <w:rPr>
                <w:noProof/>
                <w:color w:val="000000"/>
                <w:sz w:val="23"/>
                <w:szCs w:val="23"/>
              </w:rPr>
            </w:pPr>
            <w:r>
              <w:rPr>
                <w:noProof/>
                <w:color w:val="000000"/>
                <w:sz w:val="23"/>
                <w:szCs w:val="23"/>
              </w:rPr>
              <w:t>Uniform provisions concerning the approval of Quiet Road Transport Vehicles with regard to their reduced audibility</w:t>
            </w:r>
          </w:p>
        </w:tc>
      </w:tr>
      <w:tr>
        <w:trPr>
          <w:trHeight w:val="114"/>
        </w:trPr>
        <w:tc>
          <w:tcPr>
            <w:tcW w:w="1226" w:type="dxa"/>
          </w:tcPr>
          <w:p>
            <w:pPr>
              <w:jc w:val="center"/>
              <w:rPr>
                <w:noProof/>
                <w:color w:val="000000"/>
                <w:sz w:val="23"/>
                <w:szCs w:val="23"/>
              </w:rPr>
            </w:pPr>
            <w:r>
              <w:rPr>
                <w:noProof/>
                <w:color w:val="000000"/>
                <w:sz w:val="23"/>
                <w:szCs w:val="23"/>
              </w:rPr>
              <w:t>139</w:t>
            </w:r>
          </w:p>
        </w:tc>
        <w:tc>
          <w:tcPr>
            <w:tcW w:w="7790" w:type="dxa"/>
          </w:tcPr>
          <w:p>
            <w:pPr>
              <w:rPr>
                <w:noProof/>
                <w:color w:val="000000"/>
                <w:sz w:val="23"/>
                <w:szCs w:val="23"/>
              </w:rPr>
            </w:pPr>
            <w:r>
              <w:rPr>
                <w:noProof/>
                <w:color w:val="000000"/>
                <w:sz w:val="23"/>
                <w:szCs w:val="23"/>
              </w:rPr>
              <w:t>Uniform provisions concerning the approval of passenger cars with regard to Brake Assist Systems (BAS)</w:t>
            </w:r>
          </w:p>
        </w:tc>
      </w:tr>
      <w:tr>
        <w:trPr>
          <w:trHeight w:val="140"/>
        </w:trPr>
        <w:tc>
          <w:tcPr>
            <w:tcW w:w="1226" w:type="dxa"/>
          </w:tcPr>
          <w:p>
            <w:pPr>
              <w:jc w:val="center"/>
              <w:rPr>
                <w:noProof/>
                <w:color w:val="000000"/>
                <w:sz w:val="23"/>
                <w:szCs w:val="23"/>
              </w:rPr>
            </w:pPr>
            <w:r>
              <w:rPr>
                <w:noProof/>
                <w:color w:val="000000"/>
                <w:sz w:val="23"/>
                <w:szCs w:val="23"/>
              </w:rPr>
              <w:t>140</w:t>
            </w:r>
          </w:p>
        </w:tc>
        <w:tc>
          <w:tcPr>
            <w:tcW w:w="7790" w:type="dxa"/>
          </w:tcPr>
          <w:p>
            <w:pPr>
              <w:tabs>
                <w:tab w:val="left" w:pos="2130"/>
              </w:tabs>
              <w:rPr>
                <w:noProof/>
                <w:color w:val="000000"/>
                <w:sz w:val="23"/>
                <w:szCs w:val="23"/>
              </w:rPr>
            </w:pPr>
            <w:r>
              <w:rPr>
                <w:noProof/>
                <w:color w:val="000000"/>
                <w:sz w:val="23"/>
                <w:szCs w:val="23"/>
              </w:rPr>
              <w:t>Uniform provisions concerning the approval of passenger cars with regard to Electronic Stability Control (ESC) systems</w:t>
            </w:r>
          </w:p>
        </w:tc>
      </w:tr>
      <w:tr>
        <w:trPr>
          <w:trHeight w:val="170"/>
        </w:trPr>
        <w:tc>
          <w:tcPr>
            <w:tcW w:w="1226" w:type="dxa"/>
          </w:tcPr>
          <w:p>
            <w:pPr>
              <w:jc w:val="center"/>
              <w:rPr>
                <w:noProof/>
                <w:color w:val="000000"/>
                <w:sz w:val="23"/>
                <w:szCs w:val="23"/>
              </w:rPr>
            </w:pPr>
            <w:r>
              <w:rPr>
                <w:noProof/>
                <w:color w:val="000000"/>
                <w:sz w:val="23"/>
                <w:szCs w:val="23"/>
              </w:rPr>
              <w:t>141</w:t>
            </w:r>
          </w:p>
        </w:tc>
        <w:tc>
          <w:tcPr>
            <w:tcW w:w="7790" w:type="dxa"/>
          </w:tcPr>
          <w:p>
            <w:pPr>
              <w:rPr>
                <w:noProof/>
                <w:color w:val="000000"/>
                <w:sz w:val="23"/>
                <w:szCs w:val="23"/>
              </w:rPr>
            </w:pPr>
            <w:r>
              <w:rPr>
                <w:noProof/>
                <w:color w:val="000000"/>
                <w:sz w:val="23"/>
                <w:szCs w:val="23"/>
              </w:rPr>
              <w:t>Uniform provisions concerning the approval of vehicles with regard to their Tyre Pressure Monitoring Systems (TPMS)</w:t>
            </w:r>
          </w:p>
        </w:tc>
      </w:tr>
      <w:tr>
        <w:trPr>
          <w:trHeight w:val="200"/>
        </w:trPr>
        <w:tc>
          <w:tcPr>
            <w:tcW w:w="1226" w:type="dxa"/>
          </w:tcPr>
          <w:p>
            <w:pPr>
              <w:jc w:val="center"/>
              <w:rPr>
                <w:noProof/>
                <w:color w:val="000000"/>
                <w:sz w:val="23"/>
                <w:szCs w:val="23"/>
              </w:rPr>
            </w:pPr>
            <w:r>
              <w:rPr>
                <w:noProof/>
                <w:color w:val="000000"/>
                <w:sz w:val="23"/>
                <w:szCs w:val="23"/>
              </w:rPr>
              <w:t>142</w:t>
            </w:r>
          </w:p>
        </w:tc>
        <w:tc>
          <w:tcPr>
            <w:tcW w:w="7790" w:type="dxa"/>
          </w:tcPr>
          <w:p>
            <w:pPr>
              <w:rPr>
                <w:noProof/>
                <w:color w:val="000000"/>
                <w:sz w:val="23"/>
                <w:szCs w:val="23"/>
              </w:rPr>
            </w:pPr>
            <w:r>
              <w:rPr>
                <w:noProof/>
                <w:color w:val="000000"/>
                <w:sz w:val="23"/>
                <w:szCs w:val="23"/>
              </w:rPr>
              <w:t>Uniform provisions concerning the approval of motor vehicles with regard to the installation of their tyres</w:t>
            </w:r>
          </w:p>
        </w:tc>
      </w:tr>
      <w:tr>
        <w:tc>
          <w:tcPr>
            <w:tcW w:w="1226" w:type="dxa"/>
          </w:tcPr>
          <w:p>
            <w:pPr>
              <w:jc w:val="center"/>
              <w:rPr>
                <w:noProof/>
                <w:color w:val="000000"/>
                <w:sz w:val="23"/>
                <w:szCs w:val="23"/>
              </w:rPr>
            </w:pPr>
            <w:r>
              <w:rPr>
                <w:noProof/>
                <w:color w:val="000000"/>
                <w:sz w:val="23"/>
                <w:szCs w:val="23"/>
              </w:rPr>
              <w:t>145</w:t>
            </w:r>
          </w:p>
        </w:tc>
        <w:tc>
          <w:tcPr>
            <w:tcW w:w="7790" w:type="dxa"/>
          </w:tcPr>
          <w:p>
            <w:pPr>
              <w:rPr>
                <w:noProof/>
                <w:color w:val="000000"/>
                <w:sz w:val="23"/>
                <w:szCs w:val="23"/>
              </w:rPr>
            </w:pPr>
            <w:r>
              <w:rPr>
                <w:noProof/>
                <w:color w:val="000000"/>
                <w:sz w:val="23"/>
                <w:szCs w:val="23"/>
              </w:rPr>
              <w:t>Uniform provisions concerning the approval of vehicles with regard to ISOFIX anchorage systems ISOFIX top tether anchorages and i-Size seating positions</w:t>
            </w:r>
          </w:p>
        </w:tc>
      </w:tr>
      <w:tr>
        <w:tc>
          <w:tcPr>
            <w:tcW w:w="1226" w:type="dxa"/>
          </w:tcPr>
          <w:p>
            <w:pPr>
              <w:jc w:val="center"/>
              <w:rPr>
                <w:noProof/>
                <w:color w:val="000000"/>
                <w:sz w:val="23"/>
                <w:szCs w:val="23"/>
              </w:rPr>
            </w:pPr>
            <w:r>
              <w:rPr>
                <w:noProof/>
                <w:color w:val="000000"/>
                <w:sz w:val="23"/>
                <w:szCs w:val="23"/>
              </w:rPr>
              <w:t>146</w:t>
            </w:r>
          </w:p>
        </w:tc>
        <w:tc>
          <w:tcPr>
            <w:tcW w:w="7790" w:type="dxa"/>
          </w:tcPr>
          <w:p>
            <w:pPr>
              <w:rPr>
                <w:noProof/>
                <w:color w:val="000000"/>
                <w:sz w:val="23"/>
                <w:szCs w:val="23"/>
              </w:rPr>
            </w:pPr>
            <w:r>
              <w:rPr>
                <w:noProof/>
                <w:color w:val="000000"/>
                <w:sz w:val="23"/>
                <w:szCs w:val="23"/>
              </w:rPr>
              <w:t>Uniform provisions concerning the approval of motor vehicles and their components with regard to the safety-related performance of hydrogen-fuelled vehicles of categories L1, L2, L3, L4 and L5</w:t>
            </w:r>
          </w:p>
        </w:tc>
      </w:tr>
    </w:tbl>
    <w:p>
      <w:pPr>
        <w:rPr>
          <w:noProof/>
          <w:color w:val="000000"/>
          <w:sz w:val="23"/>
          <w:szCs w:val="23"/>
        </w:rPr>
        <w:sectPr>
          <w:pgSz w:w="11907" w:h="16839"/>
          <w:pgMar w:top="1134" w:right="1417" w:bottom="1134" w:left="1417" w:header="709" w:footer="709" w:gutter="0"/>
          <w:cols w:space="720"/>
          <w:docGrid w:linePitch="360"/>
        </w:sectPr>
      </w:pPr>
    </w:p>
    <w:p>
      <w:pPr>
        <w:jc w:val="right"/>
        <w:rPr>
          <w:noProof/>
          <w:color w:val="000000"/>
          <w:sz w:val="23"/>
          <w:szCs w:val="23"/>
        </w:rPr>
      </w:pPr>
      <w:r>
        <w:rPr>
          <w:noProof/>
          <w:color w:val="000000"/>
          <w:sz w:val="23"/>
          <w:szCs w:val="23"/>
        </w:rPr>
        <w:t>Annex 2</w:t>
      </w:r>
    </w:p>
    <w:p>
      <w:pPr>
        <w:spacing w:after="360"/>
        <w:jc w:val="center"/>
        <w:rPr>
          <w:noProof/>
          <w:color w:val="000000"/>
          <w:sz w:val="23"/>
          <w:szCs w:val="23"/>
        </w:rPr>
      </w:pPr>
      <w:r>
        <w:rPr>
          <w:noProof/>
          <w:color w:val="000000"/>
          <w:sz w:val="23"/>
          <w:szCs w:val="23"/>
        </w:rPr>
        <w:t>APPENDIX 2-C-2</w:t>
      </w:r>
    </w:p>
    <w:p>
      <w:pPr>
        <w:spacing w:after="360"/>
        <w:jc w:val="center"/>
        <w:rPr>
          <w:noProof/>
          <w:color w:val="000000"/>
          <w:sz w:val="23"/>
          <w:szCs w:val="23"/>
        </w:rPr>
      </w:pPr>
      <w:r>
        <w:rPr>
          <w:noProof/>
          <w:color w:val="000000"/>
          <w:sz w:val="23"/>
          <w:szCs w:val="23"/>
        </w:rPr>
        <w:t>UN REGULATIONS APPLIED BY ONE OF THE PARTIES AND NOT YET CONSIDERED BY THE OTHER PARTY</w:t>
      </w:r>
    </w:p>
    <w:tbl>
      <w:tblPr>
        <w:tblStyle w:val="TableGrid"/>
        <w:tblW w:w="0" w:type="auto"/>
        <w:tblLook w:val="04A0" w:firstRow="1" w:lastRow="0" w:firstColumn="1" w:lastColumn="0" w:noHBand="0" w:noVBand="1"/>
      </w:tblPr>
      <w:tblGrid>
        <w:gridCol w:w="1226"/>
        <w:gridCol w:w="5913"/>
        <w:gridCol w:w="1877"/>
      </w:tblGrid>
      <w:tr>
        <w:trPr>
          <w:trHeight w:val="140"/>
        </w:trPr>
        <w:tc>
          <w:tcPr>
            <w:tcW w:w="1226" w:type="dxa"/>
          </w:tcPr>
          <w:p>
            <w:pPr>
              <w:jc w:val="center"/>
              <w:rPr>
                <w:noProof/>
                <w:color w:val="000000"/>
                <w:sz w:val="20"/>
                <w:szCs w:val="20"/>
              </w:rPr>
            </w:pPr>
            <w:r>
              <w:rPr>
                <w:noProof/>
                <w:color w:val="000000"/>
                <w:sz w:val="20"/>
                <w:szCs w:val="20"/>
              </w:rPr>
              <w:t>Regulation No.</w:t>
            </w:r>
          </w:p>
        </w:tc>
        <w:tc>
          <w:tcPr>
            <w:tcW w:w="5913" w:type="dxa"/>
          </w:tcPr>
          <w:p>
            <w:pPr>
              <w:tabs>
                <w:tab w:val="left" w:pos="2130"/>
              </w:tabs>
              <w:jc w:val="center"/>
              <w:rPr>
                <w:noProof/>
                <w:color w:val="000000"/>
                <w:sz w:val="23"/>
                <w:szCs w:val="23"/>
              </w:rPr>
            </w:pPr>
            <w:r>
              <w:rPr>
                <w:noProof/>
                <w:color w:val="000000"/>
                <w:sz w:val="23"/>
                <w:szCs w:val="23"/>
              </w:rPr>
              <w:t>Title</w:t>
            </w:r>
          </w:p>
        </w:tc>
        <w:tc>
          <w:tcPr>
            <w:tcW w:w="1877" w:type="dxa"/>
          </w:tcPr>
          <w:p>
            <w:pPr>
              <w:tabs>
                <w:tab w:val="left" w:pos="2130"/>
              </w:tabs>
              <w:jc w:val="center"/>
              <w:rPr>
                <w:noProof/>
                <w:color w:val="000000"/>
                <w:sz w:val="23"/>
                <w:szCs w:val="23"/>
              </w:rPr>
            </w:pPr>
            <w:r>
              <w:rPr>
                <w:noProof/>
                <w:color w:val="000000"/>
                <w:sz w:val="23"/>
                <w:szCs w:val="23"/>
              </w:rPr>
              <w:t>Date of application by the other Party</w:t>
            </w:r>
            <w:r>
              <w:rPr>
                <w:rStyle w:val="FootnoteReference"/>
                <w:noProof/>
                <w:color w:val="000000"/>
                <w:sz w:val="23"/>
                <w:szCs w:val="23"/>
              </w:rPr>
              <w:footnoteReference w:id="2"/>
            </w:r>
          </w:p>
        </w:tc>
      </w:tr>
      <w:tr>
        <w:trPr>
          <w:trHeight w:val="140"/>
        </w:trPr>
        <w:tc>
          <w:tcPr>
            <w:tcW w:w="1226" w:type="dxa"/>
          </w:tcPr>
          <w:p>
            <w:pPr>
              <w:jc w:val="center"/>
              <w:rPr>
                <w:noProof/>
                <w:color w:val="000000"/>
                <w:sz w:val="23"/>
                <w:szCs w:val="23"/>
                <w:highlight w:val="yellow"/>
              </w:rPr>
            </w:pPr>
            <w:r>
              <w:rPr>
                <w:noProof/>
                <w:color w:val="000000"/>
                <w:sz w:val="23"/>
                <w:szCs w:val="23"/>
              </w:rPr>
              <w:t>73</w:t>
            </w:r>
          </w:p>
        </w:tc>
        <w:tc>
          <w:tcPr>
            <w:tcW w:w="5913" w:type="dxa"/>
          </w:tcPr>
          <w:p>
            <w:pPr>
              <w:tabs>
                <w:tab w:val="left" w:pos="2130"/>
              </w:tabs>
              <w:rPr>
                <w:noProof/>
                <w:color w:val="000000"/>
                <w:sz w:val="23"/>
                <w:szCs w:val="23"/>
                <w:highlight w:val="yellow"/>
              </w:rPr>
            </w:pPr>
            <w:r>
              <w:rPr>
                <w:noProof/>
                <w:color w:val="000000"/>
                <w:sz w:val="23"/>
                <w:szCs w:val="23"/>
              </w:rPr>
              <w:t>Uniform provisions concerning the approval of: I. Vehicles with regard to their lateral protection devices (LPD) II. Lateral protection devices (LPD) III. Vehicles with regard to the installation of LPD of an approved type according to Part II of this Regulation</w:t>
            </w:r>
          </w:p>
        </w:tc>
        <w:tc>
          <w:tcPr>
            <w:tcW w:w="1877" w:type="dxa"/>
          </w:tcPr>
          <w:p>
            <w:pPr>
              <w:tabs>
                <w:tab w:val="left" w:pos="2130"/>
              </w:tabs>
              <w:jc w:val="center"/>
              <w:rPr>
                <w:noProof/>
                <w:color w:val="000000"/>
                <w:sz w:val="23"/>
                <w:szCs w:val="23"/>
              </w:rPr>
            </w:pPr>
          </w:p>
        </w:tc>
      </w:tr>
      <w:tr>
        <w:trPr>
          <w:trHeight w:val="170"/>
        </w:trPr>
        <w:tc>
          <w:tcPr>
            <w:tcW w:w="1226" w:type="dxa"/>
          </w:tcPr>
          <w:p>
            <w:pPr>
              <w:jc w:val="center"/>
              <w:rPr>
                <w:noProof/>
                <w:color w:val="000000"/>
                <w:sz w:val="23"/>
                <w:szCs w:val="23"/>
              </w:rPr>
            </w:pPr>
            <w:r>
              <w:rPr>
                <w:noProof/>
                <w:color w:val="000000"/>
                <w:sz w:val="23"/>
                <w:szCs w:val="23"/>
              </w:rPr>
              <w:t>126</w:t>
            </w:r>
          </w:p>
        </w:tc>
        <w:tc>
          <w:tcPr>
            <w:tcW w:w="5913" w:type="dxa"/>
          </w:tcPr>
          <w:p>
            <w:pPr>
              <w:rPr>
                <w:noProof/>
                <w:color w:val="000000"/>
                <w:sz w:val="23"/>
                <w:szCs w:val="23"/>
              </w:rPr>
            </w:pPr>
            <w:r>
              <w:rPr>
                <w:noProof/>
                <w:color w:val="000000"/>
                <w:sz w:val="23"/>
                <w:szCs w:val="23"/>
              </w:rPr>
              <w:t>Uniform provisions concerning the approval of partitioning systems to protect passengers against displaced luggage, supplied as non-original vehicle equipment</w:t>
            </w:r>
          </w:p>
        </w:tc>
        <w:tc>
          <w:tcPr>
            <w:tcW w:w="1877" w:type="dxa"/>
          </w:tcPr>
          <w:p>
            <w:pPr>
              <w:rPr>
                <w:noProof/>
                <w:color w:val="000000"/>
                <w:sz w:val="23"/>
                <w:szCs w:val="23"/>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For Japan, to the extent that the containers are marked in accordance with Article 46 of the High Pressure Gas Safety Act (Law No.204 of 1951) of Japan, the conditions to approve a vehicle type that has been approved by a type approval authority of the European Union in accordance with UN Regulation No.134 shall be as follows:</w:t>
      </w:r>
      <w:r>
        <w:t xml:space="preserve"> </w:t>
      </w:r>
    </w:p>
    <w:p>
      <w:pPr>
        <w:pStyle w:val="Point0letter"/>
        <w:spacing w:before="0" w:after="0"/>
        <w:rPr>
          <w:sz w:val="20"/>
          <w:szCs w:val="20"/>
        </w:rPr>
      </w:pPr>
      <w:r>
        <w:rPr>
          <w:sz w:val="20"/>
          <w:szCs w:val="20"/>
        </w:rPr>
        <w:t xml:space="preserve">at the time of application pursuant to the High Pressure Gas Safety Act of Japan, the manufacturer or its legal representative in Japan shall present that: </w:t>
      </w:r>
    </w:p>
    <w:p>
      <w:pPr>
        <w:pStyle w:val="Point1"/>
        <w:spacing w:before="0" w:after="0"/>
        <w:rPr>
          <w:sz w:val="20"/>
          <w:szCs w:val="20"/>
        </w:rPr>
      </w:pPr>
      <w:r>
        <w:rPr>
          <w:sz w:val="20"/>
          <w:szCs w:val="20"/>
        </w:rPr>
        <w:t>(i)</w:t>
      </w:r>
      <w:r>
        <w:rPr>
          <w:sz w:val="20"/>
          <w:szCs w:val="20"/>
        </w:rPr>
        <w:tab/>
        <w:t xml:space="preserve">the material of the containers is equivalent to SUS F 316L specified under JIS (Japan Industrial Standard) G 3214; for the purpose of this subparagraph, the compliance with DIN1.4435 as of the date of entry into force of this Agreement is considered as fulfilling of this requirement; </w:t>
      </w:r>
    </w:p>
    <w:p>
      <w:pPr>
        <w:pStyle w:val="Point1"/>
        <w:spacing w:before="0" w:after="0"/>
        <w:rPr>
          <w:sz w:val="20"/>
          <w:szCs w:val="20"/>
        </w:rPr>
      </w:pPr>
      <w:r>
        <w:rPr>
          <w:sz w:val="20"/>
          <w:szCs w:val="20"/>
        </w:rPr>
        <w:t>(ii)</w:t>
      </w:r>
      <w:r>
        <w:rPr>
          <w:sz w:val="20"/>
          <w:szCs w:val="20"/>
        </w:rPr>
        <w:tab/>
        <w:t xml:space="preserve">"the Nickel Equivalent" (mass %) is more than 28.5; for the purposes of this subparagraph, "Nickel Equivalent" (mass %) is defined as: "12.6[C]+0.35[Si]+1.05[Mn]+[Ni]+0.65[Cr]+0.98[Mo]" and shall be proved by the Material Mill Sheet; and </w:t>
      </w:r>
    </w:p>
    <w:p>
      <w:pPr>
        <w:pStyle w:val="Point1"/>
        <w:spacing w:before="0" w:after="0"/>
        <w:rPr>
          <w:sz w:val="20"/>
          <w:szCs w:val="20"/>
        </w:rPr>
      </w:pPr>
      <w:r>
        <w:rPr>
          <w:sz w:val="20"/>
          <w:szCs w:val="20"/>
        </w:rPr>
        <w:t>(iii)</w:t>
      </w:r>
      <w:r>
        <w:rPr>
          <w:sz w:val="20"/>
          <w:szCs w:val="20"/>
        </w:rPr>
        <w:tab/>
        <w:t xml:space="preserve">the test result for "Reduction of Area" is more than 75 %; in case the test result is between 72 % and 75 %, the application will be examined taking into account "the Nickel Equivalent"; and </w:t>
      </w:r>
    </w:p>
    <w:p>
      <w:pPr>
        <w:pStyle w:val="Point0letter"/>
        <w:spacing w:before="0" w:after="0"/>
        <w:rPr>
          <w:color w:val="000000"/>
          <w:sz w:val="20"/>
          <w:szCs w:val="20"/>
        </w:rPr>
      </w:pPr>
      <w:r>
        <w:rPr>
          <w:sz w:val="20"/>
          <w:szCs w:val="20"/>
        </w:rPr>
        <w:t>individual</w:t>
      </w:r>
      <w:r>
        <w:rPr>
          <w:color w:val="000000"/>
          <w:sz w:val="20"/>
          <w:szCs w:val="20"/>
        </w:rPr>
        <w:t xml:space="preserve"> vehicles are subject to a 2-year periodic inspection for the hydrogen storage system in accordance with Articles 49 and 49-4 of the High Pressure Gas Safety Act of Japan and the system shall be removed after 15 years from the date of production. </w:t>
      </w:r>
    </w:p>
    <w:p>
      <w:pPr>
        <w:pStyle w:val="Text1"/>
        <w:spacing w:before="0" w:after="0"/>
        <w:rPr>
          <w:sz w:val="20"/>
          <w:szCs w:val="20"/>
        </w:rPr>
      </w:pPr>
      <w:r>
        <w:rPr>
          <w:sz w:val="20"/>
          <w:szCs w:val="20"/>
        </w:rPr>
        <w:t>This footnote shall cease to have effect at the time when both Parties have completed the work in the Phase 2 of GTR No. 13 Global technical regulation on hydrogen and fuel cell vehicles and have applied the corresponding UN Regulation under the 1958 Agreement.</w:t>
      </w:r>
    </w:p>
  </w:footnote>
  <w:footnote w:id="2">
    <w:p>
      <w:pPr>
        <w:pStyle w:val="FootnoteText"/>
      </w:pPr>
      <w:r>
        <w:rPr>
          <w:rStyle w:val="FootnoteReference"/>
        </w:rPr>
        <w:footnoteRef/>
      </w:r>
      <w:r>
        <w:tab/>
        <w:t>Dates to be agreed in accordance with paragraph 2 of Article 5 of this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18F6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96F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92F9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58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1AD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4A7B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BC7426"/>
    <w:lvl w:ilvl="0">
      <w:start w:val="1"/>
      <w:numFmt w:val="decimal"/>
      <w:pStyle w:val="ListNumber"/>
      <w:lvlText w:val="%1."/>
      <w:lvlJc w:val="left"/>
      <w:pPr>
        <w:tabs>
          <w:tab w:val="num" w:pos="360"/>
        </w:tabs>
        <w:ind w:left="360" w:hanging="360"/>
      </w:pPr>
    </w:lvl>
  </w:abstractNum>
  <w:abstractNum w:abstractNumId="7">
    <w:nsid w:val="FFFFFF89"/>
    <w:multiLevelType w:val="singleLevel"/>
    <w:tmpl w:val="4FCA7D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6250C"/>
    <w:multiLevelType w:val="hybridMultilevel"/>
    <w:tmpl w:val="75D2976E"/>
    <w:lvl w:ilvl="0" w:tplc="AD201E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635AA3"/>
    <w:multiLevelType w:val="hybridMultilevel"/>
    <w:tmpl w:val="73D4EB7E"/>
    <w:lvl w:ilvl="0" w:tplc="580AC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A17083E"/>
    <w:multiLevelType w:val="hybridMultilevel"/>
    <w:tmpl w:val="4F807232"/>
    <w:lvl w:ilvl="0" w:tplc="01D6AD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num>
  <w:num w:numId="6">
    <w:abstractNumId w:val="8"/>
  </w:num>
  <w:num w:numId="7">
    <w:abstractNumId w:val="10"/>
  </w:num>
  <w:num w:numId="8">
    <w:abstractNumId w:val="24"/>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21"/>
  </w:num>
  <w:num w:numId="15">
    <w:abstractNumId w:val="14"/>
  </w:num>
  <w:num w:numId="16">
    <w:abstractNumId w:val="23"/>
  </w:num>
  <w:num w:numId="17">
    <w:abstractNumId w:val="13"/>
  </w:num>
  <w:num w:numId="18">
    <w:abstractNumId w:val="15"/>
  </w:num>
  <w:num w:numId="19">
    <w:abstractNumId w:val="11"/>
  </w:num>
  <w:num w:numId="20">
    <w:abstractNumId w:val="22"/>
  </w:num>
  <w:num w:numId="21">
    <w:abstractNumId w:val="9"/>
  </w:num>
  <w:num w:numId="22">
    <w:abstractNumId w:val="16"/>
  </w:num>
  <w:num w:numId="23">
    <w:abstractNumId w:val="19"/>
  </w:num>
  <w:num w:numId="24">
    <w:abstractNumId w:val="20"/>
  </w:num>
  <w:num w:numId="25">
    <w:abstractNumId w:val="12"/>
  </w:num>
  <w:num w:numId="26">
    <w:abstractNumId w:val="18"/>
  </w:num>
  <w:num w:numId="27">
    <w:abstractNumId w:val="24"/>
  </w:num>
  <w:num w:numId="28">
    <w:abstractNumId w:val="21"/>
  </w:num>
  <w:num w:numId="29">
    <w:abstractNumId w:val="14"/>
  </w:num>
  <w:num w:numId="30">
    <w:abstractNumId w:val="23"/>
  </w:num>
  <w:num w:numId="31">
    <w:abstractNumId w:val="13"/>
  </w:num>
  <w:num w:numId="32">
    <w:abstractNumId w:val="15"/>
  </w:num>
  <w:num w:numId="33">
    <w:abstractNumId w:val="11"/>
  </w:num>
  <w:num w:numId="34">
    <w:abstractNumId w:val="22"/>
  </w:num>
  <w:num w:numId="35">
    <w:abstractNumId w:val="9"/>
  </w:num>
  <w:num w:numId="36">
    <w:abstractNumId w:val="16"/>
  </w:num>
  <w:num w:numId="37">
    <w:abstractNumId w:val="19"/>
  </w:num>
  <w:num w:numId="38">
    <w:abstractNumId w:val="20"/>
  </w:num>
  <w:num w:numId="39">
    <w:abstractNumId w:val="12"/>
  </w:num>
  <w:num w:numId="40">
    <w:abstractNumId w:val="1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6:4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F2439D7-DAAD-4990-9439-8B9434999338"/>
    <w:docVar w:name="LW_COVERPAGE_TYPE" w:val="1"/>
    <w:docVar w:name="LW_CROSSREFERENCE" w:val="&lt;UNUSED&gt;"/>
    <w:docVar w:name="LW_DocType" w:val="ANNEX"/>
    <w:docVar w:name="LW_EMISSION" w:val="28.10.2020"/>
    <w:docVar w:name="LW_EMISSION_ISODATE" w:val="2020-10-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under the Agreement between the European Union and Japan for an Economic Partnership regarding the amendment of Appendices 2-C-1 and 2-C-2 to Annex 2-C on Motor Vehicles and Parts"/>
    <w:docVar w:name="LW_OBJETACTEPRINCIPAL.CP" w:val="on the position to be taken on behalf of the European Union in the Joint Committee established under the Agreement between the European Union and Japan for an Economic Partnership regarding the amendment of Appendices 2-C-1 and 2-C-2 to Annex 2-C on Motor Vehicles and Parts"/>
    <w:docVar w:name="LW_PART_NBR" w:val="1"/>
    <w:docVar w:name="LW_PART_NBR_TOTAL" w:val="1"/>
    <w:docVar w:name="LW_REF.INST.NEW" w:val="COM"/>
    <w:docVar w:name="LW_REF.INST.NEW_ADOPTED" w:val="final"/>
    <w:docVar w:name="LW_REF.INST.NEW_TEXT" w:val="(2020)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table" w:styleId="TableGrid">
    <w:name w:val="Table Grid"/>
    <w:basedOn w:val="TableNormal"/>
    <w:uiPriority w:val="39"/>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table" w:styleId="TableGrid">
    <w:name w:val="Table Grid"/>
    <w:basedOn w:val="TableNormal"/>
    <w:uiPriority w:val="39"/>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F30D2C-9260-4262-A6E1-8A136098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10</Pages>
  <Words>2155</Words>
  <Characters>12395</Characters>
  <Application>Microsoft Office Word</Application>
  <DocSecurity>0</DocSecurity>
  <Lines>354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2020-10-16T08:37:00Z</dcterms:created>
  <dcterms:modified xsi:type="dcterms:W3CDTF">2020-10-20T14:47:00Z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