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0B" w:rsidRDefault="00806AC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DF3E00-5E96-4237-88D3-CD283D85743A" style="width:450.25pt;height:380.4pt">
            <v:imagedata r:id="rId8" o:title=""/>
          </v:shape>
        </w:pict>
      </w:r>
    </w:p>
    <w:bookmarkEnd w:id="0"/>
    <w:p w:rsidR="00BC130B" w:rsidRDefault="00BC130B">
      <w:pPr>
        <w:rPr>
          <w:noProof/>
        </w:rPr>
        <w:sectPr w:rsidR="00BC130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rsidR="00BC130B" w:rsidRDefault="00024B89">
      <w:pPr>
        <w:pStyle w:val="TOCHeading"/>
        <w:rPr>
          <w:noProof/>
        </w:rPr>
      </w:pPr>
      <w:r>
        <w:rPr>
          <w:noProof/>
        </w:rPr>
        <w:lastRenderedPageBreak/>
        <w:t>Table of Contents</w:t>
      </w:r>
    </w:p>
    <w:p w:rsidR="00BC130B" w:rsidRDefault="00024B89">
      <w:pPr>
        <w:pStyle w:val="TOC1"/>
        <w:rPr>
          <w:rFonts w:asciiTheme="minorHAnsi" w:eastAsiaTheme="minorEastAsia" w:hAnsiTheme="minorHAnsi" w:cstheme="minorBidi"/>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12627652" w:history="1">
        <w:r>
          <w:rPr>
            <w:rStyle w:val="Hyperlink"/>
            <w:noProof/>
          </w:rPr>
          <w:t>1.</w:t>
        </w:r>
        <w:r>
          <w:rPr>
            <w:rFonts w:asciiTheme="minorHAnsi" w:eastAsiaTheme="minorEastAsia" w:hAnsiTheme="minorHAnsi" w:cstheme="minorBidi"/>
            <w:noProof/>
            <w:sz w:val="22"/>
            <w:szCs w:val="22"/>
            <w:lang w:val="fr-BE" w:eastAsia="fr-BE"/>
          </w:rPr>
          <w:tab/>
        </w:r>
        <w:r>
          <w:rPr>
            <w:rStyle w:val="Hyperlink"/>
            <w:b/>
            <w:noProof/>
          </w:rPr>
          <w:t>Introduction</w:t>
        </w:r>
        <w:r>
          <w:rPr>
            <w:noProof/>
            <w:webHidden/>
          </w:rPr>
          <w:tab/>
        </w:r>
        <w:r>
          <w:rPr>
            <w:noProof/>
            <w:webHidden/>
          </w:rPr>
          <w:fldChar w:fldCharType="begin"/>
        </w:r>
        <w:r>
          <w:rPr>
            <w:noProof/>
            <w:webHidden/>
          </w:rPr>
          <w:instrText xml:space="preserve"> PAGEREF _Toc12627652 \h </w:instrText>
        </w:r>
        <w:r>
          <w:rPr>
            <w:noProof/>
            <w:webHidden/>
          </w:rPr>
        </w:r>
        <w:r>
          <w:rPr>
            <w:noProof/>
            <w:webHidden/>
          </w:rPr>
          <w:fldChar w:fldCharType="separate"/>
        </w:r>
        <w:r>
          <w:rPr>
            <w:noProof/>
            <w:webHidden/>
          </w:rPr>
          <w:t>2</w:t>
        </w:r>
        <w:r>
          <w:rPr>
            <w:noProof/>
            <w:webHidden/>
          </w:rPr>
          <w:fldChar w:fldCharType="end"/>
        </w:r>
      </w:hyperlink>
    </w:p>
    <w:p w:rsidR="00BC130B" w:rsidRDefault="00024B89">
      <w:pPr>
        <w:pStyle w:val="TOC1"/>
        <w:rPr>
          <w:rFonts w:asciiTheme="minorHAnsi" w:eastAsiaTheme="minorEastAsia" w:hAnsiTheme="minorHAnsi" w:cstheme="minorBidi"/>
          <w:noProof/>
          <w:sz w:val="22"/>
          <w:szCs w:val="22"/>
          <w:lang w:val="fr-BE" w:eastAsia="fr-BE"/>
        </w:rPr>
      </w:pPr>
      <w:hyperlink w:anchor="_Toc12627653" w:history="1">
        <w:r>
          <w:rPr>
            <w:rStyle w:val="Hyperlink"/>
            <w:noProof/>
          </w:rPr>
          <w:t>2.</w:t>
        </w:r>
        <w:r>
          <w:rPr>
            <w:rFonts w:asciiTheme="minorHAnsi" w:eastAsiaTheme="minorEastAsia" w:hAnsiTheme="minorHAnsi" w:cstheme="minorBidi"/>
            <w:noProof/>
            <w:sz w:val="22"/>
            <w:szCs w:val="22"/>
            <w:lang w:val="fr-BE" w:eastAsia="fr-BE"/>
          </w:rPr>
          <w:tab/>
        </w:r>
        <w:r>
          <w:rPr>
            <w:rStyle w:val="Hyperlink"/>
            <w:b/>
            <w:noProof/>
          </w:rPr>
          <w:t>Overview of capital loan operations covered by the EU guarantee</w:t>
        </w:r>
        <w:r>
          <w:rPr>
            <w:noProof/>
            <w:webHidden/>
          </w:rPr>
          <w:tab/>
        </w:r>
        <w:r>
          <w:rPr>
            <w:noProof/>
            <w:webHidden/>
          </w:rPr>
          <w:fldChar w:fldCharType="begin"/>
        </w:r>
        <w:r>
          <w:rPr>
            <w:noProof/>
            <w:webHidden/>
          </w:rPr>
          <w:instrText xml:space="preserve"> PAGEREF _Toc12627653 \h </w:instrText>
        </w:r>
        <w:r>
          <w:rPr>
            <w:noProof/>
            <w:webHidden/>
          </w:rPr>
        </w:r>
        <w:r>
          <w:rPr>
            <w:noProof/>
            <w:webHidden/>
          </w:rPr>
          <w:fldChar w:fldCharType="separate"/>
        </w:r>
        <w:r>
          <w:rPr>
            <w:noProof/>
            <w:webHidden/>
          </w:rPr>
          <w:t>2</w:t>
        </w:r>
        <w:r>
          <w:rPr>
            <w:noProof/>
            <w:webHidden/>
          </w:rPr>
          <w:fldChar w:fldCharType="end"/>
        </w:r>
      </w:hyperlink>
    </w:p>
    <w:p w:rsidR="00BC130B" w:rsidRDefault="00024B89">
      <w:pPr>
        <w:pStyle w:val="TOC2"/>
        <w:rPr>
          <w:rFonts w:asciiTheme="minorHAnsi" w:eastAsiaTheme="minorEastAsia" w:hAnsiTheme="minorHAnsi" w:cstheme="minorBidi"/>
          <w:noProof/>
          <w:sz w:val="22"/>
          <w:szCs w:val="22"/>
          <w:lang w:val="fr-BE" w:eastAsia="fr-BE"/>
        </w:rPr>
      </w:pPr>
      <w:hyperlink w:anchor="_Toc12627654" w:history="1">
        <w:r>
          <w:rPr>
            <w:rStyle w:val="Hyperlink"/>
            <w:noProof/>
          </w:rPr>
          <w:t>2.1.</w:t>
        </w:r>
        <w:r>
          <w:rPr>
            <w:rFonts w:asciiTheme="minorHAnsi" w:eastAsiaTheme="minorEastAsia" w:hAnsiTheme="minorHAnsi" w:cstheme="minorBidi"/>
            <w:noProof/>
            <w:sz w:val="22"/>
            <w:szCs w:val="22"/>
            <w:lang w:val="fr-BE" w:eastAsia="fr-BE"/>
          </w:rPr>
          <w:tab/>
        </w:r>
        <w:r>
          <w:rPr>
            <w:rStyle w:val="Hyperlink"/>
            <w:noProof/>
          </w:rPr>
          <w:t>Loan operations covered by the EU budget guarantee</w:t>
        </w:r>
        <w:r>
          <w:rPr>
            <w:noProof/>
            <w:webHidden/>
          </w:rPr>
          <w:tab/>
        </w:r>
        <w:r>
          <w:rPr>
            <w:noProof/>
            <w:webHidden/>
          </w:rPr>
          <w:fldChar w:fldCharType="begin"/>
        </w:r>
        <w:r>
          <w:rPr>
            <w:noProof/>
            <w:webHidden/>
          </w:rPr>
          <w:instrText xml:space="preserve"> PAGEREF _Toc12627654 \h </w:instrText>
        </w:r>
        <w:r>
          <w:rPr>
            <w:noProof/>
            <w:webHidden/>
          </w:rPr>
        </w:r>
        <w:r>
          <w:rPr>
            <w:noProof/>
            <w:webHidden/>
          </w:rPr>
          <w:fldChar w:fldCharType="separate"/>
        </w:r>
        <w:r>
          <w:rPr>
            <w:noProof/>
            <w:webHidden/>
          </w:rPr>
          <w:t>4</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55" w:history="1">
        <w:r>
          <w:rPr>
            <w:rStyle w:val="Hyperlink"/>
            <w:noProof/>
          </w:rPr>
          <w:t>2.1.1.</w:t>
        </w:r>
        <w:r>
          <w:rPr>
            <w:rFonts w:asciiTheme="minorHAnsi" w:eastAsiaTheme="minorEastAsia" w:hAnsiTheme="minorHAnsi" w:cstheme="minorBidi"/>
            <w:noProof/>
            <w:sz w:val="22"/>
            <w:szCs w:val="22"/>
            <w:lang w:val="fr-BE" w:eastAsia="fr-BE"/>
          </w:rPr>
          <w:tab/>
        </w:r>
        <w:r>
          <w:rPr>
            <w:rStyle w:val="Hyperlink"/>
            <w:noProof/>
          </w:rPr>
          <w:t>EU loan operations to Member States</w:t>
        </w:r>
        <w:r>
          <w:rPr>
            <w:noProof/>
            <w:webHidden/>
          </w:rPr>
          <w:tab/>
        </w:r>
        <w:r>
          <w:rPr>
            <w:noProof/>
            <w:webHidden/>
          </w:rPr>
          <w:fldChar w:fldCharType="begin"/>
        </w:r>
        <w:r>
          <w:rPr>
            <w:noProof/>
            <w:webHidden/>
          </w:rPr>
          <w:instrText xml:space="preserve"> PAGEREF _Toc12627655 \h </w:instrText>
        </w:r>
        <w:r>
          <w:rPr>
            <w:noProof/>
            <w:webHidden/>
          </w:rPr>
        </w:r>
        <w:r>
          <w:rPr>
            <w:noProof/>
            <w:webHidden/>
          </w:rPr>
          <w:fldChar w:fldCharType="separate"/>
        </w:r>
        <w:r>
          <w:rPr>
            <w:noProof/>
            <w:webHidden/>
          </w:rPr>
          <w:t>4</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56" w:history="1">
        <w:r>
          <w:rPr>
            <w:rStyle w:val="Hyperlink"/>
            <w:noProof/>
          </w:rPr>
          <w:t>2.1.2.</w:t>
        </w:r>
        <w:r>
          <w:rPr>
            <w:rFonts w:asciiTheme="minorHAnsi" w:eastAsiaTheme="minorEastAsia" w:hAnsiTheme="minorHAnsi" w:cstheme="minorBidi"/>
            <w:noProof/>
            <w:sz w:val="22"/>
            <w:szCs w:val="22"/>
            <w:lang w:val="fr-BE" w:eastAsia="fr-BE"/>
          </w:rPr>
          <w:tab/>
        </w:r>
        <w:r>
          <w:rPr>
            <w:rStyle w:val="Hyperlink"/>
            <w:noProof/>
          </w:rPr>
          <w:t>EU loan operations to non-Member States</w:t>
        </w:r>
        <w:r>
          <w:rPr>
            <w:noProof/>
            <w:webHidden/>
          </w:rPr>
          <w:tab/>
        </w:r>
        <w:r>
          <w:rPr>
            <w:noProof/>
            <w:webHidden/>
          </w:rPr>
          <w:fldChar w:fldCharType="begin"/>
        </w:r>
        <w:r>
          <w:rPr>
            <w:noProof/>
            <w:webHidden/>
          </w:rPr>
          <w:instrText xml:space="preserve"> PAGEREF _Toc12627656 \h </w:instrText>
        </w:r>
        <w:r>
          <w:rPr>
            <w:noProof/>
            <w:webHidden/>
          </w:rPr>
        </w:r>
        <w:r>
          <w:rPr>
            <w:noProof/>
            <w:webHidden/>
          </w:rPr>
          <w:fldChar w:fldCharType="separate"/>
        </w:r>
        <w:r>
          <w:rPr>
            <w:noProof/>
            <w:webHidden/>
          </w:rPr>
          <w:t>5</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57" w:history="1">
        <w:r>
          <w:rPr>
            <w:rStyle w:val="Hyperlink"/>
            <w:noProof/>
          </w:rPr>
          <w:t>2.1.3.</w:t>
        </w:r>
        <w:r>
          <w:rPr>
            <w:rFonts w:asciiTheme="minorHAnsi" w:eastAsiaTheme="minorEastAsia" w:hAnsiTheme="minorHAnsi" w:cstheme="minorBidi"/>
            <w:noProof/>
            <w:sz w:val="22"/>
            <w:szCs w:val="22"/>
            <w:lang w:val="fr-BE" w:eastAsia="fr-BE"/>
          </w:rPr>
          <w:tab/>
        </w:r>
        <w:r>
          <w:rPr>
            <w:rStyle w:val="Hyperlink"/>
            <w:noProof/>
          </w:rPr>
          <w:t>Guarantees given to the EIB</w:t>
        </w:r>
        <w:r>
          <w:rPr>
            <w:noProof/>
            <w:webHidden/>
          </w:rPr>
          <w:tab/>
        </w:r>
        <w:r>
          <w:rPr>
            <w:noProof/>
            <w:webHidden/>
          </w:rPr>
          <w:fldChar w:fldCharType="begin"/>
        </w:r>
        <w:r>
          <w:rPr>
            <w:noProof/>
            <w:webHidden/>
          </w:rPr>
          <w:instrText xml:space="preserve"> PAGEREF _Toc12627657 \h </w:instrText>
        </w:r>
        <w:r>
          <w:rPr>
            <w:noProof/>
            <w:webHidden/>
          </w:rPr>
        </w:r>
        <w:r>
          <w:rPr>
            <w:noProof/>
            <w:webHidden/>
          </w:rPr>
          <w:fldChar w:fldCharType="separate"/>
        </w:r>
        <w:r>
          <w:rPr>
            <w:noProof/>
            <w:webHidden/>
          </w:rPr>
          <w:t>6</w:t>
        </w:r>
        <w:r>
          <w:rPr>
            <w:noProof/>
            <w:webHidden/>
          </w:rPr>
          <w:fldChar w:fldCharType="end"/>
        </w:r>
      </w:hyperlink>
    </w:p>
    <w:p w:rsidR="00BC130B" w:rsidRDefault="00024B89">
      <w:pPr>
        <w:pStyle w:val="TOC2"/>
        <w:rPr>
          <w:rFonts w:asciiTheme="minorHAnsi" w:eastAsiaTheme="minorEastAsia" w:hAnsiTheme="minorHAnsi" w:cstheme="minorBidi"/>
          <w:noProof/>
          <w:sz w:val="22"/>
          <w:szCs w:val="22"/>
          <w:lang w:val="fr-BE" w:eastAsia="fr-BE"/>
        </w:rPr>
      </w:pPr>
      <w:hyperlink w:anchor="_Toc12627658" w:history="1">
        <w:r>
          <w:rPr>
            <w:rStyle w:val="Hyperlink"/>
            <w:noProof/>
          </w:rPr>
          <w:t>2.2.</w:t>
        </w:r>
        <w:r>
          <w:rPr>
            <w:rFonts w:asciiTheme="minorHAnsi" w:eastAsiaTheme="minorEastAsia" w:hAnsiTheme="minorHAnsi" w:cstheme="minorBidi"/>
            <w:noProof/>
            <w:sz w:val="22"/>
            <w:szCs w:val="22"/>
            <w:lang w:val="fr-BE" w:eastAsia="fr-BE"/>
          </w:rPr>
          <w:tab/>
        </w:r>
        <w:r>
          <w:rPr>
            <w:rStyle w:val="Hyperlink"/>
            <w:noProof/>
          </w:rPr>
          <w:t>Cumulative and annual EU budget guarantee exposures</w:t>
        </w:r>
        <w:r>
          <w:rPr>
            <w:noProof/>
            <w:webHidden/>
          </w:rPr>
          <w:tab/>
        </w:r>
        <w:r>
          <w:rPr>
            <w:noProof/>
            <w:webHidden/>
          </w:rPr>
          <w:fldChar w:fldCharType="begin"/>
        </w:r>
        <w:r>
          <w:rPr>
            <w:noProof/>
            <w:webHidden/>
          </w:rPr>
          <w:instrText xml:space="preserve"> PAGEREF _Toc12627658 \h </w:instrText>
        </w:r>
        <w:r>
          <w:rPr>
            <w:noProof/>
            <w:webHidden/>
          </w:rPr>
        </w:r>
        <w:r>
          <w:rPr>
            <w:noProof/>
            <w:webHidden/>
          </w:rPr>
          <w:fldChar w:fldCharType="separate"/>
        </w:r>
        <w:r>
          <w:rPr>
            <w:noProof/>
            <w:webHidden/>
          </w:rPr>
          <w:t>8</w:t>
        </w:r>
        <w:r>
          <w:rPr>
            <w:noProof/>
            <w:webHidden/>
          </w:rPr>
          <w:fldChar w:fldCharType="end"/>
        </w:r>
      </w:hyperlink>
    </w:p>
    <w:p w:rsidR="00BC130B" w:rsidRDefault="00024B89">
      <w:pPr>
        <w:pStyle w:val="TOC2"/>
        <w:tabs>
          <w:tab w:val="left" w:pos="9293"/>
        </w:tabs>
        <w:rPr>
          <w:rFonts w:asciiTheme="minorHAnsi" w:eastAsiaTheme="minorEastAsia" w:hAnsiTheme="minorHAnsi" w:cstheme="minorBidi"/>
          <w:noProof/>
          <w:sz w:val="22"/>
          <w:szCs w:val="22"/>
          <w:lang w:val="fr-BE" w:eastAsia="fr-BE"/>
        </w:rPr>
      </w:pPr>
      <w:hyperlink w:anchor="_Toc12627659" w:history="1">
        <w:r>
          <w:rPr>
            <w:rStyle w:val="Hyperlink"/>
            <w:noProof/>
          </w:rPr>
          <w:t>2.3.</w:t>
        </w:r>
        <w:r>
          <w:rPr>
            <w:rFonts w:asciiTheme="minorHAnsi" w:eastAsiaTheme="minorEastAsia" w:hAnsiTheme="minorHAnsi" w:cstheme="minorBidi"/>
            <w:noProof/>
            <w:sz w:val="22"/>
            <w:szCs w:val="22"/>
            <w:lang w:val="fr-BE" w:eastAsia="fr-BE"/>
          </w:rPr>
          <w:tab/>
        </w:r>
        <w:r>
          <w:rPr>
            <w:rStyle w:val="Hyperlink"/>
            <w:noProof/>
          </w:rPr>
          <w:t>Evolution of risk</w:t>
        </w:r>
        <w:r>
          <w:rPr>
            <w:noProof/>
            <w:webHidden/>
          </w:rPr>
          <w:tab/>
        </w:r>
        <w:r>
          <w:rPr>
            <w:noProof/>
            <w:webHidden/>
          </w:rPr>
          <w:fldChar w:fldCharType="begin"/>
        </w:r>
        <w:r>
          <w:rPr>
            <w:noProof/>
            <w:webHidden/>
          </w:rPr>
          <w:instrText xml:space="preserve"> PAGEREF _Toc12627659 \h </w:instrText>
        </w:r>
        <w:r>
          <w:rPr>
            <w:noProof/>
            <w:webHidden/>
          </w:rPr>
        </w:r>
        <w:r>
          <w:rPr>
            <w:noProof/>
            <w:webHidden/>
          </w:rPr>
          <w:fldChar w:fldCharType="separate"/>
        </w:r>
        <w:r>
          <w:rPr>
            <w:noProof/>
            <w:webHidden/>
          </w:rPr>
          <w:t>9</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60" w:history="1">
        <w:r>
          <w:rPr>
            <w:rStyle w:val="Hyperlink"/>
            <w:noProof/>
          </w:rPr>
          <w:t>2.3.1.</w:t>
        </w:r>
        <w:r>
          <w:rPr>
            <w:rFonts w:asciiTheme="minorHAnsi" w:eastAsiaTheme="minorEastAsia" w:hAnsiTheme="minorHAnsi" w:cstheme="minorBidi"/>
            <w:noProof/>
            <w:sz w:val="22"/>
            <w:szCs w:val="22"/>
            <w:lang w:val="fr-BE" w:eastAsia="fr-BE"/>
          </w:rPr>
          <w:tab/>
        </w:r>
        <w:r>
          <w:rPr>
            <w:rStyle w:val="Hyperlink"/>
            <w:noProof/>
          </w:rPr>
          <w:t>EU loan operations to Member States</w:t>
        </w:r>
        <w:r>
          <w:rPr>
            <w:noProof/>
            <w:webHidden/>
          </w:rPr>
          <w:tab/>
        </w:r>
        <w:r>
          <w:rPr>
            <w:noProof/>
            <w:webHidden/>
          </w:rPr>
          <w:fldChar w:fldCharType="begin"/>
        </w:r>
        <w:r>
          <w:rPr>
            <w:noProof/>
            <w:webHidden/>
          </w:rPr>
          <w:instrText xml:space="preserve"> PAGEREF _Toc12627660 \h </w:instrText>
        </w:r>
        <w:r>
          <w:rPr>
            <w:noProof/>
            <w:webHidden/>
          </w:rPr>
        </w:r>
        <w:r>
          <w:rPr>
            <w:noProof/>
            <w:webHidden/>
          </w:rPr>
          <w:fldChar w:fldCharType="separate"/>
        </w:r>
        <w:r>
          <w:rPr>
            <w:noProof/>
            <w:webHidden/>
          </w:rPr>
          <w:t>10</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61" w:history="1">
        <w:r>
          <w:rPr>
            <w:rStyle w:val="Hyperlink"/>
            <w:noProof/>
          </w:rPr>
          <w:t>2.3.2.</w:t>
        </w:r>
        <w:r>
          <w:rPr>
            <w:rFonts w:asciiTheme="minorHAnsi" w:eastAsiaTheme="minorEastAsia" w:hAnsiTheme="minorHAnsi" w:cstheme="minorBidi"/>
            <w:noProof/>
            <w:sz w:val="22"/>
            <w:szCs w:val="22"/>
            <w:lang w:val="fr-BE" w:eastAsia="fr-BE"/>
          </w:rPr>
          <w:tab/>
        </w:r>
        <w:r>
          <w:rPr>
            <w:rStyle w:val="Hyperlink"/>
            <w:noProof/>
          </w:rPr>
          <w:t>EU loan operations to non-Member States</w:t>
        </w:r>
        <w:r>
          <w:rPr>
            <w:noProof/>
            <w:webHidden/>
          </w:rPr>
          <w:tab/>
        </w:r>
        <w:r>
          <w:rPr>
            <w:noProof/>
            <w:webHidden/>
          </w:rPr>
          <w:fldChar w:fldCharType="begin"/>
        </w:r>
        <w:r>
          <w:rPr>
            <w:noProof/>
            <w:webHidden/>
          </w:rPr>
          <w:instrText xml:space="preserve"> PAGEREF _Toc12627661 \h </w:instrText>
        </w:r>
        <w:r>
          <w:rPr>
            <w:noProof/>
            <w:webHidden/>
          </w:rPr>
        </w:r>
        <w:r>
          <w:rPr>
            <w:noProof/>
            <w:webHidden/>
          </w:rPr>
          <w:fldChar w:fldCharType="separate"/>
        </w:r>
        <w:r>
          <w:rPr>
            <w:noProof/>
            <w:webHidden/>
          </w:rPr>
          <w:t>11</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62" w:history="1">
        <w:r>
          <w:rPr>
            <w:rStyle w:val="Hyperlink"/>
            <w:noProof/>
          </w:rPr>
          <w:t>2.3.3.</w:t>
        </w:r>
        <w:r>
          <w:rPr>
            <w:rFonts w:asciiTheme="minorHAnsi" w:eastAsiaTheme="minorEastAsia" w:hAnsiTheme="minorHAnsi" w:cstheme="minorBidi"/>
            <w:noProof/>
            <w:sz w:val="22"/>
            <w:szCs w:val="22"/>
            <w:lang w:val="fr-BE" w:eastAsia="fr-BE"/>
          </w:rPr>
          <w:tab/>
        </w:r>
        <w:r>
          <w:rPr>
            <w:rStyle w:val="Hyperlink"/>
            <w:noProof/>
            <w:lang w:val="en"/>
          </w:rPr>
          <w:t xml:space="preserve">Guarantes </w:t>
        </w:r>
        <w:r>
          <w:rPr>
            <w:rStyle w:val="Hyperlink"/>
            <w:noProof/>
          </w:rPr>
          <w:t>given</w:t>
        </w:r>
        <w:r>
          <w:rPr>
            <w:rStyle w:val="Hyperlink"/>
            <w:noProof/>
            <w:lang w:val="en"/>
          </w:rPr>
          <w:t xml:space="preserve"> to the </w:t>
        </w:r>
        <w:r>
          <w:rPr>
            <w:rStyle w:val="Hyperlink"/>
            <w:noProof/>
          </w:rPr>
          <w:t>EIB</w:t>
        </w:r>
        <w:r>
          <w:rPr>
            <w:noProof/>
            <w:webHidden/>
          </w:rPr>
          <w:tab/>
        </w:r>
        <w:r>
          <w:rPr>
            <w:noProof/>
            <w:webHidden/>
          </w:rPr>
          <w:fldChar w:fldCharType="begin"/>
        </w:r>
        <w:r>
          <w:rPr>
            <w:noProof/>
            <w:webHidden/>
          </w:rPr>
          <w:instrText xml:space="preserve"> PAGEREF _Toc12627662 \h </w:instrText>
        </w:r>
        <w:r>
          <w:rPr>
            <w:noProof/>
            <w:webHidden/>
          </w:rPr>
        </w:r>
        <w:r>
          <w:rPr>
            <w:noProof/>
            <w:webHidden/>
          </w:rPr>
          <w:fldChar w:fldCharType="separate"/>
        </w:r>
        <w:r>
          <w:rPr>
            <w:noProof/>
            <w:webHidden/>
          </w:rPr>
          <w:t>12</w:t>
        </w:r>
        <w:r>
          <w:rPr>
            <w:noProof/>
            <w:webHidden/>
          </w:rPr>
          <w:fldChar w:fldCharType="end"/>
        </w:r>
      </w:hyperlink>
    </w:p>
    <w:p w:rsidR="00BC130B" w:rsidRDefault="00024B89">
      <w:pPr>
        <w:pStyle w:val="TOC2"/>
        <w:rPr>
          <w:rFonts w:asciiTheme="minorHAnsi" w:eastAsiaTheme="minorEastAsia" w:hAnsiTheme="minorHAnsi" w:cstheme="minorBidi"/>
          <w:noProof/>
          <w:sz w:val="22"/>
          <w:szCs w:val="22"/>
          <w:lang w:val="fr-BE" w:eastAsia="fr-BE"/>
        </w:rPr>
      </w:pPr>
      <w:hyperlink w:anchor="_Toc12627663" w:history="1">
        <w:r>
          <w:rPr>
            <w:rStyle w:val="Hyperlink"/>
            <w:noProof/>
          </w:rPr>
          <w:t>2.4.</w:t>
        </w:r>
        <w:r>
          <w:rPr>
            <w:rFonts w:asciiTheme="minorHAnsi" w:eastAsiaTheme="minorEastAsia" w:hAnsiTheme="minorHAnsi" w:cstheme="minorBidi"/>
            <w:noProof/>
            <w:sz w:val="22"/>
            <w:szCs w:val="22"/>
            <w:lang w:val="fr-BE" w:eastAsia="fr-BE"/>
          </w:rPr>
          <w:tab/>
        </w:r>
        <w:r>
          <w:rPr>
            <w:rStyle w:val="Hyperlink"/>
            <w:noProof/>
          </w:rPr>
          <w:t>Payments under the EU budget guarantees</w:t>
        </w:r>
        <w:r>
          <w:rPr>
            <w:noProof/>
            <w:webHidden/>
          </w:rPr>
          <w:tab/>
        </w:r>
        <w:r>
          <w:rPr>
            <w:noProof/>
            <w:webHidden/>
          </w:rPr>
          <w:fldChar w:fldCharType="begin"/>
        </w:r>
        <w:r>
          <w:rPr>
            <w:noProof/>
            <w:webHidden/>
          </w:rPr>
          <w:instrText xml:space="preserve"> PAGEREF _Toc12627663 \h </w:instrText>
        </w:r>
        <w:r>
          <w:rPr>
            <w:noProof/>
            <w:webHidden/>
          </w:rPr>
        </w:r>
        <w:r>
          <w:rPr>
            <w:noProof/>
            <w:webHidden/>
          </w:rPr>
          <w:fldChar w:fldCharType="separate"/>
        </w:r>
        <w:r>
          <w:rPr>
            <w:noProof/>
            <w:webHidden/>
          </w:rPr>
          <w:t>13</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64" w:history="1">
        <w:r>
          <w:rPr>
            <w:rStyle w:val="Hyperlink"/>
            <w:noProof/>
          </w:rPr>
          <w:t>2.4.1.</w:t>
        </w:r>
        <w:r>
          <w:rPr>
            <w:rFonts w:asciiTheme="minorHAnsi" w:eastAsiaTheme="minorEastAsia" w:hAnsiTheme="minorHAnsi" w:cstheme="minorBidi"/>
            <w:noProof/>
            <w:sz w:val="22"/>
            <w:szCs w:val="22"/>
            <w:lang w:val="fr-BE" w:eastAsia="fr-BE"/>
          </w:rPr>
          <w:tab/>
        </w:r>
        <w:r>
          <w:rPr>
            <w:rStyle w:val="Hyperlink"/>
            <w:noProof/>
          </w:rPr>
          <w:t>EU loan operations</w:t>
        </w:r>
        <w:r>
          <w:rPr>
            <w:noProof/>
            <w:webHidden/>
          </w:rPr>
          <w:tab/>
        </w:r>
        <w:r>
          <w:rPr>
            <w:noProof/>
            <w:webHidden/>
          </w:rPr>
          <w:fldChar w:fldCharType="begin"/>
        </w:r>
        <w:r>
          <w:rPr>
            <w:noProof/>
            <w:webHidden/>
          </w:rPr>
          <w:instrText xml:space="preserve"> PAGEREF _Toc12627664 \h </w:instrText>
        </w:r>
        <w:r>
          <w:rPr>
            <w:noProof/>
            <w:webHidden/>
          </w:rPr>
        </w:r>
        <w:r>
          <w:rPr>
            <w:noProof/>
            <w:webHidden/>
          </w:rPr>
          <w:fldChar w:fldCharType="separate"/>
        </w:r>
        <w:r>
          <w:rPr>
            <w:noProof/>
            <w:webHidden/>
          </w:rPr>
          <w:t>13</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65" w:history="1">
        <w:r>
          <w:rPr>
            <w:rStyle w:val="Hyperlink"/>
            <w:noProof/>
          </w:rPr>
          <w:t>2.4.2.</w:t>
        </w:r>
        <w:r>
          <w:rPr>
            <w:rFonts w:asciiTheme="minorHAnsi" w:eastAsiaTheme="minorEastAsia" w:hAnsiTheme="minorHAnsi" w:cstheme="minorBidi"/>
            <w:noProof/>
            <w:sz w:val="22"/>
            <w:szCs w:val="22"/>
            <w:lang w:val="fr-BE" w:eastAsia="fr-BE"/>
          </w:rPr>
          <w:tab/>
        </w:r>
        <w:r>
          <w:rPr>
            <w:rStyle w:val="Hyperlink"/>
            <w:noProof/>
          </w:rPr>
          <w:t>Guarantees given to EIB</w:t>
        </w:r>
        <w:r>
          <w:rPr>
            <w:noProof/>
            <w:webHidden/>
          </w:rPr>
          <w:tab/>
        </w:r>
        <w:r>
          <w:rPr>
            <w:noProof/>
            <w:webHidden/>
          </w:rPr>
          <w:fldChar w:fldCharType="begin"/>
        </w:r>
        <w:r>
          <w:rPr>
            <w:noProof/>
            <w:webHidden/>
          </w:rPr>
          <w:instrText xml:space="preserve"> PAGEREF _Toc12627665 \h </w:instrText>
        </w:r>
        <w:r>
          <w:rPr>
            <w:noProof/>
            <w:webHidden/>
          </w:rPr>
        </w:r>
        <w:r>
          <w:rPr>
            <w:noProof/>
            <w:webHidden/>
          </w:rPr>
          <w:fldChar w:fldCharType="separate"/>
        </w:r>
        <w:r>
          <w:rPr>
            <w:noProof/>
            <w:webHidden/>
          </w:rPr>
          <w:t>14</w:t>
        </w:r>
        <w:r>
          <w:rPr>
            <w:noProof/>
            <w:webHidden/>
          </w:rPr>
          <w:fldChar w:fldCharType="end"/>
        </w:r>
      </w:hyperlink>
    </w:p>
    <w:p w:rsidR="00BC130B" w:rsidRDefault="00024B89">
      <w:pPr>
        <w:pStyle w:val="TOC3"/>
        <w:rPr>
          <w:rFonts w:asciiTheme="minorHAnsi" w:eastAsiaTheme="minorEastAsia" w:hAnsiTheme="minorHAnsi" w:cstheme="minorBidi"/>
          <w:noProof/>
          <w:sz w:val="22"/>
          <w:szCs w:val="22"/>
          <w:lang w:val="fr-BE" w:eastAsia="fr-BE"/>
        </w:rPr>
      </w:pPr>
      <w:hyperlink w:anchor="_Toc12627666" w:history="1">
        <w:r>
          <w:rPr>
            <w:rStyle w:val="Hyperlink"/>
            <w:noProof/>
          </w:rPr>
          <w:t>2.4.3.</w:t>
        </w:r>
        <w:r>
          <w:rPr>
            <w:rFonts w:asciiTheme="minorHAnsi" w:eastAsiaTheme="minorEastAsia" w:hAnsiTheme="minorHAnsi" w:cstheme="minorBidi"/>
            <w:noProof/>
            <w:sz w:val="22"/>
            <w:szCs w:val="22"/>
            <w:lang w:val="fr-BE" w:eastAsia="fr-BE"/>
          </w:rPr>
          <w:tab/>
        </w:r>
        <w:r>
          <w:rPr>
            <w:rStyle w:val="Hyperlink"/>
            <w:noProof/>
          </w:rPr>
          <w:t>Default interest penalt</w:t>
        </w:r>
        <w:r>
          <w:rPr>
            <w:rStyle w:val="Hyperlink"/>
            <w:noProof/>
          </w:rPr>
          <w:t>ies for late payment</w:t>
        </w:r>
        <w:r>
          <w:rPr>
            <w:noProof/>
            <w:webHidden/>
          </w:rPr>
          <w:tab/>
        </w:r>
        <w:r>
          <w:rPr>
            <w:noProof/>
            <w:webHidden/>
          </w:rPr>
          <w:fldChar w:fldCharType="begin"/>
        </w:r>
        <w:r>
          <w:rPr>
            <w:noProof/>
            <w:webHidden/>
          </w:rPr>
          <w:instrText xml:space="preserve"> PAGEREF _Toc12627666 \h </w:instrText>
        </w:r>
        <w:r>
          <w:rPr>
            <w:noProof/>
            <w:webHidden/>
          </w:rPr>
        </w:r>
        <w:r>
          <w:rPr>
            <w:noProof/>
            <w:webHidden/>
          </w:rPr>
          <w:fldChar w:fldCharType="separate"/>
        </w:r>
        <w:r>
          <w:rPr>
            <w:noProof/>
            <w:webHidden/>
          </w:rPr>
          <w:t>14</w:t>
        </w:r>
        <w:r>
          <w:rPr>
            <w:noProof/>
            <w:webHidden/>
          </w:rPr>
          <w:fldChar w:fldCharType="end"/>
        </w:r>
      </w:hyperlink>
    </w:p>
    <w:p w:rsidR="00BC130B" w:rsidRDefault="00024B89">
      <w:pPr>
        <w:rPr>
          <w:noProof/>
        </w:rPr>
      </w:pPr>
      <w:r>
        <w:rPr>
          <w:b/>
          <w:bCs/>
          <w:noProof/>
        </w:rPr>
        <w:fldChar w:fldCharType="end"/>
      </w:r>
    </w:p>
    <w:p w:rsidR="00BC130B" w:rsidRDefault="00BC130B">
      <w:pPr>
        <w:rPr>
          <w:noProof/>
        </w:rPr>
      </w:pPr>
    </w:p>
    <w:p w:rsidR="00BC130B" w:rsidRDefault="00BC130B">
      <w:pPr>
        <w:rPr>
          <w:noProof/>
        </w:rPr>
      </w:pPr>
    </w:p>
    <w:p w:rsidR="00BC130B" w:rsidRDefault="00BC130B">
      <w:pPr>
        <w:rPr>
          <w:noProof/>
          <w:lang w:eastAsia="en-GB"/>
        </w:rPr>
        <w:sectPr w:rsidR="00BC130B">
          <w:headerReference w:type="even" r:id="rId15"/>
          <w:headerReference w:type="default" r:id="rId16"/>
          <w:footerReference w:type="even" r:id="rId17"/>
          <w:footerReference w:type="default" r:id="rId18"/>
          <w:headerReference w:type="first" r:id="rId19"/>
          <w:footerReference w:type="first" r:id="rId20"/>
          <w:pgSz w:w="11906" w:h="16838"/>
          <w:pgMar w:top="1134" w:right="1133" w:bottom="1134" w:left="1418" w:header="720" w:footer="720" w:gutter="0"/>
          <w:pgNumType w:start="1"/>
          <w:cols w:space="720"/>
          <w:docGrid w:linePitch="326"/>
        </w:sectPr>
      </w:pPr>
      <w:bookmarkStart w:id="1" w:name="_GoBack"/>
      <w:bookmarkEnd w:id="1"/>
    </w:p>
    <w:p w:rsidR="00BC130B" w:rsidRDefault="00024B89">
      <w:pPr>
        <w:pStyle w:val="ManualHeading1"/>
        <w:rPr>
          <w:noProof/>
        </w:rPr>
      </w:pPr>
      <w:bookmarkStart w:id="2" w:name="_Toc315343756"/>
      <w:bookmarkStart w:id="3" w:name="_Toc327880803"/>
      <w:bookmarkStart w:id="4" w:name="_Toc329261145"/>
      <w:bookmarkStart w:id="5" w:name="_Toc329262814"/>
      <w:bookmarkStart w:id="6" w:name="_Toc345076048"/>
      <w:bookmarkStart w:id="7" w:name="_Toc365986266"/>
      <w:bookmarkStart w:id="8" w:name="_Toc365986389"/>
      <w:bookmarkStart w:id="9" w:name="_Toc367806262"/>
      <w:bookmarkStart w:id="10" w:name="_Toc367806428"/>
      <w:bookmarkStart w:id="11" w:name="_Toc388022817"/>
      <w:bookmarkStart w:id="12" w:name="_Toc389471840"/>
      <w:bookmarkStart w:id="13" w:name="_Toc389471949"/>
      <w:bookmarkStart w:id="14" w:name="_Toc390424888"/>
      <w:bookmarkStart w:id="15" w:name="_Toc390437557"/>
      <w:bookmarkStart w:id="16" w:name="_Toc390438154"/>
      <w:bookmarkStart w:id="17" w:name="_Toc415488606"/>
      <w:bookmarkStart w:id="18" w:name="_Toc417464943"/>
      <w:bookmarkStart w:id="19" w:name="_Toc417917939"/>
      <w:bookmarkStart w:id="20" w:name="_Toc418160124"/>
      <w:bookmarkStart w:id="21" w:name="_Toc422991185"/>
      <w:bookmarkStart w:id="22" w:name="_Toc446592139"/>
      <w:bookmarkStart w:id="23" w:name="_Toc12627652"/>
      <w:r>
        <w:rPr>
          <w:noProof/>
        </w:rPr>
        <w:t>1.</w:t>
      </w:r>
      <w:r>
        <w:rPr>
          <w:noProof/>
        </w:rPr>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C130B" w:rsidRDefault="00024B89">
      <w:pPr>
        <w:rPr>
          <w:noProof/>
        </w:rPr>
      </w:pPr>
      <w:r>
        <w:rPr>
          <w:noProof/>
        </w:rPr>
        <w:t xml:space="preserve">This working document is published in parallel with the </w:t>
      </w:r>
      <w:r>
        <w:rPr>
          <w:noProof/>
        </w:rPr>
        <w:t xml:space="preserve">report of the Commission to the European Parliament and the Council on guarantees covered by the EU budget at 31 December 2019. It provides further information on the risk borne by the EU budget related to Member States and third countries. An overview of </w:t>
      </w:r>
      <w:r>
        <w:rPr>
          <w:noProof/>
        </w:rPr>
        <w:t>the outstanding amount of loans covered by the EU budget under each programme is presented in section 2. Data concerning EU loans are processed by the Commission whereas EIB (“the Bank”) figures have been provided by the Bank.</w:t>
      </w:r>
    </w:p>
    <w:p w:rsidR="00BC130B" w:rsidRDefault="00024B89">
      <w:pPr>
        <w:pStyle w:val="ManualHeading1"/>
        <w:rPr>
          <w:b w:val="0"/>
          <w:noProof/>
        </w:rPr>
      </w:pPr>
      <w:bookmarkStart w:id="24" w:name="_Toc315343758"/>
      <w:bookmarkStart w:id="25" w:name="_Toc327880805"/>
      <w:bookmarkStart w:id="26" w:name="_Toc329261147"/>
      <w:bookmarkStart w:id="27" w:name="_Toc329262816"/>
      <w:bookmarkStart w:id="28" w:name="_Toc345076050"/>
      <w:bookmarkStart w:id="29" w:name="_Toc365986268"/>
      <w:bookmarkStart w:id="30" w:name="_Toc365986391"/>
      <w:bookmarkStart w:id="31" w:name="_Toc367806264"/>
      <w:bookmarkStart w:id="32" w:name="_Toc367806430"/>
      <w:bookmarkStart w:id="33" w:name="_Toc388022818"/>
      <w:bookmarkStart w:id="34" w:name="_Toc389471841"/>
      <w:bookmarkStart w:id="35" w:name="_Toc389471950"/>
      <w:bookmarkStart w:id="36" w:name="_Toc390424889"/>
      <w:bookmarkStart w:id="37" w:name="_Toc390437558"/>
      <w:bookmarkStart w:id="38" w:name="_Toc390438155"/>
      <w:bookmarkStart w:id="39" w:name="_Toc415488607"/>
      <w:bookmarkStart w:id="40" w:name="_Toc417464944"/>
      <w:bookmarkStart w:id="41" w:name="_Toc417917940"/>
      <w:bookmarkStart w:id="42" w:name="_Toc418160125"/>
      <w:bookmarkStart w:id="43" w:name="_Toc422991186"/>
      <w:bookmarkStart w:id="44" w:name="_Toc446592140"/>
      <w:bookmarkStart w:id="45" w:name="_Toc12627653"/>
      <w:r>
        <w:rPr>
          <w:noProof/>
        </w:rPr>
        <w:t>2.</w:t>
      </w:r>
      <w:r>
        <w:rPr>
          <w:noProof/>
        </w:rPr>
        <w:tab/>
        <w:t>Overview of capital loan o</w:t>
      </w:r>
      <w:r>
        <w:rPr>
          <w:noProof/>
        </w:rPr>
        <w:t>perations covered by the EU guarantee</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C130B" w:rsidRDefault="00024B89">
      <w:pPr>
        <w:rPr>
          <w:noProof/>
        </w:rPr>
      </w:pPr>
      <w:r>
        <w:rPr>
          <w:noProof/>
        </w:rPr>
        <w:t>The graph hereunder shows the breakdown of outstanding amounts by financial instrument. Each financing facility is detailed in the sections below.</w:t>
      </w:r>
    </w:p>
    <w:p w:rsidR="00BC130B" w:rsidRDefault="00BC130B">
      <w:pPr>
        <w:rPr>
          <w:noProof/>
        </w:rPr>
      </w:pPr>
    </w:p>
    <w:p w:rsidR="00BC130B" w:rsidRDefault="00024B89">
      <w:pPr>
        <w:rPr>
          <w:noProof/>
        </w:rPr>
      </w:pPr>
      <w:r>
        <w:rPr>
          <w:noProof/>
        </w:rPr>
        <w:t xml:space="preserve"> </w:t>
      </w:r>
      <w:r>
        <w:rPr>
          <w:noProof/>
          <w:lang w:eastAsia="en-GB"/>
        </w:rPr>
        <w:drawing>
          <wp:inline distT="0" distB="0" distL="0" distR="0">
            <wp:extent cx="4714875" cy="1800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130B" w:rsidRDefault="00BC130B">
      <w:pPr>
        <w:rPr>
          <w:noProof/>
        </w:rPr>
      </w:pPr>
    </w:p>
    <w:p w:rsidR="00BC130B" w:rsidRDefault="00024B89">
      <w:pPr>
        <w:rPr>
          <w:noProof/>
        </w:rPr>
      </w:pPr>
      <w:r>
        <w:rPr>
          <w:noProof/>
        </w:rPr>
        <w:t>Table A1 shows the outstanding amount of capital in respect of bor</w:t>
      </w:r>
      <w:r>
        <w:rPr>
          <w:noProof/>
        </w:rPr>
        <w:t>rowing and lending operations for which the risk is covered by the EU budget. The figures show the maximum possible risk for the EU for these operations and must not be read as meaning that these amounts will actually be drawn from the Guarantee Fund for e</w:t>
      </w:r>
      <w:r>
        <w:rPr>
          <w:noProof/>
        </w:rPr>
        <w:t>xternal actions ("the Fund") or the EU budget. Accordingly, the relevant amounts are not registered as expenditure in the EU budget; rather they are formally recorded pro memoria only.</w:t>
      </w:r>
    </w:p>
    <w:p w:rsidR="00BC130B" w:rsidRDefault="00024B89" w:rsidP="00806ACA">
      <w:pPr>
        <w:rPr>
          <w:noProof/>
        </w:rPr>
      </w:pPr>
      <w:r>
        <w:rPr>
          <w:noProof/>
          <w:lang w:eastAsia="en-GB"/>
        </w:rPr>
        <w:drawing>
          <wp:inline distT="0" distB="0" distL="0" distR="0">
            <wp:extent cx="6620510" cy="88290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20510" cy="8829040"/>
                    </a:xfrm>
                    <a:prstGeom prst="rect">
                      <a:avLst/>
                    </a:prstGeom>
                    <a:noFill/>
                    <a:ln>
                      <a:noFill/>
                    </a:ln>
                  </pic:spPr>
                </pic:pic>
              </a:graphicData>
            </a:graphic>
          </wp:inline>
        </w:drawing>
      </w:r>
      <w:r>
        <w:rPr>
          <w:noProof/>
        </w:rPr>
        <w:t xml:space="preserve"> </w:t>
      </w:r>
      <w:r>
        <w:rPr>
          <w:noProof/>
        </w:rPr>
        <w:br w:type="page"/>
      </w:r>
    </w:p>
    <w:p w:rsidR="00BC130B" w:rsidRDefault="00024B89">
      <w:pPr>
        <w:pStyle w:val="ManualHeading2"/>
        <w:spacing w:before="240"/>
        <w:ind w:left="0" w:firstLine="0"/>
        <w:rPr>
          <w:noProof/>
        </w:rPr>
      </w:pPr>
      <w:bookmarkStart w:id="46" w:name="_Toc415488608"/>
      <w:bookmarkStart w:id="47" w:name="_Toc417464945"/>
      <w:bookmarkStart w:id="48" w:name="_Toc417917941"/>
      <w:bookmarkStart w:id="49" w:name="_Toc418160126"/>
      <w:bookmarkStart w:id="50" w:name="_Toc422991187"/>
      <w:bookmarkStart w:id="51" w:name="_Toc446592141"/>
      <w:bookmarkStart w:id="52" w:name="_Toc12627654"/>
      <w:r>
        <w:rPr>
          <w:noProof/>
        </w:rPr>
        <w:t>2.1.</w:t>
      </w:r>
      <w:r>
        <w:rPr>
          <w:noProof/>
        </w:rPr>
        <w:tab/>
        <w:t>Loan operations covered by the EU budget guarantee</w:t>
      </w:r>
      <w:bookmarkEnd w:id="46"/>
      <w:bookmarkEnd w:id="47"/>
      <w:bookmarkEnd w:id="48"/>
      <w:bookmarkEnd w:id="49"/>
      <w:bookmarkEnd w:id="50"/>
      <w:bookmarkEnd w:id="51"/>
      <w:bookmarkEnd w:id="52"/>
    </w:p>
    <w:p w:rsidR="00BC130B" w:rsidRDefault="00024B89">
      <w:pPr>
        <w:keepNext/>
        <w:widowControl w:val="0"/>
        <w:rPr>
          <w:noProof/>
        </w:rPr>
      </w:pPr>
      <w:r>
        <w:rPr>
          <w:noProof/>
        </w:rPr>
        <w:t xml:space="preserve">The EU </w:t>
      </w:r>
      <w:r>
        <w:rPr>
          <w:noProof/>
        </w:rPr>
        <w:t>budget covers three types of operations. These are:</w:t>
      </w:r>
    </w:p>
    <w:p w:rsidR="00BC130B" w:rsidRDefault="00024B89">
      <w:pPr>
        <w:pStyle w:val="ManualHeading3"/>
        <w:spacing w:before="240"/>
        <w:ind w:left="851" w:hanging="851"/>
        <w:rPr>
          <w:noProof/>
        </w:rPr>
      </w:pPr>
      <w:bookmarkStart w:id="53" w:name="_Toc415488609"/>
      <w:bookmarkStart w:id="54" w:name="_Toc417464946"/>
      <w:bookmarkStart w:id="55" w:name="_Toc417917942"/>
      <w:bookmarkStart w:id="56" w:name="_Toc418160127"/>
      <w:bookmarkStart w:id="57" w:name="_Toc422991188"/>
      <w:bookmarkStart w:id="58" w:name="_Toc446592142"/>
      <w:bookmarkStart w:id="59" w:name="_Toc12627655"/>
      <w:r>
        <w:rPr>
          <w:noProof/>
        </w:rPr>
        <w:t>2.1.1.</w:t>
      </w:r>
      <w:r>
        <w:rPr>
          <w:noProof/>
        </w:rPr>
        <w:tab/>
        <w:t>EU loan operations to Member States</w:t>
      </w:r>
      <w:bookmarkEnd w:id="53"/>
      <w:bookmarkEnd w:id="54"/>
      <w:bookmarkEnd w:id="55"/>
      <w:bookmarkEnd w:id="56"/>
      <w:bookmarkEnd w:id="57"/>
      <w:bookmarkEnd w:id="58"/>
      <w:bookmarkEnd w:id="59"/>
    </w:p>
    <w:p w:rsidR="00BC130B" w:rsidRDefault="00024B89">
      <w:pPr>
        <w:pStyle w:val="Point0number"/>
        <w:widowControl w:val="0"/>
        <w:numPr>
          <w:ilvl w:val="0"/>
          <w:numId w:val="0"/>
        </w:numPr>
        <w:rPr>
          <w:noProof/>
        </w:rPr>
      </w:pPr>
      <w:r>
        <w:rPr>
          <w:noProof/>
        </w:rPr>
        <w:t>The outstanding risk of these operations is covered by the EU Budget. They relate to BOP, EFSM and to borrowing and lending granted to certain Member States prio</w:t>
      </w:r>
      <w:r>
        <w:rPr>
          <w:noProof/>
        </w:rPr>
        <w:t>r to their EU accession under Euratom (table A2a) and EIB guaranteed financing operations (table A3).</w:t>
      </w:r>
    </w:p>
    <w:p w:rsidR="00BC130B" w:rsidRDefault="00024B89">
      <w:pPr>
        <w:rPr>
          <w:noProof/>
        </w:rPr>
      </w:pPr>
      <w:bookmarkStart w:id="60" w:name="_Toc417917943"/>
      <w:bookmarkStart w:id="61" w:name="_Toc417917944"/>
      <w:bookmarkStart w:id="62" w:name="_Toc415488610"/>
      <w:bookmarkStart w:id="63" w:name="_Toc417464947"/>
      <w:bookmarkStart w:id="64" w:name="_Toc417917945"/>
      <w:bookmarkEnd w:id="60"/>
      <w:bookmarkEnd w:id="61"/>
      <w:r>
        <w:rPr>
          <w:noProof/>
          <w:lang w:eastAsia="en-GB"/>
        </w:rPr>
        <w:drawing>
          <wp:inline distT="0" distB="0" distL="0" distR="0">
            <wp:extent cx="5761355" cy="351753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3517538"/>
                    </a:xfrm>
                    <a:prstGeom prst="rect">
                      <a:avLst/>
                    </a:prstGeom>
                    <a:noFill/>
                    <a:ln>
                      <a:noFill/>
                    </a:ln>
                  </pic:spPr>
                </pic:pic>
              </a:graphicData>
            </a:graphic>
          </wp:inline>
        </w:drawing>
      </w:r>
      <w:r>
        <w:rPr>
          <w:noProof/>
        </w:rPr>
        <w:br w:type="page"/>
      </w:r>
      <w:bookmarkStart w:id="65" w:name="_Toc418160128"/>
      <w:bookmarkStart w:id="66" w:name="_Toc422991189"/>
      <w:bookmarkStart w:id="67" w:name="_Toc446592144"/>
      <w:bookmarkStart w:id="68" w:name="_Toc12627656"/>
      <w:r>
        <w:rPr>
          <w:noProof/>
        </w:rPr>
        <w:t>2.1.2.</w:t>
      </w:r>
      <w:r>
        <w:rPr>
          <w:noProof/>
        </w:rPr>
        <w:tab/>
        <w:t xml:space="preserve">EU loan operations to </w:t>
      </w:r>
      <w:bookmarkEnd w:id="62"/>
      <w:r>
        <w:rPr>
          <w:noProof/>
        </w:rPr>
        <w:t>non-Member States</w:t>
      </w:r>
      <w:bookmarkEnd w:id="63"/>
      <w:bookmarkEnd w:id="64"/>
      <w:bookmarkEnd w:id="65"/>
      <w:bookmarkEnd w:id="66"/>
      <w:bookmarkEnd w:id="67"/>
      <w:bookmarkEnd w:id="68"/>
    </w:p>
    <w:p w:rsidR="00BC130B" w:rsidRDefault="00024B89">
      <w:pPr>
        <w:pStyle w:val="Point0number"/>
        <w:numPr>
          <w:ilvl w:val="0"/>
          <w:numId w:val="0"/>
        </w:numPr>
        <w:rPr>
          <w:noProof/>
        </w:rPr>
      </w:pPr>
      <w:r>
        <w:rPr>
          <w:noProof/>
        </w:rPr>
        <w:t>These operations are covered by the Fund. They relate to MFA, Euratom (Table A2b) and EIB guaranteed lend</w:t>
      </w:r>
      <w:r>
        <w:rPr>
          <w:noProof/>
        </w:rPr>
        <w:t>ing operations to third countries or Member States before accession to the EU (table A3).</w:t>
      </w:r>
      <w:bookmarkStart w:id="69" w:name="_Toc417917946"/>
      <w:bookmarkStart w:id="70" w:name="_Toc417917947"/>
      <w:bookmarkStart w:id="71" w:name="_Toc415488611"/>
      <w:bookmarkStart w:id="72" w:name="_Toc417464948"/>
      <w:bookmarkStart w:id="73" w:name="_Toc417917948"/>
      <w:bookmarkStart w:id="74" w:name="_Toc418160129"/>
      <w:bookmarkStart w:id="75" w:name="_Toc422991190"/>
      <w:bookmarkStart w:id="76" w:name="_Toc446592146"/>
      <w:bookmarkEnd w:id="69"/>
      <w:bookmarkEnd w:id="70"/>
    </w:p>
    <w:p w:rsidR="00BC130B" w:rsidRDefault="00024B89">
      <w:pPr>
        <w:pStyle w:val="Point0number"/>
        <w:numPr>
          <w:ilvl w:val="0"/>
          <w:numId w:val="0"/>
        </w:numPr>
        <w:rPr>
          <w:noProof/>
        </w:rPr>
      </w:pPr>
      <w:r>
        <w:rPr>
          <w:noProof/>
          <w:lang w:eastAsia="en-GB"/>
        </w:rPr>
        <w:drawing>
          <wp:inline distT="0" distB="0" distL="0" distR="0">
            <wp:extent cx="5761355" cy="666119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6661193"/>
                    </a:xfrm>
                    <a:prstGeom prst="rect">
                      <a:avLst/>
                    </a:prstGeom>
                    <a:noFill/>
                    <a:ln>
                      <a:noFill/>
                    </a:ln>
                  </pic:spPr>
                </pic:pic>
              </a:graphicData>
            </a:graphic>
          </wp:inline>
        </w:drawing>
      </w:r>
      <w:r>
        <w:rPr>
          <w:noProof/>
        </w:rPr>
        <w:br w:type="page"/>
      </w:r>
    </w:p>
    <w:p w:rsidR="00BC130B" w:rsidRDefault="00024B89">
      <w:pPr>
        <w:pStyle w:val="ManualHeading3"/>
        <w:spacing w:before="240"/>
        <w:ind w:left="0" w:firstLine="0"/>
        <w:rPr>
          <w:noProof/>
        </w:rPr>
      </w:pPr>
      <w:bookmarkStart w:id="77" w:name="_Toc12627657"/>
      <w:r>
        <w:rPr>
          <w:noProof/>
        </w:rPr>
        <w:t>2.1.3.</w:t>
      </w:r>
      <w:r>
        <w:rPr>
          <w:noProof/>
        </w:rPr>
        <w:tab/>
        <w:t>Guarantees given to the EIB</w:t>
      </w:r>
      <w:bookmarkEnd w:id="71"/>
      <w:bookmarkEnd w:id="72"/>
      <w:bookmarkEnd w:id="73"/>
      <w:bookmarkEnd w:id="74"/>
      <w:bookmarkEnd w:id="75"/>
      <w:bookmarkEnd w:id="76"/>
      <w:bookmarkEnd w:id="77"/>
    </w:p>
    <w:p w:rsidR="00BC130B" w:rsidRDefault="00024B89">
      <w:pPr>
        <w:spacing w:before="0" w:after="0"/>
        <w:rPr>
          <w:noProof/>
        </w:rPr>
      </w:pPr>
      <w:r>
        <w:rPr>
          <w:noProof/>
        </w:rPr>
        <w:t>The EU provides a guarantee in respect of financing granted by the EIB under the external lending mandates (ELM).</w:t>
      </w:r>
    </w:p>
    <w:p w:rsidR="00BC130B" w:rsidRDefault="00BC130B">
      <w:pPr>
        <w:spacing w:before="0" w:after="0"/>
        <w:rPr>
          <w:noProof/>
        </w:rPr>
      </w:pPr>
    </w:p>
    <w:p w:rsidR="00BC130B" w:rsidRDefault="00024B89">
      <w:pPr>
        <w:spacing w:before="0" w:after="0"/>
        <w:rPr>
          <w:noProof/>
        </w:rPr>
      </w:pPr>
      <w:r>
        <w:rPr>
          <w:noProof/>
        </w:rPr>
        <w:t>The guarantee</w:t>
      </w:r>
      <w:r>
        <w:rPr>
          <w:noProof/>
        </w:rPr>
        <w:t xml:space="preserve"> given to the EIB depends on the Mandate under which the loans are granted.</w:t>
      </w:r>
    </w:p>
    <w:p w:rsidR="00BC130B" w:rsidRDefault="00024B89">
      <w:pPr>
        <w:spacing w:before="0" w:after="0"/>
        <w:rPr>
          <w:noProof/>
        </w:rPr>
      </w:pPr>
      <w:r>
        <w:rPr>
          <w:noProof/>
        </w:rPr>
        <w:t>The EU guarantee is limited as detailled below</w:t>
      </w:r>
      <w:r>
        <w:rPr>
          <w:rStyle w:val="Funotenzeichen"/>
          <w:noProof/>
        </w:rPr>
        <w:footnoteReference w:id="1"/>
      </w:r>
      <w:r>
        <w:rPr>
          <w:noProof/>
        </w:rPr>
        <w:t>:</w:t>
      </w:r>
    </w:p>
    <w:p w:rsidR="00BC130B" w:rsidRDefault="00024B89">
      <w:pPr>
        <w:pStyle w:val="Text1"/>
        <w:ind w:left="0"/>
        <w:rPr>
          <w:noProof/>
        </w:rPr>
      </w:pPr>
      <w:r>
        <w:rPr>
          <w:noProof/>
        </w:rPr>
        <w:t xml:space="preserve">- 75% of the total amounts of loans signed in the Mediterranean countries based on the Mediterranean protocols of 1977 and Council </w:t>
      </w:r>
      <w:r>
        <w:rPr>
          <w:noProof/>
        </w:rPr>
        <w:t>Regulations 1762/92/EEC and 1763/92/EEC;</w:t>
      </w:r>
    </w:p>
    <w:p w:rsidR="00BC130B" w:rsidRDefault="00024B89">
      <w:pPr>
        <w:pStyle w:val="Text1"/>
        <w:ind w:left="0"/>
        <w:rPr>
          <w:noProof/>
        </w:rPr>
      </w:pPr>
      <w:r>
        <w:rPr>
          <w:noProof/>
        </w:rPr>
        <w:t>- 70% of the total amounts of loans signed as part of lending operations with certain non</w:t>
      </w:r>
      <w:r>
        <w:rPr>
          <w:noProof/>
        </w:rPr>
        <w:noBreakHyphen/>
        <w:t>Member States authorised by Council Decisions 96/723/EC, 97/256/EC, 98/348/EC and 98/729/EC;</w:t>
      </w:r>
    </w:p>
    <w:p w:rsidR="00BC130B" w:rsidRDefault="00024B89">
      <w:pPr>
        <w:pStyle w:val="Text1"/>
        <w:ind w:left="0"/>
        <w:rPr>
          <w:noProof/>
        </w:rPr>
      </w:pPr>
      <w:r>
        <w:rPr>
          <w:noProof/>
        </w:rPr>
        <w:t xml:space="preserve">- the 65% guarantee rate covers </w:t>
      </w:r>
      <w:r>
        <w:rPr>
          <w:noProof/>
        </w:rPr>
        <w:t>three different mandates:</w:t>
      </w:r>
    </w:p>
    <w:p w:rsidR="00BC130B" w:rsidRDefault="00024B89">
      <w:pPr>
        <w:numPr>
          <w:ilvl w:val="0"/>
          <w:numId w:val="81"/>
        </w:numPr>
        <w:ind w:left="0" w:firstLine="0"/>
        <w:rPr>
          <w:noProof/>
        </w:rPr>
      </w:pPr>
      <w:r>
        <w:rPr>
          <w:noProof/>
        </w:rPr>
        <w:t>regarding the 2000/2007 Mandate, the EU budget guarantee is restricted to 65% of the aggregate amount of credits opened (i.e. loans signed and not cancelled) plus all related sums authorised by Council Decisions 1999/786/EC</w:t>
      </w:r>
      <w:r>
        <w:rPr>
          <w:rStyle w:val="FootnoteReference"/>
          <w:noProof/>
        </w:rPr>
        <w:footnoteReference w:id="2"/>
      </w:r>
      <w:r>
        <w:rPr>
          <w:noProof/>
        </w:rPr>
        <w:t xml:space="preserve"> and 2</w:t>
      </w:r>
      <w:r>
        <w:rPr>
          <w:noProof/>
        </w:rPr>
        <w:t>008/580/EC (codified version)</w:t>
      </w:r>
      <w:r>
        <w:rPr>
          <w:rStyle w:val="FootnoteReference"/>
          <w:noProof/>
        </w:rPr>
        <w:footnoteReference w:id="3"/>
      </w:r>
      <w:r>
        <w:rPr>
          <w:noProof/>
        </w:rPr>
        <w:t>;</w:t>
      </w:r>
    </w:p>
    <w:p w:rsidR="00BC130B" w:rsidRDefault="00024B89">
      <w:pPr>
        <w:numPr>
          <w:ilvl w:val="0"/>
          <w:numId w:val="81"/>
        </w:numPr>
        <w:ind w:left="0" w:firstLine="0"/>
        <w:rPr>
          <w:noProof/>
        </w:rPr>
      </w:pPr>
      <w:r>
        <w:rPr>
          <w:noProof/>
        </w:rPr>
        <w:t xml:space="preserve">for the last two Mandates (2007-2013 and 2014-2020), the EU budget guarantee is restricted to 65% of the aggregate amount of credits disbursed and guarantees provided under EIB financing operations, less amounts reimbursed, </w:t>
      </w:r>
      <w:r>
        <w:rPr>
          <w:noProof/>
        </w:rPr>
        <w:t>plus all related amounts authorised by Decisions No 1080/2011/EU</w:t>
      </w:r>
      <w:r>
        <w:rPr>
          <w:rStyle w:val="FootnoteReference"/>
          <w:noProof/>
        </w:rPr>
        <w:footnoteReference w:id="4"/>
      </w:r>
      <w:r>
        <w:rPr>
          <w:noProof/>
        </w:rPr>
        <w:t>and No 466/2014/ EU</w:t>
      </w:r>
      <w:r>
        <w:rPr>
          <w:rStyle w:val="FootnoteReference"/>
          <w:noProof/>
        </w:rPr>
        <w:footnoteReference w:id="5"/>
      </w:r>
      <w:r>
        <w:rPr>
          <w:noProof/>
        </w:rPr>
        <w:t>.</w:t>
      </w:r>
    </w:p>
    <w:p w:rsidR="00BC130B" w:rsidRDefault="00BC130B">
      <w:pPr>
        <w:rPr>
          <w:noProof/>
        </w:rPr>
      </w:pPr>
      <w:bookmarkStart w:id="78" w:name="_Toc390424890"/>
      <w:bookmarkStart w:id="79" w:name="_Toc390424891"/>
      <w:bookmarkStart w:id="80" w:name="_Toc315343760"/>
      <w:bookmarkStart w:id="81" w:name="_Toc327880807"/>
      <w:bookmarkStart w:id="82" w:name="_Toc329261149"/>
      <w:bookmarkStart w:id="83" w:name="_Toc329262818"/>
      <w:bookmarkStart w:id="84" w:name="_Toc345076053"/>
      <w:bookmarkStart w:id="85" w:name="_Toc365986271"/>
      <w:bookmarkStart w:id="86" w:name="_Toc365986394"/>
      <w:bookmarkStart w:id="87" w:name="_Toc367806267"/>
      <w:bookmarkStart w:id="88" w:name="_Toc367806432"/>
      <w:bookmarkStart w:id="89" w:name="_Toc388022820"/>
      <w:bookmarkStart w:id="90" w:name="_Toc389471843"/>
      <w:bookmarkStart w:id="91" w:name="_Toc389471952"/>
      <w:bookmarkStart w:id="92" w:name="_Toc390424893"/>
      <w:bookmarkStart w:id="93" w:name="_Toc390437560"/>
      <w:bookmarkStart w:id="94" w:name="_Toc390438157"/>
      <w:bookmarkStart w:id="95" w:name="_Toc415488612"/>
      <w:bookmarkStart w:id="96" w:name="_Toc417464949"/>
      <w:bookmarkStart w:id="97" w:name="_Toc417917949"/>
      <w:bookmarkStart w:id="98" w:name="_Toc418160130"/>
      <w:bookmarkStart w:id="99" w:name="_Toc422991191"/>
      <w:bookmarkEnd w:id="78"/>
      <w:bookmarkEnd w:id="79"/>
    </w:p>
    <w:p w:rsidR="00BC130B" w:rsidRDefault="00024B89">
      <w:pPr>
        <w:rPr>
          <w:noProof/>
        </w:rPr>
      </w:pPr>
      <w:r>
        <w:rPr>
          <w:noProof/>
          <w:lang w:eastAsia="en-GB"/>
        </w:rPr>
        <w:drawing>
          <wp:inline distT="0" distB="0" distL="0" distR="0">
            <wp:extent cx="5761355" cy="883612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8836122"/>
                    </a:xfrm>
                    <a:prstGeom prst="rect">
                      <a:avLst/>
                    </a:prstGeom>
                    <a:noFill/>
                    <a:ln>
                      <a:noFill/>
                    </a:ln>
                  </pic:spPr>
                </pic:pic>
              </a:graphicData>
            </a:graphic>
          </wp:inline>
        </w:drawing>
      </w:r>
    </w:p>
    <w:p w:rsidR="00BC130B" w:rsidRDefault="00024B89">
      <w:pPr>
        <w:rPr>
          <w:noProof/>
          <w:lang w:val="en-IE"/>
        </w:rPr>
      </w:pPr>
      <w:r>
        <w:rPr>
          <w:noProof/>
          <w:lang w:eastAsia="en-GB"/>
        </w:rPr>
        <w:drawing>
          <wp:inline distT="0" distB="0" distL="0" distR="0">
            <wp:extent cx="5761355" cy="536300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5363003"/>
                    </a:xfrm>
                    <a:prstGeom prst="rect">
                      <a:avLst/>
                    </a:prstGeom>
                    <a:noFill/>
                    <a:ln>
                      <a:noFill/>
                    </a:ln>
                  </pic:spPr>
                </pic:pic>
              </a:graphicData>
            </a:graphic>
          </wp:inline>
        </w:drawing>
      </w:r>
    </w:p>
    <w:p w:rsidR="00BC130B" w:rsidRDefault="00BC130B">
      <w:pPr>
        <w:rPr>
          <w:noProof/>
          <w:lang w:val="en-IE"/>
        </w:rPr>
      </w:pPr>
    </w:p>
    <w:p w:rsidR="00BC130B" w:rsidRDefault="00024B89">
      <w:pPr>
        <w:pStyle w:val="ManualHeading2"/>
        <w:ind w:left="0" w:firstLine="0"/>
        <w:rPr>
          <w:noProof/>
        </w:rPr>
      </w:pPr>
      <w:bookmarkStart w:id="100" w:name="_Toc446592148"/>
      <w:bookmarkStart w:id="101" w:name="_Toc12627658"/>
      <w:r>
        <w:rPr>
          <w:noProof/>
        </w:rPr>
        <w:t>2.2.</w:t>
      </w:r>
      <w:r>
        <w:rPr>
          <w:noProof/>
        </w:rPr>
        <w:tab/>
        <w:t>Cumulative and annual EU budget guarantee exposures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BC130B" w:rsidRDefault="00024B89">
      <w:pPr>
        <w:rPr>
          <w:noProof/>
        </w:rPr>
      </w:pPr>
      <w:r>
        <w:rPr>
          <w:noProof/>
        </w:rPr>
        <w:t>With the amortization profile based on the existing loans disbursed, it is possible to calculate the total</w:t>
      </w:r>
      <w:r>
        <w:rPr>
          <w:noProof/>
        </w:rPr>
        <w:t xml:space="preserve"> capital exposure of the EU budget and the total capital and interest payments due to be received each year. The following table A4 includes the estimated amount of principal and interest due each financial year by each country according to disbursements m</w:t>
      </w:r>
      <w:r>
        <w:rPr>
          <w:noProof/>
        </w:rPr>
        <w:t>ade until 31 December 2019</w:t>
      </w:r>
      <w:r>
        <w:rPr>
          <w:rStyle w:val="Funotenzeichen"/>
          <w:noProof/>
        </w:rPr>
        <w:footnoteReference w:id="6"/>
      </w:r>
      <w:r>
        <w:rPr>
          <w:noProof/>
        </w:rPr>
        <w:t>. Data related to Member States are highlighted in yellow in the following table.</w:t>
      </w:r>
    </w:p>
    <w:p w:rsidR="00BC130B" w:rsidRDefault="00024B89">
      <w:pPr>
        <w:pStyle w:val="ManualHeading2"/>
        <w:ind w:left="0" w:firstLine="0"/>
        <w:rPr>
          <w:b w:val="0"/>
          <w:noProof/>
        </w:rPr>
      </w:pPr>
      <w:bookmarkStart w:id="102" w:name="_Toc12627659"/>
      <w:r>
        <w:rPr>
          <w:noProof/>
          <w:lang w:eastAsia="en-GB"/>
        </w:rPr>
        <w:drawing>
          <wp:inline distT="0" distB="0" distL="0" distR="0">
            <wp:extent cx="5761355" cy="68463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6846380"/>
                    </a:xfrm>
                    <a:prstGeom prst="rect">
                      <a:avLst/>
                    </a:prstGeom>
                    <a:noFill/>
                    <a:ln>
                      <a:noFill/>
                    </a:ln>
                  </pic:spPr>
                </pic:pic>
              </a:graphicData>
            </a:graphic>
          </wp:inline>
        </w:drawing>
      </w:r>
      <w:bookmarkStart w:id="103" w:name="_Toc417917950"/>
      <w:bookmarkStart w:id="104" w:name="_Toc417917951"/>
      <w:bookmarkStart w:id="105" w:name="_Toc390424894"/>
      <w:bookmarkStart w:id="106" w:name="_Toc315343761"/>
      <w:bookmarkStart w:id="107" w:name="_Toc327880808"/>
      <w:bookmarkStart w:id="108" w:name="_Toc329261150"/>
      <w:bookmarkStart w:id="109" w:name="_Toc329262819"/>
      <w:bookmarkStart w:id="110" w:name="_Toc345076054"/>
      <w:bookmarkStart w:id="111" w:name="_Toc365986272"/>
      <w:bookmarkStart w:id="112" w:name="_Toc365986395"/>
      <w:bookmarkStart w:id="113" w:name="_Toc367806268"/>
      <w:bookmarkStart w:id="114" w:name="_Toc367806433"/>
      <w:bookmarkStart w:id="115" w:name="_Toc446592149"/>
      <w:bookmarkStart w:id="116" w:name="_Toc446592341"/>
      <w:bookmarkEnd w:id="103"/>
      <w:bookmarkEnd w:id="104"/>
      <w:bookmarkEnd w:id="105"/>
      <w:r>
        <w:rPr>
          <w:noProof/>
        </w:rPr>
        <w:br w:type="page"/>
      </w:r>
      <w:bookmarkStart w:id="117" w:name="_Toc315343762"/>
      <w:bookmarkStart w:id="118" w:name="_Toc327880809"/>
      <w:bookmarkStart w:id="119" w:name="_Toc329261151"/>
      <w:bookmarkStart w:id="120" w:name="_Toc329262820"/>
      <w:bookmarkStart w:id="121" w:name="_Toc345076055"/>
      <w:bookmarkStart w:id="122" w:name="_Toc365986273"/>
      <w:bookmarkStart w:id="123" w:name="_Toc365986396"/>
      <w:bookmarkStart w:id="124" w:name="_Toc367806269"/>
      <w:bookmarkStart w:id="125" w:name="_Toc367806434"/>
      <w:bookmarkStart w:id="126" w:name="_Toc388022822"/>
      <w:bookmarkStart w:id="127" w:name="_Toc389471845"/>
      <w:bookmarkStart w:id="128" w:name="_Toc389471954"/>
      <w:bookmarkStart w:id="129" w:name="_Toc390424896"/>
      <w:bookmarkStart w:id="130" w:name="_Toc390437562"/>
      <w:bookmarkStart w:id="131" w:name="_Toc390438159"/>
      <w:bookmarkStart w:id="132" w:name="_Toc415488613"/>
      <w:bookmarkStart w:id="133" w:name="_Toc417464950"/>
      <w:bookmarkStart w:id="134" w:name="_Toc417917952"/>
      <w:bookmarkStart w:id="135" w:name="_Toc418160131"/>
      <w:bookmarkStart w:id="136" w:name="_Toc422991192"/>
      <w:bookmarkEnd w:id="106"/>
      <w:bookmarkEnd w:id="107"/>
      <w:bookmarkEnd w:id="108"/>
      <w:bookmarkEnd w:id="109"/>
      <w:bookmarkEnd w:id="110"/>
      <w:bookmarkEnd w:id="111"/>
      <w:bookmarkEnd w:id="112"/>
      <w:bookmarkEnd w:id="113"/>
      <w:bookmarkEnd w:id="114"/>
      <w:r>
        <w:rPr>
          <w:noProof/>
        </w:rPr>
        <w:t>2.3.</w:t>
      </w:r>
      <w:r>
        <w:rPr>
          <w:noProof/>
        </w:rPr>
        <w:tab/>
        <w:t>Evolution of risk</w:t>
      </w:r>
      <w:bookmarkEnd w:id="10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BC130B" w:rsidRDefault="00024B89">
      <w:pPr>
        <w:rPr>
          <w:noProof/>
        </w:rPr>
      </w:pPr>
      <w:r>
        <w:rPr>
          <w:noProof/>
        </w:rPr>
        <w:t>The evolution of risk corresponds to the schedule of the total annual repayments (amount in capital including interests du</w:t>
      </w:r>
      <w:r>
        <w:rPr>
          <w:noProof/>
        </w:rPr>
        <w:t xml:space="preserve">e) under all financial instruments covered by the EU budget. In case of loans to Member States, the risk is </w:t>
      </w:r>
      <w:r>
        <w:rPr>
          <w:i/>
          <w:noProof/>
        </w:rPr>
        <w:t>directly</w:t>
      </w:r>
      <w:r>
        <w:rPr>
          <w:noProof/>
        </w:rPr>
        <w:t xml:space="preserve"> covered by the EU budget. Regarding loans to third countries, the risk is covered in the first instance by the Guarantee Fund for external </w:t>
      </w:r>
      <w:r>
        <w:rPr>
          <w:noProof/>
        </w:rPr>
        <w:t>Actions.</w:t>
      </w:r>
    </w:p>
    <w:p w:rsidR="00BC130B" w:rsidRDefault="00024B89">
      <w:pPr>
        <w:rPr>
          <w:noProof/>
        </w:rPr>
      </w:pPr>
      <w:r>
        <w:rPr>
          <w:noProof/>
        </w:rPr>
        <w:t>The weight of EFSM (58.5% of the total oustanding including accrued interest) clearly highlights that most of the risk is nowadays directly borne by the EU budget, whereas before the financial crisis, EIB loans to non-Member States made up the hig</w:t>
      </w:r>
      <w:r>
        <w:rPr>
          <w:noProof/>
        </w:rPr>
        <w:t>hest exposure via the Guarantee Fund for external Actions.</w:t>
      </w:r>
    </w:p>
    <w:p w:rsidR="00BC130B" w:rsidRDefault="00024B89">
      <w:pPr>
        <w:rPr>
          <w:noProof/>
        </w:rPr>
      </w:pPr>
      <w:r>
        <w:rPr>
          <w:noProof/>
          <w:lang w:eastAsia="en-GB"/>
        </w:rPr>
        <w:drawing>
          <wp:inline distT="0" distB="0" distL="0" distR="0">
            <wp:extent cx="5761355" cy="36059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3605986"/>
                    </a:xfrm>
                    <a:prstGeom prst="rect">
                      <a:avLst/>
                    </a:prstGeom>
                    <a:noFill/>
                    <a:ln>
                      <a:noFill/>
                    </a:ln>
                  </pic:spPr>
                </pic:pic>
              </a:graphicData>
            </a:graphic>
          </wp:inline>
        </w:drawing>
      </w:r>
    </w:p>
    <w:p w:rsidR="00BC130B" w:rsidRDefault="00BC130B">
      <w:pPr>
        <w:rPr>
          <w:noProof/>
        </w:rPr>
      </w:pPr>
    </w:p>
    <w:p w:rsidR="00BC130B" w:rsidRDefault="00024B89">
      <w:pPr>
        <w:pStyle w:val="ManualHeading3"/>
        <w:spacing w:before="240"/>
        <w:ind w:left="851" w:hanging="851"/>
        <w:rPr>
          <w:noProof/>
        </w:rPr>
      </w:pPr>
      <w:bookmarkStart w:id="137" w:name="_Toc415488614"/>
      <w:bookmarkStart w:id="138" w:name="_Toc417464951"/>
      <w:bookmarkStart w:id="139" w:name="_Toc417917953"/>
      <w:bookmarkStart w:id="140" w:name="_Toc418160132"/>
      <w:bookmarkStart w:id="141" w:name="_Toc422991193"/>
      <w:bookmarkStart w:id="142" w:name="_Toc446592150"/>
      <w:bookmarkStart w:id="143" w:name="_Toc12627660"/>
      <w:r>
        <w:rPr>
          <w:noProof/>
        </w:rPr>
        <w:t>2.3.1.</w:t>
      </w:r>
      <w:r>
        <w:rPr>
          <w:noProof/>
        </w:rPr>
        <w:tab/>
        <w:t xml:space="preserve">EU </w:t>
      </w:r>
      <w:bookmarkStart w:id="144" w:name="_Toc315343763"/>
      <w:bookmarkStart w:id="145" w:name="_Toc327880810"/>
      <w:bookmarkStart w:id="146" w:name="_Toc329261152"/>
      <w:bookmarkStart w:id="147" w:name="_Toc329262821"/>
      <w:bookmarkStart w:id="148" w:name="_Toc345076056"/>
      <w:bookmarkStart w:id="149" w:name="_Toc365986274"/>
      <w:bookmarkStart w:id="150" w:name="_Toc365986397"/>
      <w:bookmarkStart w:id="151" w:name="_Toc367806270"/>
      <w:bookmarkStart w:id="152" w:name="_Toc367806435"/>
      <w:bookmarkStart w:id="153" w:name="_Toc388022823"/>
      <w:bookmarkStart w:id="154" w:name="_Toc389471846"/>
      <w:bookmarkStart w:id="155" w:name="_Toc389471955"/>
      <w:bookmarkStart w:id="156" w:name="_Toc390424897"/>
      <w:bookmarkStart w:id="157" w:name="_Toc390437563"/>
      <w:bookmarkStart w:id="158" w:name="_Toc390438160"/>
      <w:r>
        <w:rPr>
          <w:noProof/>
        </w:rPr>
        <w:t>loan operations to Member States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C130B" w:rsidRDefault="00024B89">
      <w:pPr>
        <w:rPr>
          <w:noProof/>
        </w:rPr>
      </w:pPr>
      <w:r>
        <w:rPr>
          <w:noProof/>
        </w:rPr>
        <w:t xml:space="preserve">In 2019, Member States represented 60.1% of the EU budget exposure (cumulated total risk borne by the EU budget, see table 1 above) with the following </w:t>
      </w:r>
      <w:r>
        <w:rPr>
          <w:noProof/>
        </w:rPr>
        <w:t xml:space="preserve">breakdown between the financial instruments: </w:t>
      </w:r>
    </w:p>
    <w:p w:rsidR="00BC130B" w:rsidRDefault="00024B89">
      <w:pPr>
        <w:rPr>
          <w:noProof/>
        </w:rPr>
      </w:pPr>
      <w:r>
        <w:rPr>
          <w:noProof/>
        </w:rPr>
        <w:br w:type="page"/>
      </w:r>
    </w:p>
    <w:p w:rsidR="00BC130B" w:rsidRDefault="00024B89">
      <w:pPr>
        <w:rPr>
          <w:b/>
          <w:noProof/>
        </w:rPr>
      </w:pPr>
      <w:r>
        <w:rPr>
          <w:b/>
          <w:noProof/>
        </w:rPr>
        <w:t xml:space="preserve">Graph A1: </w:t>
      </w:r>
      <w:r>
        <w:rPr>
          <w:noProof/>
        </w:rPr>
        <w:t>Total annual risk borne by the EU budget (EUR million) related to Member States at 31.12.2019 for the period 2020-2026 (based on amortization plans of existing loans)</w:t>
      </w:r>
    </w:p>
    <w:p w:rsidR="00BC130B" w:rsidRDefault="00024B89">
      <w:pPr>
        <w:rPr>
          <w:noProof/>
          <w:lang w:val="fr-BE" w:eastAsia="en-GB"/>
        </w:rPr>
      </w:pPr>
      <w:r>
        <w:rPr>
          <w:noProof/>
          <w:lang w:eastAsia="en-GB"/>
        </w:rPr>
        <w:drawing>
          <wp:inline distT="0" distB="0" distL="0" distR="0">
            <wp:extent cx="4151630" cy="2719070"/>
            <wp:effectExtent l="0" t="0" r="127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51630" cy="2719070"/>
                    </a:xfrm>
                    <a:prstGeom prst="rect">
                      <a:avLst/>
                    </a:prstGeom>
                    <a:noFill/>
                  </pic:spPr>
                </pic:pic>
              </a:graphicData>
            </a:graphic>
          </wp:inline>
        </w:drawing>
      </w:r>
    </w:p>
    <w:p w:rsidR="00BC130B" w:rsidRDefault="00024B89">
      <w:pPr>
        <w:rPr>
          <w:noProof/>
        </w:rPr>
      </w:pPr>
      <w:r>
        <w:rPr>
          <w:noProof/>
        </w:rPr>
        <w:t>As Graph 1 illustrates, the m</w:t>
      </w:r>
      <w:r>
        <w:rPr>
          <w:noProof/>
        </w:rPr>
        <w:t>ain risk for the EU budget is linked to EFSM loans, which represent 97.6% of the total outstanding of Member States.</w:t>
      </w:r>
    </w:p>
    <w:p w:rsidR="00BC130B" w:rsidRDefault="00024B89">
      <w:pPr>
        <w:pStyle w:val="ManualHeading3"/>
        <w:spacing w:before="240"/>
        <w:ind w:left="851" w:hanging="851"/>
        <w:rPr>
          <w:noProof/>
        </w:rPr>
      </w:pPr>
      <w:bookmarkStart w:id="159" w:name="_Toc315343764"/>
      <w:bookmarkStart w:id="160" w:name="_Toc327880811"/>
      <w:bookmarkStart w:id="161" w:name="_Toc329261153"/>
      <w:bookmarkStart w:id="162" w:name="_Toc329262822"/>
      <w:bookmarkStart w:id="163" w:name="_Toc345076057"/>
      <w:bookmarkStart w:id="164" w:name="_Toc365986275"/>
      <w:bookmarkStart w:id="165" w:name="_Toc365986398"/>
      <w:bookmarkStart w:id="166" w:name="_Toc367806271"/>
      <w:bookmarkStart w:id="167" w:name="_Toc367806436"/>
      <w:bookmarkStart w:id="168" w:name="_Toc388022824"/>
      <w:bookmarkStart w:id="169" w:name="_Toc389471847"/>
      <w:bookmarkStart w:id="170" w:name="_Toc389471956"/>
      <w:bookmarkStart w:id="171" w:name="_Toc390424898"/>
      <w:bookmarkStart w:id="172" w:name="_Toc390437564"/>
      <w:bookmarkStart w:id="173" w:name="_Toc390438161"/>
      <w:bookmarkStart w:id="174" w:name="_Toc415488615"/>
      <w:bookmarkStart w:id="175" w:name="_Toc417464952"/>
      <w:bookmarkStart w:id="176" w:name="_Toc417917954"/>
      <w:bookmarkStart w:id="177" w:name="_Toc418160133"/>
      <w:bookmarkStart w:id="178" w:name="_Toc422991194"/>
      <w:bookmarkStart w:id="179" w:name="_Toc446592151"/>
      <w:bookmarkStart w:id="180" w:name="_Toc12627661"/>
      <w:r>
        <w:rPr>
          <w:noProof/>
        </w:rPr>
        <w:t>2.3.2.</w:t>
      </w:r>
      <w:r>
        <w:rPr>
          <w:noProof/>
        </w:rPr>
        <w:tab/>
        <w:t xml:space="preserve">EU loan operations to </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noProof/>
        </w:rPr>
        <w:t>non-Member States</w:t>
      </w:r>
      <w:bookmarkEnd w:id="175"/>
      <w:bookmarkEnd w:id="176"/>
      <w:bookmarkEnd w:id="177"/>
      <w:bookmarkEnd w:id="178"/>
      <w:bookmarkEnd w:id="179"/>
      <w:bookmarkEnd w:id="180"/>
    </w:p>
    <w:p w:rsidR="00BC130B" w:rsidRDefault="00024B89">
      <w:pPr>
        <w:rPr>
          <w:noProof/>
        </w:rPr>
      </w:pPr>
      <w:r>
        <w:rPr>
          <w:noProof/>
        </w:rPr>
        <w:t>In 2019, non-Member States represented 39.9% of the EU budget exposure (cumulated total risk</w:t>
      </w:r>
      <w:r>
        <w:rPr>
          <w:noProof/>
        </w:rPr>
        <w:t xml:space="preserve"> borne by the EU budget, see table 1 above) with the following breakdown between the financial instruments: </w:t>
      </w:r>
    </w:p>
    <w:p w:rsidR="00BC130B" w:rsidRDefault="00024B89">
      <w:pPr>
        <w:rPr>
          <w:noProof/>
        </w:rPr>
      </w:pPr>
      <w:r>
        <w:rPr>
          <w:b/>
          <w:noProof/>
        </w:rPr>
        <w:t xml:space="preserve">Graph A2: </w:t>
      </w:r>
      <w:r>
        <w:rPr>
          <w:noProof/>
        </w:rPr>
        <w:t>Total annual risk borne by the EU budget (EUR million) related to non-Member States at 31.12.2019 for the period 2020-2026 (based on amor</w:t>
      </w:r>
      <w:r>
        <w:rPr>
          <w:noProof/>
        </w:rPr>
        <w:t>tization plans of existing loans)</w:t>
      </w:r>
    </w:p>
    <w:p w:rsidR="00BC130B" w:rsidRDefault="00024B89">
      <w:pPr>
        <w:rPr>
          <w:noProof/>
          <w:lang w:val="fr-BE"/>
        </w:rPr>
      </w:pPr>
      <w:r>
        <w:rPr>
          <w:noProof/>
          <w:lang w:eastAsia="en-GB"/>
        </w:rPr>
        <w:drawing>
          <wp:inline distT="0" distB="0" distL="0" distR="0">
            <wp:extent cx="4176395" cy="274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76395" cy="2749550"/>
                    </a:xfrm>
                    <a:prstGeom prst="rect">
                      <a:avLst/>
                    </a:prstGeom>
                    <a:noFill/>
                  </pic:spPr>
                </pic:pic>
              </a:graphicData>
            </a:graphic>
          </wp:inline>
        </w:drawing>
      </w:r>
    </w:p>
    <w:p w:rsidR="00BC130B" w:rsidRDefault="00024B89">
      <w:pPr>
        <w:rPr>
          <w:noProof/>
          <w:lang w:val="en"/>
        </w:rPr>
      </w:pPr>
      <w:r>
        <w:rPr>
          <w:noProof/>
          <w:lang w:val="en"/>
        </w:rPr>
        <w:t>As graph A2 illustrates that the weight of MFA and Euratom loans are marginal in the total annual risk in comparison with the EIB loans granted (these amounts include loans signed and disbursed under all EIB mandates).</w:t>
      </w:r>
    </w:p>
    <w:p w:rsidR="00BC130B" w:rsidRDefault="00024B89">
      <w:pPr>
        <w:pStyle w:val="ManualHeading3"/>
        <w:spacing w:before="240"/>
        <w:ind w:left="851" w:hanging="851"/>
        <w:rPr>
          <w:noProof/>
          <w:lang w:val="en"/>
        </w:rPr>
      </w:pPr>
      <w:bookmarkStart w:id="181" w:name="_Toc415488616"/>
      <w:bookmarkStart w:id="182" w:name="_Toc417464953"/>
      <w:bookmarkStart w:id="183" w:name="_Toc417917955"/>
      <w:bookmarkStart w:id="184" w:name="_Toc418160134"/>
      <w:bookmarkStart w:id="185" w:name="_Toc422991195"/>
      <w:bookmarkStart w:id="186" w:name="_Toc446592152"/>
      <w:bookmarkStart w:id="187" w:name="_Toc12627662"/>
      <w:r>
        <w:rPr>
          <w:noProof/>
        </w:rPr>
        <w:t>2</w:t>
      </w:r>
      <w:r>
        <w:rPr>
          <w:noProof/>
        </w:rPr>
        <w:t>.3.3.</w:t>
      </w:r>
      <w:r>
        <w:rPr>
          <w:noProof/>
        </w:rPr>
        <w:tab/>
      </w:r>
      <w:r>
        <w:rPr>
          <w:noProof/>
          <w:lang w:val="en"/>
        </w:rPr>
        <w:t xml:space="preserve">Guarantes </w:t>
      </w:r>
      <w:r>
        <w:rPr>
          <w:noProof/>
        </w:rPr>
        <w:t>given</w:t>
      </w:r>
      <w:r>
        <w:rPr>
          <w:noProof/>
          <w:lang w:val="en"/>
        </w:rPr>
        <w:t xml:space="preserve"> to the </w:t>
      </w:r>
      <w:r>
        <w:rPr>
          <w:noProof/>
        </w:rPr>
        <w:t>EIB</w:t>
      </w:r>
      <w:bookmarkEnd w:id="181"/>
      <w:bookmarkEnd w:id="182"/>
      <w:bookmarkEnd w:id="183"/>
      <w:bookmarkEnd w:id="184"/>
      <w:bookmarkEnd w:id="185"/>
      <w:bookmarkEnd w:id="186"/>
      <w:bookmarkEnd w:id="187"/>
    </w:p>
    <w:p w:rsidR="00BC130B" w:rsidRDefault="00024B89">
      <w:pPr>
        <w:rPr>
          <w:noProof/>
        </w:rPr>
      </w:pPr>
      <w:r>
        <w:rPr>
          <w:noProof/>
          <w:lang w:val="en"/>
        </w:rPr>
        <w:t xml:space="preserve">90% of the 2007-2013 </w:t>
      </w:r>
      <w:r>
        <w:rPr>
          <w:noProof/>
        </w:rPr>
        <w:t xml:space="preserve">EIB external </w:t>
      </w:r>
      <w:r>
        <w:rPr>
          <w:noProof/>
          <w:lang w:val="en"/>
        </w:rPr>
        <w:t xml:space="preserve">Mandate has been signed but </w:t>
      </w:r>
      <w:r>
        <w:rPr>
          <w:noProof/>
        </w:rPr>
        <w:t xml:space="preserve">an amount of EUR 3,184 million still remains to be disbursed </w:t>
      </w:r>
      <w:r>
        <w:rPr>
          <w:noProof/>
          <w:lang w:eastAsia="en-GB"/>
        </w:rPr>
        <w:t>within 10 years from the end of the Mandate</w:t>
      </w:r>
      <w:r>
        <w:rPr>
          <w:noProof/>
        </w:rPr>
        <w:t>.</w:t>
      </w:r>
    </w:p>
    <w:p w:rsidR="00BC130B" w:rsidRDefault="00024B89">
      <w:pPr>
        <w:rPr>
          <w:noProof/>
        </w:rPr>
      </w:pPr>
      <w:r>
        <w:rPr>
          <w:noProof/>
          <w:lang w:eastAsia="en-GB"/>
        </w:rPr>
        <w:drawing>
          <wp:inline distT="0" distB="0" distL="0" distR="0">
            <wp:extent cx="5761355" cy="2820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2820530"/>
                    </a:xfrm>
                    <a:prstGeom prst="rect">
                      <a:avLst/>
                    </a:prstGeom>
                    <a:noFill/>
                    <a:ln>
                      <a:noFill/>
                    </a:ln>
                  </pic:spPr>
                </pic:pic>
              </a:graphicData>
            </a:graphic>
          </wp:inline>
        </w:drawing>
      </w:r>
    </w:p>
    <w:p w:rsidR="00BC130B" w:rsidRDefault="00024B89">
      <w:pPr>
        <w:rPr>
          <w:noProof/>
        </w:rPr>
      </w:pPr>
      <w:r>
        <w:rPr>
          <w:noProof/>
        </w:rPr>
        <w:t>The 2014-2020 Mandate covers EIB financing operations</w:t>
      </w:r>
      <w:r>
        <w:rPr>
          <w:noProof/>
        </w:rPr>
        <w:t xml:space="preserve"> to be signed during the period from 1 January 2014 to 31 December 2020.</w:t>
      </w:r>
    </w:p>
    <w:p w:rsidR="00BC130B" w:rsidRDefault="00024B89">
      <w:pPr>
        <w:rPr>
          <w:noProof/>
        </w:rPr>
      </w:pPr>
      <w:bookmarkStart w:id="188" w:name="_Toc415488617"/>
      <w:bookmarkStart w:id="189" w:name="_Toc417464954"/>
      <w:r>
        <w:rPr>
          <w:noProof/>
          <w:lang w:eastAsia="en-GB"/>
        </w:rPr>
        <w:drawing>
          <wp:inline distT="0" distB="0" distL="0" distR="0">
            <wp:extent cx="5761355" cy="248406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2484069"/>
                    </a:xfrm>
                    <a:prstGeom prst="rect">
                      <a:avLst/>
                    </a:prstGeom>
                    <a:noFill/>
                    <a:ln>
                      <a:noFill/>
                    </a:ln>
                  </pic:spPr>
                </pic:pic>
              </a:graphicData>
            </a:graphic>
          </wp:inline>
        </w:drawing>
      </w:r>
    </w:p>
    <w:p w:rsidR="00BC130B" w:rsidRDefault="00024B89">
      <w:pPr>
        <w:rPr>
          <w:noProof/>
          <w:u w:val="single"/>
        </w:rPr>
      </w:pPr>
      <w:r>
        <w:rPr>
          <w:noProof/>
          <w:u w:val="single"/>
        </w:rPr>
        <w:t>Risk factors</w:t>
      </w:r>
      <w:bookmarkEnd w:id="188"/>
      <w:bookmarkEnd w:id="189"/>
      <w:r>
        <w:rPr>
          <w:noProof/>
          <w:u w:val="single"/>
        </w:rPr>
        <w:t>:</w:t>
      </w:r>
    </w:p>
    <w:p w:rsidR="00BC130B" w:rsidRDefault="00024B89">
      <w:pPr>
        <w:rPr>
          <w:noProof/>
          <w:u w:val="single"/>
        </w:rPr>
      </w:pPr>
      <w:r>
        <w:rPr>
          <w:noProof/>
        </w:rPr>
        <w:t xml:space="preserve">a) </w:t>
      </w:r>
      <w:r>
        <w:rPr>
          <w:noProof/>
          <w:u w:val="single"/>
        </w:rPr>
        <w:t>Factors increasing the risk:</w:t>
      </w:r>
    </w:p>
    <w:p w:rsidR="00BC130B" w:rsidRDefault="00024B89">
      <w:pPr>
        <w:pStyle w:val="ListBullet"/>
        <w:tabs>
          <w:tab w:val="clear" w:pos="283"/>
        </w:tabs>
        <w:ind w:left="709" w:hanging="425"/>
        <w:rPr>
          <w:noProof/>
        </w:rPr>
      </w:pPr>
      <w:r>
        <w:rPr>
          <w:noProof/>
        </w:rPr>
        <w:t>the interest on the loans must be added to the authorised ceiling;</w:t>
      </w:r>
    </w:p>
    <w:p w:rsidR="00BC130B" w:rsidRDefault="00024B89">
      <w:pPr>
        <w:pStyle w:val="ListBullet"/>
        <w:tabs>
          <w:tab w:val="clear" w:pos="283"/>
        </w:tabs>
        <w:ind w:left="709" w:hanging="425"/>
        <w:rPr>
          <w:noProof/>
        </w:rPr>
      </w:pPr>
      <w:r>
        <w:rPr>
          <w:noProof/>
        </w:rPr>
        <w:t xml:space="preserve">an additional factor to be considered is that some loans are </w:t>
      </w:r>
      <w:r>
        <w:rPr>
          <w:noProof/>
        </w:rPr>
        <w:t>disbursed in currencies other than the EUR. Due to exchange rate fluctuations, the ceiling may be exceeded when the amounts disbursed are converted into EUR at the year end.</w:t>
      </w:r>
    </w:p>
    <w:p w:rsidR="00BC130B" w:rsidRDefault="00024B89">
      <w:pPr>
        <w:rPr>
          <w:noProof/>
          <w:u w:val="single"/>
        </w:rPr>
      </w:pPr>
      <w:r>
        <w:rPr>
          <w:noProof/>
        </w:rPr>
        <w:t xml:space="preserve">b) </w:t>
      </w:r>
      <w:r>
        <w:rPr>
          <w:noProof/>
          <w:u w:val="single"/>
        </w:rPr>
        <w:t>Factors reducing the risk:</w:t>
      </w:r>
    </w:p>
    <w:p w:rsidR="00BC130B" w:rsidRDefault="00024B89">
      <w:pPr>
        <w:pStyle w:val="ListBullet"/>
        <w:tabs>
          <w:tab w:val="clear" w:pos="283"/>
        </w:tabs>
        <w:ind w:left="709" w:hanging="425"/>
        <w:rPr>
          <w:noProof/>
        </w:rPr>
      </w:pPr>
      <w:r>
        <w:rPr>
          <w:noProof/>
        </w:rPr>
        <w:t>the limitation of the guarantee given to the EIB;</w:t>
      </w:r>
    </w:p>
    <w:p w:rsidR="00BC130B" w:rsidRDefault="00024B89">
      <w:pPr>
        <w:pStyle w:val="ListBullet"/>
        <w:tabs>
          <w:tab w:val="clear" w:pos="283"/>
        </w:tabs>
        <w:ind w:left="709" w:hanging="425"/>
        <w:rPr>
          <w:noProof/>
        </w:rPr>
      </w:pPr>
      <w:r>
        <w:rPr>
          <w:noProof/>
        </w:rPr>
        <w:t>op</w:t>
      </w:r>
      <w:r>
        <w:rPr>
          <w:noProof/>
        </w:rPr>
        <w:t xml:space="preserve">erations already repaid; </w:t>
      </w:r>
    </w:p>
    <w:p w:rsidR="00BC130B" w:rsidRDefault="00024B89">
      <w:pPr>
        <w:pStyle w:val="ListBullet"/>
        <w:tabs>
          <w:tab w:val="clear" w:pos="283"/>
        </w:tabs>
        <w:ind w:left="709" w:hanging="425"/>
        <w:rPr>
          <w:noProof/>
        </w:rPr>
      </w:pPr>
      <w:r>
        <w:rPr>
          <w:noProof/>
        </w:rPr>
        <w:t>the ceilings are not necessarily taken up in full;</w:t>
      </w:r>
    </w:p>
    <w:p w:rsidR="00BC130B" w:rsidRDefault="00024B89">
      <w:pPr>
        <w:pStyle w:val="ListBullet"/>
        <w:tabs>
          <w:tab w:val="clear" w:pos="283"/>
        </w:tabs>
        <w:ind w:left="709" w:hanging="425"/>
        <w:rPr>
          <w:noProof/>
        </w:rPr>
      </w:pPr>
      <w:r>
        <w:rPr>
          <w:noProof/>
        </w:rPr>
        <w:t xml:space="preserve">in some cases, notably private sector operations, the EU budget guarantee covers only well defined political risk events, with the EIB (or a third party guarantee) covering other </w:t>
      </w:r>
      <w:r>
        <w:rPr>
          <w:noProof/>
        </w:rPr>
        <w:t>risks (e.g. commercial).</w:t>
      </w:r>
    </w:p>
    <w:p w:rsidR="00BC130B" w:rsidRDefault="00024B89">
      <w:pPr>
        <w:pStyle w:val="ManualHeading2"/>
        <w:ind w:left="0" w:firstLine="0"/>
        <w:rPr>
          <w:noProof/>
        </w:rPr>
      </w:pPr>
      <w:bookmarkStart w:id="190" w:name="_Toc315343765"/>
      <w:bookmarkStart w:id="191" w:name="_Toc415488618"/>
      <w:bookmarkStart w:id="192" w:name="_Toc417464955"/>
      <w:bookmarkStart w:id="193" w:name="_Toc417917956"/>
      <w:bookmarkStart w:id="194" w:name="_Toc418160135"/>
      <w:bookmarkStart w:id="195" w:name="_Toc422991196"/>
      <w:bookmarkStart w:id="196" w:name="_Toc446592153"/>
      <w:bookmarkStart w:id="197" w:name="_Toc12627663"/>
      <w:r>
        <w:rPr>
          <w:noProof/>
        </w:rPr>
        <w:t>2.4.</w:t>
      </w:r>
      <w:r>
        <w:rPr>
          <w:noProof/>
        </w:rPr>
        <w:tab/>
        <w:t>Payments under the EU budget guarantees</w:t>
      </w:r>
      <w:bookmarkEnd w:id="190"/>
      <w:bookmarkEnd w:id="191"/>
      <w:bookmarkEnd w:id="192"/>
      <w:bookmarkEnd w:id="193"/>
      <w:bookmarkEnd w:id="194"/>
      <w:bookmarkEnd w:id="195"/>
      <w:bookmarkEnd w:id="196"/>
      <w:bookmarkEnd w:id="197"/>
    </w:p>
    <w:p w:rsidR="00BC130B" w:rsidRDefault="00024B89">
      <w:pPr>
        <w:rPr>
          <w:noProof/>
        </w:rPr>
      </w:pPr>
      <w:r>
        <w:rPr>
          <w:noProof/>
        </w:rPr>
        <w:t>The EU borrows on the financial markets and on</w:t>
      </w:r>
      <w:r>
        <w:rPr>
          <w:noProof/>
        </w:rPr>
        <w:noBreakHyphen/>
        <w:t>lends the proceeds to Member States (BOP, EFSM) and to third countries (MFA) or nuclear sector companies (Euratom).</w:t>
      </w:r>
    </w:p>
    <w:p w:rsidR="00BC130B" w:rsidRDefault="00024B89">
      <w:pPr>
        <w:rPr>
          <w:noProof/>
        </w:rPr>
      </w:pPr>
      <w:r>
        <w:rPr>
          <w:noProof/>
        </w:rPr>
        <w:t>Procedures have been se</w:t>
      </w:r>
      <w:r>
        <w:rPr>
          <w:noProof/>
        </w:rPr>
        <w:t>t up to guarantee the repayments of the borrowings due by the EU and also the guarantees given in connection with the EIB financing operations.</w:t>
      </w:r>
    </w:p>
    <w:p w:rsidR="00BC130B" w:rsidRDefault="00024B89">
      <w:pPr>
        <w:pStyle w:val="ManualHeading3"/>
        <w:spacing w:before="240"/>
        <w:ind w:left="851" w:hanging="851"/>
        <w:rPr>
          <w:noProof/>
        </w:rPr>
      </w:pPr>
      <w:bookmarkStart w:id="198" w:name="_Toc415488619"/>
      <w:bookmarkStart w:id="199" w:name="_Toc417464956"/>
      <w:bookmarkStart w:id="200" w:name="_Toc417917957"/>
      <w:bookmarkStart w:id="201" w:name="_Toc418160136"/>
      <w:bookmarkStart w:id="202" w:name="_Toc422991197"/>
      <w:bookmarkStart w:id="203" w:name="_Toc446592154"/>
      <w:bookmarkStart w:id="204" w:name="_Toc12627664"/>
      <w:bookmarkStart w:id="205" w:name="_Ref286064988"/>
      <w:bookmarkStart w:id="206" w:name="_Toc315343766"/>
      <w:bookmarkStart w:id="207" w:name="_Toc327880812"/>
      <w:bookmarkStart w:id="208" w:name="_Toc329261154"/>
      <w:bookmarkStart w:id="209" w:name="_Toc329262823"/>
      <w:bookmarkStart w:id="210" w:name="_Toc345076058"/>
      <w:bookmarkStart w:id="211" w:name="_Toc365986276"/>
      <w:bookmarkStart w:id="212" w:name="_Toc365986399"/>
      <w:bookmarkStart w:id="213" w:name="_Toc367806272"/>
      <w:bookmarkStart w:id="214" w:name="_Toc367806437"/>
      <w:bookmarkStart w:id="215" w:name="_Toc388022825"/>
      <w:bookmarkStart w:id="216" w:name="_Toc389471848"/>
      <w:bookmarkStart w:id="217" w:name="_Toc389471957"/>
      <w:bookmarkStart w:id="218" w:name="_Toc390424899"/>
      <w:bookmarkStart w:id="219" w:name="_Toc390437565"/>
      <w:bookmarkStart w:id="220" w:name="_Toc390438162"/>
      <w:r>
        <w:rPr>
          <w:noProof/>
        </w:rPr>
        <w:t>2.4.1.</w:t>
      </w:r>
      <w:r>
        <w:rPr>
          <w:noProof/>
        </w:rPr>
        <w:tab/>
        <w:t>EU loan operations</w:t>
      </w:r>
      <w:bookmarkEnd w:id="198"/>
      <w:bookmarkEnd w:id="199"/>
      <w:bookmarkEnd w:id="200"/>
      <w:bookmarkEnd w:id="201"/>
      <w:bookmarkEnd w:id="20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rsidR="00BC130B" w:rsidRDefault="00024B89">
      <w:pPr>
        <w:rPr>
          <w:noProof/>
        </w:rPr>
      </w:pPr>
      <w:r>
        <w:rPr>
          <w:noProof/>
        </w:rPr>
        <w:t>The loan repayments are scheduled to match the repayments of the borrowings due by the</w:t>
      </w:r>
      <w:r>
        <w:rPr>
          <w:noProof/>
        </w:rPr>
        <w:t xml:space="preserve"> EU. If the recipient of the loan is in default, the Commission will first draw on the budget cash resources to ensure a timely repayment of the EU borrowing on the contractual due date. Therefore, the Commission would draws on its cash resources in order </w:t>
      </w:r>
      <w:r>
        <w:rPr>
          <w:noProof/>
        </w:rPr>
        <w:t>to avoid delays and any resulting costs in servicing its borrowing operations . Furthermore, being mindful of most expenditures taking place during the first quarter of each year, debt redemption is structured for the months thereafter as well as for the b</w:t>
      </w:r>
      <w:r>
        <w:rPr>
          <w:noProof/>
        </w:rPr>
        <w:t>eginning of each month when cash balances are highest.</w:t>
      </w:r>
    </w:p>
    <w:p w:rsidR="00BC130B" w:rsidRDefault="00024B89">
      <w:pPr>
        <w:rPr>
          <w:noProof/>
        </w:rPr>
      </w:pPr>
      <w:r>
        <w:rPr>
          <w:noProof/>
        </w:rPr>
        <w:t>Should the amounts needed for the necessary cash coverage exceed, for a certain period or date, the available treasury funds of the Commission, the Commission would, in accordance with Article 14 of Co</w:t>
      </w:r>
      <w:r>
        <w:rPr>
          <w:noProof/>
        </w:rPr>
        <w:t>uncil Regulation 609/2014</w:t>
      </w:r>
      <w:r>
        <w:rPr>
          <w:rStyle w:val="Funotenzeichen"/>
          <w:noProof/>
        </w:rPr>
        <w:footnoteReference w:id="7"/>
      </w:r>
      <w:r>
        <w:rPr>
          <w:noProof/>
        </w:rPr>
        <w:t>, draw on additional cash resources from the Member States in order to fulfil its legal obligations towards its lenders.</w:t>
      </w:r>
    </w:p>
    <w:p w:rsidR="00BC130B" w:rsidRDefault="00024B89">
      <w:pPr>
        <w:rPr>
          <w:noProof/>
        </w:rPr>
      </w:pPr>
      <w:r>
        <w:rPr>
          <w:noProof/>
        </w:rPr>
        <w:t xml:space="preserve">In the case of BOP loans, where amounts to be reimbursed can be very high, the beneficiary Member States are </w:t>
      </w:r>
      <w:r>
        <w:rPr>
          <w:noProof/>
        </w:rPr>
        <w:t xml:space="preserve">required to transfer the amounts due to the European Central Bank seven business days in advance of the contractual due date. This gives enough time for the Commission and Member States to provide for the cash advance to ensure timely repayment in case of </w:t>
      </w:r>
      <w:r>
        <w:rPr>
          <w:noProof/>
        </w:rPr>
        <w:t>default. The same process applies for the EFSM loans with 14 days lead time.</w:t>
      </w:r>
    </w:p>
    <w:p w:rsidR="00BC130B" w:rsidRDefault="00024B89">
      <w:pPr>
        <w:rPr>
          <w:noProof/>
        </w:rPr>
      </w:pPr>
      <w:r>
        <w:rPr>
          <w:noProof/>
        </w:rPr>
        <w:t>In a second step, the treasury situation would be regularised as follows:</w:t>
      </w:r>
    </w:p>
    <w:p w:rsidR="00BC130B" w:rsidRDefault="00024B89">
      <w:pPr>
        <w:rPr>
          <w:noProof/>
        </w:rPr>
      </w:pPr>
      <w:r>
        <w:rPr>
          <w:noProof/>
          <w:u w:val="single"/>
        </w:rPr>
        <w:t>BOP and EFSM loans</w:t>
      </w:r>
    </w:p>
    <w:p w:rsidR="00BC130B" w:rsidRDefault="00024B89">
      <w:pPr>
        <w:pStyle w:val="Point0"/>
        <w:numPr>
          <w:ilvl w:val="1"/>
          <w:numId w:val="87"/>
        </w:numPr>
        <w:ind w:left="567" w:hanging="567"/>
        <w:rPr>
          <w:noProof/>
        </w:rPr>
      </w:pPr>
      <w:r>
        <w:rPr>
          <w:noProof/>
        </w:rPr>
        <w:t>The Commission may need to propose a transfer or an Amending Budget to budget the cash</w:t>
      </w:r>
      <w:r>
        <w:rPr>
          <w:noProof/>
        </w:rPr>
        <w:t xml:space="preserve"> advance under the corresponding budget line "01 02 02 European Union guarantee for Union borrowings for balance-of-payments support" or "01 02 03 European Union guarantee for Union borrowings for financial assistance under the European financial stabilisa</w:t>
      </w:r>
      <w:r>
        <w:rPr>
          <w:noProof/>
        </w:rPr>
        <w:t>tion mechanism".</w:t>
      </w:r>
    </w:p>
    <w:p w:rsidR="00BC130B" w:rsidRDefault="00024B89">
      <w:pPr>
        <w:pStyle w:val="Point0"/>
        <w:numPr>
          <w:ilvl w:val="1"/>
          <w:numId w:val="87"/>
        </w:numPr>
        <w:ind w:left="567" w:hanging="567"/>
        <w:rPr>
          <w:noProof/>
        </w:rPr>
      </w:pPr>
      <w:r>
        <w:rPr>
          <w:noProof/>
        </w:rPr>
        <w:t>The recovered funds will be re-paid to the EU budget.</w:t>
      </w:r>
    </w:p>
    <w:p w:rsidR="00BC130B" w:rsidRDefault="00024B89">
      <w:pPr>
        <w:rPr>
          <w:noProof/>
        </w:rPr>
      </w:pPr>
      <w:r>
        <w:rPr>
          <w:noProof/>
          <w:u w:val="single"/>
        </w:rPr>
        <w:t>Euratom and MFA loans</w:t>
      </w:r>
    </w:p>
    <w:p w:rsidR="00BC130B" w:rsidRDefault="00024B89">
      <w:pPr>
        <w:pStyle w:val="Point0"/>
        <w:numPr>
          <w:ilvl w:val="0"/>
          <w:numId w:val="88"/>
        </w:numPr>
        <w:spacing w:after="0"/>
        <w:ind w:left="567" w:hanging="567"/>
        <w:rPr>
          <w:noProof/>
        </w:rPr>
      </w:pPr>
      <w:r>
        <w:rPr>
          <w:noProof/>
        </w:rPr>
        <w:t>If the payment delay reaches three months after the due date and if the borrower is a third country, the Commission draws on the Guarantee Fund for external action</w:t>
      </w:r>
      <w:r>
        <w:rPr>
          <w:noProof/>
        </w:rPr>
        <w:t xml:space="preserve"> to cover the default</w:t>
      </w:r>
      <w:r>
        <w:rPr>
          <w:rStyle w:val="FootnoteReference"/>
          <w:noProof/>
        </w:rPr>
        <w:footnoteReference w:id="8"/>
      </w:r>
      <w:r>
        <w:rPr>
          <w:noProof/>
        </w:rPr>
        <w:t xml:space="preserve"> and to replenish its treasury.</w:t>
      </w:r>
    </w:p>
    <w:p w:rsidR="00BC130B" w:rsidRDefault="00024B89">
      <w:pPr>
        <w:pStyle w:val="Point0"/>
        <w:numPr>
          <w:ilvl w:val="0"/>
          <w:numId w:val="88"/>
        </w:numPr>
        <w:ind w:left="567" w:hanging="567"/>
        <w:rPr>
          <w:noProof/>
        </w:rPr>
      </w:pPr>
      <w:r>
        <w:rPr>
          <w:noProof/>
        </w:rPr>
        <w:t xml:space="preserve">The Commission might also need to draw on the EU budget, most likely by means of a transfer, to provide the corresponding budget lines under articles "01 03 04  Guarantee for Euratom borrowings to </w:t>
      </w:r>
      <w:r>
        <w:rPr>
          <w:noProof/>
        </w:rPr>
        <w:t>improve the degre of efficiency and safety of nuclear power stations in third countries" or "01 04 03 Guarantee for Euratom borrowings" or "01 03 03 European Union Guarantee for Union borrowings for macro-financial assistance to third countries" with the n</w:t>
      </w:r>
      <w:r>
        <w:rPr>
          <w:noProof/>
        </w:rPr>
        <w:t>ecessary appropriations needed to cover the default. This method is used when there are insufficient appropriations in the Fund or if the borrower is a Member State and the transfers are likely to require advance authorisation by the budgetary authority.</w:t>
      </w:r>
    </w:p>
    <w:p w:rsidR="00BC130B" w:rsidRDefault="00024B89">
      <w:pPr>
        <w:pStyle w:val="Point0"/>
        <w:numPr>
          <w:ilvl w:val="0"/>
          <w:numId w:val="88"/>
        </w:numPr>
        <w:ind w:left="567" w:hanging="567"/>
        <w:rPr>
          <w:noProof/>
        </w:rPr>
      </w:pPr>
      <w:r>
        <w:rPr>
          <w:noProof/>
        </w:rPr>
        <w:t>T</w:t>
      </w:r>
      <w:r>
        <w:rPr>
          <w:noProof/>
        </w:rPr>
        <w:t>he recovered funds may either be kept on the Fund account (the next annual provisioning from the EU budget being reduced accordingly) or re-paid to the EU budget.</w:t>
      </w:r>
    </w:p>
    <w:p w:rsidR="00BC130B" w:rsidRDefault="00024B89">
      <w:pPr>
        <w:pStyle w:val="ManualHeading3"/>
        <w:spacing w:before="240"/>
        <w:ind w:left="851" w:hanging="851"/>
        <w:rPr>
          <w:noProof/>
        </w:rPr>
      </w:pPr>
      <w:bookmarkStart w:id="221" w:name="_Toc315343767"/>
      <w:bookmarkStart w:id="222" w:name="_Toc327880813"/>
      <w:bookmarkStart w:id="223" w:name="_Toc329261155"/>
      <w:bookmarkStart w:id="224" w:name="_Toc329262824"/>
      <w:bookmarkStart w:id="225" w:name="_Toc345076059"/>
      <w:bookmarkStart w:id="226" w:name="_Toc365986277"/>
      <w:bookmarkStart w:id="227" w:name="_Toc365986400"/>
      <w:bookmarkStart w:id="228" w:name="_Toc367806273"/>
      <w:bookmarkStart w:id="229" w:name="_Toc367806438"/>
      <w:bookmarkStart w:id="230" w:name="_Toc388022826"/>
      <w:bookmarkStart w:id="231" w:name="_Toc389471849"/>
      <w:bookmarkStart w:id="232" w:name="_Toc389471958"/>
      <w:bookmarkStart w:id="233" w:name="_Toc390424900"/>
      <w:bookmarkStart w:id="234" w:name="_Toc390437566"/>
      <w:bookmarkStart w:id="235" w:name="_Toc390438163"/>
      <w:bookmarkStart w:id="236" w:name="_Toc415488620"/>
      <w:bookmarkStart w:id="237" w:name="_Toc417464957"/>
      <w:bookmarkStart w:id="238" w:name="_Toc417917958"/>
      <w:bookmarkStart w:id="239" w:name="_Toc418160137"/>
      <w:bookmarkStart w:id="240" w:name="_Toc422991198"/>
      <w:bookmarkStart w:id="241" w:name="_Toc446592155"/>
      <w:bookmarkStart w:id="242" w:name="_Toc12627665"/>
      <w:r>
        <w:rPr>
          <w:noProof/>
        </w:rPr>
        <w:t>2.4.2.</w:t>
      </w:r>
      <w:r>
        <w:rPr>
          <w:noProof/>
        </w:rPr>
        <w:tab/>
        <w:t xml:space="preserve">Guarantees given to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noProof/>
        </w:rPr>
        <w:t>EIB</w:t>
      </w:r>
      <w:bookmarkEnd w:id="236"/>
      <w:bookmarkEnd w:id="237"/>
      <w:bookmarkEnd w:id="238"/>
      <w:bookmarkEnd w:id="239"/>
      <w:bookmarkEnd w:id="240"/>
      <w:bookmarkEnd w:id="241"/>
      <w:bookmarkEnd w:id="242"/>
    </w:p>
    <w:p w:rsidR="00BC130B" w:rsidRDefault="00024B89">
      <w:pPr>
        <w:rPr>
          <w:noProof/>
        </w:rPr>
      </w:pPr>
      <w:r>
        <w:rPr>
          <w:noProof/>
        </w:rPr>
        <w:t>The EU provides a guarantee in respect of financing granted by</w:t>
      </w:r>
      <w:r>
        <w:rPr>
          <w:noProof/>
        </w:rPr>
        <w:t xml:space="preserve"> the EIB under the external lending mandates. When the recipient of a guaranteed financing fails to make a payment on the due date, the EIB asks the Commission to pay via the Fund the amounts owed by the defaulting entity in accordance with the relevant gu</w:t>
      </w:r>
      <w:r>
        <w:rPr>
          <w:noProof/>
        </w:rPr>
        <w:t>arantee agreement.</w:t>
      </w:r>
    </w:p>
    <w:p w:rsidR="00BC130B" w:rsidRDefault="00024B89">
      <w:pPr>
        <w:rPr>
          <w:noProof/>
        </w:rPr>
      </w:pPr>
      <w:r>
        <w:rPr>
          <w:noProof/>
        </w:rPr>
        <w:t>The guarantee call must be paid within three months of receiving the EIB's request, either from the Fund</w:t>
      </w:r>
      <w:r>
        <w:rPr>
          <w:rStyle w:val="Funotenzeichen"/>
          <w:noProof/>
        </w:rPr>
        <w:footnoteReference w:id="9"/>
      </w:r>
      <w:r>
        <w:rPr>
          <w:noProof/>
        </w:rPr>
        <w:t xml:space="preserve"> or directly from the EU budget should the resources of the Fund be insufficient</w:t>
      </w:r>
      <w:r>
        <w:rPr>
          <w:rStyle w:val="FootnoteReference"/>
          <w:noProof/>
        </w:rPr>
        <w:footnoteReference w:id="10"/>
      </w:r>
      <w:r>
        <w:rPr>
          <w:noProof/>
        </w:rPr>
        <w:t>.</w:t>
      </w:r>
    </w:p>
    <w:p w:rsidR="00BC130B" w:rsidRDefault="00024B89">
      <w:pPr>
        <w:rPr>
          <w:noProof/>
        </w:rPr>
      </w:pPr>
      <w:r>
        <w:rPr>
          <w:noProof/>
        </w:rPr>
        <w:t>The EIB administers the loan with all the care re</w:t>
      </w:r>
      <w:r>
        <w:rPr>
          <w:noProof/>
        </w:rPr>
        <w:t>quired by good banking practice and is obliged to seek the recovery of the payments due after the guarantee has been activated.</w:t>
      </w:r>
    </w:p>
    <w:p w:rsidR="00BC130B" w:rsidRDefault="00024B89">
      <w:pPr>
        <w:pStyle w:val="ManualHeading3"/>
        <w:spacing w:before="240"/>
        <w:ind w:left="851" w:hanging="851"/>
        <w:rPr>
          <w:noProof/>
        </w:rPr>
      </w:pPr>
      <w:bookmarkStart w:id="243" w:name="_Toc315343768"/>
      <w:bookmarkStart w:id="244" w:name="_Toc327880814"/>
      <w:bookmarkStart w:id="245" w:name="_Toc329261156"/>
      <w:bookmarkStart w:id="246" w:name="_Toc329262825"/>
      <w:bookmarkStart w:id="247" w:name="_Toc345076060"/>
      <w:bookmarkStart w:id="248" w:name="_Toc365986278"/>
      <w:bookmarkStart w:id="249" w:name="_Toc365986401"/>
      <w:bookmarkStart w:id="250" w:name="_Toc367806274"/>
      <w:bookmarkStart w:id="251" w:name="_Toc367806439"/>
      <w:bookmarkStart w:id="252" w:name="_Toc388022827"/>
      <w:bookmarkStart w:id="253" w:name="_Toc389471850"/>
      <w:bookmarkStart w:id="254" w:name="_Toc389471959"/>
      <w:bookmarkStart w:id="255" w:name="_Toc390424901"/>
      <w:bookmarkStart w:id="256" w:name="_Toc390437567"/>
      <w:bookmarkStart w:id="257" w:name="_Toc390438164"/>
      <w:bookmarkStart w:id="258" w:name="_Toc415488621"/>
      <w:bookmarkStart w:id="259" w:name="_Toc417464958"/>
      <w:bookmarkStart w:id="260" w:name="_Toc417917959"/>
      <w:bookmarkStart w:id="261" w:name="_Toc418160138"/>
      <w:bookmarkStart w:id="262" w:name="_Toc422991199"/>
      <w:bookmarkStart w:id="263" w:name="_Toc446592156"/>
      <w:bookmarkStart w:id="264" w:name="_Toc12627666"/>
      <w:r>
        <w:rPr>
          <w:noProof/>
        </w:rPr>
        <w:t>2.4.3.</w:t>
      </w:r>
      <w:r>
        <w:rPr>
          <w:noProof/>
        </w:rPr>
        <w:tab/>
        <w:t>Default interest penalties for late payment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BC130B" w:rsidRDefault="00024B89">
      <w:pPr>
        <w:pStyle w:val="Point0"/>
        <w:rPr>
          <w:noProof/>
        </w:rPr>
      </w:pPr>
      <w:r>
        <w:t>a)</w:t>
      </w:r>
      <w:r>
        <w:tab/>
      </w:r>
      <w:r>
        <w:rPr>
          <w:noProof/>
        </w:rPr>
        <w:t>EU loans</w:t>
      </w:r>
    </w:p>
    <w:p w:rsidR="00BC130B" w:rsidRDefault="00024B89">
      <w:pPr>
        <w:ind w:left="600"/>
        <w:rPr>
          <w:noProof/>
        </w:rPr>
      </w:pPr>
      <w:r>
        <w:rPr>
          <w:noProof/>
        </w:rPr>
        <w:t xml:space="preserve">For loans granted by the EU, default interest is owed by loan </w:t>
      </w:r>
      <w:r>
        <w:rPr>
          <w:noProof/>
        </w:rPr>
        <w:t>beneficiaries for the time between the date at which cash resources are made available by the EU budget and the date of repayment to the EU.</w:t>
      </w:r>
    </w:p>
    <w:p w:rsidR="00BC130B" w:rsidRDefault="00024B89">
      <w:pPr>
        <w:pStyle w:val="Point0"/>
        <w:rPr>
          <w:noProof/>
        </w:rPr>
      </w:pPr>
      <w:r>
        <w:t>b)</w:t>
      </w:r>
      <w:r>
        <w:tab/>
      </w:r>
      <w:r>
        <w:rPr>
          <w:noProof/>
        </w:rPr>
        <w:t>EIB loans</w:t>
      </w:r>
    </w:p>
    <w:p w:rsidR="00BC130B" w:rsidRDefault="00024B89">
      <w:pPr>
        <w:ind w:left="600"/>
        <w:rPr>
          <w:noProof/>
        </w:rPr>
      </w:pPr>
      <w:r>
        <w:rPr>
          <w:noProof/>
        </w:rPr>
        <w:t>For EIB loans, EIB is entitled to default interest which is calculated during the period between the d</w:t>
      </w:r>
      <w:r>
        <w:rPr>
          <w:noProof/>
        </w:rPr>
        <w:t>ue date of a defaulted loan instalment and the date of receipt of the cash resources by the EIB from the Commission. From the latter date, default interest is due to the Commission.</w:t>
      </w:r>
      <w:bookmarkStart w:id="265" w:name="_Toc417918003"/>
      <w:bookmarkEnd w:id="265"/>
    </w:p>
    <w:sectPr w:rsidR="00BC130B">
      <w:headerReference w:type="even" r:id="rId33"/>
      <w:headerReference w:type="default" r:id="rId34"/>
      <w:footerReference w:type="even" r:id="rId35"/>
      <w:footerReference w:type="default" r:id="rId36"/>
      <w:headerReference w:type="first" r:id="rId37"/>
      <w:footerReference w:type="first" r:id="rId38"/>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0B" w:rsidRDefault="00024B89">
      <w:pPr>
        <w:spacing w:before="0" w:after="0"/>
      </w:pPr>
      <w:r>
        <w:separator/>
      </w:r>
    </w:p>
  </w:endnote>
  <w:endnote w:type="continuationSeparator" w:id="0">
    <w:p w:rsidR="00BC130B" w:rsidRDefault="00024B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024B8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024B89">
    <w:pPr>
      <w:pStyle w:val="Footer"/>
      <w:jc w:val="center"/>
    </w:pPr>
    <w:r>
      <w:fldChar w:fldCharType="begin"/>
    </w:r>
    <w:r>
      <w:instrText xml:space="preserve"> PAGE   \* MERGEFORMAT </w:instrText>
    </w:r>
    <w:r>
      <w:fldChar w:fldCharType="separate"/>
    </w:r>
    <w:r>
      <w:rPr>
        <w:noProof/>
      </w:rPr>
      <w:t>1</w:t>
    </w:r>
    <w:r>
      <w:rPr>
        <w:noProof/>
      </w:rPr>
      <w:fldChar w:fldCharType="end"/>
    </w:r>
  </w:p>
  <w:p w:rsidR="00BC130B" w:rsidRDefault="00BC13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024B8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0B" w:rsidRDefault="00024B89">
      <w:pPr>
        <w:spacing w:before="0" w:after="0"/>
      </w:pPr>
      <w:r>
        <w:separator/>
      </w:r>
    </w:p>
  </w:footnote>
  <w:footnote w:type="continuationSeparator" w:id="0">
    <w:p w:rsidR="00BC130B" w:rsidRDefault="00024B89">
      <w:pPr>
        <w:spacing w:before="0" w:after="0"/>
      </w:pPr>
      <w:r>
        <w:continuationSeparator/>
      </w:r>
    </w:p>
  </w:footnote>
  <w:footnote w:id="1">
    <w:p w:rsidR="00BC130B" w:rsidRDefault="00024B89">
      <w:pPr>
        <w:pStyle w:val="FootnoteText"/>
        <w:ind w:left="480" w:hanging="480"/>
        <w:rPr>
          <w:lang w:val="en-US"/>
        </w:rPr>
      </w:pPr>
      <w:r>
        <w:rPr>
          <w:rStyle w:val="FootnoteReference"/>
        </w:rPr>
        <w:footnoteRef/>
      </w:r>
      <w:r>
        <w:rPr>
          <w:lang w:val="en-US"/>
        </w:rPr>
        <w:tab/>
        <w:t>Within each portfolio individual E</w:t>
      </w:r>
      <w:r>
        <w:rPr>
          <w:lang w:val="en-US"/>
        </w:rPr>
        <w:t>IB loans are, de facto, guaranteed at 100% until the global ceiling is reached.</w:t>
      </w:r>
    </w:p>
  </w:footnote>
  <w:footnote w:id="2">
    <w:p w:rsidR="00BC130B" w:rsidRDefault="00024B89">
      <w:pPr>
        <w:pStyle w:val="FootnoteText"/>
        <w:ind w:left="480" w:hanging="480"/>
      </w:pPr>
      <w:r>
        <w:rPr>
          <w:rStyle w:val="FootnoteReference"/>
        </w:rPr>
        <w:footnoteRef/>
      </w:r>
      <w:r>
        <w:tab/>
        <w:t>OJ L 308, 3.12.1999, p. 35.</w:t>
      </w:r>
    </w:p>
  </w:footnote>
  <w:footnote w:id="3">
    <w:p w:rsidR="00BC130B" w:rsidRDefault="00024B89">
      <w:pPr>
        <w:pStyle w:val="FootnoteText"/>
        <w:ind w:left="480" w:hanging="480"/>
      </w:pPr>
      <w:r>
        <w:rPr>
          <w:rStyle w:val="FootnoteReference"/>
        </w:rPr>
        <w:footnoteRef/>
      </w:r>
      <w:r>
        <w:tab/>
        <w:t>OJ L 186, 15.7.2008, p. 30.</w:t>
      </w:r>
    </w:p>
  </w:footnote>
  <w:footnote w:id="4">
    <w:p w:rsidR="00BC130B" w:rsidRDefault="00024B89">
      <w:pPr>
        <w:pStyle w:val="FootnoteText"/>
        <w:ind w:left="480" w:hanging="480"/>
      </w:pPr>
      <w:r>
        <w:rPr>
          <w:rStyle w:val="FootnoteReference"/>
        </w:rPr>
        <w:footnoteRef/>
      </w:r>
      <w:r>
        <w:tab/>
        <w:t xml:space="preserve">Decision </w:t>
      </w:r>
      <w:r>
        <w:rPr>
          <w:noProof/>
        </w:rPr>
        <w:t>No 1080/2011/EU of the European Parliament and of the Council of 25 October 2011 granting an EU guarantee</w:t>
      </w:r>
      <w:r>
        <w:rPr>
          <w:noProof/>
        </w:rPr>
        <w:t xml:space="preserve"> to the European Investment Bank against losses under loans and loan guarantees for projects outside the Union and repealing Decision No 633/2009/EC</w:t>
      </w:r>
      <w:r>
        <w:t xml:space="preserve"> (OJ L 280, 27.10.2011, p. 1).</w:t>
      </w:r>
    </w:p>
  </w:footnote>
  <w:footnote w:id="5">
    <w:p w:rsidR="00BC130B" w:rsidRDefault="00024B89">
      <w:pPr>
        <w:pStyle w:val="FootnoteText"/>
        <w:ind w:left="480" w:hanging="480"/>
        <w:rPr>
          <w:rStyle w:val="FootnoteReference"/>
          <w:vertAlign w:val="baseline"/>
        </w:rPr>
      </w:pPr>
      <w:r>
        <w:rPr>
          <w:rStyle w:val="FootnoteReference"/>
        </w:rPr>
        <w:footnoteRef/>
      </w:r>
      <w:r>
        <w:rPr>
          <w:rStyle w:val="FootnoteReference"/>
        </w:rPr>
        <w:tab/>
      </w:r>
      <w:r>
        <w:rPr>
          <w:rStyle w:val="FootnoteReference"/>
          <w:vertAlign w:val="baseline"/>
        </w:rPr>
        <w:t>Decision No 466/2014/EU of the European Parliament and of the Council of 16</w:t>
      </w:r>
      <w:r>
        <w:rPr>
          <w:rStyle w:val="FootnoteReference"/>
          <w:vertAlign w:val="baseline"/>
        </w:rPr>
        <w:t xml:space="preserve"> April 2014 granting an EU guarantee to the European Investment Bank against losses under financing operations supporting investment projects outside the Union</w:t>
      </w:r>
      <w:r>
        <w:t xml:space="preserve"> (OJ L135 of 8.5.2014, p.1).</w:t>
      </w:r>
    </w:p>
  </w:footnote>
  <w:footnote w:id="6">
    <w:p w:rsidR="00BC130B" w:rsidRDefault="00024B89">
      <w:pPr>
        <w:pStyle w:val="FootnoteText"/>
        <w:ind w:left="480" w:hanging="480"/>
      </w:pPr>
      <w:r>
        <w:rPr>
          <w:rStyle w:val="FootnoteReference"/>
        </w:rPr>
        <w:footnoteRef/>
      </w:r>
      <w:r>
        <w:tab/>
        <w:t>For the purpose of this calculation, it is assumed that defaulting</w:t>
      </w:r>
      <w:r>
        <w:t xml:space="preserve"> loans are not accelerated, i.e. only due payments are taken into account.</w:t>
      </w:r>
    </w:p>
  </w:footnote>
  <w:footnote w:id="7">
    <w:p w:rsidR="00BC130B" w:rsidRDefault="00024B89">
      <w:pPr>
        <w:pStyle w:val="FootnoteText"/>
        <w:ind w:left="480" w:hanging="480"/>
      </w:pPr>
      <w:r>
        <w:rPr>
          <w:rStyle w:val="FootnoteReference"/>
        </w:rPr>
        <w:footnoteRef/>
      </w:r>
      <w:r>
        <w:tab/>
        <w:t>See Article 14 of Council Regulation (EU, Euratom) No 609/2014 of 26 May 2014 on the methods and procedure for making available the traditional, VAT and GNI-based own resources an</w:t>
      </w:r>
      <w:r>
        <w:t>d on the measures to meet cash requirements (OJ L 168, 7.6.2014, p. 39).</w:t>
      </w:r>
    </w:p>
  </w:footnote>
  <w:footnote w:id="8">
    <w:p w:rsidR="00BC130B" w:rsidRDefault="00024B89">
      <w:pPr>
        <w:pStyle w:val="FootnoteText"/>
        <w:ind w:left="480" w:hanging="480"/>
      </w:pPr>
      <w:r>
        <w:rPr>
          <w:rStyle w:val="FootnoteReference"/>
        </w:rPr>
        <w:footnoteRef/>
      </w:r>
      <w:r>
        <w:tab/>
        <w:t>Except for Bulgaria and Romania which were granted Euratom loans before joining the Union. The loans (and loans guarantees) to accession countries were covered by the Fund until the</w:t>
      </w:r>
      <w:r>
        <w:t xml:space="preserve"> date of accession. From that date, those that remained outstanding ceased to be external actions of the Union and are therefore covered directly by the EU budget.</w:t>
      </w:r>
    </w:p>
  </w:footnote>
  <w:footnote w:id="9">
    <w:p w:rsidR="00BC130B" w:rsidRDefault="00024B89">
      <w:pPr>
        <w:pStyle w:val="FootnoteText"/>
        <w:ind w:left="480" w:hanging="480"/>
      </w:pPr>
      <w:r>
        <w:rPr>
          <w:rStyle w:val="FootnoteReference"/>
        </w:rPr>
        <w:footnoteRef/>
      </w:r>
      <w:r>
        <w:tab/>
        <w:t xml:space="preserve">Since the entry into force of Council Regulation (EC, Euratom) No 480/2009 of 25 May 2009 </w:t>
      </w:r>
      <w:r>
        <w:t xml:space="preserve">establishing a Guarantee Fund for external actions (codified version), the "Guarantee Fund Regulation" (OJ L 145, 10.6.2009, p.10), the agreement between the EU and the EIB on the management of the Fund foresees that the Commission must authorise the Bank </w:t>
      </w:r>
      <w:r>
        <w:t>to withdraw the corresponding amounts from the Fund within three months from the date the EIB calls on the guarantee.</w:t>
      </w:r>
    </w:p>
  </w:footnote>
  <w:footnote w:id="10">
    <w:p w:rsidR="00BC130B" w:rsidRDefault="00024B89">
      <w:pPr>
        <w:pStyle w:val="FootnoteText"/>
        <w:ind w:left="480" w:hanging="480"/>
      </w:pPr>
      <w:r>
        <w:rPr>
          <w:rStyle w:val="FootnoteReference"/>
        </w:rPr>
        <w:footnoteRef/>
      </w:r>
      <w:r>
        <w:tab/>
        <w:t>If there are insufficient resources in the Fund, the procedure for activating the guarantee is the same as for borrowing/lending operati</w:t>
      </w:r>
      <w:r>
        <w:t>ons, see point 2.4.1 above and footnote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0B" w:rsidRDefault="00BC1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BDA9C0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FE0876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89E146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1104BD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4C6B44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50ABA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3009F1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17661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4EA4634"/>
    <w:multiLevelType w:val="multilevel"/>
    <w:tmpl w:val="CC8EDB14"/>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076A298B"/>
    <w:multiLevelType w:val="hybridMultilevel"/>
    <w:tmpl w:val="E3D05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212747"/>
    <w:multiLevelType w:val="multilevel"/>
    <w:tmpl w:val="FBD0F48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9674C4"/>
    <w:multiLevelType w:val="singleLevel"/>
    <w:tmpl w:val="8A2AF054"/>
    <w:lvl w:ilvl="0">
      <w:start w:val="1"/>
      <w:numFmt w:val="bullet"/>
      <w:lvlRestart w:val="0"/>
      <w:lvlText w:val="–"/>
      <w:lvlJc w:val="left"/>
      <w:pPr>
        <w:tabs>
          <w:tab w:val="num" w:pos="1417"/>
        </w:tabs>
        <w:ind w:left="1417" w:hanging="567"/>
      </w:pPr>
    </w:lvl>
  </w:abstractNum>
  <w:abstractNum w:abstractNumId="12" w15:restartNumberingAfterBreak="0">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3" w15:restartNumberingAfterBreak="0">
    <w:nsid w:val="158411A6"/>
    <w:multiLevelType w:val="singleLevel"/>
    <w:tmpl w:val="891A2EB2"/>
    <w:lvl w:ilvl="0">
      <w:start w:val="1"/>
      <w:numFmt w:val="bullet"/>
      <w:lvlRestart w:val="0"/>
      <w:lvlText w:val=""/>
      <w:lvlJc w:val="left"/>
      <w:pPr>
        <w:tabs>
          <w:tab w:val="num" w:pos="1984"/>
        </w:tabs>
        <w:ind w:left="1984" w:hanging="567"/>
      </w:pPr>
      <w:rPr>
        <w:rFonts w:ascii="Symbol" w:hAnsi="Symbol" w:hint="default"/>
      </w:rPr>
    </w:lvl>
  </w:abstractNum>
  <w:abstractNum w:abstractNumId="14" w15:restartNumberingAfterBreak="0">
    <w:nsid w:val="2211144E"/>
    <w:multiLevelType w:val="hybridMultilevel"/>
    <w:tmpl w:val="3314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162DB"/>
    <w:multiLevelType w:val="singleLevel"/>
    <w:tmpl w:val="B27E1B54"/>
    <w:lvl w:ilvl="0">
      <w:start w:val="1"/>
      <w:numFmt w:val="bullet"/>
      <w:lvlRestart w:val="0"/>
      <w:lvlText w:val="–"/>
      <w:lvlJc w:val="left"/>
      <w:pPr>
        <w:tabs>
          <w:tab w:val="num" w:pos="1984"/>
        </w:tabs>
        <w:ind w:left="1984" w:hanging="567"/>
      </w:pPr>
    </w:lvl>
  </w:abstractNum>
  <w:abstractNum w:abstractNumId="16" w15:restartNumberingAfterBreak="0">
    <w:nsid w:val="24B578DC"/>
    <w:multiLevelType w:val="hybridMultilevel"/>
    <w:tmpl w:val="DE70F94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7" w15:restartNumberingAfterBreak="0">
    <w:nsid w:val="264F52DE"/>
    <w:multiLevelType w:val="multilevel"/>
    <w:tmpl w:val="CC8EDB14"/>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2F076C74"/>
    <w:multiLevelType w:val="multilevel"/>
    <w:tmpl w:val="CC8EDB14"/>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0" w15:restartNumberingAfterBreak="0">
    <w:nsid w:val="34D50B52"/>
    <w:multiLevelType w:val="hybridMultilevel"/>
    <w:tmpl w:val="DD78E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40E25DE4"/>
    <w:multiLevelType w:val="hybridMultilevel"/>
    <w:tmpl w:val="8F7030AA"/>
    <w:lvl w:ilvl="0" w:tplc="1D5CC3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26"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9D47C56"/>
    <w:multiLevelType w:val="multilevel"/>
    <w:tmpl w:val="480AFB5C"/>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A5734E"/>
    <w:multiLevelType w:val="hybridMultilevel"/>
    <w:tmpl w:val="992245AE"/>
    <w:lvl w:ilvl="0" w:tplc="5C1634A0">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571B74E7"/>
    <w:multiLevelType w:val="hybridMultilevel"/>
    <w:tmpl w:val="06B001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B72323"/>
    <w:multiLevelType w:val="hybridMultilevel"/>
    <w:tmpl w:val="7EC60D24"/>
    <w:lvl w:ilvl="0" w:tplc="5C1634A0">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C7547AD"/>
    <w:multiLevelType w:val="hybridMultilevel"/>
    <w:tmpl w:val="38A688BC"/>
    <w:lvl w:ilvl="0" w:tplc="0809000F">
      <w:start w:val="1"/>
      <w:numFmt w:val="decimal"/>
      <w:lvlText w:val="%1."/>
      <w:lvlJc w:val="left"/>
      <w:pPr>
        <w:ind w:left="720" w:hanging="360"/>
      </w:pPr>
    </w:lvl>
    <w:lvl w:ilvl="1" w:tplc="1D5CC3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3B26268"/>
    <w:multiLevelType w:val="singleLevel"/>
    <w:tmpl w:val="491E6360"/>
    <w:lvl w:ilvl="0">
      <w:start w:val="1"/>
      <w:numFmt w:val="decimal"/>
      <w:lvlRestart w:val="0"/>
      <w:lvlText w:val="(%1)"/>
      <w:lvlJc w:val="left"/>
      <w:pPr>
        <w:tabs>
          <w:tab w:val="num" w:pos="709"/>
        </w:tabs>
        <w:ind w:left="709" w:hanging="709"/>
      </w:pPr>
    </w:lvl>
  </w:abstractNum>
  <w:abstractNum w:abstractNumId="38" w15:restartNumberingAfterBreak="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9" w15:restartNumberingAfterBreak="0">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0" w15:restartNumberingAfterBreak="0">
    <w:nsid w:val="6EC300CA"/>
    <w:multiLevelType w:val="singleLevel"/>
    <w:tmpl w:val="055ABBD0"/>
    <w:name w:val="Heading"/>
    <w:lvl w:ilvl="0">
      <w:start w:val="1"/>
      <w:numFmt w:val="bullet"/>
      <w:lvlRestart w:val="0"/>
      <w:lvlText w:val=""/>
      <w:lvlJc w:val="left"/>
      <w:pPr>
        <w:tabs>
          <w:tab w:val="num" w:pos="3118"/>
        </w:tabs>
        <w:ind w:left="3118" w:hanging="567"/>
      </w:pPr>
      <w:rPr>
        <w:rFonts w:ascii="Symbol" w:hAnsi="Symbol"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12E4B18"/>
    <w:multiLevelType w:val="singleLevel"/>
    <w:tmpl w:val="66ECC298"/>
    <w:lvl w:ilvl="0">
      <w:start w:val="1"/>
      <w:numFmt w:val="bullet"/>
      <w:lvlRestart w:val="0"/>
      <w:lvlText w:val="–"/>
      <w:lvlJc w:val="left"/>
      <w:pPr>
        <w:tabs>
          <w:tab w:val="num" w:pos="2551"/>
        </w:tabs>
        <w:ind w:left="2551" w:hanging="567"/>
      </w:pPr>
    </w:lvl>
  </w:abstractNum>
  <w:abstractNum w:abstractNumId="43" w15:restartNumberingAfterBreak="0">
    <w:nsid w:val="729504D5"/>
    <w:multiLevelType w:val="singleLevel"/>
    <w:tmpl w:val="1BC6DBFC"/>
    <w:lvl w:ilvl="0">
      <w:start w:val="1"/>
      <w:numFmt w:val="bullet"/>
      <w:lvlRestart w:val="0"/>
      <w:lvlText w:val=""/>
      <w:lvlJc w:val="left"/>
      <w:pPr>
        <w:tabs>
          <w:tab w:val="num" w:pos="2551"/>
        </w:tabs>
        <w:ind w:left="2551" w:hanging="567"/>
      </w:pPr>
      <w:rPr>
        <w:rFonts w:ascii="Symbol" w:hAnsi="Symbol" w:hint="default"/>
      </w:rPr>
    </w:lvl>
  </w:abstractNum>
  <w:abstractNum w:abstractNumId="44" w15:restartNumberingAfterBreak="0">
    <w:nsid w:val="736548F1"/>
    <w:multiLevelType w:val="hybridMultilevel"/>
    <w:tmpl w:val="6582A558"/>
    <w:lvl w:ilvl="0" w:tplc="5C1634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26F71"/>
    <w:multiLevelType w:val="multilevel"/>
    <w:tmpl w:val="433EF44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454D54"/>
    <w:multiLevelType w:val="singleLevel"/>
    <w:tmpl w:val="8A02E4B2"/>
    <w:lvl w:ilvl="0">
      <w:start w:val="1"/>
      <w:numFmt w:val="bullet"/>
      <w:lvlRestart w:val="0"/>
      <w:lvlText w:val="–"/>
      <w:lvlJc w:val="left"/>
      <w:pPr>
        <w:tabs>
          <w:tab w:val="num" w:pos="3118"/>
        </w:tabs>
        <w:ind w:left="3118" w:hanging="567"/>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8" w15:restartNumberingAfterBreak="0">
    <w:nsid w:val="7E8224EA"/>
    <w:multiLevelType w:val="singleLevel"/>
    <w:tmpl w:val="34DEB8CE"/>
    <w:lvl w:ilvl="0">
      <w:start w:val="1"/>
      <w:numFmt w:val="bullet"/>
      <w:lvlRestart w:val="0"/>
      <w:lvlText w:val="–"/>
      <w:lvlJc w:val="left"/>
      <w:pPr>
        <w:tabs>
          <w:tab w:val="num" w:pos="850"/>
        </w:tabs>
        <w:ind w:left="850" w:hanging="850"/>
      </w:pPr>
    </w:lvl>
  </w:abstractNum>
  <w:abstractNum w:abstractNumId="49" w15:restartNumberingAfterBreak="0">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8"/>
  </w:num>
  <w:num w:numId="3">
    <w:abstractNumId w:val="35"/>
  </w:num>
  <w:num w:numId="4">
    <w:abstractNumId w:val="34"/>
  </w:num>
  <w:num w:numId="5">
    <w:abstractNumId w:val="26"/>
  </w:num>
  <w:num w:numId="6">
    <w:abstractNumId w:val="38"/>
  </w:num>
  <w:num w:numId="7">
    <w:abstractNumId w:val="45"/>
  </w:num>
  <w:num w:numId="8">
    <w:abstractNumId w:val="45"/>
  </w:num>
  <w:num w:numId="9">
    <w:abstractNumId w:val="45"/>
  </w:num>
  <w:num w:numId="10">
    <w:abstractNumId w:val="45"/>
  </w:num>
  <w:num w:numId="11">
    <w:abstractNumId w:val="41"/>
  </w:num>
  <w:num w:numId="12">
    <w:abstractNumId w:val="41"/>
  </w:num>
  <w:num w:numId="13">
    <w:abstractNumId w:val="41"/>
  </w:num>
  <w:num w:numId="14">
    <w:abstractNumId w:val="41"/>
  </w:num>
  <w:num w:numId="15">
    <w:abstractNumId w:val="47"/>
  </w:num>
  <w:num w:numId="16">
    <w:abstractNumId w:val="47"/>
  </w:num>
  <w:num w:numId="17">
    <w:abstractNumId w:val="47"/>
  </w:num>
  <w:num w:numId="18">
    <w:abstractNumId w:val="47"/>
  </w:num>
  <w:num w:numId="19">
    <w:abstractNumId w:val="47"/>
  </w:num>
  <w:num w:numId="20">
    <w:abstractNumId w:val="47"/>
  </w:num>
  <w:num w:numId="21">
    <w:abstractNumId w:val="47"/>
  </w:num>
  <w:num w:numId="22">
    <w:abstractNumId w:val="47"/>
  </w:num>
  <w:num w:numId="23">
    <w:abstractNumId w:val="47"/>
  </w:num>
  <w:num w:numId="24">
    <w:abstractNumId w:val="22"/>
  </w:num>
  <w:num w:numId="25">
    <w:abstractNumId w:val="21"/>
  </w:num>
  <w:num w:numId="26">
    <w:abstractNumId w:val="36"/>
  </w:num>
  <w:num w:numId="27">
    <w:abstractNumId w:val="23"/>
  </w:num>
  <w:num w:numId="28">
    <w:abstractNumId w:val="30"/>
  </w:num>
  <w:num w:numId="29">
    <w:abstractNumId w:val="48"/>
  </w:num>
  <w:num w:numId="30">
    <w:abstractNumId w:val="11"/>
  </w:num>
  <w:num w:numId="31">
    <w:abstractNumId w:val="15"/>
  </w:num>
  <w:num w:numId="32">
    <w:abstractNumId w:val="42"/>
  </w:num>
  <w:num w:numId="33">
    <w:abstractNumId w:val="46"/>
  </w:num>
  <w:num w:numId="34">
    <w:abstractNumId w:val="10"/>
  </w:num>
  <w:num w:numId="35">
    <w:abstractNumId w:val="27"/>
  </w:num>
  <w:num w:numId="36">
    <w:abstractNumId w:val="19"/>
  </w:num>
  <w:num w:numId="37">
    <w:abstractNumId w:val="12"/>
  </w:num>
  <w:num w:numId="38">
    <w:abstractNumId w:val="25"/>
  </w:num>
  <w:num w:numId="39">
    <w:abstractNumId w:val="13"/>
  </w:num>
  <w:num w:numId="40">
    <w:abstractNumId w:val="43"/>
  </w:num>
  <w:num w:numId="41">
    <w:abstractNumId w:val="40"/>
  </w:num>
  <w:num w:numId="42">
    <w:abstractNumId w:val="37"/>
  </w:num>
  <w:num w:numId="43">
    <w:abstractNumId w:val="39"/>
  </w:num>
  <w:num w:numId="44">
    <w:abstractNumId w:val="5"/>
  </w:num>
  <w:num w:numId="45">
    <w:abstractNumId w:val="4"/>
  </w:num>
  <w:num w:numId="46">
    <w:abstractNumId w:val="3"/>
  </w:num>
  <w:num w:numId="47">
    <w:abstractNumId w:val="6"/>
  </w:num>
  <w:num w:numId="48">
    <w:abstractNumId w:val="2"/>
  </w:num>
  <w:num w:numId="49">
    <w:abstractNumId w:val="1"/>
  </w:num>
  <w:num w:numId="50">
    <w:abstractNumId w:val="0"/>
  </w:num>
  <w:num w:numId="51">
    <w:abstractNumId w:val="8"/>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14"/>
  </w:num>
  <w:num w:numId="79">
    <w:abstractNumId w:val="44"/>
  </w:num>
  <w:num w:numId="80">
    <w:abstractNumId w:val="7"/>
  </w:num>
  <w:num w:numId="81">
    <w:abstractNumId w:val="16"/>
  </w:num>
  <w:num w:numId="82">
    <w:abstractNumId w:val="9"/>
  </w:num>
  <w:num w:numId="83">
    <w:abstractNumId w:val="20"/>
  </w:num>
  <w:num w:numId="84">
    <w:abstractNumId w:val="47"/>
  </w:num>
  <w:num w:numId="85">
    <w:abstractNumId w:val="47"/>
  </w:num>
  <w:num w:numId="86">
    <w:abstractNumId w:val="47"/>
  </w:num>
  <w:num w:numId="87">
    <w:abstractNumId w:val="33"/>
  </w:num>
  <w:num w:numId="88">
    <w:abstractNumId w:val="49"/>
  </w:num>
  <w:num w:numId="89">
    <w:abstractNumId w:val="31"/>
  </w:num>
  <w:num w:numId="90">
    <w:abstractNumId w:val="24"/>
  </w:num>
  <w:num w:numId="91">
    <w:abstractNumId w:val="47"/>
  </w:num>
  <w:num w:numId="92">
    <w:abstractNumId w:val="32"/>
  </w:num>
  <w:num w:numId="93">
    <w:abstractNumId w:val="28"/>
  </w:num>
  <w:num w:numId="94">
    <w:abstractNumId w:val="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1DF3E00-5E96-4237-88D3-CD283D85743A"/>
    <w:docVar w:name="LW_COVERPAGE_TYPE" w:val="1"/>
    <w:docVar w:name="LW_CROSSREFERENCE" w:val="{COM(2020) 677 final}"/>
    <w:docVar w:name="LW_DATE.ADOPT.CP_ISODATE" w:val="&lt;EMPTY&gt;"/>
    <w:docVar w:name="LW_DocType" w:val="NORMAL"/>
    <w:docVar w:name="LW_EMISSION" w:val="28.10.2020"/>
    <w:docVar w:name="LW_EMISSION_ISODATE" w:val="2020-10-28"/>
    <w:docVar w:name="LW_EMISSION_LOCATION" w:val="BRX"/>
    <w:docVar w:name="LW_EMISSION_PREFIX" w:val="Brussels, "/>
    <w:docVar w:name="LW_EMISSION_SUFFIX" w:val=" "/>
    <w:docVar w:name="LW_ID_DOCTYPE_NONLW" w:val="CP-02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ON GUARANTEES COVERED BY THE GENERAL BUDGET_x000b__x000b_Situation at 31 December 2019"/>
    <w:docVar w:name="LW_PART_NBR" w:val="1"/>
    <w:docVar w:name="LW_PART_NBR_TOTAL" w:val="1"/>
    <w:docVar w:name="LW_REF.II.NEW.CP" w:val="&lt;UNUSED&gt;"/>
    <w:docVar w:name="LW_REF.II.NEW.CP_NUMBER" w:val="&lt;UNUSED&gt;"/>
    <w:docVar w:name="LW_REF.II.NEW.CP_YEAR" w:val="2020"/>
    <w:docVar w:name="LW_REF.INST.NEW" w:val="SWD"/>
    <w:docVar w:name="LW_REF.INST.NEW_ADOPTED" w:val="final"/>
    <w:docVar w:name="LW_REF.INST.NEW_TEXT" w:val="(2020)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BC130B"/>
    <w:rsid w:val="00024B89"/>
    <w:rsid w:val="002D43EF"/>
    <w:rsid w:val="00806ACA"/>
    <w:rsid w:val="00BC13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4380C5-8262-4B27-9B95-C4773434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5"/>
      </w:numPr>
      <w:spacing w:before="360"/>
      <w:outlineLvl w:val="0"/>
    </w:pPr>
    <w:rPr>
      <w:b/>
      <w:bCs/>
      <w:smallCaps/>
      <w:noProof/>
      <w:szCs w:val="32"/>
    </w:rPr>
  </w:style>
  <w:style w:type="paragraph" w:styleId="Heading2">
    <w:name w:val="heading 2"/>
    <w:basedOn w:val="Normal"/>
    <w:next w:val="Normal"/>
    <w:link w:val="Heading2Char"/>
    <w:autoRedefine/>
    <w:qFormat/>
    <w:pPr>
      <w:keepNext/>
      <w:numPr>
        <w:ilvl w:val="1"/>
        <w:numId w:val="35"/>
      </w:numPr>
      <w:tabs>
        <w:tab w:val="clear" w:pos="850"/>
        <w:tab w:val="num" w:pos="0"/>
      </w:tabs>
      <w:ind w:left="0" w:firstLine="0"/>
      <w:outlineLvl w:val="1"/>
    </w:pPr>
    <w:rPr>
      <w:b/>
      <w:bCs/>
      <w:iCs/>
      <w:noProof/>
      <w:szCs w:val="28"/>
    </w:rPr>
  </w:style>
  <w:style w:type="paragraph" w:styleId="Heading3">
    <w:name w:val="heading 3"/>
    <w:basedOn w:val="Normal"/>
    <w:next w:val="Normal"/>
    <w:link w:val="Heading3Char"/>
    <w:qFormat/>
    <w:pPr>
      <w:keepNext/>
      <w:numPr>
        <w:ilvl w:val="2"/>
        <w:numId w:val="35"/>
      </w:numPr>
      <w:outlineLvl w:val="2"/>
    </w:pPr>
    <w:rPr>
      <w:bCs/>
      <w:i/>
      <w:szCs w:val="26"/>
    </w:rPr>
  </w:style>
  <w:style w:type="paragraph" w:styleId="Heading4">
    <w:name w:val="heading 4"/>
    <w:basedOn w:val="Normal"/>
    <w:next w:val="Normal"/>
    <w:qFormat/>
    <w:pPr>
      <w:keepNext/>
      <w:numPr>
        <w:ilvl w:val="3"/>
        <w:numId w:val="35"/>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f"/>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shd w:val="clear" w:color="auto" w:fill="auto"/>
      <w:vertAlign w:val="superscript"/>
    </w:rPr>
  </w:style>
  <w:style w:type="paragraph" w:styleId="ListBullet">
    <w:name w:val="List Bullet"/>
    <w:basedOn w:val="Normal"/>
    <w:pPr>
      <w:numPr>
        <w:numId w:val="43"/>
      </w:numPr>
    </w:pPr>
    <w:rPr>
      <w:lang w:eastAsia="de-DE"/>
    </w:rPr>
  </w:style>
  <w:style w:type="character" w:customStyle="1" w:styleId="bullet-text2">
    <w:name w:val="bullet-text2"/>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apple-style-span">
    <w:name w:val="apple-style-span"/>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Bullet2">
    <w:name w:val="List Bullet 2"/>
    <w:basedOn w:val="Normal"/>
    <w:pPr>
      <w:numPr>
        <w:numId w:val="44"/>
      </w:numPr>
    </w:pPr>
  </w:style>
  <w:style w:type="paragraph" w:styleId="ListBullet3">
    <w:name w:val="List Bullet 3"/>
    <w:basedOn w:val="Normal"/>
    <w:pPr>
      <w:numPr>
        <w:numId w:val="45"/>
      </w:numPr>
    </w:pPr>
  </w:style>
  <w:style w:type="paragraph" w:styleId="ListBullet4">
    <w:name w:val="List Bullet 4"/>
    <w:basedOn w:val="Normal"/>
    <w:pPr>
      <w:numPr>
        <w:numId w:val="46"/>
      </w:numPr>
    </w:pPr>
  </w:style>
  <w:style w:type="paragraph" w:styleId="ListNumber">
    <w:name w:val="List Number"/>
    <w:basedOn w:val="Normal"/>
    <w:pPr>
      <w:numPr>
        <w:numId w:val="47"/>
      </w:numPr>
    </w:pPr>
  </w:style>
  <w:style w:type="paragraph" w:styleId="ListNumber2">
    <w:name w:val="List Number 2"/>
    <w:basedOn w:val="Normal"/>
    <w:pPr>
      <w:numPr>
        <w:numId w:val="48"/>
      </w:numPr>
    </w:pPr>
  </w:style>
  <w:style w:type="paragraph" w:styleId="ListNumber3">
    <w:name w:val="List Number 3"/>
    <w:basedOn w:val="Normal"/>
    <w:pPr>
      <w:numPr>
        <w:numId w:val="49"/>
      </w:numPr>
    </w:pPr>
  </w:style>
  <w:style w:type="paragraph" w:styleId="ListNumber4">
    <w:name w:val="List Number 4"/>
    <w:basedOn w:val="Normal"/>
    <w:pPr>
      <w:numPr>
        <w:numId w:val="50"/>
      </w:numPr>
    </w:p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character" w:customStyle="1" w:styleId="Heading3Char">
    <w:name w:val="Heading 3 Char"/>
    <w:link w:val="Heading3"/>
    <w:rPr>
      <w:bCs/>
      <w:i/>
      <w:sz w:val="24"/>
      <w:szCs w:val="2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noProof/>
      <w:sz w:val="24"/>
      <w:szCs w:val="32"/>
      <w:lang w:eastAsia="en-US"/>
    </w:rPr>
  </w:style>
  <w:style w:type="character" w:customStyle="1" w:styleId="Heading2Char">
    <w:name w:val="Heading 2 Char"/>
    <w:link w:val="Heading2"/>
    <w:rPr>
      <w:b/>
      <w:bCs/>
      <w:iCs/>
      <w:noProof/>
      <w:sz w:val="24"/>
      <w:szCs w:val="28"/>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semiHidden/>
    <w:rPr>
      <w:lang w:eastAsia="en-US"/>
    </w:rPr>
  </w:style>
  <w:style w:type="paragraph" w:customStyle="1" w:styleId="Heading">
    <w:name w:val="Heading"/>
    <w:basedOn w:val="Normal"/>
    <w:next w:val="Normal"/>
    <w:pPr>
      <w:keepNext/>
      <w:spacing w:line="240" w:lineRule="atLeast"/>
    </w:pPr>
    <w:rPr>
      <w:rFonts w:ascii="Century Gothic" w:hAnsi="Century Gothic"/>
      <w:b/>
      <w:color w:val="333399"/>
      <w:sz w:val="18"/>
    </w:rPr>
  </w:style>
  <w:style w:type="paragraph" w:styleId="NoSpacing">
    <w:name w:val="No Spacing"/>
    <w:uiPriority w:val="1"/>
    <w:qFormat/>
    <w:rPr>
      <w:rFonts w:ascii="Calibri" w:eastAsia="Calibri" w:hAnsi="Calibri"/>
      <w:sz w:val="22"/>
      <w:szCs w:val="22"/>
      <w:lang w:eastAsia="en-US"/>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link w:val="HeaderSensitivity"/>
    <w:rPr>
      <w:b/>
      <w:sz w:val="32"/>
      <w:szCs w:val="24"/>
      <w:lang w:eastAsia="en-US"/>
    </w:rPr>
  </w:style>
  <w:style w:type="paragraph" w:customStyle="1" w:styleId="BodyA">
    <w:name w:val="Body A"/>
    <w:pPr>
      <w:pBdr>
        <w:top w:val="nil"/>
        <w:left w:val="nil"/>
        <w:bottom w:val="nil"/>
        <w:right w:val="nil"/>
        <w:between w:val="nil"/>
        <w:bar w:val="nil"/>
      </w:pBdr>
    </w:pPr>
    <w:rPr>
      <w:color w:val="000000"/>
      <w:sz w:val="24"/>
      <w:szCs w:val="24"/>
      <w:u w:color="000000"/>
      <w:bdr w:val="nil"/>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4743">
      <w:bodyDiv w:val="1"/>
      <w:marLeft w:val="0"/>
      <w:marRight w:val="0"/>
      <w:marTop w:val="0"/>
      <w:marBottom w:val="0"/>
      <w:divBdr>
        <w:top w:val="none" w:sz="0" w:space="0" w:color="auto"/>
        <w:left w:val="none" w:sz="0" w:space="0" w:color="auto"/>
        <w:bottom w:val="none" w:sz="0" w:space="0" w:color="auto"/>
        <w:right w:val="none" w:sz="0" w:space="0" w:color="auto"/>
      </w:divBdr>
    </w:div>
    <w:div w:id="51512510">
      <w:bodyDiv w:val="1"/>
      <w:marLeft w:val="0"/>
      <w:marRight w:val="0"/>
      <w:marTop w:val="0"/>
      <w:marBottom w:val="0"/>
      <w:divBdr>
        <w:top w:val="none" w:sz="0" w:space="0" w:color="auto"/>
        <w:left w:val="none" w:sz="0" w:space="0" w:color="auto"/>
        <w:bottom w:val="none" w:sz="0" w:space="0" w:color="auto"/>
        <w:right w:val="none" w:sz="0" w:space="0" w:color="auto"/>
      </w:divBdr>
    </w:div>
    <w:div w:id="107703174">
      <w:bodyDiv w:val="1"/>
      <w:marLeft w:val="0"/>
      <w:marRight w:val="0"/>
      <w:marTop w:val="0"/>
      <w:marBottom w:val="0"/>
      <w:divBdr>
        <w:top w:val="none" w:sz="0" w:space="0" w:color="auto"/>
        <w:left w:val="none" w:sz="0" w:space="0" w:color="auto"/>
        <w:bottom w:val="none" w:sz="0" w:space="0" w:color="auto"/>
        <w:right w:val="none" w:sz="0" w:space="0" w:color="auto"/>
      </w:divBdr>
    </w:div>
    <w:div w:id="148181590">
      <w:bodyDiv w:val="1"/>
      <w:marLeft w:val="0"/>
      <w:marRight w:val="0"/>
      <w:marTop w:val="0"/>
      <w:marBottom w:val="0"/>
      <w:divBdr>
        <w:top w:val="none" w:sz="0" w:space="0" w:color="auto"/>
        <w:left w:val="none" w:sz="0" w:space="0" w:color="auto"/>
        <w:bottom w:val="none" w:sz="0" w:space="0" w:color="auto"/>
        <w:right w:val="none" w:sz="0" w:space="0" w:color="auto"/>
      </w:divBdr>
    </w:div>
    <w:div w:id="162555454">
      <w:bodyDiv w:val="1"/>
      <w:marLeft w:val="0"/>
      <w:marRight w:val="0"/>
      <w:marTop w:val="0"/>
      <w:marBottom w:val="0"/>
      <w:divBdr>
        <w:top w:val="none" w:sz="0" w:space="0" w:color="auto"/>
        <w:left w:val="none" w:sz="0" w:space="0" w:color="auto"/>
        <w:bottom w:val="none" w:sz="0" w:space="0" w:color="auto"/>
        <w:right w:val="none" w:sz="0" w:space="0" w:color="auto"/>
      </w:divBdr>
    </w:div>
    <w:div w:id="164368246">
      <w:bodyDiv w:val="1"/>
      <w:marLeft w:val="0"/>
      <w:marRight w:val="0"/>
      <w:marTop w:val="0"/>
      <w:marBottom w:val="0"/>
      <w:divBdr>
        <w:top w:val="none" w:sz="0" w:space="0" w:color="auto"/>
        <w:left w:val="none" w:sz="0" w:space="0" w:color="auto"/>
        <w:bottom w:val="none" w:sz="0" w:space="0" w:color="auto"/>
        <w:right w:val="none" w:sz="0" w:space="0" w:color="auto"/>
      </w:divBdr>
    </w:div>
    <w:div w:id="170918596">
      <w:bodyDiv w:val="1"/>
      <w:marLeft w:val="0"/>
      <w:marRight w:val="0"/>
      <w:marTop w:val="0"/>
      <w:marBottom w:val="0"/>
      <w:divBdr>
        <w:top w:val="none" w:sz="0" w:space="0" w:color="auto"/>
        <w:left w:val="none" w:sz="0" w:space="0" w:color="auto"/>
        <w:bottom w:val="none" w:sz="0" w:space="0" w:color="auto"/>
        <w:right w:val="none" w:sz="0" w:space="0" w:color="auto"/>
      </w:divBdr>
    </w:div>
    <w:div w:id="226916349">
      <w:bodyDiv w:val="1"/>
      <w:marLeft w:val="0"/>
      <w:marRight w:val="0"/>
      <w:marTop w:val="0"/>
      <w:marBottom w:val="0"/>
      <w:divBdr>
        <w:top w:val="none" w:sz="0" w:space="0" w:color="auto"/>
        <w:left w:val="none" w:sz="0" w:space="0" w:color="auto"/>
        <w:bottom w:val="none" w:sz="0" w:space="0" w:color="auto"/>
        <w:right w:val="none" w:sz="0" w:space="0" w:color="auto"/>
      </w:divBdr>
    </w:div>
    <w:div w:id="239757708">
      <w:bodyDiv w:val="1"/>
      <w:marLeft w:val="0"/>
      <w:marRight w:val="0"/>
      <w:marTop w:val="0"/>
      <w:marBottom w:val="0"/>
      <w:divBdr>
        <w:top w:val="none" w:sz="0" w:space="0" w:color="auto"/>
        <w:left w:val="none" w:sz="0" w:space="0" w:color="auto"/>
        <w:bottom w:val="none" w:sz="0" w:space="0" w:color="auto"/>
        <w:right w:val="none" w:sz="0" w:space="0" w:color="auto"/>
      </w:divBdr>
    </w:div>
    <w:div w:id="295793409">
      <w:bodyDiv w:val="1"/>
      <w:marLeft w:val="0"/>
      <w:marRight w:val="0"/>
      <w:marTop w:val="0"/>
      <w:marBottom w:val="0"/>
      <w:divBdr>
        <w:top w:val="none" w:sz="0" w:space="0" w:color="auto"/>
        <w:left w:val="none" w:sz="0" w:space="0" w:color="auto"/>
        <w:bottom w:val="none" w:sz="0" w:space="0" w:color="auto"/>
        <w:right w:val="none" w:sz="0" w:space="0" w:color="auto"/>
      </w:divBdr>
    </w:div>
    <w:div w:id="317078519">
      <w:bodyDiv w:val="1"/>
      <w:marLeft w:val="0"/>
      <w:marRight w:val="0"/>
      <w:marTop w:val="0"/>
      <w:marBottom w:val="0"/>
      <w:divBdr>
        <w:top w:val="none" w:sz="0" w:space="0" w:color="auto"/>
        <w:left w:val="none" w:sz="0" w:space="0" w:color="auto"/>
        <w:bottom w:val="none" w:sz="0" w:space="0" w:color="auto"/>
        <w:right w:val="none" w:sz="0" w:space="0" w:color="auto"/>
      </w:divBdr>
    </w:div>
    <w:div w:id="348071781">
      <w:bodyDiv w:val="1"/>
      <w:marLeft w:val="0"/>
      <w:marRight w:val="0"/>
      <w:marTop w:val="0"/>
      <w:marBottom w:val="0"/>
      <w:divBdr>
        <w:top w:val="none" w:sz="0" w:space="0" w:color="auto"/>
        <w:left w:val="none" w:sz="0" w:space="0" w:color="auto"/>
        <w:bottom w:val="none" w:sz="0" w:space="0" w:color="auto"/>
        <w:right w:val="none" w:sz="0" w:space="0" w:color="auto"/>
      </w:divBdr>
    </w:div>
    <w:div w:id="419060836">
      <w:bodyDiv w:val="1"/>
      <w:marLeft w:val="0"/>
      <w:marRight w:val="0"/>
      <w:marTop w:val="0"/>
      <w:marBottom w:val="0"/>
      <w:divBdr>
        <w:top w:val="none" w:sz="0" w:space="0" w:color="auto"/>
        <w:left w:val="none" w:sz="0" w:space="0" w:color="auto"/>
        <w:bottom w:val="none" w:sz="0" w:space="0" w:color="auto"/>
        <w:right w:val="none" w:sz="0" w:space="0" w:color="auto"/>
      </w:divBdr>
    </w:div>
    <w:div w:id="442113386">
      <w:bodyDiv w:val="1"/>
      <w:marLeft w:val="0"/>
      <w:marRight w:val="0"/>
      <w:marTop w:val="0"/>
      <w:marBottom w:val="0"/>
      <w:divBdr>
        <w:top w:val="none" w:sz="0" w:space="0" w:color="auto"/>
        <w:left w:val="none" w:sz="0" w:space="0" w:color="auto"/>
        <w:bottom w:val="none" w:sz="0" w:space="0" w:color="auto"/>
        <w:right w:val="none" w:sz="0" w:space="0" w:color="auto"/>
      </w:divBdr>
    </w:div>
    <w:div w:id="453332951">
      <w:bodyDiv w:val="1"/>
      <w:marLeft w:val="0"/>
      <w:marRight w:val="0"/>
      <w:marTop w:val="0"/>
      <w:marBottom w:val="0"/>
      <w:divBdr>
        <w:top w:val="none" w:sz="0" w:space="0" w:color="auto"/>
        <w:left w:val="none" w:sz="0" w:space="0" w:color="auto"/>
        <w:bottom w:val="none" w:sz="0" w:space="0" w:color="auto"/>
        <w:right w:val="none" w:sz="0" w:space="0" w:color="auto"/>
      </w:divBdr>
    </w:div>
    <w:div w:id="469979891">
      <w:bodyDiv w:val="1"/>
      <w:marLeft w:val="0"/>
      <w:marRight w:val="0"/>
      <w:marTop w:val="0"/>
      <w:marBottom w:val="0"/>
      <w:divBdr>
        <w:top w:val="none" w:sz="0" w:space="0" w:color="auto"/>
        <w:left w:val="none" w:sz="0" w:space="0" w:color="auto"/>
        <w:bottom w:val="none" w:sz="0" w:space="0" w:color="auto"/>
        <w:right w:val="none" w:sz="0" w:space="0" w:color="auto"/>
      </w:divBdr>
    </w:div>
    <w:div w:id="507449368">
      <w:bodyDiv w:val="1"/>
      <w:marLeft w:val="0"/>
      <w:marRight w:val="0"/>
      <w:marTop w:val="0"/>
      <w:marBottom w:val="0"/>
      <w:divBdr>
        <w:top w:val="none" w:sz="0" w:space="0" w:color="auto"/>
        <w:left w:val="none" w:sz="0" w:space="0" w:color="auto"/>
        <w:bottom w:val="none" w:sz="0" w:space="0" w:color="auto"/>
        <w:right w:val="none" w:sz="0" w:space="0" w:color="auto"/>
      </w:divBdr>
    </w:div>
    <w:div w:id="523206023">
      <w:bodyDiv w:val="1"/>
      <w:marLeft w:val="0"/>
      <w:marRight w:val="0"/>
      <w:marTop w:val="0"/>
      <w:marBottom w:val="0"/>
      <w:divBdr>
        <w:top w:val="none" w:sz="0" w:space="0" w:color="auto"/>
        <w:left w:val="none" w:sz="0" w:space="0" w:color="auto"/>
        <w:bottom w:val="none" w:sz="0" w:space="0" w:color="auto"/>
        <w:right w:val="none" w:sz="0" w:space="0" w:color="auto"/>
      </w:divBdr>
    </w:div>
    <w:div w:id="531457694">
      <w:bodyDiv w:val="1"/>
      <w:marLeft w:val="0"/>
      <w:marRight w:val="0"/>
      <w:marTop w:val="0"/>
      <w:marBottom w:val="0"/>
      <w:divBdr>
        <w:top w:val="none" w:sz="0" w:space="0" w:color="auto"/>
        <w:left w:val="none" w:sz="0" w:space="0" w:color="auto"/>
        <w:bottom w:val="none" w:sz="0" w:space="0" w:color="auto"/>
        <w:right w:val="none" w:sz="0" w:space="0" w:color="auto"/>
      </w:divBdr>
    </w:div>
    <w:div w:id="544801778">
      <w:bodyDiv w:val="1"/>
      <w:marLeft w:val="0"/>
      <w:marRight w:val="0"/>
      <w:marTop w:val="0"/>
      <w:marBottom w:val="0"/>
      <w:divBdr>
        <w:top w:val="none" w:sz="0" w:space="0" w:color="auto"/>
        <w:left w:val="none" w:sz="0" w:space="0" w:color="auto"/>
        <w:bottom w:val="none" w:sz="0" w:space="0" w:color="auto"/>
        <w:right w:val="none" w:sz="0" w:space="0" w:color="auto"/>
      </w:divBdr>
    </w:div>
    <w:div w:id="565647634">
      <w:bodyDiv w:val="1"/>
      <w:marLeft w:val="0"/>
      <w:marRight w:val="0"/>
      <w:marTop w:val="0"/>
      <w:marBottom w:val="0"/>
      <w:divBdr>
        <w:top w:val="none" w:sz="0" w:space="0" w:color="auto"/>
        <w:left w:val="none" w:sz="0" w:space="0" w:color="auto"/>
        <w:bottom w:val="none" w:sz="0" w:space="0" w:color="auto"/>
        <w:right w:val="none" w:sz="0" w:space="0" w:color="auto"/>
      </w:divBdr>
    </w:div>
    <w:div w:id="689993652">
      <w:bodyDiv w:val="1"/>
      <w:marLeft w:val="0"/>
      <w:marRight w:val="0"/>
      <w:marTop w:val="0"/>
      <w:marBottom w:val="0"/>
      <w:divBdr>
        <w:top w:val="none" w:sz="0" w:space="0" w:color="auto"/>
        <w:left w:val="none" w:sz="0" w:space="0" w:color="auto"/>
        <w:bottom w:val="none" w:sz="0" w:space="0" w:color="auto"/>
        <w:right w:val="none" w:sz="0" w:space="0" w:color="auto"/>
      </w:divBdr>
    </w:div>
    <w:div w:id="727656466">
      <w:bodyDiv w:val="1"/>
      <w:marLeft w:val="0"/>
      <w:marRight w:val="0"/>
      <w:marTop w:val="0"/>
      <w:marBottom w:val="0"/>
      <w:divBdr>
        <w:top w:val="none" w:sz="0" w:space="0" w:color="auto"/>
        <w:left w:val="none" w:sz="0" w:space="0" w:color="auto"/>
        <w:bottom w:val="none" w:sz="0" w:space="0" w:color="auto"/>
        <w:right w:val="none" w:sz="0" w:space="0" w:color="auto"/>
      </w:divBdr>
    </w:div>
    <w:div w:id="727805840">
      <w:bodyDiv w:val="1"/>
      <w:marLeft w:val="0"/>
      <w:marRight w:val="0"/>
      <w:marTop w:val="0"/>
      <w:marBottom w:val="0"/>
      <w:divBdr>
        <w:top w:val="none" w:sz="0" w:space="0" w:color="auto"/>
        <w:left w:val="none" w:sz="0" w:space="0" w:color="auto"/>
        <w:bottom w:val="none" w:sz="0" w:space="0" w:color="auto"/>
        <w:right w:val="none" w:sz="0" w:space="0" w:color="auto"/>
      </w:divBdr>
    </w:div>
    <w:div w:id="788741862">
      <w:bodyDiv w:val="1"/>
      <w:marLeft w:val="0"/>
      <w:marRight w:val="0"/>
      <w:marTop w:val="0"/>
      <w:marBottom w:val="0"/>
      <w:divBdr>
        <w:top w:val="none" w:sz="0" w:space="0" w:color="auto"/>
        <w:left w:val="none" w:sz="0" w:space="0" w:color="auto"/>
        <w:bottom w:val="none" w:sz="0" w:space="0" w:color="auto"/>
        <w:right w:val="none" w:sz="0" w:space="0" w:color="auto"/>
      </w:divBdr>
    </w:div>
    <w:div w:id="830409920">
      <w:bodyDiv w:val="1"/>
      <w:marLeft w:val="0"/>
      <w:marRight w:val="0"/>
      <w:marTop w:val="0"/>
      <w:marBottom w:val="0"/>
      <w:divBdr>
        <w:top w:val="none" w:sz="0" w:space="0" w:color="auto"/>
        <w:left w:val="none" w:sz="0" w:space="0" w:color="auto"/>
        <w:bottom w:val="none" w:sz="0" w:space="0" w:color="auto"/>
        <w:right w:val="none" w:sz="0" w:space="0" w:color="auto"/>
      </w:divBdr>
    </w:div>
    <w:div w:id="861166873">
      <w:bodyDiv w:val="1"/>
      <w:marLeft w:val="0"/>
      <w:marRight w:val="0"/>
      <w:marTop w:val="0"/>
      <w:marBottom w:val="0"/>
      <w:divBdr>
        <w:top w:val="none" w:sz="0" w:space="0" w:color="auto"/>
        <w:left w:val="none" w:sz="0" w:space="0" w:color="auto"/>
        <w:bottom w:val="none" w:sz="0" w:space="0" w:color="auto"/>
        <w:right w:val="none" w:sz="0" w:space="0" w:color="auto"/>
      </w:divBdr>
    </w:div>
    <w:div w:id="934943260">
      <w:bodyDiv w:val="1"/>
      <w:marLeft w:val="0"/>
      <w:marRight w:val="0"/>
      <w:marTop w:val="0"/>
      <w:marBottom w:val="0"/>
      <w:divBdr>
        <w:top w:val="none" w:sz="0" w:space="0" w:color="auto"/>
        <w:left w:val="none" w:sz="0" w:space="0" w:color="auto"/>
        <w:bottom w:val="none" w:sz="0" w:space="0" w:color="auto"/>
        <w:right w:val="none" w:sz="0" w:space="0" w:color="auto"/>
      </w:divBdr>
    </w:div>
    <w:div w:id="1099957084">
      <w:bodyDiv w:val="1"/>
      <w:marLeft w:val="0"/>
      <w:marRight w:val="0"/>
      <w:marTop w:val="0"/>
      <w:marBottom w:val="0"/>
      <w:divBdr>
        <w:top w:val="none" w:sz="0" w:space="0" w:color="auto"/>
        <w:left w:val="none" w:sz="0" w:space="0" w:color="auto"/>
        <w:bottom w:val="none" w:sz="0" w:space="0" w:color="auto"/>
        <w:right w:val="none" w:sz="0" w:space="0" w:color="auto"/>
      </w:divBdr>
    </w:div>
    <w:div w:id="1151290447">
      <w:bodyDiv w:val="1"/>
      <w:marLeft w:val="0"/>
      <w:marRight w:val="0"/>
      <w:marTop w:val="0"/>
      <w:marBottom w:val="0"/>
      <w:divBdr>
        <w:top w:val="none" w:sz="0" w:space="0" w:color="auto"/>
        <w:left w:val="none" w:sz="0" w:space="0" w:color="auto"/>
        <w:bottom w:val="none" w:sz="0" w:space="0" w:color="auto"/>
        <w:right w:val="none" w:sz="0" w:space="0" w:color="auto"/>
      </w:divBdr>
    </w:div>
    <w:div w:id="1456170953">
      <w:bodyDiv w:val="1"/>
      <w:marLeft w:val="0"/>
      <w:marRight w:val="0"/>
      <w:marTop w:val="0"/>
      <w:marBottom w:val="0"/>
      <w:divBdr>
        <w:top w:val="none" w:sz="0" w:space="0" w:color="auto"/>
        <w:left w:val="none" w:sz="0" w:space="0" w:color="auto"/>
        <w:bottom w:val="none" w:sz="0" w:space="0" w:color="auto"/>
        <w:right w:val="none" w:sz="0" w:space="0" w:color="auto"/>
      </w:divBdr>
    </w:div>
    <w:div w:id="1477529858">
      <w:bodyDiv w:val="1"/>
      <w:marLeft w:val="0"/>
      <w:marRight w:val="0"/>
      <w:marTop w:val="0"/>
      <w:marBottom w:val="0"/>
      <w:divBdr>
        <w:top w:val="none" w:sz="0" w:space="0" w:color="auto"/>
        <w:left w:val="none" w:sz="0" w:space="0" w:color="auto"/>
        <w:bottom w:val="none" w:sz="0" w:space="0" w:color="auto"/>
        <w:right w:val="none" w:sz="0" w:space="0" w:color="auto"/>
      </w:divBdr>
    </w:div>
    <w:div w:id="1504272323">
      <w:bodyDiv w:val="1"/>
      <w:marLeft w:val="0"/>
      <w:marRight w:val="0"/>
      <w:marTop w:val="0"/>
      <w:marBottom w:val="0"/>
      <w:divBdr>
        <w:top w:val="none" w:sz="0" w:space="0" w:color="auto"/>
        <w:left w:val="none" w:sz="0" w:space="0" w:color="auto"/>
        <w:bottom w:val="none" w:sz="0" w:space="0" w:color="auto"/>
        <w:right w:val="none" w:sz="0" w:space="0" w:color="auto"/>
      </w:divBdr>
    </w:div>
    <w:div w:id="1542742012">
      <w:bodyDiv w:val="1"/>
      <w:marLeft w:val="0"/>
      <w:marRight w:val="0"/>
      <w:marTop w:val="0"/>
      <w:marBottom w:val="0"/>
      <w:divBdr>
        <w:top w:val="none" w:sz="0" w:space="0" w:color="auto"/>
        <w:left w:val="none" w:sz="0" w:space="0" w:color="auto"/>
        <w:bottom w:val="none" w:sz="0" w:space="0" w:color="auto"/>
        <w:right w:val="none" w:sz="0" w:space="0" w:color="auto"/>
      </w:divBdr>
    </w:div>
    <w:div w:id="1641424433">
      <w:bodyDiv w:val="1"/>
      <w:marLeft w:val="0"/>
      <w:marRight w:val="0"/>
      <w:marTop w:val="0"/>
      <w:marBottom w:val="0"/>
      <w:divBdr>
        <w:top w:val="none" w:sz="0" w:space="0" w:color="auto"/>
        <w:left w:val="none" w:sz="0" w:space="0" w:color="auto"/>
        <w:bottom w:val="none" w:sz="0" w:space="0" w:color="auto"/>
        <w:right w:val="none" w:sz="0" w:space="0" w:color="auto"/>
      </w:divBdr>
    </w:div>
    <w:div w:id="1663460032">
      <w:bodyDiv w:val="1"/>
      <w:marLeft w:val="0"/>
      <w:marRight w:val="0"/>
      <w:marTop w:val="0"/>
      <w:marBottom w:val="0"/>
      <w:divBdr>
        <w:top w:val="none" w:sz="0" w:space="0" w:color="auto"/>
        <w:left w:val="none" w:sz="0" w:space="0" w:color="auto"/>
        <w:bottom w:val="none" w:sz="0" w:space="0" w:color="auto"/>
        <w:right w:val="none" w:sz="0" w:space="0" w:color="auto"/>
      </w:divBdr>
    </w:div>
    <w:div w:id="1885680697">
      <w:bodyDiv w:val="1"/>
      <w:marLeft w:val="0"/>
      <w:marRight w:val="0"/>
      <w:marTop w:val="0"/>
      <w:marBottom w:val="0"/>
      <w:divBdr>
        <w:top w:val="none" w:sz="0" w:space="0" w:color="auto"/>
        <w:left w:val="none" w:sz="0" w:space="0" w:color="auto"/>
        <w:bottom w:val="none" w:sz="0" w:space="0" w:color="auto"/>
        <w:right w:val="none" w:sz="0" w:space="0" w:color="auto"/>
      </w:divBdr>
    </w:div>
    <w:div w:id="2113235789">
      <w:bodyDiv w:val="1"/>
      <w:marLeft w:val="0"/>
      <w:marRight w:val="0"/>
      <w:marTop w:val="0"/>
      <w:marBottom w:val="0"/>
      <w:divBdr>
        <w:top w:val="none" w:sz="0" w:space="0" w:color="auto"/>
        <w:left w:val="none" w:sz="0" w:space="0" w:color="auto"/>
        <w:bottom w:val="none" w:sz="0" w:space="0" w:color="auto"/>
        <w:right w:val="none" w:sz="0" w:space="0" w:color="auto"/>
      </w:divBdr>
    </w:div>
    <w:div w:id="21224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png"/><Relationship Id="rId35"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381-4614-B936-BC92EE6773C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381-4614-B936-BC92EE6773C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381-4614-B936-BC92EE6773C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381-4614-B936-BC92EE6773C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381-4614-B936-BC92EE6773CF}"/>
              </c:ext>
            </c:extLst>
          </c:dPt>
          <c:dLbls>
            <c:dLbl>
              <c:idx val="0"/>
              <c:layout>
                <c:manualLayout>
                  <c:x val="-0.10235690235690241"/>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381-4614-B936-BC92EE6773CF}"/>
                </c:ext>
              </c:extLst>
            </c:dLbl>
            <c:dLbl>
              <c:idx val="1"/>
              <c:layout>
                <c:manualLayout>
                  <c:x val="4.0404040404040303E-2"/>
                  <c:y val="6.6006600660066007E-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381-4614-B936-BC92EE6773CF}"/>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2381-4614-B936-BC92EE6773CF}"/>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2381-4614-B936-BC92EE6773CF}"/>
                </c:ext>
              </c:extLst>
            </c:dLbl>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2381-4614-B936-BC92EE6773CF}"/>
                </c:ext>
              </c:extLst>
            </c:dLbl>
            <c:numFmt formatCode="0.0%"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1'!$S$4:$S$8</c:f>
              <c:strCache>
                <c:ptCount val="5"/>
                <c:pt idx="0">
                  <c:v>MFA</c:v>
                </c:pt>
                <c:pt idx="1">
                  <c:v>Euratom</c:v>
                </c:pt>
                <c:pt idx="2">
                  <c:v>EIB</c:v>
                </c:pt>
                <c:pt idx="3">
                  <c:v>BOP</c:v>
                </c:pt>
                <c:pt idx="4">
                  <c:v>EFSM</c:v>
                </c:pt>
              </c:strCache>
            </c:strRef>
          </c:cat>
          <c:val>
            <c:numRef>
              <c:f>'Table 1'!$T$4:$T$8</c:f>
              <c:numCache>
                <c:formatCode>_(* #,##0.00_);_(* \(#,##0.00\);_(* "-"??_);_(@_)</c:formatCode>
                <c:ptCount val="5"/>
                <c:pt idx="0">
                  <c:v>4754.3719510800001</c:v>
                </c:pt>
                <c:pt idx="1">
                  <c:v>213.62281049000001</c:v>
                </c:pt>
                <c:pt idx="2" formatCode="_-* #,##0_-;\-* #,##0_-;_-* &quot;-&quot;??_-;_-@_-">
                  <c:v>28402.576427447337</c:v>
                </c:pt>
                <c:pt idx="3">
                  <c:v>201.14685792</c:v>
                </c:pt>
                <c:pt idx="4">
                  <c:v>47394.38729508</c:v>
                </c:pt>
              </c:numCache>
            </c:numRef>
          </c:val>
          <c:extLst>
            <c:ext xmlns:c16="http://schemas.microsoft.com/office/drawing/2014/chart" uri="{C3380CC4-5D6E-409C-BE32-E72D297353CC}">
              <c16:uniqueId val="{0000000A-2381-4614-B936-BC92EE6773CF}"/>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987D-B5FF-4A8E-83B3-34FCD336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1749</Words>
  <Characters>11389</Characters>
  <Application>Microsoft Office Word</Application>
  <DocSecurity>0</DocSecurity>
  <Lines>759</Lines>
  <Paragraphs>525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12613</CharactersWithSpaces>
  <SharedDoc>false</SharedDoc>
  <HLinks>
    <vt:vector size="264" baseType="variant">
      <vt:variant>
        <vt:i4>1245240</vt:i4>
      </vt:variant>
      <vt:variant>
        <vt:i4>257</vt:i4>
      </vt:variant>
      <vt:variant>
        <vt:i4>0</vt:i4>
      </vt:variant>
      <vt:variant>
        <vt:i4>5</vt:i4>
      </vt:variant>
      <vt:variant>
        <vt:lpwstr/>
      </vt:variant>
      <vt:variant>
        <vt:lpwstr>_Toc446592376</vt:lpwstr>
      </vt:variant>
      <vt:variant>
        <vt:i4>1245240</vt:i4>
      </vt:variant>
      <vt:variant>
        <vt:i4>251</vt:i4>
      </vt:variant>
      <vt:variant>
        <vt:i4>0</vt:i4>
      </vt:variant>
      <vt:variant>
        <vt:i4>5</vt:i4>
      </vt:variant>
      <vt:variant>
        <vt:lpwstr/>
      </vt:variant>
      <vt:variant>
        <vt:lpwstr>_Toc446592375</vt:lpwstr>
      </vt:variant>
      <vt:variant>
        <vt:i4>1245240</vt:i4>
      </vt:variant>
      <vt:variant>
        <vt:i4>245</vt:i4>
      </vt:variant>
      <vt:variant>
        <vt:i4>0</vt:i4>
      </vt:variant>
      <vt:variant>
        <vt:i4>5</vt:i4>
      </vt:variant>
      <vt:variant>
        <vt:lpwstr/>
      </vt:variant>
      <vt:variant>
        <vt:lpwstr>_Toc446592374</vt:lpwstr>
      </vt:variant>
      <vt:variant>
        <vt:i4>1245240</vt:i4>
      </vt:variant>
      <vt:variant>
        <vt:i4>239</vt:i4>
      </vt:variant>
      <vt:variant>
        <vt:i4>0</vt:i4>
      </vt:variant>
      <vt:variant>
        <vt:i4>5</vt:i4>
      </vt:variant>
      <vt:variant>
        <vt:lpwstr/>
      </vt:variant>
      <vt:variant>
        <vt:lpwstr>_Toc446592373</vt:lpwstr>
      </vt:variant>
      <vt:variant>
        <vt:i4>1245240</vt:i4>
      </vt:variant>
      <vt:variant>
        <vt:i4>233</vt:i4>
      </vt:variant>
      <vt:variant>
        <vt:i4>0</vt:i4>
      </vt:variant>
      <vt:variant>
        <vt:i4>5</vt:i4>
      </vt:variant>
      <vt:variant>
        <vt:lpwstr/>
      </vt:variant>
      <vt:variant>
        <vt:lpwstr>_Toc446592372</vt:lpwstr>
      </vt:variant>
      <vt:variant>
        <vt:i4>1245240</vt:i4>
      </vt:variant>
      <vt:variant>
        <vt:i4>227</vt:i4>
      </vt:variant>
      <vt:variant>
        <vt:i4>0</vt:i4>
      </vt:variant>
      <vt:variant>
        <vt:i4>5</vt:i4>
      </vt:variant>
      <vt:variant>
        <vt:lpwstr/>
      </vt:variant>
      <vt:variant>
        <vt:lpwstr>_Toc446592371</vt:lpwstr>
      </vt:variant>
      <vt:variant>
        <vt:i4>1245240</vt:i4>
      </vt:variant>
      <vt:variant>
        <vt:i4>224</vt:i4>
      </vt:variant>
      <vt:variant>
        <vt:i4>0</vt:i4>
      </vt:variant>
      <vt:variant>
        <vt:i4>5</vt:i4>
      </vt:variant>
      <vt:variant>
        <vt:lpwstr/>
      </vt:variant>
      <vt:variant>
        <vt:lpwstr>_Toc446592371</vt:lpwstr>
      </vt:variant>
      <vt:variant>
        <vt:i4>1179704</vt:i4>
      </vt:variant>
      <vt:variant>
        <vt:i4>218</vt:i4>
      </vt:variant>
      <vt:variant>
        <vt:i4>0</vt:i4>
      </vt:variant>
      <vt:variant>
        <vt:i4>5</vt:i4>
      </vt:variant>
      <vt:variant>
        <vt:lpwstr/>
      </vt:variant>
      <vt:variant>
        <vt:lpwstr>_Toc446592369</vt:lpwstr>
      </vt:variant>
      <vt:variant>
        <vt:i4>1179704</vt:i4>
      </vt:variant>
      <vt:variant>
        <vt:i4>212</vt:i4>
      </vt:variant>
      <vt:variant>
        <vt:i4>0</vt:i4>
      </vt:variant>
      <vt:variant>
        <vt:i4>5</vt:i4>
      </vt:variant>
      <vt:variant>
        <vt:lpwstr/>
      </vt:variant>
      <vt:variant>
        <vt:lpwstr>_Toc446592369</vt:lpwstr>
      </vt:variant>
      <vt:variant>
        <vt:i4>1179704</vt:i4>
      </vt:variant>
      <vt:variant>
        <vt:i4>206</vt:i4>
      </vt:variant>
      <vt:variant>
        <vt:i4>0</vt:i4>
      </vt:variant>
      <vt:variant>
        <vt:i4>5</vt:i4>
      </vt:variant>
      <vt:variant>
        <vt:lpwstr/>
      </vt:variant>
      <vt:variant>
        <vt:lpwstr>_Toc446592368</vt:lpwstr>
      </vt:variant>
      <vt:variant>
        <vt:i4>1179704</vt:i4>
      </vt:variant>
      <vt:variant>
        <vt:i4>200</vt:i4>
      </vt:variant>
      <vt:variant>
        <vt:i4>0</vt:i4>
      </vt:variant>
      <vt:variant>
        <vt:i4>5</vt:i4>
      </vt:variant>
      <vt:variant>
        <vt:lpwstr/>
      </vt:variant>
      <vt:variant>
        <vt:lpwstr>_Toc446592368</vt:lpwstr>
      </vt:variant>
      <vt:variant>
        <vt:i4>1179704</vt:i4>
      </vt:variant>
      <vt:variant>
        <vt:i4>194</vt:i4>
      </vt:variant>
      <vt:variant>
        <vt:i4>0</vt:i4>
      </vt:variant>
      <vt:variant>
        <vt:i4>5</vt:i4>
      </vt:variant>
      <vt:variant>
        <vt:lpwstr/>
      </vt:variant>
      <vt:variant>
        <vt:lpwstr>_Toc446592367</vt:lpwstr>
      </vt:variant>
      <vt:variant>
        <vt:i4>1179704</vt:i4>
      </vt:variant>
      <vt:variant>
        <vt:i4>191</vt:i4>
      </vt:variant>
      <vt:variant>
        <vt:i4>0</vt:i4>
      </vt:variant>
      <vt:variant>
        <vt:i4>5</vt:i4>
      </vt:variant>
      <vt:variant>
        <vt:lpwstr/>
      </vt:variant>
      <vt:variant>
        <vt:lpwstr>_Toc446592366</vt:lpwstr>
      </vt:variant>
      <vt:variant>
        <vt:i4>1179704</vt:i4>
      </vt:variant>
      <vt:variant>
        <vt:i4>185</vt:i4>
      </vt:variant>
      <vt:variant>
        <vt:i4>0</vt:i4>
      </vt:variant>
      <vt:variant>
        <vt:i4>5</vt:i4>
      </vt:variant>
      <vt:variant>
        <vt:lpwstr/>
      </vt:variant>
      <vt:variant>
        <vt:lpwstr>_Toc446592366</vt:lpwstr>
      </vt:variant>
      <vt:variant>
        <vt:i4>1179704</vt:i4>
      </vt:variant>
      <vt:variant>
        <vt:i4>179</vt:i4>
      </vt:variant>
      <vt:variant>
        <vt:i4>0</vt:i4>
      </vt:variant>
      <vt:variant>
        <vt:i4>5</vt:i4>
      </vt:variant>
      <vt:variant>
        <vt:lpwstr/>
      </vt:variant>
      <vt:variant>
        <vt:lpwstr>_Toc446592366</vt:lpwstr>
      </vt:variant>
      <vt:variant>
        <vt:i4>1179704</vt:i4>
      </vt:variant>
      <vt:variant>
        <vt:i4>173</vt:i4>
      </vt:variant>
      <vt:variant>
        <vt:i4>0</vt:i4>
      </vt:variant>
      <vt:variant>
        <vt:i4>5</vt:i4>
      </vt:variant>
      <vt:variant>
        <vt:lpwstr/>
      </vt:variant>
      <vt:variant>
        <vt:lpwstr>_Toc446592365</vt:lpwstr>
      </vt:variant>
      <vt:variant>
        <vt:i4>1179704</vt:i4>
      </vt:variant>
      <vt:variant>
        <vt:i4>167</vt:i4>
      </vt:variant>
      <vt:variant>
        <vt:i4>0</vt:i4>
      </vt:variant>
      <vt:variant>
        <vt:i4>5</vt:i4>
      </vt:variant>
      <vt:variant>
        <vt:lpwstr/>
      </vt:variant>
      <vt:variant>
        <vt:lpwstr>_Toc446592364</vt:lpwstr>
      </vt:variant>
      <vt:variant>
        <vt:i4>1179704</vt:i4>
      </vt:variant>
      <vt:variant>
        <vt:i4>161</vt:i4>
      </vt:variant>
      <vt:variant>
        <vt:i4>0</vt:i4>
      </vt:variant>
      <vt:variant>
        <vt:i4>5</vt:i4>
      </vt:variant>
      <vt:variant>
        <vt:lpwstr/>
      </vt:variant>
      <vt:variant>
        <vt:lpwstr>_Toc446592363</vt:lpwstr>
      </vt:variant>
      <vt:variant>
        <vt:i4>1179704</vt:i4>
      </vt:variant>
      <vt:variant>
        <vt:i4>155</vt:i4>
      </vt:variant>
      <vt:variant>
        <vt:i4>0</vt:i4>
      </vt:variant>
      <vt:variant>
        <vt:i4>5</vt:i4>
      </vt:variant>
      <vt:variant>
        <vt:lpwstr/>
      </vt:variant>
      <vt:variant>
        <vt:lpwstr>_Toc446592362</vt:lpwstr>
      </vt:variant>
      <vt:variant>
        <vt:i4>1179704</vt:i4>
      </vt:variant>
      <vt:variant>
        <vt:i4>149</vt:i4>
      </vt:variant>
      <vt:variant>
        <vt:i4>0</vt:i4>
      </vt:variant>
      <vt:variant>
        <vt:i4>5</vt:i4>
      </vt:variant>
      <vt:variant>
        <vt:lpwstr/>
      </vt:variant>
      <vt:variant>
        <vt:lpwstr>_Toc446592361</vt:lpwstr>
      </vt:variant>
      <vt:variant>
        <vt:i4>1179704</vt:i4>
      </vt:variant>
      <vt:variant>
        <vt:i4>143</vt:i4>
      </vt:variant>
      <vt:variant>
        <vt:i4>0</vt:i4>
      </vt:variant>
      <vt:variant>
        <vt:i4>5</vt:i4>
      </vt:variant>
      <vt:variant>
        <vt:lpwstr/>
      </vt:variant>
      <vt:variant>
        <vt:lpwstr>_Toc446592360</vt:lpwstr>
      </vt:variant>
      <vt:variant>
        <vt:i4>1114168</vt:i4>
      </vt:variant>
      <vt:variant>
        <vt:i4>137</vt:i4>
      </vt:variant>
      <vt:variant>
        <vt:i4>0</vt:i4>
      </vt:variant>
      <vt:variant>
        <vt:i4>5</vt:i4>
      </vt:variant>
      <vt:variant>
        <vt:lpwstr/>
      </vt:variant>
      <vt:variant>
        <vt:lpwstr>_Toc446592359</vt:lpwstr>
      </vt:variant>
      <vt:variant>
        <vt:i4>1114168</vt:i4>
      </vt:variant>
      <vt:variant>
        <vt:i4>131</vt:i4>
      </vt:variant>
      <vt:variant>
        <vt:i4>0</vt:i4>
      </vt:variant>
      <vt:variant>
        <vt:i4>5</vt:i4>
      </vt:variant>
      <vt:variant>
        <vt:lpwstr/>
      </vt:variant>
      <vt:variant>
        <vt:lpwstr>_Toc446592358</vt:lpwstr>
      </vt:variant>
      <vt:variant>
        <vt:i4>1114168</vt:i4>
      </vt:variant>
      <vt:variant>
        <vt:i4>125</vt:i4>
      </vt:variant>
      <vt:variant>
        <vt:i4>0</vt:i4>
      </vt:variant>
      <vt:variant>
        <vt:i4>5</vt:i4>
      </vt:variant>
      <vt:variant>
        <vt:lpwstr/>
      </vt:variant>
      <vt:variant>
        <vt:lpwstr>_Toc446592356</vt:lpwstr>
      </vt:variant>
      <vt:variant>
        <vt:i4>1114168</vt:i4>
      </vt:variant>
      <vt:variant>
        <vt:i4>119</vt:i4>
      </vt:variant>
      <vt:variant>
        <vt:i4>0</vt:i4>
      </vt:variant>
      <vt:variant>
        <vt:i4>5</vt:i4>
      </vt:variant>
      <vt:variant>
        <vt:lpwstr/>
      </vt:variant>
      <vt:variant>
        <vt:lpwstr>_Toc446592355</vt:lpwstr>
      </vt:variant>
      <vt:variant>
        <vt:i4>1114168</vt:i4>
      </vt:variant>
      <vt:variant>
        <vt:i4>113</vt:i4>
      </vt:variant>
      <vt:variant>
        <vt:i4>0</vt:i4>
      </vt:variant>
      <vt:variant>
        <vt:i4>5</vt:i4>
      </vt:variant>
      <vt:variant>
        <vt:lpwstr/>
      </vt:variant>
      <vt:variant>
        <vt:lpwstr>_Toc446592353</vt:lpwstr>
      </vt:variant>
      <vt:variant>
        <vt:i4>1114168</vt:i4>
      </vt:variant>
      <vt:variant>
        <vt:i4>107</vt:i4>
      </vt:variant>
      <vt:variant>
        <vt:i4>0</vt:i4>
      </vt:variant>
      <vt:variant>
        <vt:i4>5</vt:i4>
      </vt:variant>
      <vt:variant>
        <vt:lpwstr/>
      </vt:variant>
      <vt:variant>
        <vt:lpwstr>_Toc446592352</vt:lpwstr>
      </vt:variant>
      <vt:variant>
        <vt:i4>1114168</vt:i4>
      </vt:variant>
      <vt:variant>
        <vt:i4>101</vt:i4>
      </vt:variant>
      <vt:variant>
        <vt:i4>0</vt:i4>
      </vt:variant>
      <vt:variant>
        <vt:i4>5</vt:i4>
      </vt:variant>
      <vt:variant>
        <vt:lpwstr/>
      </vt:variant>
      <vt:variant>
        <vt:lpwstr>_Toc446592351</vt:lpwstr>
      </vt:variant>
      <vt:variant>
        <vt:i4>1114168</vt:i4>
      </vt:variant>
      <vt:variant>
        <vt:i4>95</vt:i4>
      </vt:variant>
      <vt:variant>
        <vt:i4>0</vt:i4>
      </vt:variant>
      <vt:variant>
        <vt:i4>5</vt:i4>
      </vt:variant>
      <vt:variant>
        <vt:lpwstr/>
      </vt:variant>
      <vt:variant>
        <vt:lpwstr>_Toc446592350</vt:lpwstr>
      </vt:variant>
      <vt:variant>
        <vt:i4>1048632</vt:i4>
      </vt:variant>
      <vt:variant>
        <vt:i4>89</vt:i4>
      </vt:variant>
      <vt:variant>
        <vt:i4>0</vt:i4>
      </vt:variant>
      <vt:variant>
        <vt:i4>5</vt:i4>
      </vt:variant>
      <vt:variant>
        <vt:lpwstr/>
      </vt:variant>
      <vt:variant>
        <vt:lpwstr>_Toc446592349</vt:lpwstr>
      </vt:variant>
      <vt:variant>
        <vt:i4>1048632</vt:i4>
      </vt:variant>
      <vt:variant>
        <vt:i4>83</vt:i4>
      </vt:variant>
      <vt:variant>
        <vt:i4>0</vt:i4>
      </vt:variant>
      <vt:variant>
        <vt:i4>5</vt:i4>
      </vt:variant>
      <vt:variant>
        <vt:lpwstr/>
      </vt:variant>
      <vt:variant>
        <vt:lpwstr>_Toc446592348</vt:lpwstr>
      </vt:variant>
      <vt:variant>
        <vt:i4>1048632</vt:i4>
      </vt:variant>
      <vt:variant>
        <vt:i4>77</vt:i4>
      </vt:variant>
      <vt:variant>
        <vt:i4>0</vt:i4>
      </vt:variant>
      <vt:variant>
        <vt:i4>5</vt:i4>
      </vt:variant>
      <vt:variant>
        <vt:lpwstr/>
      </vt:variant>
      <vt:variant>
        <vt:lpwstr>_Toc446592347</vt:lpwstr>
      </vt:variant>
      <vt:variant>
        <vt:i4>1048632</vt:i4>
      </vt:variant>
      <vt:variant>
        <vt:i4>71</vt:i4>
      </vt:variant>
      <vt:variant>
        <vt:i4>0</vt:i4>
      </vt:variant>
      <vt:variant>
        <vt:i4>5</vt:i4>
      </vt:variant>
      <vt:variant>
        <vt:lpwstr/>
      </vt:variant>
      <vt:variant>
        <vt:lpwstr>_Toc446592346</vt:lpwstr>
      </vt:variant>
      <vt:variant>
        <vt:i4>1048632</vt:i4>
      </vt:variant>
      <vt:variant>
        <vt:i4>65</vt:i4>
      </vt:variant>
      <vt:variant>
        <vt:i4>0</vt:i4>
      </vt:variant>
      <vt:variant>
        <vt:i4>5</vt:i4>
      </vt:variant>
      <vt:variant>
        <vt:lpwstr/>
      </vt:variant>
      <vt:variant>
        <vt:lpwstr>_Toc446592345</vt:lpwstr>
      </vt:variant>
      <vt:variant>
        <vt:i4>1048632</vt:i4>
      </vt:variant>
      <vt:variant>
        <vt:i4>59</vt:i4>
      </vt:variant>
      <vt:variant>
        <vt:i4>0</vt:i4>
      </vt:variant>
      <vt:variant>
        <vt:i4>5</vt:i4>
      </vt:variant>
      <vt:variant>
        <vt:lpwstr/>
      </vt:variant>
      <vt:variant>
        <vt:lpwstr>_Toc446592344</vt:lpwstr>
      </vt:variant>
      <vt:variant>
        <vt:i4>1048632</vt:i4>
      </vt:variant>
      <vt:variant>
        <vt:i4>53</vt:i4>
      </vt:variant>
      <vt:variant>
        <vt:i4>0</vt:i4>
      </vt:variant>
      <vt:variant>
        <vt:i4>5</vt:i4>
      </vt:variant>
      <vt:variant>
        <vt:lpwstr/>
      </vt:variant>
      <vt:variant>
        <vt:lpwstr>_Toc446592343</vt:lpwstr>
      </vt:variant>
      <vt:variant>
        <vt:i4>1048632</vt:i4>
      </vt:variant>
      <vt:variant>
        <vt:i4>47</vt:i4>
      </vt:variant>
      <vt:variant>
        <vt:i4>0</vt:i4>
      </vt:variant>
      <vt:variant>
        <vt:i4>5</vt:i4>
      </vt:variant>
      <vt:variant>
        <vt:lpwstr/>
      </vt:variant>
      <vt:variant>
        <vt:lpwstr>_Toc446592342</vt:lpwstr>
      </vt:variant>
      <vt:variant>
        <vt:i4>1048632</vt:i4>
      </vt:variant>
      <vt:variant>
        <vt:i4>41</vt:i4>
      </vt:variant>
      <vt:variant>
        <vt:i4>0</vt:i4>
      </vt:variant>
      <vt:variant>
        <vt:i4>5</vt:i4>
      </vt:variant>
      <vt:variant>
        <vt:lpwstr/>
      </vt:variant>
      <vt:variant>
        <vt:lpwstr>_Toc446592340</vt:lpwstr>
      </vt:variant>
      <vt:variant>
        <vt:i4>1507384</vt:i4>
      </vt:variant>
      <vt:variant>
        <vt:i4>35</vt:i4>
      </vt:variant>
      <vt:variant>
        <vt:i4>0</vt:i4>
      </vt:variant>
      <vt:variant>
        <vt:i4>5</vt:i4>
      </vt:variant>
      <vt:variant>
        <vt:lpwstr/>
      </vt:variant>
      <vt:variant>
        <vt:lpwstr>_Toc446592338</vt:lpwstr>
      </vt:variant>
      <vt:variant>
        <vt:i4>1507384</vt:i4>
      </vt:variant>
      <vt:variant>
        <vt:i4>29</vt:i4>
      </vt:variant>
      <vt:variant>
        <vt:i4>0</vt:i4>
      </vt:variant>
      <vt:variant>
        <vt:i4>5</vt:i4>
      </vt:variant>
      <vt:variant>
        <vt:lpwstr/>
      </vt:variant>
      <vt:variant>
        <vt:lpwstr>_Toc446592336</vt:lpwstr>
      </vt:variant>
      <vt:variant>
        <vt:i4>1507384</vt:i4>
      </vt:variant>
      <vt:variant>
        <vt:i4>23</vt:i4>
      </vt:variant>
      <vt:variant>
        <vt:i4>0</vt:i4>
      </vt:variant>
      <vt:variant>
        <vt:i4>5</vt:i4>
      </vt:variant>
      <vt:variant>
        <vt:lpwstr/>
      </vt:variant>
      <vt:variant>
        <vt:lpwstr>_Toc446592334</vt:lpwstr>
      </vt:variant>
      <vt:variant>
        <vt:i4>1507384</vt:i4>
      </vt:variant>
      <vt:variant>
        <vt:i4>17</vt:i4>
      </vt:variant>
      <vt:variant>
        <vt:i4>0</vt:i4>
      </vt:variant>
      <vt:variant>
        <vt:i4>5</vt:i4>
      </vt:variant>
      <vt:variant>
        <vt:lpwstr/>
      </vt:variant>
      <vt:variant>
        <vt:lpwstr>_Toc446592333</vt:lpwstr>
      </vt:variant>
      <vt:variant>
        <vt:i4>1507384</vt:i4>
      </vt:variant>
      <vt:variant>
        <vt:i4>11</vt:i4>
      </vt:variant>
      <vt:variant>
        <vt:i4>0</vt:i4>
      </vt:variant>
      <vt:variant>
        <vt:i4>5</vt:i4>
      </vt:variant>
      <vt:variant>
        <vt:lpwstr/>
      </vt:variant>
      <vt:variant>
        <vt:lpwstr>_Toc446592332</vt:lpwstr>
      </vt:variant>
      <vt:variant>
        <vt:i4>1507384</vt:i4>
      </vt:variant>
      <vt:variant>
        <vt:i4>5</vt:i4>
      </vt:variant>
      <vt:variant>
        <vt:i4>0</vt:i4>
      </vt:variant>
      <vt:variant>
        <vt:i4>5</vt:i4>
      </vt:variant>
      <vt:variant>
        <vt:lpwstr/>
      </vt:variant>
      <vt:variant>
        <vt:lpwstr>_Toc446592331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PASCUAL IBANEZ Noelia (SG)</cp:lastModifiedBy>
  <cp:revision>24</cp:revision>
  <cp:lastPrinted>2020-09-15T11:05:00Z</cp:lastPrinted>
  <dcterms:created xsi:type="dcterms:W3CDTF">2020-06-26T14:31:00Z</dcterms:created>
  <dcterms:modified xsi:type="dcterms:W3CDTF">2020-10-28T10:07:00Z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ies>
</file>