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CBD229D-F292-4210-AD58-0A0B3B536517" style="width:450.75pt;height:321pt">
            <v:imagedata r:id="rId9" o:title=""/>
          </v:shape>
        </w:pict>
      </w:r>
    </w:p>
    <w:bookmarkEnd w:id="0"/>
    <w:p>
      <w:pPr>
        <w:pStyle w:val="Pagedecouverture"/>
        <w:rPr>
          <w:noProof/>
          <w:color w:val="00B050"/>
          <w:lang w:val="en-I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color w:val="000000" w:themeColor="text1"/>
        </w:rPr>
      </w:pPr>
      <w:bookmarkStart w:id="1" w:name="_GoBack"/>
      <w:bookmarkEnd w:id="1"/>
      <w:r>
        <w:rPr>
          <w:noProof/>
          <w:color w:val="000000" w:themeColor="text1"/>
        </w:rPr>
        <w:lastRenderedPageBreak/>
        <w:t>Съдържание</w:t>
      </w:r>
    </w:p>
    <w:p>
      <w:pPr>
        <w:pStyle w:val="TOC1"/>
        <w:rPr>
          <w:rFonts w:asciiTheme="minorHAnsi" w:eastAsiaTheme="minorEastAsia" w:hAnsiTheme="minorHAnsi" w:cstheme="minorBidi"/>
          <w:b/>
          <w:noProof/>
          <w:sz w:val="22"/>
          <w:szCs w:val="22"/>
          <w:lang w:eastAsia="en-GB"/>
        </w:rPr>
      </w:pPr>
      <w:r>
        <w:rPr>
          <w:noProof/>
          <w:color w:val="000000" w:themeColor="text1"/>
        </w:rPr>
        <w:fldChar w:fldCharType="begin"/>
      </w:r>
      <w:r>
        <w:rPr>
          <w:noProof/>
          <w:color w:val="000000" w:themeColor="text1"/>
        </w:rPr>
        <w:instrText xml:space="preserve"> TOC \o "1-3" \h \z \u </w:instrText>
      </w:r>
      <w:r>
        <w:rPr>
          <w:noProof/>
          <w:color w:val="000000" w:themeColor="text1"/>
        </w:rPr>
        <w:fldChar w:fldCharType="separate"/>
      </w:r>
      <w:hyperlink w:anchor="_Toc54253090" w:history="1">
        <w:r>
          <w:rPr>
            <w:rStyle w:val="Hyperlink"/>
            <w:b/>
            <w:noProof/>
          </w:rPr>
          <w:t>1.</w:t>
        </w:r>
        <w:r>
          <w:rPr>
            <w:rFonts w:asciiTheme="minorHAnsi" w:eastAsiaTheme="minorEastAsia" w:hAnsiTheme="minorHAnsi" w:cstheme="minorBidi"/>
            <w:b/>
            <w:noProof/>
            <w:sz w:val="22"/>
            <w:szCs w:val="22"/>
            <w:lang w:eastAsia="en-GB"/>
          </w:rPr>
          <w:tab/>
        </w:r>
        <w:r>
          <w:rPr>
            <w:rStyle w:val="Hyperlink"/>
            <w:b/>
            <w:noProof/>
          </w:rPr>
          <w:t>Въведение</w:t>
        </w:r>
        <w:r>
          <w:rPr>
            <w:b/>
            <w:noProof/>
            <w:webHidden/>
          </w:rPr>
          <w:tab/>
        </w:r>
        <w:r>
          <w:rPr>
            <w:b/>
            <w:noProof/>
            <w:webHidden/>
          </w:rPr>
          <w:fldChar w:fldCharType="begin"/>
        </w:r>
        <w:r>
          <w:rPr>
            <w:b/>
            <w:noProof/>
            <w:webHidden/>
          </w:rPr>
          <w:instrText xml:space="preserve"> PAGEREF _Toc54253090 \h </w:instrText>
        </w:r>
        <w:r>
          <w:rPr>
            <w:b/>
            <w:noProof/>
            <w:webHidden/>
          </w:rPr>
        </w:r>
        <w:r>
          <w:rPr>
            <w:b/>
            <w:noProof/>
            <w:webHidden/>
          </w:rPr>
          <w:fldChar w:fldCharType="separate"/>
        </w:r>
        <w:r>
          <w:rPr>
            <w:b/>
            <w:noProof/>
            <w:webHidden/>
          </w:rPr>
          <w:t>3</w:t>
        </w:r>
        <w:r>
          <w:rPr>
            <w:b/>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54253091" w:history="1">
        <w:r>
          <w:rPr>
            <w:rStyle w:val="Hyperlink"/>
            <w:b/>
            <w:noProof/>
          </w:rPr>
          <w:t>2.</w:t>
        </w:r>
        <w:r>
          <w:rPr>
            <w:rFonts w:asciiTheme="minorHAnsi" w:eastAsiaTheme="minorEastAsia" w:hAnsiTheme="minorHAnsi" w:cstheme="minorBidi"/>
            <w:b/>
            <w:noProof/>
            <w:sz w:val="22"/>
            <w:szCs w:val="22"/>
            <w:lang w:eastAsia="en-GB"/>
          </w:rPr>
          <w:tab/>
        </w:r>
        <w:r>
          <w:rPr>
            <w:rStyle w:val="Hyperlink"/>
            <w:b/>
            <w:noProof/>
          </w:rPr>
          <w:t>Операции, гарантирани от бюджета на ЕС, и механизми за кризи на еврозоната, които не са обхванати от бюджета на ЕС</w:t>
        </w:r>
        <w:r>
          <w:rPr>
            <w:b/>
            <w:noProof/>
            <w:webHidden/>
          </w:rPr>
          <w:tab/>
        </w:r>
        <w:r>
          <w:rPr>
            <w:b/>
            <w:noProof/>
            <w:webHidden/>
          </w:rPr>
          <w:fldChar w:fldCharType="begin"/>
        </w:r>
        <w:r>
          <w:rPr>
            <w:b/>
            <w:noProof/>
            <w:webHidden/>
          </w:rPr>
          <w:instrText xml:space="preserve"> PAGEREF _Toc54253091 \h </w:instrText>
        </w:r>
        <w:r>
          <w:rPr>
            <w:b/>
            <w:noProof/>
            <w:webHidden/>
          </w:rPr>
        </w:r>
        <w:r>
          <w:rPr>
            <w:b/>
            <w:noProof/>
            <w:webHidden/>
          </w:rPr>
          <w:fldChar w:fldCharType="separate"/>
        </w:r>
        <w:r>
          <w:rPr>
            <w:b/>
            <w:noProof/>
            <w:webHidden/>
          </w:rPr>
          <w:t>3</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092"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Заеми с макроикономически цели, отпуснати от Европейския съюз</w:t>
        </w:r>
        <w:r>
          <w:rPr>
            <w:noProof/>
            <w:webHidden/>
          </w:rPr>
          <w:tab/>
        </w:r>
        <w:r>
          <w:rPr>
            <w:noProof/>
            <w:webHidden/>
          </w:rPr>
          <w:fldChar w:fldCharType="begin"/>
        </w:r>
        <w:r>
          <w:rPr>
            <w:noProof/>
            <w:webHidden/>
          </w:rPr>
          <w:instrText xml:space="preserve"> PAGEREF _Toc54253092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093"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Заеми с микроикономически цели</w:t>
        </w:r>
        <w:r>
          <w:rPr>
            <w:noProof/>
            <w:webHidden/>
          </w:rPr>
          <w:tab/>
        </w:r>
        <w:r>
          <w:rPr>
            <w:noProof/>
            <w:webHidden/>
          </w:rPr>
          <w:fldChar w:fldCharType="begin"/>
        </w:r>
        <w:r>
          <w:rPr>
            <w:noProof/>
            <w:webHidden/>
          </w:rPr>
          <w:instrText xml:space="preserve"> PAGEREF _Toc54253093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094"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Финансиране на операции от Европейската инвестиционна банка (ЕИБ) в държави извън ЕС („външно финансиране от ЕИБ“), обезпечено с гаранции на ЕС (мандат за външно кредитиране (МВК)</w:t>
        </w:r>
        <w:r>
          <w:rPr>
            <w:noProof/>
            <w:webHidden/>
          </w:rPr>
          <w:tab/>
        </w:r>
        <w:r>
          <w:rPr>
            <w:noProof/>
            <w:webHidden/>
          </w:rPr>
          <w:fldChar w:fldCharType="begin"/>
        </w:r>
        <w:r>
          <w:rPr>
            <w:noProof/>
            <w:webHidden/>
          </w:rPr>
          <w:instrText xml:space="preserve"> PAGEREF _Toc54253094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095"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Финансиране от Европейската инвестиционна банка (ЕИБ) и Европейския инвестиционен фонд (ЕИФ) на операции в държавите членки, обезпечени с гаранции на ЕС — Европейският фонд за стратегически инвестиции (ЕФСИ)</w:t>
        </w:r>
        <w:r>
          <w:rPr>
            <w:noProof/>
            <w:webHidden/>
          </w:rPr>
          <w:tab/>
        </w:r>
        <w:r>
          <w:rPr>
            <w:noProof/>
            <w:webHidden/>
          </w:rPr>
          <w:fldChar w:fldCharType="begin"/>
        </w:r>
        <w:r>
          <w:rPr>
            <w:noProof/>
            <w:webHidden/>
          </w:rPr>
          <w:instrText xml:space="preserve"> PAGEREF _Toc54253095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096" w:history="1">
        <w:r>
          <w:rPr>
            <w:rStyle w:val="Hyperlink"/>
            <w:noProof/>
          </w:rPr>
          <w:t>2.5</w:t>
        </w:r>
        <w:r>
          <w:rPr>
            <w:rFonts w:asciiTheme="minorHAnsi" w:eastAsiaTheme="minorEastAsia" w:hAnsiTheme="minorHAnsi" w:cstheme="minorBidi"/>
            <w:noProof/>
            <w:sz w:val="22"/>
            <w:szCs w:val="22"/>
            <w:lang w:eastAsia="en-GB"/>
          </w:rPr>
          <w:tab/>
        </w:r>
        <w:r>
          <w:rPr>
            <w:rStyle w:val="Hyperlink"/>
            <w:noProof/>
          </w:rPr>
          <w:t>План за външни инвестиции и Европейски фонд за устойчиво развитие (ЕФУР)</w:t>
        </w:r>
        <w:r>
          <w:rPr>
            <w:noProof/>
            <w:webHidden/>
          </w:rPr>
          <w:tab/>
        </w:r>
        <w:r>
          <w:rPr>
            <w:noProof/>
            <w:webHidden/>
          </w:rPr>
          <w:fldChar w:fldCharType="begin"/>
        </w:r>
        <w:r>
          <w:rPr>
            <w:noProof/>
            <w:webHidden/>
          </w:rPr>
          <w:instrText xml:space="preserve"> PAGEREF _Toc54253096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097" w:history="1">
        <w:r>
          <w:rPr>
            <w:rStyle w:val="Hyperlink"/>
            <w:noProof/>
          </w:rPr>
          <w:t>2.6</w:t>
        </w:r>
        <w:r>
          <w:rPr>
            <w:rFonts w:asciiTheme="minorHAnsi" w:eastAsiaTheme="minorEastAsia" w:hAnsiTheme="minorHAnsi" w:cstheme="minorBidi"/>
            <w:noProof/>
            <w:sz w:val="22"/>
            <w:szCs w:val="22"/>
            <w:lang w:eastAsia="en-GB"/>
          </w:rPr>
          <w:tab/>
        </w:r>
        <w:r>
          <w:rPr>
            <w:rStyle w:val="Hyperlink"/>
            <w:noProof/>
          </w:rPr>
          <w:t>Механизми за управление на кризи, които не са покрити от бюджета на ЕС</w:t>
        </w:r>
        <w:r>
          <w:rPr>
            <w:noProof/>
            <w:webHidden/>
          </w:rPr>
          <w:tab/>
        </w:r>
        <w:r>
          <w:rPr>
            <w:noProof/>
            <w:webHidden/>
          </w:rPr>
          <w:fldChar w:fldCharType="begin"/>
        </w:r>
        <w:r>
          <w:rPr>
            <w:noProof/>
            <w:webHidden/>
          </w:rPr>
          <w:instrText xml:space="preserve"> PAGEREF _Toc54253097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54253098" w:history="1">
        <w:r>
          <w:rPr>
            <w:rStyle w:val="Hyperlink"/>
            <w:b/>
            <w:noProof/>
          </w:rPr>
          <w:t>3.</w:t>
        </w:r>
        <w:r>
          <w:rPr>
            <w:rFonts w:asciiTheme="minorHAnsi" w:eastAsiaTheme="minorEastAsia" w:hAnsiTheme="minorHAnsi" w:cstheme="minorBidi"/>
            <w:b/>
            <w:noProof/>
            <w:sz w:val="22"/>
            <w:szCs w:val="22"/>
            <w:lang w:eastAsia="en-GB"/>
          </w:rPr>
          <w:tab/>
        </w:r>
        <w:r>
          <w:rPr>
            <w:rStyle w:val="Hyperlink"/>
            <w:b/>
            <w:noProof/>
          </w:rPr>
          <w:t>Развитие на гарантираните операции</w:t>
        </w:r>
        <w:r>
          <w:rPr>
            <w:b/>
            <w:noProof/>
            <w:webHidden/>
          </w:rPr>
          <w:tab/>
        </w:r>
        <w:r>
          <w:rPr>
            <w:b/>
            <w:noProof/>
            <w:webHidden/>
          </w:rPr>
          <w:fldChar w:fldCharType="begin"/>
        </w:r>
        <w:r>
          <w:rPr>
            <w:b/>
            <w:noProof/>
            <w:webHidden/>
          </w:rPr>
          <w:instrText xml:space="preserve"> PAGEREF _Toc54253098 \h </w:instrText>
        </w:r>
        <w:r>
          <w:rPr>
            <w:b/>
            <w:noProof/>
            <w:webHidden/>
          </w:rPr>
        </w:r>
        <w:r>
          <w:rPr>
            <w:b/>
            <w:noProof/>
            <w:webHidden/>
          </w:rPr>
          <w:fldChar w:fldCharType="separate"/>
        </w:r>
        <w:r>
          <w:rPr>
            <w:b/>
            <w:noProof/>
            <w:webHidden/>
          </w:rPr>
          <w:t>9</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099"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Операции, управлявани пряко от Комисията</w:t>
        </w:r>
        <w:r>
          <w:rPr>
            <w:noProof/>
            <w:webHidden/>
          </w:rPr>
          <w:tab/>
        </w:r>
        <w:r>
          <w:rPr>
            <w:noProof/>
            <w:webHidden/>
          </w:rPr>
          <w:fldChar w:fldCharType="begin"/>
        </w:r>
        <w:r>
          <w:rPr>
            <w:noProof/>
            <w:webHidden/>
          </w:rPr>
          <w:instrText xml:space="preserve"> PAGEREF _Toc54253099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4253100" w:history="1">
        <w:r>
          <w:rPr>
            <w:rStyle w:val="Hyperlink"/>
            <w:noProof/>
          </w:rPr>
          <w:t>3.1.1</w:t>
        </w:r>
        <w:r>
          <w:rPr>
            <w:rFonts w:asciiTheme="minorHAnsi" w:eastAsiaTheme="minorEastAsia" w:hAnsiTheme="minorHAnsi" w:cstheme="minorBidi"/>
            <w:noProof/>
            <w:sz w:val="22"/>
            <w:szCs w:val="22"/>
            <w:lang w:eastAsia="en-GB"/>
          </w:rPr>
          <w:tab/>
        </w:r>
        <w:r>
          <w:rPr>
            <w:rStyle w:val="Hyperlink"/>
            <w:noProof/>
          </w:rPr>
          <w:t>Европейски механизъм за финансово стабилизиране (ЕМФС)</w:t>
        </w:r>
        <w:r>
          <w:rPr>
            <w:noProof/>
            <w:webHidden/>
          </w:rPr>
          <w:tab/>
        </w:r>
        <w:r>
          <w:rPr>
            <w:noProof/>
            <w:webHidden/>
          </w:rPr>
          <w:fldChar w:fldCharType="begin"/>
        </w:r>
        <w:r>
          <w:rPr>
            <w:noProof/>
            <w:webHidden/>
          </w:rPr>
          <w:instrText xml:space="preserve"> PAGEREF _Toc54253100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4253101" w:history="1">
        <w:r>
          <w:rPr>
            <w:rStyle w:val="Hyperlink"/>
            <w:noProof/>
          </w:rPr>
          <w:t>3.1.2</w:t>
        </w:r>
        <w:r>
          <w:rPr>
            <w:rFonts w:asciiTheme="minorHAnsi" w:eastAsiaTheme="minorEastAsia" w:hAnsiTheme="minorHAnsi" w:cstheme="minorBidi"/>
            <w:noProof/>
            <w:sz w:val="22"/>
            <w:szCs w:val="22"/>
            <w:lang w:eastAsia="en-GB"/>
          </w:rPr>
          <w:tab/>
        </w:r>
        <w:r>
          <w:rPr>
            <w:rStyle w:val="Hyperlink"/>
            <w:noProof/>
          </w:rPr>
          <w:t>Механизъм за подкрепа на платежния баланс (ПБ)</w:t>
        </w:r>
        <w:r>
          <w:rPr>
            <w:noProof/>
            <w:webHidden/>
          </w:rPr>
          <w:tab/>
        </w:r>
        <w:r>
          <w:rPr>
            <w:noProof/>
            <w:webHidden/>
          </w:rPr>
          <w:fldChar w:fldCharType="begin"/>
        </w:r>
        <w:r>
          <w:rPr>
            <w:noProof/>
            <w:webHidden/>
          </w:rPr>
          <w:instrText xml:space="preserve"> PAGEREF _Toc54253101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4253102" w:history="1">
        <w:r>
          <w:rPr>
            <w:rStyle w:val="Hyperlink"/>
            <w:noProof/>
          </w:rPr>
          <w:t>3.1.3</w:t>
        </w:r>
        <w:r>
          <w:rPr>
            <w:rFonts w:asciiTheme="minorHAnsi" w:eastAsiaTheme="minorEastAsia" w:hAnsiTheme="minorHAnsi" w:cstheme="minorBidi"/>
            <w:noProof/>
            <w:sz w:val="22"/>
            <w:szCs w:val="22"/>
            <w:lang w:eastAsia="en-GB"/>
          </w:rPr>
          <w:tab/>
        </w:r>
        <w:r>
          <w:rPr>
            <w:rStyle w:val="Hyperlink"/>
            <w:noProof/>
          </w:rPr>
          <w:t>Заеми за макрофинансова помощ (МФП)</w:t>
        </w:r>
        <w:r>
          <w:rPr>
            <w:noProof/>
            <w:webHidden/>
          </w:rPr>
          <w:tab/>
        </w:r>
        <w:r>
          <w:rPr>
            <w:noProof/>
            <w:webHidden/>
          </w:rPr>
          <w:fldChar w:fldCharType="begin"/>
        </w:r>
        <w:r>
          <w:rPr>
            <w:noProof/>
            <w:webHidden/>
          </w:rPr>
          <w:instrText xml:space="preserve"> PAGEREF _Toc54253102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4253103" w:history="1">
        <w:r>
          <w:rPr>
            <w:rStyle w:val="Hyperlink"/>
            <w:noProof/>
          </w:rPr>
          <w:t>3.1.4</w:t>
        </w:r>
        <w:r>
          <w:rPr>
            <w:rFonts w:asciiTheme="minorHAnsi" w:eastAsiaTheme="minorEastAsia" w:hAnsiTheme="minorHAnsi" w:cstheme="minorBidi"/>
            <w:noProof/>
            <w:sz w:val="22"/>
            <w:szCs w:val="22"/>
            <w:lang w:eastAsia="en-GB"/>
          </w:rPr>
          <w:tab/>
        </w:r>
        <w:r>
          <w:rPr>
            <w:rStyle w:val="Hyperlink"/>
            <w:noProof/>
          </w:rPr>
          <w:t>Заеми в рамките на Евратом</w:t>
        </w:r>
        <w:r>
          <w:rPr>
            <w:noProof/>
            <w:webHidden/>
          </w:rPr>
          <w:tab/>
        </w:r>
        <w:r>
          <w:rPr>
            <w:noProof/>
            <w:webHidden/>
          </w:rPr>
          <w:fldChar w:fldCharType="begin"/>
        </w:r>
        <w:r>
          <w:rPr>
            <w:noProof/>
            <w:webHidden/>
          </w:rPr>
          <w:instrText xml:space="preserve"> PAGEREF _Toc54253103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04"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Развитие на операциите на ЕИБ за външно финансиране</w:t>
        </w:r>
        <w:r>
          <w:rPr>
            <w:noProof/>
            <w:webHidden/>
          </w:rPr>
          <w:tab/>
        </w:r>
        <w:r>
          <w:rPr>
            <w:noProof/>
            <w:webHidden/>
          </w:rPr>
          <w:fldChar w:fldCharType="begin"/>
        </w:r>
        <w:r>
          <w:rPr>
            <w:noProof/>
            <w:webHidden/>
          </w:rPr>
          <w:instrText xml:space="preserve"> PAGEREF _Toc54253104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54253105" w:history="1">
        <w:r>
          <w:rPr>
            <w:rStyle w:val="Hyperlink"/>
            <w:b/>
            <w:noProof/>
          </w:rPr>
          <w:t>4.</w:t>
        </w:r>
        <w:r>
          <w:rPr>
            <w:rFonts w:asciiTheme="minorHAnsi" w:eastAsiaTheme="minorEastAsia" w:hAnsiTheme="minorHAnsi" w:cstheme="minorBidi"/>
            <w:b/>
            <w:noProof/>
            <w:sz w:val="22"/>
            <w:szCs w:val="22"/>
            <w:lang w:eastAsia="en-GB"/>
          </w:rPr>
          <w:tab/>
        </w:r>
        <w:r>
          <w:rPr>
            <w:rStyle w:val="Hyperlink"/>
            <w:b/>
            <w:noProof/>
          </w:rPr>
          <w:t>Рискове, обезпечени от бюджета на ЕС</w:t>
        </w:r>
        <w:r>
          <w:rPr>
            <w:b/>
            <w:noProof/>
            <w:webHidden/>
          </w:rPr>
          <w:tab/>
        </w:r>
        <w:r>
          <w:rPr>
            <w:b/>
            <w:noProof/>
            <w:webHidden/>
          </w:rPr>
          <w:fldChar w:fldCharType="begin"/>
        </w:r>
        <w:r>
          <w:rPr>
            <w:b/>
            <w:noProof/>
            <w:webHidden/>
          </w:rPr>
          <w:instrText xml:space="preserve"> PAGEREF _Toc54253105 \h </w:instrText>
        </w:r>
        <w:r>
          <w:rPr>
            <w:b/>
            <w:noProof/>
            <w:webHidden/>
          </w:rPr>
        </w:r>
        <w:r>
          <w:rPr>
            <w:b/>
            <w:noProof/>
            <w:webHidden/>
          </w:rPr>
          <w:fldChar w:fldCharType="separate"/>
        </w:r>
        <w:r>
          <w:rPr>
            <w:b/>
            <w:noProof/>
            <w:webHidden/>
          </w:rPr>
          <w:t>15</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06"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Определение на риска</w:t>
        </w:r>
        <w:r>
          <w:rPr>
            <w:noProof/>
            <w:webHidden/>
          </w:rPr>
          <w:tab/>
        </w:r>
        <w:r>
          <w:rPr>
            <w:noProof/>
            <w:webHidden/>
          </w:rPr>
          <w:fldChar w:fldCharType="begin"/>
        </w:r>
        <w:r>
          <w:rPr>
            <w:noProof/>
            <w:webHidden/>
          </w:rPr>
          <w:instrText xml:space="preserve"> PAGEREF _Toc54253106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07"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Общ състав на рисковете</w:t>
        </w:r>
        <w:r>
          <w:rPr>
            <w:noProof/>
            <w:webHidden/>
          </w:rPr>
          <w:tab/>
        </w:r>
        <w:r>
          <w:rPr>
            <w:noProof/>
            <w:webHidden/>
          </w:rPr>
          <w:fldChar w:fldCharType="begin"/>
        </w:r>
        <w:r>
          <w:rPr>
            <w:noProof/>
            <w:webHidden/>
          </w:rPr>
          <w:instrText xml:space="preserve"> PAGEREF _Toc54253107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08"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Годишен риск, обезпечен от бюджета на ЕС</w:t>
        </w:r>
        <w:r>
          <w:rPr>
            <w:noProof/>
            <w:webHidden/>
          </w:rPr>
          <w:tab/>
        </w:r>
        <w:r>
          <w:rPr>
            <w:noProof/>
            <w:webHidden/>
          </w:rPr>
          <w:fldChar w:fldCharType="begin"/>
        </w:r>
        <w:r>
          <w:rPr>
            <w:noProof/>
            <w:webHidden/>
          </w:rPr>
          <w:instrText xml:space="preserve"> PAGEREF _Toc54253108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4253109" w:history="1">
        <w:r>
          <w:rPr>
            <w:rStyle w:val="Hyperlink"/>
            <w:noProof/>
          </w:rPr>
          <w:t>4.3.1</w:t>
        </w:r>
        <w:r>
          <w:rPr>
            <w:rFonts w:asciiTheme="minorHAnsi" w:eastAsiaTheme="minorEastAsia" w:hAnsiTheme="minorHAnsi" w:cstheme="minorBidi"/>
            <w:noProof/>
            <w:sz w:val="22"/>
            <w:szCs w:val="22"/>
            <w:lang w:eastAsia="en-GB"/>
          </w:rPr>
          <w:tab/>
        </w:r>
        <w:r>
          <w:rPr>
            <w:rStyle w:val="Hyperlink"/>
            <w:noProof/>
          </w:rPr>
          <w:t>Експозиция към държавите членки</w:t>
        </w:r>
        <w:r>
          <w:rPr>
            <w:noProof/>
            <w:webHidden/>
          </w:rPr>
          <w:tab/>
        </w:r>
        <w:r>
          <w:rPr>
            <w:noProof/>
            <w:webHidden/>
          </w:rPr>
          <w:fldChar w:fldCharType="begin"/>
        </w:r>
        <w:r>
          <w:rPr>
            <w:noProof/>
            <w:webHidden/>
          </w:rPr>
          <w:instrText xml:space="preserve"> PAGEREF _Toc54253109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4253110" w:history="1">
        <w:r>
          <w:rPr>
            <w:rStyle w:val="Hyperlink"/>
            <w:noProof/>
          </w:rPr>
          <w:t>4.3.2</w:t>
        </w:r>
        <w:r>
          <w:rPr>
            <w:rFonts w:asciiTheme="minorHAnsi" w:eastAsiaTheme="minorEastAsia" w:hAnsiTheme="minorHAnsi" w:cstheme="minorBidi"/>
            <w:noProof/>
            <w:sz w:val="22"/>
            <w:szCs w:val="22"/>
            <w:lang w:eastAsia="en-GB"/>
          </w:rPr>
          <w:tab/>
        </w:r>
        <w:r>
          <w:rPr>
            <w:rStyle w:val="Hyperlink"/>
            <w:noProof/>
          </w:rPr>
          <w:t>Експозиция към трети държави</w:t>
        </w:r>
        <w:r>
          <w:rPr>
            <w:noProof/>
            <w:webHidden/>
          </w:rPr>
          <w:tab/>
        </w:r>
        <w:r>
          <w:rPr>
            <w:noProof/>
            <w:webHidden/>
          </w:rPr>
          <w:fldChar w:fldCharType="begin"/>
        </w:r>
        <w:r>
          <w:rPr>
            <w:noProof/>
            <w:webHidden/>
          </w:rPr>
          <w:instrText xml:space="preserve"> PAGEREF _Toc54253110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54253111" w:history="1">
        <w:r>
          <w:rPr>
            <w:rStyle w:val="Hyperlink"/>
            <w:b/>
            <w:noProof/>
          </w:rPr>
          <w:t>5.</w:t>
        </w:r>
        <w:r>
          <w:rPr>
            <w:rFonts w:asciiTheme="minorHAnsi" w:eastAsiaTheme="minorEastAsia" w:hAnsiTheme="minorHAnsi" w:cstheme="minorBidi"/>
            <w:b/>
            <w:noProof/>
            <w:sz w:val="22"/>
            <w:szCs w:val="22"/>
            <w:lang w:eastAsia="en-GB"/>
          </w:rPr>
          <w:tab/>
        </w:r>
        <w:r>
          <w:rPr>
            <w:rStyle w:val="Hyperlink"/>
            <w:b/>
            <w:noProof/>
          </w:rPr>
          <w:t>Задействане и плащане на гаранциите</w:t>
        </w:r>
        <w:r>
          <w:rPr>
            <w:b/>
            <w:noProof/>
            <w:webHidden/>
          </w:rPr>
          <w:tab/>
        </w:r>
        <w:r>
          <w:rPr>
            <w:b/>
            <w:noProof/>
            <w:webHidden/>
          </w:rPr>
          <w:fldChar w:fldCharType="begin"/>
        </w:r>
        <w:r>
          <w:rPr>
            <w:b/>
            <w:noProof/>
            <w:webHidden/>
          </w:rPr>
          <w:instrText xml:space="preserve"> PAGEREF _Toc54253111 \h </w:instrText>
        </w:r>
        <w:r>
          <w:rPr>
            <w:b/>
            <w:noProof/>
            <w:webHidden/>
          </w:rPr>
        </w:r>
        <w:r>
          <w:rPr>
            <w:b/>
            <w:noProof/>
            <w:webHidden/>
          </w:rPr>
          <w:fldChar w:fldCharType="separate"/>
        </w:r>
        <w:r>
          <w:rPr>
            <w:b/>
            <w:noProof/>
            <w:webHidden/>
          </w:rPr>
          <w:t>18</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12"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Обслужване на дълга, което не е обезпечено от Гаранционния фонд за външни дейности (заеми от Евратом за държавите членки, ЕМФС и ППБ)</w:t>
        </w:r>
        <w:r>
          <w:rPr>
            <w:noProof/>
            <w:webHidden/>
          </w:rPr>
          <w:tab/>
        </w:r>
        <w:r>
          <w:rPr>
            <w:noProof/>
            <w:webHidden/>
          </w:rPr>
          <w:fldChar w:fldCharType="begin"/>
        </w:r>
        <w:r>
          <w:rPr>
            <w:noProof/>
            <w:webHidden/>
          </w:rPr>
          <w:instrText xml:space="preserve"> PAGEREF _Toc54253112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4253113" w:history="1">
        <w:r>
          <w:rPr>
            <w:rStyle w:val="Hyperlink"/>
            <w:noProof/>
          </w:rPr>
          <w:t>5.1.1</w:t>
        </w:r>
        <w:r>
          <w:rPr>
            <w:rFonts w:asciiTheme="minorHAnsi" w:eastAsiaTheme="minorEastAsia" w:hAnsiTheme="minorHAnsi" w:cstheme="minorBidi"/>
            <w:noProof/>
            <w:sz w:val="22"/>
            <w:szCs w:val="22"/>
            <w:lang w:eastAsia="en-GB"/>
          </w:rPr>
          <w:tab/>
        </w:r>
        <w:r>
          <w:rPr>
            <w:rStyle w:val="Hyperlink"/>
            <w:noProof/>
          </w:rPr>
          <w:t>Плащания от касова наличност</w:t>
        </w:r>
        <w:r>
          <w:rPr>
            <w:noProof/>
            <w:webHidden/>
          </w:rPr>
          <w:tab/>
        </w:r>
        <w:r>
          <w:rPr>
            <w:noProof/>
            <w:webHidden/>
          </w:rPr>
          <w:fldChar w:fldCharType="begin"/>
        </w:r>
        <w:r>
          <w:rPr>
            <w:noProof/>
            <w:webHidden/>
          </w:rPr>
          <w:instrText xml:space="preserve"> PAGEREF _Toc54253113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4253114" w:history="1">
        <w:r>
          <w:rPr>
            <w:rStyle w:val="Hyperlink"/>
            <w:noProof/>
          </w:rPr>
          <w:t>5.1.2</w:t>
        </w:r>
        <w:r>
          <w:rPr>
            <w:rFonts w:asciiTheme="minorHAnsi" w:eastAsiaTheme="minorEastAsia" w:hAnsiTheme="minorHAnsi" w:cstheme="minorBidi"/>
            <w:noProof/>
            <w:sz w:val="22"/>
            <w:szCs w:val="22"/>
            <w:lang w:eastAsia="en-GB"/>
          </w:rPr>
          <w:tab/>
        </w:r>
        <w:r>
          <w:rPr>
            <w:rStyle w:val="Hyperlink"/>
            <w:noProof/>
          </w:rPr>
          <w:t>Плащания от бюджета на ЕС</w:t>
        </w:r>
        <w:r>
          <w:rPr>
            <w:noProof/>
            <w:webHidden/>
          </w:rPr>
          <w:tab/>
        </w:r>
        <w:r>
          <w:rPr>
            <w:noProof/>
            <w:webHidden/>
          </w:rPr>
          <w:fldChar w:fldCharType="begin"/>
        </w:r>
        <w:r>
          <w:rPr>
            <w:noProof/>
            <w:webHidden/>
          </w:rPr>
          <w:instrText xml:space="preserve"> PAGEREF _Toc54253114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4253115"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Искания, отправени към Гаранционния фонд за външни дейности, и събрани суми (заеми по линия на МВК, МФП и Евратом за трети държави)</w:t>
        </w:r>
        <w:r>
          <w:rPr>
            <w:noProof/>
            <w:webHidden/>
          </w:rPr>
          <w:tab/>
        </w:r>
        <w:r>
          <w:rPr>
            <w:noProof/>
            <w:webHidden/>
          </w:rPr>
          <w:fldChar w:fldCharType="begin"/>
        </w:r>
        <w:r>
          <w:rPr>
            <w:noProof/>
            <w:webHidden/>
          </w:rPr>
          <w:instrText xml:space="preserve"> PAGEREF _Toc54253115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16"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Развитие на Гаранционния фонд за външни дейности през 2019 г.</w:t>
        </w:r>
        <w:r>
          <w:rPr>
            <w:noProof/>
            <w:webHidden/>
          </w:rPr>
          <w:tab/>
        </w:r>
        <w:r>
          <w:rPr>
            <w:noProof/>
            <w:webHidden/>
          </w:rPr>
          <w:fldChar w:fldCharType="begin"/>
        </w:r>
        <w:r>
          <w:rPr>
            <w:noProof/>
            <w:webHidden/>
          </w:rPr>
          <w:instrText xml:space="preserve"> PAGEREF _Toc54253116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54253117" w:history="1">
        <w:r>
          <w:rPr>
            <w:rStyle w:val="Hyperlink"/>
            <w:b/>
            <w:noProof/>
          </w:rPr>
          <w:t>6.</w:t>
        </w:r>
        <w:r>
          <w:rPr>
            <w:rFonts w:asciiTheme="minorHAnsi" w:eastAsiaTheme="minorEastAsia" w:hAnsiTheme="minorHAnsi" w:cstheme="minorBidi"/>
            <w:b/>
            <w:noProof/>
            <w:sz w:val="22"/>
            <w:szCs w:val="22"/>
            <w:lang w:eastAsia="en-GB"/>
          </w:rPr>
          <w:tab/>
        </w:r>
        <w:r>
          <w:rPr>
            <w:rStyle w:val="Hyperlink"/>
            <w:b/>
            <w:noProof/>
          </w:rPr>
          <w:t xml:space="preserve">Европейският фонд за стратегически инвестиции (ЕФСИ) през 2019 г. </w:t>
        </w:r>
        <w:r>
          <w:rPr>
            <w:b/>
            <w:noProof/>
            <w:webHidden/>
          </w:rPr>
          <w:tab/>
        </w:r>
        <w:r>
          <w:rPr>
            <w:b/>
            <w:noProof/>
            <w:webHidden/>
          </w:rPr>
          <w:fldChar w:fldCharType="begin"/>
        </w:r>
        <w:r>
          <w:rPr>
            <w:b/>
            <w:noProof/>
            <w:webHidden/>
          </w:rPr>
          <w:instrText xml:space="preserve"> PAGEREF _Toc54253117 \h </w:instrText>
        </w:r>
        <w:r>
          <w:rPr>
            <w:b/>
            <w:noProof/>
            <w:webHidden/>
          </w:rPr>
        </w:r>
        <w:r>
          <w:rPr>
            <w:b/>
            <w:noProof/>
            <w:webHidden/>
          </w:rPr>
          <w:fldChar w:fldCharType="separate"/>
        </w:r>
        <w:r>
          <w:rPr>
            <w:b/>
            <w:noProof/>
            <w:webHidden/>
          </w:rPr>
          <w:t>23</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18" w:history="1">
        <w:r>
          <w:rPr>
            <w:rStyle w:val="Hyperlink"/>
            <w:noProof/>
          </w:rPr>
          <w:t xml:space="preserve">6.1 </w:t>
        </w:r>
        <w:r>
          <w:rPr>
            <w:rStyle w:val="Hyperlink"/>
            <w:noProof/>
          </w:rPr>
          <w:tab/>
          <w:t>Финансови отчети на Гаранционния фонд за ЕФСИ към 31 декември 2019 г.</w:t>
        </w:r>
        <w:r>
          <w:rPr>
            <w:noProof/>
            <w:webHidden/>
          </w:rPr>
          <w:tab/>
        </w:r>
        <w:r>
          <w:rPr>
            <w:noProof/>
            <w:webHidden/>
          </w:rPr>
          <w:fldChar w:fldCharType="begin"/>
        </w:r>
        <w:r>
          <w:rPr>
            <w:noProof/>
            <w:webHidden/>
          </w:rPr>
          <w:instrText xml:space="preserve"> PAGEREF _Toc54253118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19" w:history="1">
        <w:r>
          <w:rPr>
            <w:rStyle w:val="Hyperlink"/>
            <w:noProof/>
          </w:rPr>
          <w:t xml:space="preserve">6.2 </w:t>
        </w:r>
        <w:r>
          <w:rPr>
            <w:rStyle w:val="Hyperlink"/>
            <w:noProof/>
          </w:rPr>
          <w:tab/>
          <w:t>Операции на ЕФСИ по гаранцията на ЕС</w:t>
        </w:r>
        <w:r>
          <w:rPr>
            <w:noProof/>
            <w:webHidden/>
          </w:rPr>
          <w:tab/>
        </w:r>
        <w:r>
          <w:rPr>
            <w:noProof/>
            <w:webHidden/>
          </w:rPr>
          <w:fldChar w:fldCharType="begin"/>
        </w:r>
        <w:r>
          <w:rPr>
            <w:noProof/>
            <w:webHidden/>
          </w:rPr>
          <w:instrText xml:space="preserve"> PAGEREF _Toc54253119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20" w:history="1">
        <w:r>
          <w:rPr>
            <w:rStyle w:val="Hyperlink"/>
            <w:noProof/>
          </w:rPr>
          <w:t xml:space="preserve">6.3 </w:t>
        </w:r>
        <w:r>
          <w:rPr>
            <w:rStyle w:val="Hyperlink"/>
            <w:noProof/>
          </w:rPr>
          <w:tab/>
          <w:t>Финансиране на Гаранционния фонд на ЕФСИ</w:t>
        </w:r>
        <w:r>
          <w:rPr>
            <w:noProof/>
            <w:webHidden/>
          </w:rPr>
          <w:tab/>
        </w:r>
        <w:r>
          <w:rPr>
            <w:noProof/>
            <w:webHidden/>
          </w:rPr>
          <w:fldChar w:fldCharType="begin"/>
        </w:r>
        <w:r>
          <w:rPr>
            <w:noProof/>
            <w:webHidden/>
          </w:rPr>
          <w:instrText xml:space="preserve"> PAGEREF _Toc54253120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21" w:history="1">
        <w:r>
          <w:rPr>
            <w:rStyle w:val="Hyperlink"/>
            <w:noProof/>
          </w:rPr>
          <w:t xml:space="preserve">6.4 </w:t>
        </w:r>
        <w:r>
          <w:rPr>
            <w:rStyle w:val="Hyperlink"/>
            <w:noProof/>
          </w:rPr>
          <w:tab/>
          <w:t>Искания за изпълнение и използване на гаранцията на ЕС</w:t>
        </w:r>
        <w:r>
          <w:rPr>
            <w:noProof/>
            <w:webHidden/>
          </w:rPr>
          <w:tab/>
        </w:r>
        <w:r>
          <w:rPr>
            <w:noProof/>
            <w:webHidden/>
          </w:rPr>
          <w:fldChar w:fldCharType="begin"/>
        </w:r>
        <w:r>
          <w:rPr>
            <w:noProof/>
            <w:webHidden/>
          </w:rPr>
          <w:instrText xml:space="preserve"> PAGEREF _Toc54253121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b/>
          <w:noProof/>
          <w:sz w:val="22"/>
          <w:szCs w:val="22"/>
          <w:lang w:eastAsia="en-GB"/>
        </w:rPr>
      </w:pPr>
      <w:hyperlink w:anchor="_Toc54253122" w:history="1">
        <w:r>
          <w:rPr>
            <w:rStyle w:val="Hyperlink"/>
            <w:b/>
            <w:noProof/>
          </w:rPr>
          <w:t>7.</w:t>
        </w:r>
        <w:r>
          <w:rPr>
            <w:rFonts w:asciiTheme="minorHAnsi" w:eastAsiaTheme="minorEastAsia" w:hAnsiTheme="minorHAnsi" w:cstheme="minorBidi"/>
            <w:b/>
            <w:noProof/>
            <w:sz w:val="22"/>
            <w:szCs w:val="22"/>
            <w:lang w:eastAsia="en-GB"/>
          </w:rPr>
          <w:tab/>
        </w:r>
        <w:r>
          <w:rPr>
            <w:rStyle w:val="Hyperlink"/>
            <w:b/>
            <w:noProof/>
          </w:rPr>
          <w:t>Европейският фонд за устойчиво развитие (ЕФУР) през 2019 г.</w:t>
        </w:r>
        <w:r>
          <w:rPr>
            <w:b/>
            <w:noProof/>
            <w:webHidden/>
          </w:rPr>
          <w:tab/>
        </w:r>
        <w:r>
          <w:rPr>
            <w:b/>
            <w:noProof/>
            <w:webHidden/>
          </w:rPr>
          <w:fldChar w:fldCharType="begin"/>
        </w:r>
        <w:r>
          <w:rPr>
            <w:b/>
            <w:noProof/>
            <w:webHidden/>
          </w:rPr>
          <w:instrText xml:space="preserve"> PAGEREF _Toc54253122 \h </w:instrText>
        </w:r>
        <w:r>
          <w:rPr>
            <w:b/>
            <w:noProof/>
            <w:webHidden/>
          </w:rPr>
        </w:r>
        <w:r>
          <w:rPr>
            <w:b/>
            <w:noProof/>
            <w:webHidden/>
          </w:rPr>
          <w:fldChar w:fldCharType="separate"/>
        </w:r>
        <w:r>
          <w:rPr>
            <w:b/>
            <w:noProof/>
            <w:webHidden/>
          </w:rPr>
          <w:t>25</w:t>
        </w:r>
        <w:r>
          <w:rPr>
            <w:b/>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23"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Инвестиционни програми</w:t>
        </w:r>
        <w:r>
          <w:rPr>
            <w:noProof/>
            <w:webHidden/>
          </w:rPr>
          <w:tab/>
        </w:r>
        <w:r>
          <w:rPr>
            <w:noProof/>
            <w:webHidden/>
          </w:rPr>
          <w:fldChar w:fldCharType="begin"/>
        </w:r>
        <w:r>
          <w:rPr>
            <w:noProof/>
            <w:webHidden/>
          </w:rPr>
          <w:instrText xml:space="preserve"> PAGEREF _Toc54253123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4253124"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Гаранционен фонд на ЕФУР</w:t>
        </w:r>
        <w:r>
          <w:rPr>
            <w:noProof/>
            <w:webHidden/>
          </w:rPr>
          <w:tab/>
        </w:r>
        <w:r>
          <w:rPr>
            <w:noProof/>
            <w:webHidden/>
          </w:rPr>
          <w:fldChar w:fldCharType="begin"/>
        </w:r>
        <w:r>
          <w:rPr>
            <w:noProof/>
            <w:webHidden/>
          </w:rPr>
          <w:instrText xml:space="preserve"> PAGEREF _Toc54253124 \h </w:instrText>
        </w:r>
        <w:r>
          <w:rPr>
            <w:noProof/>
            <w:webHidden/>
          </w:rPr>
        </w:r>
        <w:r>
          <w:rPr>
            <w:noProof/>
            <w:webHidden/>
          </w:rPr>
          <w:fldChar w:fldCharType="separate"/>
        </w:r>
        <w:r>
          <w:rPr>
            <w:noProof/>
            <w:webHidden/>
          </w:rPr>
          <w:t>26</w:t>
        </w:r>
        <w:r>
          <w:rPr>
            <w:noProof/>
            <w:webHidden/>
          </w:rPr>
          <w:fldChar w:fldCharType="end"/>
        </w:r>
      </w:hyperlink>
    </w:p>
    <w:p>
      <w:pPr>
        <w:rPr>
          <w:noProof/>
          <w:color w:val="000000" w:themeColor="text1"/>
        </w:rPr>
      </w:pPr>
      <w:r>
        <w:rPr>
          <w:b/>
          <w:noProof/>
          <w:color w:val="000000" w:themeColor="text1"/>
        </w:rPr>
        <w:fldChar w:fldCharType="end"/>
      </w:r>
    </w:p>
    <w:p>
      <w:pPr>
        <w:rPr>
          <w:noProof/>
          <w:color w:val="000000" w:themeColor="text1"/>
          <w:lang w:val="en-IE"/>
        </w:rPr>
      </w:pPr>
    </w:p>
    <w:p>
      <w:pPr>
        <w:rPr>
          <w:noProof/>
          <w:color w:val="000000" w:themeColor="text1"/>
          <w:lang w:val="en-IE"/>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pPr>
    </w:p>
    <w:p>
      <w:pPr>
        <w:pStyle w:val="ManualHeading1"/>
        <w:tabs>
          <w:tab w:val="clear" w:pos="850"/>
          <w:tab w:val="left" w:pos="567"/>
        </w:tabs>
        <w:spacing w:before="0"/>
        <w:ind w:left="851" w:hanging="851"/>
        <w:rPr>
          <w:noProof/>
          <w:color w:val="000000" w:themeColor="text1"/>
        </w:rPr>
      </w:pPr>
      <w:bookmarkStart w:id="2" w:name="_Toc309831354"/>
      <w:bookmarkStart w:id="3" w:name="_Toc329261054"/>
      <w:bookmarkStart w:id="4" w:name="_Toc329855616"/>
      <w:bookmarkStart w:id="5" w:name="_Toc330551221"/>
      <w:bookmarkStart w:id="6" w:name="_Toc342470144"/>
      <w:bookmarkStart w:id="7" w:name="_Toc345073694"/>
      <w:bookmarkStart w:id="8" w:name="_Toc365986211"/>
      <w:bookmarkStart w:id="9" w:name="_Toc367869464"/>
      <w:bookmarkStart w:id="10" w:name="_Toc367869991"/>
      <w:bookmarkStart w:id="11" w:name="_Toc388973009"/>
      <w:bookmarkStart w:id="12" w:name="_Toc389474742"/>
      <w:bookmarkStart w:id="13" w:name="_Toc390944385"/>
      <w:bookmarkStart w:id="14" w:name="_Toc393969956"/>
      <w:bookmarkStart w:id="15" w:name="_Toc417461963"/>
      <w:bookmarkStart w:id="16" w:name="_Toc417998597"/>
      <w:bookmarkStart w:id="17" w:name="_Toc418157623"/>
      <w:bookmarkStart w:id="18" w:name="_Toc418160304"/>
      <w:bookmarkStart w:id="19" w:name="_Toc446577171"/>
      <w:bookmarkStart w:id="20" w:name="_Toc452646717"/>
      <w:bookmarkStart w:id="21" w:name="_Toc453161356"/>
      <w:bookmarkStart w:id="22" w:name="_Toc486601259"/>
      <w:bookmarkStart w:id="23" w:name="_Toc54253090"/>
      <w:r>
        <w:rPr>
          <w:noProof/>
          <w:color w:val="000000" w:themeColor="text1"/>
        </w:rPr>
        <w:t>1.</w:t>
      </w:r>
      <w:r>
        <w:rPr>
          <w:noProof/>
        </w:rPr>
        <w:tab/>
      </w:r>
      <w:r>
        <w:rPr>
          <w:noProof/>
          <w:color w:val="000000" w:themeColor="text1"/>
        </w:rPr>
        <w:t>Въведение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rPr>
          <w:noProof/>
          <w:color w:val="000000" w:themeColor="text1"/>
        </w:rPr>
      </w:pPr>
      <w:r>
        <w:rPr>
          <w:noProof/>
          <w:color w:val="000000" w:themeColor="text1"/>
        </w:rPr>
        <w:t>Целта на настоящия доклад е да се наблюдават условните задължения, поети от бюджета на ЕС в резултат на предоставените гаранции за операции по отпускане на заеми и подкрепа за инвестиции, изпълнявани пряко от Европейския съюз или непряко чрез гаранцията от ЕС.</w:t>
      </w:r>
    </w:p>
    <w:p>
      <w:pPr>
        <w:rPr>
          <w:noProof/>
          <w:color w:val="000000" w:themeColor="text1"/>
        </w:rPr>
      </w:pPr>
      <w:r>
        <w:rPr>
          <w:noProof/>
          <w:color w:val="000000" w:themeColor="text1"/>
        </w:rPr>
        <w:t>Настоящият доклад се представя съгласно член 149 от предходния Финансов регламент. По тази причина настоящият доклад относно гаранциите от бюджета на ЕС и съответните рискове за 2019 г. се представя за последен път и ще бъде заменен с бъдещата схема за докладване, предвидена в член 250 от новия Финансов регламент.</w:t>
      </w:r>
    </w:p>
    <w:p>
      <w:pPr>
        <w:rPr>
          <w:noProof/>
          <w:color w:val="000000" w:themeColor="text1"/>
        </w:rPr>
      </w:pPr>
      <w:r>
        <w:rPr>
          <w:noProof/>
          <w:color w:val="000000" w:themeColor="text1"/>
        </w:rPr>
        <w:t>Докладът е структуриран както следва: в раздел 2 се описват основните характеристики на операциите, гарантирани от бюджета на ЕС, както и редица други допълнителни механизми за управление на кризи, които не пораждат риск за бюджета на ЕС. В раздел 3 се описват развитието на гарантираните операции, управлявани пряко от Комисията, и гарантираните операции на ЕИБ по външно финансиране (с изключение на операциите на ЕФСИ и ЕФУР, които се разглеждат отделно в раздели 6 и 7). В раздел 4 са откроени основните рискове, обезпечени от бюджета на ЕС. В раздел 5 са описани активирането на гаранциите и развитието на Гаранционния фонд за външни дейности („Фондът“)</w:t>
      </w:r>
      <w:r>
        <w:rPr>
          <w:noProof/>
          <w:color w:val="000000" w:themeColor="text1"/>
          <w:vertAlign w:val="superscript"/>
          <w:lang w:val="en-IE"/>
        </w:rPr>
        <w:footnoteReference w:id="2"/>
      </w:r>
      <w:r>
        <w:rPr>
          <w:noProof/>
          <w:color w:val="000000" w:themeColor="text1"/>
        </w:rPr>
        <w:t>, в раздел 6 се очертава развитието на Европейския фонд за стратегически инвестиции (ЕФСИ)</w:t>
      </w:r>
      <w:r>
        <w:rPr>
          <w:rStyle w:val="FootnoteReference"/>
          <w:noProof/>
          <w:color w:val="000000" w:themeColor="text1"/>
          <w:lang w:val="en-IE"/>
        </w:rPr>
        <w:footnoteReference w:id="3"/>
      </w:r>
      <w:r>
        <w:rPr>
          <w:noProof/>
          <w:color w:val="000000" w:themeColor="text1"/>
        </w:rPr>
        <w:t>, а в раздел 7 се очертава развитието на Европейския фонд за устойчиво развитие (ЕФУР)</w:t>
      </w:r>
      <w:r>
        <w:rPr>
          <w:rStyle w:val="FootnoteReference"/>
          <w:noProof/>
          <w:color w:val="000000" w:themeColor="text1"/>
          <w:lang w:val="en-IE"/>
        </w:rPr>
        <w:footnoteReference w:id="4"/>
      </w:r>
      <w:r>
        <w:rPr>
          <w:noProof/>
          <w:color w:val="000000" w:themeColor="text1"/>
        </w:rPr>
        <w:t>.</w:t>
      </w:r>
    </w:p>
    <w:p>
      <w:pPr>
        <w:rPr>
          <w:noProof/>
          <w:color w:val="000000" w:themeColor="text1"/>
        </w:rPr>
      </w:pPr>
      <w:r>
        <w:rPr>
          <w:noProof/>
          <w:color w:val="000000" w:themeColor="text1"/>
        </w:rPr>
        <w:t>Настоящият доклад се допълва от работен документ на службите на Комисията, съдържащ подробни таблици и обяснителни бележки.</w:t>
      </w:r>
    </w:p>
    <w:p>
      <w:pPr>
        <w:pStyle w:val="ManualHeading1"/>
        <w:tabs>
          <w:tab w:val="clear" w:pos="850"/>
        </w:tabs>
        <w:ind w:left="567" w:hanging="567"/>
        <w:rPr>
          <w:noProof/>
          <w:color w:val="000000" w:themeColor="text1"/>
        </w:rPr>
      </w:pPr>
      <w:bookmarkStart w:id="24" w:name="_Toc329261055"/>
      <w:bookmarkStart w:id="25" w:name="_Toc329855617"/>
      <w:bookmarkStart w:id="26" w:name="_Toc330551222"/>
      <w:bookmarkStart w:id="27" w:name="_Toc342470145"/>
      <w:bookmarkStart w:id="28" w:name="_Toc345073695"/>
      <w:bookmarkStart w:id="29" w:name="_Toc365986212"/>
      <w:bookmarkStart w:id="30" w:name="_Toc367869465"/>
      <w:bookmarkStart w:id="31" w:name="_Toc367869992"/>
      <w:bookmarkStart w:id="32" w:name="_Toc388973010"/>
      <w:bookmarkStart w:id="33" w:name="_Toc389474743"/>
      <w:bookmarkStart w:id="34" w:name="_Toc390944386"/>
      <w:bookmarkStart w:id="35" w:name="_Toc393969957"/>
      <w:bookmarkStart w:id="36" w:name="_Toc417461964"/>
      <w:bookmarkStart w:id="37" w:name="_Toc417998598"/>
      <w:bookmarkStart w:id="38" w:name="_Toc418157624"/>
      <w:bookmarkStart w:id="39" w:name="_Toc418160305"/>
      <w:bookmarkStart w:id="40" w:name="_Toc446577172"/>
      <w:bookmarkStart w:id="41" w:name="_Toc452646718"/>
      <w:bookmarkStart w:id="42" w:name="_Toc453161357"/>
      <w:bookmarkStart w:id="43" w:name="_Toc486601260"/>
      <w:bookmarkStart w:id="44" w:name="_Toc54253091"/>
      <w:r>
        <w:rPr>
          <w:noProof/>
          <w:color w:val="000000" w:themeColor="text1"/>
        </w:rPr>
        <w:t>2.</w:t>
      </w:r>
      <w:r>
        <w:rPr>
          <w:noProof/>
        </w:rPr>
        <w:tab/>
      </w:r>
      <w:bookmarkStart w:id="45" w:name="_Toc309831355"/>
      <w:r>
        <w:rPr>
          <w:noProof/>
          <w:color w:val="000000" w:themeColor="text1"/>
        </w:rPr>
        <w:t xml:space="preserve">Операции, гарантирани от </w:t>
      </w:r>
      <w:bookmarkEnd w:id="24"/>
      <w:bookmarkEnd w:id="25"/>
      <w:bookmarkEnd w:id="26"/>
      <w:bookmarkEnd w:id="27"/>
      <w:bookmarkEnd w:id="28"/>
      <w:bookmarkEnd w:id="29"/>
      <w:bookmarkEnd w:id="30"/>
      <w:bookmarkEnd w:id="31"/>
      <w:bookmarkEnd w:id="32"/>
      <w:bookmarkEnd w:id="33"/>
      <w:bookmarkEnd w:id="45"/>
      <w:r>
        <w:rPr>
          <w:noProof/>
          <w:color w:val="000000" w:themeColor="text1"/>
        </w:rPr>
        <w:t>бюджета на ЕС</w:t>
      </w:r>
      <w:bookmarkEnd w:id="34"/>
      <w:bookmarkEnd w:id="35"/>
      <w:bookmarkEnd w:id="36"/>
      <w:bookmarkEnd w:id="37"/>
      <w:bookmarkEnd w:id="38"/>
      <w:bookmarkEnd w:id="39"/>
      <w:bookmarkEnd w:id="40"/>
      <w:bookmarkEnd w:id="41"/>
      <w:bookmarkEnd w:id="42"/>
      <w:bookmarkEnd w:id="43"/>
      <w:r>
        <w:rPr>
          <w:noProof/>
          <w:color w:val="000000" w:themeColor="text1"/>
        </w:rPr>
        <w:t>, и механизми за кризи на еврозоната, които не са обхванати от бюджета на ЕС</w:t>
      </w:r>
      <w:bookmarkEnd w:id="44"/>
    </w:p>
    <w:p>
      <w:pPr>
        <w:autoSpaceDE w:val="0"/>
        <w:rPr>
          <w:noProof/>
          <w:color w:val="000000" w:themeColor="text1"/>
        </w:rPr>
      </w:pPr>
      <w:r>
        <w:rPr>
          <w:noProof/>
          <w:color w:val="000000" w:themeColor="text1"/>
        </w:rPr>
        <w:t>Рисковете, покрити от бюджета на ЕС, произтичат от редица операции по отпускане на заеми и операции за гаранции, които могат да се обобщят в четири категории:</w:t>
      </w:r>
    </w:p>
    <w:p>
      <w:pPr>
        <w:pStyle w:val="ManualHeading2"/>
        <w:ind w:left="567" w:hanging="567"/>
        <w:rPr>
          <w:noProof/>
          <w:color w:val="000000" w:themeColor="text1"/>
        </w:rPr>
      </w:pPr>
      <w:bookmarkStart w:id="46" w:name="_Toc54253092"/>
      <w:r>
        <w:rPr>
          <w:noProof/>
          <w:color w:val="000000" w:themeColor="text1"/>
        </w:rPr>
        <w:t>2.1</w:t>
      </w:r>
      <w:r>
        <w:rPr>
          <w:noProof/>
        </w:rPr>
        <w:tab/>
      </w:r>
      <w:r>
        <w:rPr>
          <w:noProof/>
          <w:color w:val="000000" w:themeColor="text1"/>
        </w:rPr>
        <w:t>Заеми с макроикономически цели, отпуснати от Европейския съюз</w:t>
      </w:r>
      <w:bookmarkEnd w:id="46"/>
    </w:p>
    <w:p>
      <w:pPr>
        <w:autoSpaceDE w:val="0"/>
        <w:spacing w:after="240"/>
        <w:rPr>
          <w:noProof/>
          <w:color w:val="000000" w:themeColor="text1"/>
        </w:rPr>
      </w:pPr>
      <w:r>
        <w:rPr>
          <w:noProof/>
        </w:rPr>
        <w:t>Тези заеми включват 1) заеми за макрофинансова помощ (МФП)</w:t>
      </w:r>
      <w:r>
        <w:rPr>
          <w:noProof/>
          <w:vertAlign w:val="superscript"/>
        </w:rPr>
        <w:footnoteReference w:id="5"/>
      </w:r>
      <w:r>
        <w:rPr>
          <w:noProof/>
        </w:rPr>
        <w:t xml:space="preserve"> за трети държави, 2) заеми за подкрепа на платежния баланс (ППБ)</w:t>
      </w:r>
      <w:r>
        <w:rPr>
          <w:noProof/>
          <w:vertAlign w:val="superscript"/>
        </w:rPr>
        <w:footnoteReference w:id="6"/>
      </w:r>
      <w:r>
        <w:rPr>
          <w:noProof/>
        </w:rPr>
        <w:t xml:space="preserve"> на държави членки извън еврозоната, изпитващи затруднения, свързани с платежния баланс, и 3) заеми по линия на Европейския механизъм за финансово стабилизиране (ЕМФС)</w:t>
      </w:r>
      <w:r>
        <w:rPr>
          <w:noProof/>
          <w:vertAlign w:val="superscript"/>
        </w:rPr>
        <w:footnoteReference w:id="7"/>
      </w:r>
      <w:r>
        <w:rPr>
          <w:noProof/>
        </w:rPr>
        <w:t xml:space="preserve"> за подкрепа на всички държави членки, изпитващи или сериозно застрашени от тежки икономически и финансови сътресения, причинени от изключителни обстоятелства извън техния контрол.</w:t>
      </w:r>
      <w:r>
        <w:rPr>
          <w:noProof/>
          <w:color w:val="000000" w:themeColor="text1"/>
        </w:rPr>
        <w:t xml:space="preserve"> Те се отпускат заедно с финансова подкрепа от Международния валутен фонд (МВФ).</w:t>
      </w:r>
    </w:p>
    <w:p>
      <w:pPr>
        <w:pStyle w:val="ManualHeading2"/>
        <w:ind w:left="567" w:hanging="567"/>
        <w:rPr>
          <w:b w:val="0"/>
          <w:noProof/>
          <w:color w:val="000000" w:themeColor="text1"/>
        </w:rPr>
      </w:pPr>
      <w:bookmarkStart w:id="47" w:name="_Toc54253093"/>
      <w:r>
        <w:rPr>
          <w:noProof/>
          <w:color w:val="000000" w:themeColor="text1"/>
        </w:rPr>
        <w:t>2.2</w:t>
      </w:r>
      <w:r>
        <w:rPr>
          <w:noProof/>
        </w:rPr>
        <w:tab/>
      </w:r>
      <w:r>
        <w:rPr>
          <w:noProof/>
          <w:color w:val="000000" w:themeColor="text1"/>
        </w:rPr>
        <w:t>Заеми с микроикономически цели</w:t>
      </w:r>
      <w:bookmarkEnd w:id="47"/>
    </w:p>
    <w:p>
      <w:pPr>
        <w:autoSpaceDE w:val="0"/>
        <w:rPr>
          <w:noProof/>
          <w:color w:val="000000" w:themeColor="text1"/>
        </w:rPr>
      </w:pPr>
      <w:r>
        <w:rPr>
          <w:noProof/>
          <w:color w:val="000000" w:themeColor="text1"/>
        </w:rPr>
        <w:t>Тази точка се отнася до заемите от Евратом</w:t>
      </w:r>
      <w:r>
        <w:rPr>
          <w:rStyle w:val="Funotenzeichen"/>
          <w:noProof/>
          <w:color w:val="000000" w:themeColor="text1"/>
          <w:lang w:val="en-IE"/>
        </w:rPr>
        <w:footnoteReference w:id="8"/>
      </w:r>
      <w:r>
        <w:rPr>
          <w:noProof/>
          <w:color w:val="000000" w:themeColor="text1"/>
        </w:rPr>
        <w:t>. Механизмът за отпускане на заеми от Евратом може да се използва за:</w:t>
      </w:r>
    </w:p>
    <w:p>
      <w:pPr>
        <w:autoSpaceDE w:val="0"/>
        <w:ind w:left="426" w:hanging="426"/>
        <w:rPr>
          <w:noProof/>
          <w:color w:val="000000" w:themeColor="text1"/>
        </w:rPr>
      </w:pPr>
      <w:r>
        <w:rPr>
          <w:i/>
          <w:noProof/>
          <w:color w:val="000000" w:themeColor="text1"/>
        </w:rPr>
        <w:t>•</w:t>
      </w:r>
      <w:r>
        <w:rPr>
          <w:noProof/>
        </w:rPr>
        <w:tab/>
      </w:r>
      <w:r>
        <w:rPr>
          <w:i/>
          <w:noProof/>
          <w:color w:val="000000" w:themeColor="text1"/>
        </w:rPr>
        <w:t>[в държавите членки]:</w:t>
      </w:r>
      <w:r>
        <w:rPr>
          <w:noProof/>
          <w:color w:val="000000" w:themeColor="text1"/>
        </w:rPr>
        <w:t xml:space="preserve"> инвестиции в атомни електроцентрали и в промишлени мощности в ядрения горивен цикъл</w:t>
      </w:r>
      <w:r>
        <w:rPr>
          <w:rStyle w:val="Funotenzeichen"/>
          <w:noProof/>
          <w:color w:val="000000" w:themeColor="text1"/>
          <w:lang w:val="en-IE"/>
        </w:rPr>
        <w:footnoteReference w:id="9"/>
      </w:r>
      <w:r>
        <w:rPr>
          <w:noProof/>
          <w:color w:val="000000" w:themeColor="text1"/>
        </w:rPr>
        <w:t xml:space="preserve"> и</w:t>
      </w:r>
    </w:p>
    <w:p>
      <w:pPr>
        <w:autoSpaceDE w:val="0"/>
        <w:spacing w:after="240"/>
        <w:ind w:left="426" w:hanging="426"/>
        <w:rPr>
          <w:noProof/>
          <w:color w:val="000000" w:themeColor="text1"/>
        </w:rPr>
      </w:pPr>
      <w:r>
        <w:rPr>
          <w:noProof/>
          <w:color w:val="000000" w:themeColor="text1"/>
        </w:rPr>
        <w:t>•</w:t>
      </w:r>
      <w:r>
        <w:rPr>
          <w:noProof/>
        </w:rPr>
        <w:tab/>
      </w:r>
      <w:r>
        <w:rPr>
          <w:i/>
          <w:noProof/>
          <w:color w:val="000000" w:themeColor="text1"/>
        </w:rPr>
        <w:t>[в някои държави извън ЕС]:</w:t>
      </w:r>
      <w:r>
        <w:rPr>
          <w:noProof/>
          <w:color w:val="000000" w:themeColor="text1"/>
        </w:rPr>
        <w:t xml:space="preserve"> инвестиции за подобряване на безопасността и ефикасността на атомните електроцентрали, които съществуват или са в процес на изграждане, както и проекти за извеждане от експлоатация</w:t>
      </w:r>
      <w:r>
        <w:rPr>
          <w:rStyle w:val="Funotenzeichen"/>
          <w:noProof/>
          <w:color w:val="000000" w:themeColor="text1"/>
          <w:lang w:val="en-IE"/>
        </w:rPr>
        <w:footnoteReference w:id="10"/>
      </w:r>
      <w:r>
        <w:rPr>
          <w:noProof/>
          <w:color w:val="000000" w:themeColor="text1"/>
        </w:rPr>
        <w:t>.</w:t>
      </w:r>
    </w:p>
    <w:p>
      <w:pPr>
        <w:pStyle w:val="ManualHeading2"/>
        <w:ind w:left="567" w:hanging="567"/>
        <w:rPr>
          <w:noProof/>
          <w:color w:val="000000" w:themeColor="text1"/>
        </w:rPr>
      </w:pPr>
      <w:bookmarkStart w:id="48" w:name="_Toc54253094"/>
      <w:r>
        <w:rPr>
          <w:noProof/>
          <w:color w:val="000000" w:themeColor="text1"/>
        </w:rPr>
        <w:t>2.3</w:t>
      </w:r>
      <w:r>
        <w:rPr>
          <w:noProof/>
        </w:rPr>
        <w:tab/>
      </w:r>
      <w:r>
        <w:rPr>
          <w:noProof/>
          <w:color w:val="000000" w:themeColor="text1"/>
        </w:rPr>
        <w:t>Финансиране на операции от Европейската инвестиционна банка (ЕИБ) в държави извън ЕС („външно финансиране от ЕИБ“), обезпечено с гаранции на ЕС (мандат за външно кредитиране (МВК)</w:t>
      </w:r>
      <w:r>
        <w:rPr>
          <w:rStyle w:val="Funotenzeichen"/>
          <w:noProof/>
          <w:color w:val="000000" w:themeColor="text1"/>
          <w:lang w:val="en-IE"/>
        </w:rPr>
        <w:footnoteReference w:id="11"/>
      </w:r>
      <w:bookmarkEnd w:id="48"/>
    </w:p>
    <w:p>
      <w:pPr>
        <w:autoSpaceDE w:val="0"/>
        <w:rPr>
          <w:noProof/>
          <w:color w:val="000000" w:themeColor="text1"/>
        </w:rPr>
      </w:pPr>
      <w:r>
        <w:rPr>
          <w:noProof/>
          <w:color w:val="000000" w:themeColor="text1"/>
        </w:rPr>
        <w:t>В рамките на мандата за външно кредитиране (МВК) ЕС предоставя гаранция от бюджета на ЕС, за да се даде възможност на ЕИБ да повиши кредитирането си извън ЕС в подкрепа на политиките на ЕС. МВК подкрепя дейността на ЕИБ в държавите на предприсъединителен етап, държавите от южното и източното съседство, Азия, Латинска Америка и Южна Африка. През периода на сегашния МВК (2014—2020 г.) бюджетът на ЕС гарантира операции на ЕИБ в размер до 32,3 милиарда евро. На 14 март 2018 г. Европейският парламент и Съветът приеха Решение (ЕС) 2018/412 за изменение на Решение № 466/2014/ЕС в контекста на междинния преглед на МВК, по-специално за увеличаване на максималния таван за текущия МВК от 27 милиарда евро на 32,3 милиарда евро. С това преразглеждане се добавя нова цел за дългосрочна икономическа устойчивост на бежанските, мигрантските, приемащите общности и общностите на транзитно преминаване, както и общностите на произход, като стратегически отговор за справяне с първопричините за миграцията.</w:t>
      </w:r>
    </w:p>
    <w:p>
      <w:pPr>
        <w:autoSpaceDE w:val="0"/>
        <w:rPr>
          <w:noProof/>
          <w:color w:val="000000" w:themeColor="text1"/>
        </w:rPr>
      </w:pPr>
      <w:r>
        <w:rPr>
          <w:noProof/>
          <w:color w:val="000000" w:themeColor="text1"/>
        </w:rPr>
        <w:t xml:space="preserve">Гаранцията от ЕС за ЕИБ покрива рискове от държавен и политически характер във връзка с нейните операции по финансиране, осъществявани извън Съюза в подкрепа на целите на външната политика на Съюза. </w:t>
      </w:r>
      <w:r>
        <w:rPr>
          <w:noProof/>
        </w:rPr>
        <w:t>Освен това ЕИБ финансира на собствен риск инвестиционни операции извън Съюза, както и дейности в рамките на специални мандати, например в държавите от АКТБ</w:t>
      </w:r>
      <w:r>
        <w:rPr>
          <w:rStyle w:val="FootnoteReference"/>
          <w:noProof/>
          <w:color w:val="000000" w:themeColor="text1"/>
          <w:lang w:val="en-IE"/>
        </w:rPr>
        <w:footnoteReference w:id="12"/>
      </w:r>
      <w:r>
        <w:rPr>
          <w:noProof/>
        </w:rPr>
        <w:t>.</w:t>
      </w:r>
    </w:p>
    <w:p>
      <w:pPr>
        <w:autoSpaceDE w:val="0"/>
        <w:rPr>
          <w:noProof/>
          <w:color w:val="000000" w:themeColor="text1"/>
        </w:rPr>
      </w:pPr>
      <w:r>
        <w:rPr>
          <w:noProof/>
          <w:color w:val="000000" w:themeColor="text1"/>
        </w:rPr>
        <w:t>За да се подпомага външната дейност на Съюза и за да може ЕИБ да финансира инвестиции извън Съюза, без това да се отразява на кредитоспособността на ЕИБ, по-голямата част от нейните операции извън Съюза се ползват с бюджетна гаранция от ЕС.</w:t>
      </w:r>
    </w:p>
    <w:p>
      <w:pPr>
        <w:rPr>
          <w:b/>
          <w:noProof/>
          <w:color w:val="000000" w:themeColor="text1"/>
          <w:u w:val="single"/>
        </w:rPr>
      </w:pPr>
      <w:r>
        <w:rPr>
          <w:b/>
          <w:noProof/>
          <w:color w:val="000000" w:themeColor="text1"/>
          <w:u w:val="single"/>
        </w:rPr>
        <w:t>Гаранционен фонд за външни дейности</w:t>
      </w:r>
      <w:r>
        <w:rPr>
          <w:noProof/>
          <w:color w:val="000000" w:themeColor="text1"/>
          <w:vertAlign w:val="superscript"/>
          <w:lang w:val="en-IE"/>
        </w:rPr>
        <w:footnoteReference w:id="13"/>
      </w:r>
    </w:p>
    <w:p>
      <w:pPr>
        <w:rPr>
          <w:noProof/>
          <w:color w:val="000000" w:themeColor="text1"/>
        </w:rPr>
      </w:pPr>
      <w:r>
        <w:rPr>
          <w:noProof/>
          <w:color w:val="000000" w:themeColor="text1"/>
        </w:rPr>
        <w:t>От 1994 г. гарантираното външно финансиране от ЕИБ, заемите в рамките на макрофинансовата помощ (МФП) и заемите от Евратом за трети държави се обезпечават от Гаранционния фонд за външни дейности („Фондът“), а заемите за подкрепа на платежния баланс , заемите по ЕМФС и заемите от Евратом — пряко от бюджета на ЕС.</w:t>
      </w:r>
    </w:p>
    <w:p>
      <w:pPr>
        <w:rPr>
          <w:noProof/>
          <w:color w:val="000000" w:themeColor="text1"/>
        </w:rPr>
      </w:pPr>
      <w:r>
        <w:rPr>
          <w:noProof/>
          <w:color w:val="000000" w:themeColor="text1"/>
        </w:rPr>
        <w:t>Този фонд покрива неизпълнение на задължения по заеми и на гаранции по заеми, предоставени на държави извън ЕС или за проекти в държави извън ЕС. Той бе създаден с цел:</w:t>
      </w:r>
    </w:p>
    <w:p>
      <w:pPr>
        <w:pStyle w:val="ListDash"/>
        <w:numPr>
          <w:ilvl w:val="0"/>
          <w:numId w:val="36"/>
        </w:numPr>
        <w:ind w:left="851"/>
        <w:rPr>
          <w:noProof/>
          <w:color w:val="000000" w:themeColor="text1"/>
        </w:rPr>
      </w:pPr>
      <w:r>
        <w:rPr>
          <w:noProof/>
        </w:rPr>
        <w:tab/>
      </w:r>
      <w:r>
        <w:rPr>
          <w:noProof/>
          <w:color w:val="000000" w:themeColor="text1"/>
        </w:rPr>
        <w:t>осигуряване на „ликвиден резерв“, за да не се налага ангажирането на средства от бюджета на ЕС при всяко неизпълнено или закъсняло плащане по гарантиран заем; и</w:t>
      </w:r>
    </w:p>
    <w:p>
      <w:pPr>
        <w:pStyle w:val="ListDash"/>
        <w:numPr>
          <w:ilvl w:val="0"/>
          <w:numId w:val="36"/>
        </w:numPr>
        <w:ind w:left="851"/>
        <w:rPr>
          <w:noProof/>
          <w:color w:val="000000" w:themeColor="text1"/>
        </w:rPr>
      </w:pPr>
      <w:r>
        <w:rPr>
          <w:noProof/>
        </w:rPr>
        <w:tab/>
      </w:r>
      <w:r>
        <w:rPr>
          <w:noProof/>
          <w:color w:val="000000" w:themeColor="text1"/>
        </w:rPr>
        <w:t>създаване на инструмент за бюджетна дисциплина чрез установяване на финансова рамка за развитието на политиката на ЕС в областта на гаранциите по заемите от ЕС и ЕИБ, предоставени на трети държави</w:t>
      </w:r>
      <w:r>
        <w:rPr>
          <w:rStyle w:val="Funotenzeichen"/>
          <w:noProof/>
          <w:color w:val="000000" w:themeColor="text1"/>
          <w:lang w:val="en-IE"/>
        </w:rPr>
        <w:footnoteReference w:id="14"/>
      </w:r>
      <w:r>
        <w:rPr>
          <w:noProof/>
          <w:color w:val="000000" w:themeColor="text1"/>
        </w:rPr>
        <w:t>.</w:t>
      </w:r>
    </w:p>
    <w:p>
      <w:pPr>
        <w:rPr>
          <w:noProof/>
          <w:color w:val="000000" w:themeColor="text1"/>
        </w:rPr>
      </w:pPr>
      <w:r>
        <w:rPr>
          <w:noProof/>
          <w:color w:val="000000" w:themeColor="text1"/>
        </w:rPr>
        <w:t>Ако трети държави станат държави членки, предоставените им заеми вече не се обезпечават от Фонда и рискът трябва да бъде понесен пряко от бюджета на ЕС. Средствата на Фонда се предоставят от бюджета на ЕС и трябва да се поддържат на равнището на определен процент от размера на непогасените суми по заемите и обезпечените от него гаранции по заемите. Понастоящем този процент, наричан „целеви размер“, е 9 %</w:t>
      </w:r>
      <w:r>
        <w:rPr>
          <w:rStyle w:val="FootnoteReference"/>
          <w:noProof/>
          <w:color w:val="000000" w:themeColor="text1"/>
          <w:lang w:val="en-IE"/>
        </w:rPr>
        <w:footnoteReference w:id="15"/>
      </w:r>
      <w:r>
        <w:rPr>
          <w:noProof/>
          <w:color w:val="000000" w:themeColor="text1"/>
        </w:rPr>
        <w:t>. Ако ресурсите на Фонда не са достатъчни, необходимите средства се осигуряват от бюджета на ЕС. Активите на фонда се управляват от ЕИБ.</w:t>
      </w:r>
    </w:p>
    <w:p>
      <w:pPr>
        <w:pStyle w:val="ManualHeading2"/>
        <w:ind w:left="567" w:hanging="567"/>
        <w:rPr>
          <w:b w:val="0"/>
          <w:noProof/>
          <w:color w:val="000000" w:themeColor="text1"/>
        </w:rPr>
      </w:pPr>
      <w:bookmarkStart w:id="49" w:name="_Toc54253095"/>
      <w:r>
        <w:rPr>
          <w:noProof/>
          <w:color w:val="000000" w:themeColor="text1"/>
        </w:rPr>
        <w:t>2.4</w:t>
      </w:r>
      <w:r>
        <w:rPr>
          <w:noProof/>
        </w:rPr>
        <w:tab/>
      </w:r>
      <w:r>
        <w:rPr>
          <w:noProof/>
          <w:color w:val="000000" w:themeColor="text1"/>
        </w:rPr>
        <w:t>Финансиране от Европейската инвестиционна банка (ЕИБ) и Европейския инвестиционен фонд (ЕИФ) на операции в държавите членки, обезпечени с гаранции на ЕС — Европейският фонд за стратегически инвестиции (ЕФСИ)</w:t>
      </w:r>
      <w:bookmarkEnd w:id="49"/>
    </w:p>
    <w:p>
      <w:pPr>
        <w:rPr>
          <w:noProof/>
          <w:color w:val="000000" w:themeColor="text1"/>
        </w:rPr>
      </w:pPr>
      <w:r>
        <w:rPr>
          <w:noProof/>
          <w:color w:val="000000" w:themeColor="text1"/>
        </w:rPr>
        <w:t>Европейският фонд за стратегически инвестиции (ЕФСИ) е основен елемент от Плана за инвестиции за Европа, предназначен да стимулира в дългосрочен план икономическия растеж и конкурентоспособността в Европейския съюз.</w:t>
      </w:r>
    </w:p>
    <w:p>
      <w:pPr>
        <w:spacing w:before="240" w:after="240"/>
        <w:rPr>
          <w:noProof/>
          <w:color w:val="000000" w:themeColor="text1"/>
        </w:rPr>
      </w:pPr>
      <w:r>
        <w:rPr>
          <w:noProof/>
          <w:color w:val="000000" w:themeColor="text1"/>
        </w:rPr>
        <w:t>Гаранцията на ЕС</w:t>
      </w:r>
      <w:r>
        <w:rPr>
          <w:rStyle w:val="FootnoteReference"/>
          <w:noProof/>
          <w:color w:val="000000" w:themeColor="text1"/>
        </w:rPr>
        <w:footnoteReference w:id="16"/>
      </w:r>
      <w:r>
        <w:rPr>
          <w:noProof/>
          <w:color w:val="000000" w:themeColor="text1"/>
        </w:rPr>
        <w:t xml:space="preserve"> обхваща операциите по финансиране и инвестиране, подписани от ЕИБ в рамките на основната част на компонента за инфраструктура и иновации (КИИ) и от ЕИФ в рамките на компонента за МСП (КМСП) и на подкомпонента на КИИ за инвестиции във фонд за МСП/дружества със средна пазарна капитализация. Гаранцията на ЕС покрива част от общите операции на ЕФСИ, като за друга част от тях рискът се поема от групата на ЕИБ</w:t>
      </w:r>
      <w:r>
        <w:rPr>
          <w:rStyle w:val="FootnoteReference"/>
          <w:noProof/>
          <w:color w:val="000000" w:themeColor="text1"/>
        </w:rPr>
        <w:footnoteReference w:id="17"/>
      </w:r>
      <w:r>
        <w:rPr>
          <w:noProof/>
          <w:color w:val="000000" w:themeColor="text1"/>
        </w:rPr>
        <w:t>.</w:t>
      </w:r>
    </w:p>
    <w:p>
      <w:pPr>
        <w:rPr>
          <w:noProof/>
          <w:color w:val="000000" w:themeColor="text1"/>
        </w:rPr>
      </w:pPr>
      <w:r>
        <w:rPr>
          <w:noProof/>
          <w:color w:val="000000" w:themeColor="text1"/>
        </w:rPr>
        <w:t>ЕИБ и ЕИФ отговарят за оценяването и наблюдението на риска на отделните операции и докладват за това на Комисията и Европейската сметна палата.</w:t>
      </w:r>
    </w:p>
    <w:p>
      <w:pPr>
        <w:rPr>
          <w:noProof/>
          <w:color w:val="000000" w:themeColor="text1"/>
        </w:rPr>
      </w:pPr>
      <w:r>
        <w:rPr>
          <w:noProof/>
          <w:color w:val="000000" w:themeColor="text1"/>
          <w:u w:val="single"/>
        </w:rPr>
        <w:t>Гаранционен фонд на Европейския фонд за стратегически инвестиции (ГФЕФСИ)</w:t>
      </w:r>
    </w:p>
    <w:p>
      <w:pPr>
        <w:rPr>
          <w:noProof/>
          <w:color w:val="000000" w:themeColor="text1"/>
        </w:rPr>
      </w:pPr>
      <w:r>
        <w:rPr>
          <w:noProof/>
          <w:color w:val="000000" w:themeColor="text1"/>
        </w:rPr>
        <w:t>Съгласно член 12 от Регламента за ЕФСИ гаранционният фонд на ЕФСИ представлява ликвиден резерв, от който ЕИБ получава плащане, в случай че бъде поискано изпълнение по гаранцията на ЕС. В съответствие със Споразумението за ЕФСИ между ЕС и ЕИБ исканията се изплащат от ГФЕФСИ, ако техният размер надвишава средствата, които са на разпореждане на ЕИБ по сметката на ЕФСИ. Сметката на ЕФСИ, която се управлява от ЕИБ, бе създадена за целите на събирането на приходите на ЕС и събраните суми, свързани с операции на ЕФСИ, покрити от гаранцията на ЕС, и — до размера на наличността по сметката — с цел плащане на искания за изпълнение по гаранцията на ЕС.</w:t>
      </w:r>
    </w:p>
    <w:p>
      <w:pPr>
        <w:rPr>
          <w:noProof/>
          <w:color w:val="000000" w:themeColor="text1"/>
        </w:rPr>
      </w:pPr>
      <w:r>
        <w:rPr>
          <w:noProof/>
          <w:color w:val="000000" w:themeColor="text1"/>
        </w:rPr>
        <w:t>Целевият размер на ГФЕФСИ беше определен на 35 % от общите задължения по гаранцията на ЕС</w:t>
      </w:r>
      <w:r>
        <w:rPr>
          <w:rStyle w:val="FootnoteReference"/>
          <w:noProof/>
          <w:color w:val="000000" w:themeColor="text1"/>
        </w:rPr>
        <w:footnoteReference w:id="18"/>
      </w:r>
      <w:r>
        <w:rPr>
          <w:noProof/>
          <w:color w:val="000000" w:themeColor="text1"/>
        </w:rPr>
        <w:t>. Оценката на риска на различните продукти, подкрепяни чрез гаранцията на ЕС, показва, че като цяло този целеви размер гарантира, че бюджетът на Съюза ще бъде адекватно защитен от потенциални искания за изпълнение по гаранцията на ЕС, като се вземат предвид събраните суми, приходите и обратните постъпления от операциите на ЕИБ.</w:t>
      </w:r>
    </w:p>
    <w:p>
      <w:pPr>
        <w:rPr>
          <w:noProof/>
          <w:color w:val="000000" w:themeColor="text1"/>
        </w:rPr>
      </w:pPr>
      <w:r>
        <w:rPr>
          <w:noProof/>
          <w:color w:val="000000" w:themeColor="text1"/>
        </w:rPr>
        <w:t>ГФЕФСИ се захранва постепенно, като се взема под внимание нарастването на експозицията, покрита от гаранцията на ЕС.</w:t>
      </w:r>
    </w:p>
    <w:p>
      <w:pPr>
        <w:rPr>
          <w:noProof/>
          <w:color w:val="000000" w:themeColor="text1"/>
        </w:rPr>
      </w:pPr>
      <w:r>
        <w:rPr>
          <w:noProof/>
          <w:color w:val="000000" w:themeColor="text1"/>
        </w:rPr>
        <w:t>Съгласно член 12, параграф 4 ресурсите на ГФЕФСИ се управляват пряко от Комисията и се инвестират в съответствие с принципа на доброто финансово управление при спазване на съответните пруденциални правила.</w:t>
      </w:r>
    </w:p>
    <w:p>
      <w:pPr>
        <w:spacing w:before="240" w:after="360"/>
        <w:rPr>
          <w:noProof/>
          <w:color w:val="000000" w:themeColor="text1"/>
        </w:rPr>
      </w:pPr>
      <w:r>
        <w:rPr>
          <w:noProof/>
          <w:color w:val="000000" w:themeColor="text1"/>
        </w:rPr>
        <w:t>За повече информация относно ЕФСИ вж. раздел 6 „Европейският фонд за стратегически инвестиции (ЕФСИ) през 2019 г.“</w:t>
      </w:r>
    </w:p>
    <w:p>
      <w:pPr>
        <w:pStyle w:val="ManualHeading2"/>
        <w:ind w:left="567" w:hanging="567"/>
        <w:rPr>
          <w:b w:val="0"/>
          <w:noProof/>
          <w:color w:val="000000" w:themeColor="text1"/>
        </w:rPr>
      </w:pPr>
      <w:bookmarkStart w:id="50" w:name="_Toc54253096"/>
      <w:r>
        <w:rPr>
          <w:noProof/>
          <w:color w:val="000000" w:themeColor="text1"/>
        </w:rPr>
        <w:t>2.5</w:t>
      </w:r>
      <w:r>
        <w:rPr>
          <w:noProof/>
        </w:rPr>
        <w:tab/>
        <w:t>План за външни инвестиции и Европейски фонд за устойчиво развитие (ЕФУР)</w:t>
      </w:r>
      <w:bookmarkEnd w:id="50"/>
    </w:p>
    <w:p>
      <w:pPr>
        <w:rPr>
          <w:noProof/>
          <w:color w:val="000000" w:themeColor="text1"/>
        </w:rPr>
      </w:pPr>
      <w:r>
        <w:rPr>
          <w:noProof/>
          <w:color w:val="000000" w:themeColor="text1"/>
        </w:rPr>
        <w:t>На 14 септември 2016 г. Европейската комисия предложи План за външни инвестиции за насърчаване на инвестициите в държавите партньори на ЕС в Африка и в съседните на ЕС държави, укрепване на партньорствата и принос за постигането на целите за устойчиво развитие, което ще спомогне за преодоляване на някои от първопричините за миграцията.</w:t>
      </w:r>
    </w:p>
    <w:p>
      <w:pPr>
        <w:rPr>
          <w:noProof/>
          <w:color w:val="000000" w:themeColor="text1"/>
        </w:rPr>
      </w:pPr>
      <w:r>
        <w:rPr>
          <w:noProof/>
          <w:color w:val="000000" w:themeColor="text1"/>
        </w:rPr>
        <w:t>Европейският фонд за устойчиво развитие (ЕФУР) представлява първия стълб на Плана за външни инвестиции. Той предоставя интегриран финансов пакет за подкрепа на инвестиции от страна на публичните финансови институции и частния сектор. Тъй като е отворен за редица партньори по изпълнението, ЕФУР е в състояние да привлече много повече публични и частни инвестиции в целевите държави, отколкото би било възможно иначе. Той включва:</w:t>
      </w:r>
    </w:p>
    <w:p>
      <w:pPr>
        <w:rPr>
          <w:noProof/>
          <w:color w:val="000000" w:themeColor="text1"/>
        </w:rPr>
      </w:pPr>
      <w:r>
        <w:rPr>
          <w:noProof/>
          <w:color w:val="000000" w:themeColor="text1"/>
        </w:rPr>
        <w:t>–</w:t>
      </w:r>
      <w:r>
        <w:rPr>
          <w:noProof/>
        </w:rPr>
        <w:tab/>
      </w:r>
      <w:r>
        <w:rPr>
          <w:noProof/>
          <w:color w:val="000000" w:themeColor="text1"/>
        </w:rPr>
        <w:t>бюджетна гаранция и</w:t>
      </w:r>
    </w:p>
    <w:p>
      <w:pPr>
        <w:rPr>
          <w:noProof/>
          <w:color w:val="000000" w:themeColor="text1"/>
        </w:rPr>
      </w:pPr>
      <w:r>
        <w:rPr>
          <w:noProof/>
          <w:color w:val="000000" w:themeColor="text1"/>
        </w:rPr>
        <w:t>–</w:t>
      </w:r>
      <w:r>
        <w:rPr>
          <w:noProof/>
        </w:rPr>
        <w:tab/>
      </w:r>
      <w:r>
        <w:rPr>
          <w:noProof/>
          <w:color w:val="000000" w:themeColor="text1"/>
        </w:rPr>
        <w:t>инструменти за смесено финансиране.</w:t>
      </w:r>
    </w:p>
    <w:p>
      <w:pPr>
        <w:rPr>
          <w:noProof/>
        </w:rPr>
      </w:pPr>
      <w:r>
        <w:rPr>
          <w:noProof/>
        </w:rPr>
        <w:t>Регламент за ЕФУР влезе в сила на 26 септември 2017 г.</w:t>
      </w:r>
      <w:r>
        <w:rPr>
          <w:noProof/>
          <w:vertAlign w:val="superscript"/>
        </w:rPr>
        <w:t xml:space="preserve"> </w:t>
      </w:r>
      <w:r>
        <w:rPr>
          <w:noProof/>
          <w:vertAlign w:val="superscript"/>
          <w:lang w:val="en-IE" w:eastAsia="en-GB"/>
        </w:rPr>
        <w:footnoteReference w:id="19"/>
      </w:r>
    </w:p>
    <w:p>
      <w:pPr>
        <w:spacing w:before="240"/>
        <w:rPr>
          <w:b/>
          <w:noProof/>
          <w:u w:val="single"/>
        </w:rPr>
      </w:pPr>
      <w:r>
        <w:rPr>
          <w:b/>
          <w:noProof/>
          <w:u w:val="single"/>
        </w:rPr>
        <w:t>Гаранцията от ЕФУР</w:t>
      </w:r>
    </w:p>
    <w:p>
      <w:pPr>
        <w:rPr>
          <w:noProof/>
          <w:color w:val="000000" w:themeColor="text1"/>
        </w:rPr>
      </w:pPr>
      <w:r>
        <w:rPr>
          <w:noProof/>
          <w:color w:val="000000" w:themeColor="text1"/>
        </w:rPr>
        <w:t>Гаранцията от ЕФУР се използва за намаляване на рисковете за инвестиции в устойчиво развитие в партньорските държави, като по този начин помага за мобилизирането на инвестиции, особено от частния сектор.</w:t>
      </w:r>
    </w:p>
    <w:p>
      <w:pPr>
        <w:rPr>
          <w:noProof/>
          <w:color w:val="000000" w:themeColor="text1"/>
        </w:rPr>
      </w:pPr>
      <w:r>
        <w:rPr>
          <w:noProof/>
          <w:color w:val="000000" w:themeColor="text1"/>
        </w:rPr>
        <w:t>Гаранцията е замислена така, че да се мобилизират частни инвестиции в размер на 1,54 милиарда евро. Тази сума беше разпределена за 28 предложения за инвестиционни програми</w:t>
      </w:r>
      <w:r>
        <w:rPr>
          <w:rStyle w:val="FootnoteReference"/>
          <w:noProof/>
          <w:color w:val="000000" w:themeColor="text1"/>
        </w:rPr>
        <w:footnoteReference w:id="20"/>
      </w:r>
      <w:r>
        <w:rPr>
          <w:noProof/>
          <w:color w:val="000000" w:themeColor="text1"/>
        </w:rPr>
        <w:t xml:space="preserve"> и се очаква да мобилизира устойчиви инвестиции в партньорските държави в размер до 17,5 милиарда евро (голяма част от тях от частни източници). Гаранцията може:</w:t>
      </w:r>
    </w:p>
    <w:p>
      <w:pPr>
        <w:rPr>
          <w:noProof/>
          <w:color w:val="000000" w:themeColor="text1"/>
        </w:rPr>
      </w:pPr>
      <w:r>
        <w:rPr>
          <w:noProof/>
          <w:color w:val="000000" w:themeColor="text1"/>
        </w:rPr>
        <w:t>–</w:t>
      </w:r>
      <w:r>
        <w:rPr>
          <w:noProof/>
        </w:rPr>
        <w:tab/>
      </w:r>
      <w:r>
        <w:rPr>
          <w:noProof/>
          <w:color w:val="000000" w:themeColor="text1"/>
        </w:rPr>
        <w:t>да привлича финансиране за част от началния капитал („собствен капитал“ или „рисков капитал“), необходим на даден проект, за да започне изпълнението му;</w:t>
      </w:r>
    </w:p>
    <w:p>
      <w:pPr>
        <w:rPr>
          <w:noProof/>
          <w:color w:val="000000" w:themeColor="text1"/>
        </w:rPr>
      </w:pPr>
      <w:r>
        <w:rPr>
          <w:noProof/>
          <w:color w:val="000000" w:themeColor="text1"/>
        </w:rPr>
        <w:t>–</w:t>
      </w:r>
      <w:r>
        <w:rPr>
          <w:noProof/>
        </w:rPr>
        <w:tab/>
      </w:r>
      <w:r>
        <w:rPr>
          <w:noProof/>
          <w:color w:val="000000" w:themeColor="text1"/>
        </w:rPr>
        <w:t>да служи като ангажимент (гаранция) за изплащане на част от заема, ако заемополучателят е претърпял загуби и не изпълнява задълженията си по него.</w:t>
      </w:r>
    </w:p>
    <w:p>
      <w:pPr>
        <w:spacing w:before="240"/>
        <w:rPr>
          <w:b/>
          <w:noProof/>
          <w:u w:val="single"/>
        </w:rPr>
      </w:pPr>
      <w:r>
        <w:rPr>
          <w:b/>
          <w:noProof/>
          <w:u w:val="single"/>
        </w:rPr>
        <w:t>Гаранционният фонд на ЕФУР</w:t>
      </w:r>
    </w:p>
    <w:p>
      <w:pPr>
        <w:rPr>
          <w:noProof/>
          <w:color w:val="000000" w:themeColor="text1"/>
        </w:rPr>
      </w:pPr>
      <w:r>
        <w:rPr>
          <w:noProof/>
          <w:color w:val="000000" w:themeColor="text1"/>
        </w:rPr>
        <w:t xml:space="preserve">Гаранционният фонд на ЕФУР представлява ликвиден резерв, от който се плаща на допустимите партньори в случай на искане за изпълнение по гаранцията от ЕФУР след сключването на гаранционни споразумения с допустимите партньори и в съответствие със съответните разпоредби и с глава III от Регламент (ЕС) 2017/1601. </w:t>
      </w:r>
    </w:p>
    <w:p>
      <w:pPr>
        <w:rPr>
          <w:noProof/>
          <w:color w:val="000000" w:themeColor="text1"/>
        </w:rPr>
      </w:pPr>
      <w:r>
        <w:rPr>
          <w:noProof/>
          <w:color w:val="000000" w:themeColor="text1"/>
        </w:rPr>
        <w:t>Ресурсите на Гаранционния фонд на ЕФУР се управляват пряко от Комисията и се инвестират в съответствие с принципа на доброто финансово управление при спазване на подходящи пруденциални правила.</w:t>
      </w:r>
    </w:p>
    <w:p>
      <w:pPr>
        <w:rPr>
          <w:noProof/>
          <w:color w:val="000000" w:themeColor="text1"/>
        </w:rPr>
      </w:pPr>
      <w:r>
        <w:rPr>
          <w:noProof/>
          <w:color w:val="000000" w:themeColor="text1"/>
        </w:rPr>
        <w:t>Гаранционният фонд на ЕФУР се финансира чрез вноски от бюджета на Съюза и от Европейския фонд за развитие (ЕФР), както и чрез доброволни вноски от държавите членки и други финансиращи субекти, а също и от други източници на постъпления, в съответствие с член 14 от Регламент (ЕС) 2017/1601.</w:t>
      </w:r>
    </w:p>
    <w:p>
      <w:pPr>
        <w:rPr>
          <w:noProof/>
          <w:color w:val="000000" w:themeColor="text1"/>
        </w:rPr>
      </w:pPr>
      <w:r>
        <w:rPr>
          <w:noProof/>
          <w:color w:val="000000" w:themeColor="text1"/>
        </w:rPr>
        <w:t>Равнището на финансиране е определено на 50 % от общите задължения по гаранцията от ЕФУР, покрити от общия бюджет на Съюза.</w:t>
      </w:r>
    </w:p>
    <w:p>
      <w:pPr>
        <w:spacing w:before="360" w:after="360"/>
        <w:rPr>
          <w:noProof/>
          <w:color w:val="000000" w:themeColor="text1"/>
        </w:rPr>
      </w:pPr>
      <w:r>
        <w:rPr>
          <w:noProof/>
        </w:rPr>
        <w:t>За повече информация относно ЕФУР, вж. раздел 7 от настоящия доклад „Европейският фонд за устойчиво развитие (ЕФУР) през 2019 г.“</w:t>
      </w:r>
    </w:p>
    <w:p>
      <w:pPr>
        <w:pStyle w:val="ManualHeading2"/>
        <w:ind w:left="567" w:hanging="567"/>
        <w:rPr>
          <w:noProof/>
          <w:color w:val="000000" w:themeColor="text1"/>
        </w:rPr>
      </w:pPr>
      <w:bookmarkStart w:id="51" w:name="_Toc54253097"/>
      <w:r>
        <w:rPr>
          <w:noProof/>
          <w:color w:val="000000" w:themeColor="text1"/>
        </w:rPr>
        <w:t>2.6</w:t>
      </w:r>
      <w:r>
        <w:rPr>
          <w:noProof/>
        </w:rPr>
        <w:tab/>
      </w:r>
      <w:r>
        <w:rPr>
          <w:noProof/>
          <w:color w:val="000000" w:themeColor="text1"/>
        </w:rPr>
        <w:t>Механизми за управление на кризи, които не са покрити от бюджета на ЕС</w:t>
      </w:r>
      <w:bookmarkEnd w:id="51"/>
    </w:p>
    <w:p>
      <w:pPr>
        <w:rPr>
          <w:noProof/>
          <w:color w:val="000000" w:themeColor="text1"/>
        </w:rPr>
      </w:pPr>
      <w:r>
        <w:rPr>
          <w:noProof/>
          <w:color w:val="000000" w:themeColor="text1"/>
        </w:rPr>
        <w:t xml:space="preserve">Като част от ответните действия във връзка с кризата бяха създадени няколко други механизма, които обаче </w:t>
      </w:r>
      <w:r>
        <w:rPr>
          <w:b/>
          <w:i/>
          <w:noProof/>
          <w:color w:val="000000" w:themeColor="text1"/>
        </w:rPr>
        <w:t>не</w:t>
      </w:r>
      <w:r>
        <w:rPr>
          <w:noProof/>
          <w:color w:val="000000" w:themeColor="text1"/>
        </w:rPr>
        <w:t xml:space="preserve"> пораждат риск за бюджета на ЕС. Те са посочени по-долу само с цел изчерпателност:</w:t>
      </w:r>
    </w:p>
    <w:p>
      <w:pPr>
        <w:pStyle w:val="NormalWeb"/>
        <w:jc w:val="both"/>
        <w:rPr>
          <w:noProof/>
          <w:color w:val="000000" w:themeColor="text1"/>
        </w:rPr>
      </w:pPr>
      <w:r>
        <w:rPr>
          <w:noProof/>
          <w:color w:val="000000" w:themeColor="text1"/>
        </w:rPr>
        <w:t xml:space="preserve">– </w:t>
      </w:r>
      <w:r>
        <w:rPr>
          <w:i/>
          <w:noProof/>
          <w:color w:val="000000" w:themeColor="text1"/>
        </w:rPr>
        <w:t>Механизъм за отпускане на заеми за Гърция</w:t>
      </w:r>
      <w:r>
        <w:rPr>
          <w:rStyle w:val="FootnoteReference"/>
          <w:i/>
          <w:noProof/>
          <w:color w:val="000000" w:themeColor="text1"/>
          <w:lang w:val="en-IE"/>
        </w:rPr>
        <w:footnoteReference w:id="21"/>
      </w:r>
      <w:r>
        <w:rPr>
          <w:noProof/>
          <w:color w:val="000000" w:themeColor="text1"/>
        </w:rPr>
        <w:t>, който се финансира чрез двустранни заеми за Гърция от останалите държави членки от еврозоната и се управлява централно от Комисията;</w:t>
      </w:r>
    </w:p>
    <w:p>
      <w:pPr>
        <w:pStyle w:val="NormalWeb"/>
        <w:jc w:val="both"/>
        <w:rPr>
          <w:noProof/>
          <w:color w:val="000000" w:themeColor="text1"/>
        </w:rPr>
      </w:pPr>
      <w:r>
        <w:rPr>
          <w:i/>
          <w:noProof/>
          <w:color w:val="000000" w:themeColor="text1"/>
        </w:rPr>
        <w:t>– Европейски инструмент за финансова стабилност (EFSF)</w:t>
      </w:r>
      <w:r>
        <w:rPr>
          <w:rStyle w:val="FootnoteReference"/>
          <w:i/>
          <w:noProof/>
          <w:color w:val="000000" w:themeColor="text1"/>
          <w:lang w:val="en-IE"/>
        </w:rPr>
        <w:footnoteReference w:id="22"/>
      </w:r>
      <w:r>
        <w:rPr>
          <w:noProof/>
          <w:color w:val="000000" w:themeColor="text1"/>
        </w:rPr>
        <w:t xml:space="preserve">: EFSF беше създаден от държавите членки от еврозоната през юни 2010 г. като временен спасителен механизъм с цел предоставяне на финансова помощ на държавите членки от еврозоната в рамките на програма за макроикономически корекции. Договорът за създаване на постоянен спасителен механизъм — Европейския механизъм за стабилност (ЕМС), влезе в сила на 27 септември 2012 г. От </w:t>
      </w:r>
      <w:r>
        <w:rPr>
          <w:rStyle w:val="Strong"/>
          <w:b w:val="0"/>
          <w:noProof/>
          <w:color w:val="000000" w:themeColor="text1"/>
        </w:rPr>
        <w:t>1 юли 2013 г.</w:t>
      </w:r>
      <w:r>
        <w:rPr>
          <w:noProof/>
          <w:color w:val="000000" w:themeColor="text1"/>
        </w:rPr>
        <w:t xml:space="preserve"> EFSF продължава текущите си програми за Гърция (заедно с МВФ и някои държави членки), както и за Ирландия и Португалия (заедно с МВФ, някои държави членки и ЕС/ЕМФС)</w:t>
      </w:r>
      <w:r>
        <w:rPr>
          <w:rStyle w:val="FootnoteReference"/>
          <w:noProof/>
          <w:color w:val="000000" w:themeColor="text1"/>
          <w:lang w:val="en-IE"/>
        </w:rPr>
        <w:footnoteReference w:id="23"/>
      </w:r>
      <w:r>
        <w:rPr>
          <w:noProof/>
          <w:color w:val="000000" w:themeColor="text1"/>
        </w:rPr>
        <w:t>, но вече не участва в нови програми за финансиране или споразумения за заеми;</w:t>
      </w:r>
    </w:p>
    <w:p>
      <w:pPr>
        <w:pStyle w:val="NormalWeb"/>
        <w:jc w:val="both"/>
        <w:rPr>
          <w:noProof/>
          <w:color w:val="000000" w:themeColor="text1"/>
        </w:rPr>
      </w:pPr>
      <w:r>
        <w:rPr>
          <w:i/>
          <w:noProof/>
          <w:color w:val="000000" w:themeColor="text1"/>
        </w:rPr>
        <w:t>- Европейски механизъм за стабилност (ЕМС):</w:t>
      </w:r>
      <w:r>
        <w:rPr>
          <w:rStyle w:val="FootnoteReference"/>
          <w:i/>
          <w:noProof/>
          <w:color w:val="000000" w:themeColor="text1"/>
          <w:lang w:val="en-IE"/>
        </w:rPr>
        <w:footnoteReference w:id="24"/>
      </w:r>
      <w:r>
        <w:rPr>
          <w:noProof/>
          <w:color w:val="000000" w:themeColor="text1"/>
        </w:rPr>
        <w:t xml:space="preserve"> ЕМС е важен компонент на всеобхватната стратегия на ЕС за запазване на финансовата стабилност в еврозоната чрез </w:t>
      </w:r>
      <w:r>
        <w:rPr>
          <w:rStyle w:val="Strong"/>
          <w:b w:val="0"/>
          <w:noProof/>
          <w:color w:val="000000" w:themeColor="text1"/>
        </w:rPr>
        <w:t xml:space="preserve">предоставяне на финансова помощ на държавите членки от еврозоната, които изпитват или са застрашени от финансови затруднения. </w:t>
      </w:r>
      <w:r>
        <w:rPr>
          <w:noProof/>
          <w:color w:val="000000" w:themeColor="text1"/>
        </w:rPr>
        <w:t>Той представлява междуправителствена организация съгласно международното публично право. Седалището му е в Люксембург, а реалният му кредитен капацитет възлиза на 500 милиарда евро.</w:t>
      </w:r>
    </w:p>
    <w:p>
      <w:pPr>
        <w:pStyle w:val="ManualHeading1"/>
        <w:tabs>
          <w:tab w:val="clear" w:pos="850"/>
          <w:tab w:val="left" w:pos="567"/>
        </w:tabs>
        <w:ind w:left="567" w:hanging="567"/>
        <w:rPr>
          <w:noProof/>
          <w:color w:val="000000" w:themeColor="text1"/>
        </w:rPr>
      </w:pPr>
      <w:bookmarkStart w:id="52" w:name="_Toc390944387"/>
      <w:bookmarkStart w:id="53" w:name="_Toc393969958"/>
      <w:bookmarkStart w:id="54" w:name="_Toc417461965"/>
      <w:bookmarkStart w:id="55" w:name="_Toc417998599"/>
      <w:bookmarkStart w:id="56" w:name="_Toc418157625"/>
      <w:bookmarkStart w:id="57" w:name="_Toc418160306"/>
      <w:bookmarkStart w:id="58" w:name="_Toc446577173"/>
      <w:bookmarkStart w:id="59" w:name="_Toc452646719"/>
      <w:bookmarkStart w:id="60" w:name="_Toc453161358"/>
      <w:bookmarkStart w:id="61" w:name="_Toc486601261"/>
      <w:bookmarkStart w:id="62" w:name="_Toc309831356"/>
      <w:bookmarkStart w:id="63" w:name="_Toc329261056"/>
      <w:bookmarkStart w:id="64" w:name="_Toc329855618"/>
      <w:bookmarkStart w:id="65" w:name="_Toc330551223"/>
      <w:bookmarkStart w:id="66" w:name="_Toc342470146"/>
      <w:bookmarkStart w:id="67" w:name="_Toc345073696"/>
      <w:bookmarkStart w:id="68" w:name="_Toc365986213"/>
      <w:bookmarkStart w:id="69" w:name="_Toc367869466"/>
      <w:bookmarkStart w:id="70" w:name="_Toc367869993"/>
      <w:bookmarkStart w:id="71" w:name="_Toc388973011"/>
      <w:bookmarkStart w:id="72" w:name="_Toc389474744"/>
      <w:bookmarkStart w:id="73" w:name="_Toc54253098"/>
      <w:r>
        <w:rPr>
          <w:noProof/>
          <w:color w:val="000000" w:themeColor="text1"/>
        </w:rPr>
        <w:t>3.</w:t>
      </w:r>
      <w:r>
        <w:rPr>
          <w:noProof/>
        </w:rPr>
        <w:tab/>
      </w:r>
      <w:r>
        <w:rPr>
          <w:noProof/>
          <w:color w:val="000000" w:themeColor="text1"/>
        </w:rPr>
        <w:t>Развитие на гарантираните операции</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W w:w="8902" w:type="dxa"/>
        <w:tblInd w:w="-5" w:type="dxa"/>
        <w:tblLayout w:type="fixed"/>
        <w:tblLook w:val="0000" w:firstRow="0" w:lastRow="0" w:firstColumn="0" w:lastColumn="0" w:noHBand="0" w:noVBand="0"/>
      </w:tblPr>
      <w:tblGrid>
        <w:gridCol w:w="2770"/>
        <w:gridCol w:w="1665"/>
        <w:gridCol w:w="1891"/>
        <w:gridCol w:w="1446"/>
        <w:gridCol w:w="1130"/>
      </w:tblGrid>
      <w:tr>
        <w:trPr>
          <w:trHeight w:val="165"/>
        </w:trPr>
        <w:tc>
          <w:tcPr>
            <w:tcW w:w="8902" w:type="dxa"/>
            <w:gridSpan w:val="5"/>
            <w:tcBorders>
              <w:bottom w:val="single" w:sz="4" w:space="0" w:color="000000"/>
            </w:tcBorders>
          </w:tcPr>
          <w:p>
            <w:pPr>
              <w:snapToGrid w:val="0"/>
              <w:spacing w:after="0"/>
              <w:rPr>
                <w:noProof/>
                <w:color w:val="000000" w:themeColor="text1"/>
              </w:rPr>
            </w:pPr>
            <w:r>
              <w:rPr>
                <w:noProof/>
                <w:color w:val="000000" w:themeColor="text1"/>
              </w:rPr>
              <w:t>В настоящия раздел се проследява развитието на гарантираните операции: първо, на управляваните пряко от Комисията, второ — на управляваните от ЕИБ.</w:t>
            </w:r>
          </w:p>
          <w:p>
            <w:pPr>
              <w:snapToGrid w:val="0"/>
              <w:spacing w:after="0"/>
              <w:rPr>
                <w:noProof/>
                <w:color w:val="000000" w:themeColor="text1"/>
                <w:sz w:val="18"/>
              </w:rPr>
            </w:pPr>
            <w:r>
              <w:rPr>
                <w:noProof/>
              </w:rPr>
              <w:br w:type="page"/>
            </w:r>
            <w:r>
              <w:rPr>
                <w:noProof/>
                <w:color w:val="000000" w:themeColor="text1"/>
                <w:sz w:val="18"/>
              </w:rPr>
              <w:t>Таблица 1: Общ размер на непогасените суми, обезпечени от бюджета на ЕС, към 31 декември 2019 г. (милиона евро)</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color w:val="000000" w:themeColor="text1"/>
                <w:lang w:val="en-IE"/>
              </w:rPr>
            </w:pPr>
          </w:p>
        </w:tc>
        <w:tc>
          <w:tcPr>
            <w:tcW w:w="1665" w:type="dxa"/>
            <w:tcBorders>
              <w:top w:val="single" w:sz="4" w:space="0" w:color="000000"/>
              <w:left w:val="single" w:sz="4" w:space="0" w:color="000000"/>
              <w:bottom w:val="single" w:sz="4" w:space="0" w:color="000000"/>
            </w:tcBorders>
          </w:tcPr>
          <w:p>
            <w:pPr>
              <w:snapToGrid w:val="0"/>
              <w:jc w:val="center"/>
              <w:rPr>
                <w:b/>
                <w:noProof/>
                <w:color w:val="000000" w:themeColor="text1"/>
              </w:rPr>
            </w:pPr>
            <w:r>
              <w:rPr>
                <w:b/>
                <w:noProof/>
                <w:color w:val="000000" w:themeColor="text1"/>
              </w:rPr>
              <w:t>Дължима главница</w:t>
            </w:r>
          </w:p>
        </w:tc>
        <w:tc>
          <w:tcPr>
            <w:tcW w:w="1891" w:type="dxa"/>
            <w:tcBorders>
              <w:top w:val="single" w:sz="4" w:space="0" w:color="000000"/>
              <w:left w:val="single" w:sz="4" w:space="0" w:color="000000"/>
              <w:bottom w:val="single" w:sz="4" w:space="0" w:color="000000"/>
            </w:tcBorders>
          </w:tcPr>
          <w:p>
            <w:pPr>
              <w:snapToGrid w:val="0"/>
              <w:jc w:val="center"/>
              <w:rPr>
                <w:b/>
                <w:noProof/>
                <w:color w:val="000000" w:themeColor="text1"/>
              </w:rPr>
            </w:pPr>
            <w:r>
              <w:rPr>
                <w:b/>
                <w:noProof/>
                <w:color w:val="000000" w:themeColor="text1"/>
              </w:rPr>
              <w:t>Натрупана лихва</w:t>
            </w:r>
          </w:p>
        </w:tc>
        <w:tc>
          <w:tcPr>
            <w:tcW w:w="1446" w:type="dxa"/>
            <w:tcBorders>
              <w:top w:val="single" w:sz="4" w:space="0" w:color="000000"/>
              <w:left w:val="single" w:sz="4" w:space="0" w:color="000000"/>
              <w:bottom w:val="single" w:sz="4" w:space="0" w:color="000000"/>
            </w:tcBorders>
          </w:tcPr>
          <w:p>
            <w:pPr>
              <w:snapToGrid w:val="0"/>
              <w:jc w:val="center"/>
              <w:rPr>
                <w:b/>
                <w:noProof/>
                <w:color w:val="000000" w:themeColor="text1"/>
              </w:rPr>
            </w:pPr>
            <w:r>
              <w:rPr>
                <w:b/>
                <w:noProof/>
                <w:color w:val="000000" w:themeColor="text1"/>
              </w:rPr>
              <w:t>Общо</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center"/>
              <w:rPr>
                <w:b/>
                <w:noProof/>
                <w:color w:val="000000" w:themeColor="text1"/>
              </w:rPr>
            </w:pPr>
            <w:r>
              <w:rPr>
                <w:b/>
                <w:noProof/>
                <w:color w:val="000000" w:themeColor="text1"/>
              </w:rPr>
              <w:t>%</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color w:val="000000" w:themeColor="text1"/>
                <w:u w:val="none"/>
              </w:rPr>
            </w:pPr>
            <w:r>
              <w:rPr>
                <w:rStyle w:val="Added"/>
                <w:noProof/>
                <w:color w:val="000000" w:themeColor="text1"/>
                <w:u w:val="none"/>
              </w:rPr>
              <w:t>Държави членки*</w:t>
            </w:r>
          </w:p>
        </w:tc>
        <w:tc>
          <w:tcPr>
            <w:tcW w:w="1665" w:type="dxa"/>
            <w:tcBorders>
              <w:top w:val="single" w:sz="4" w:space="0" w:color="000000"/>
              <w:left w:val="single" w:sz="4" w:space="0" w:color="000000"/>
              <w:bottom w:val="single" w:sz="4" w:space="0" w:color="000000"/>
            </w:tcBorders>
          </w:tcPr>
          <w:p>
            <w:pPr>
              <w:snapToGrid w:val="0"/>
              <w:rPr>
                <w:noProof/>
                <w:color w:val="000000" w:themeColor="text1"/>
                <w:lang w:val="en-IE"/>
              </w:rPr>
            </w:pPr>
          </w:p>
        </w:tc>
        <w:tc>
          <w:tcPr>
            <w:tcW w:w="1891" w:type="dxa"/>
            <w:tcBorders>
              <w:top w:val="single" w:sz="4" w:space="0" w:color="000000"/>
              <w:left w:val="single" w:sz="4" w:space="0" w:color="000000"/>
              <w:bottom w:val="single" w:sz="4" w:space="0" w:color="000000"/>
            </w:tcBorders>
          </w:tcPr>
          <w:p>
            <w:pPr>
              <w:snapToGrid w:val="0"/>
              <w:rPr>
                <w:noProof/>
                <w:color w:val="000000" w:themeColor="text1"/>
                <w:lang w:val="en-IE"/>
              </w:rPr>
            </w:pPr>
          </w:p>
        </w:tc>
        <w:tc>
          <w:tcPr>
            <w:tcW w:w="1446" w:type="dxa"/>
            <w:tcBorders>
              <w:top w:val="single" w:sz="4" w:space="0" w:color="000000"/>
              <w:left w:val="single" w:sz="4" w:space="0" w:color="000000"/>
              <w:bottom w:val="single" w:sz="4" w:space="0" w:color="000000"/>
            </w:tcBorders>
          </w:tcPr>
          <w:p>
            <w:pPr>
              <w:snapToGrid w:val="0"/>
              <w:rPr>
                <w:b/>
                <w:noProof/>
                <w:color w:val="000000" w:themeColor="text1"/>
                <w:lang w:val="en-IE"/>
              </w:rPr>
            </w:pPr>
          </w:p>
        </w:tc>
        <w:tc>
          <w:tcPr>
            <w:tcW w:w="1130" w:type="dxa"/>
            <w:tcBorders>
              <w:top w:val="single" w:sz="4" w:space="0" w:color="000000"/>
              <w:left w:val="single" w:sz="4" w:space="0" w:color="000000"/>
              <w:bottom w:val="single" w:sz="4" w:space="0" w:color="000000"/>
              <w:right w:val="single" w:sz="4" w:space="0" w:color="000000"/>
            </w:tcBorders>
          </w:tcPr>
          <w:p>
            <w:pPr>
              <w:snapToGrid w:val="0"/>
              <w:rPr>
                <w:b/>
                <w:noProof/>
                <w:color w:val="000000" w:themeColor="text1"/>
                <w:lang w:val="en-IE"/>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Евратом</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112,8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0,3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113,2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0,1 %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Подкрепа за платежния баланс</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200,0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1,1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201,1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0,2 %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ЕИБ</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932,6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7,0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939,6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1,2 %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rStyle w:val="Added"/>
                <w:noProof/>
                <w:color w:val="000000" w:themeColor="text1"/>
              </w:rPr>
            </w:pPr>
            <w:r>
              <w:rPr>
                <w:b/>
                <w:noProof/>
                <w:color w:val="000000" w:themeColor="text1"/>
              </w:rPr>
              <w:t>ЕМФС</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46 800,0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594,4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47 394,4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58,5 %</w:t>
            </w:r>
          </w:p>
        </w:tc>
      </w:tr>
      <w:tr>
        <w:trPr>
          <w:trHeight w:val="165"/>
        </w:trPr>
        <w:tc>
          <w:tcPr>
            <w:tcW w:w="2770" w:type="dxa"/>
            <w:tcBorders>
              <w:top w:val="single" w:sz="4" w:space="0" w:color="000000"/>
              <w:left w:val="single" w:sz="4" w:space="0" w:color="000000"/>
              <w:bottom w:val="single" w:sz="4" w:space="0" w:color="000000"/>
            </w:tcBorders>
          </w:tcPr>
          <w:p>
            <w:pPr>
              <w:snapToGrid w:val="0"/>
              <w:jc w:val="left"/>
              <w:rPr>
                <w:rStyle w:val="Added"/>
                <w:noProof/>
                <w:color w:val="000000" w:themeColor="text1"/>
                <w:u w:val="none"/>
              </w:rPr>
            </w:pPr>
            <w:r>
              <w:rPr>
                <w:rStyle w:val="Added"/>
                <w:noProof/>
                <w:color w:val="000000" w:themeColor="text1"/>
                <w:u w:val="none"/>
              </w:rPr>
              <w:t>Междинна сума: държави членки</w:t>
            </w:r>
            <w:r>
              <w:rPr>
                <w:b/>
                <w:noProof/>
                <w:color w:val="000000" w:themeColor="text1"/>
              </w:rPr>
              <w:t>**</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48 045,4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602,9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48 648,3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60,1 %</w:t>
            </w:r>
          </w:p>
        </w:tc>
      </w:tr>
      <w:tr>
        <w:trPr>
          <w:trHeight w:val="165"/>
        </w:trPr>
        <w:tc>
          <w:tcPr>
            <w:tcW w:w="2770" w:type="dxa"/>
            <w:tcBorders>
              <w:top w:val="single" w:sz="4" w:space="0" w:color="000000"/>
              <w:left w:val="single" w:sz="4" w:space="0" w:color="000000"/>
              <w:bottom w:val="single" w:sz="4" w:space="0" w:color="000000"/>
            </w:tcBorders>
          </w:tcPr>
          <w:p>
            <w:pPr>
              <w:snapToGrid w:val="0"/>
              <w:rPr>
                <w:noProof/>
                <w:color w:val="000000" w:themeColor="text1"/>
                <w:sz w:val="20"/>
              </w:rPr>
            </w:pPr>
            <w:r>
              <w:rPr>
                <w:rStyle w:val="Added"/>
                <w:noProof/>
                <w:color w:val="000000" w:themeColor="text1"/>
                <w:u w:val="none"/>
              </w:rPr>
              <w:t>Трети държави</w:t>
            </w:r>
            <w:r>
              <w:rPr>
                <w:noProof/>
                <w:color w:val="000000" w:themeColor="text1"/>
                <w:sz w:val="20"/>
              </w:rPr>
              <w:t>***</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lang w:val="en-IE"/>
              </w:rPr>
            </w:pP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lang w:val="en-IE"/>
              </w:rPr>
            </w:pP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lang w:val="en-IE"/>
              </w:rPr>
            </w:pP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lang w:val="en-IE"/>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МФП</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4 728,6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25,8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4 754,4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5,9 %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Евратом</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100,0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0,5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100,5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0,1 %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ЕИБ****</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27 324,8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138,2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27 463,0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33,9 %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color w:val="000000" w:themeColor="text1"/>
              </w:rPr>
            </w:pPr>
            <w:r>
              <w:rPr>
                <w:b/>
                <w:noProof/>
                <w:color w:val="000000" w:themeColor="text1"/>
              </w:rPr>
              <w:t>Междинна сума: трети държави</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32 153,4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164,4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32 317,8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39,9 %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color w:val="000000" w:themeColor="text1"/>
              </w:rPr>
            </w:pPr>
            <w:r>
              <w:rPr>
                <w:b/>
                <w:noProof/>
                <w:color w:val="000000" w:themeColor="text1"/>
              </w:rPr>
              <w:t>Общо</w:t>
            </w:r>
          </w:p>
        </w:tc>
        <w:tc>
          <w:tcPr>
            <w:tcW w:w="1665" w:type="dxa"/>
            <w:tcBorders>
              <w:top w:val="single" w:sz="4" w:space="0" w:color="000000"/>
              <w:left w:val="single" w:sz="4" w:space="0" w:color="000000"/>
              <w:bottom w:val="single" w:sz="4" w:space="0" w:color="000000"/>
            </w:tcBorders>
          </w:tcPr>
          <w:p>
            <w:pPr>
              <w:snapToGrid w:val="0"/>
              <w:jc w:val="right"/>
              <w:rPr>
                <w:b/>
                <w:noProof/>
                <w:color w:val="000000" w:themeColor="text1"/>
              </w:rPr>
            </w:pPr>
            <w:r>
              <w:rPr>
                <w:noProof/>
                <w:color w:val="000000" w:themeColor="text1"/>
              </w:rPr>
              <w:t xml:space="preserve"> 80 198,8 </w:t>
            </w:r>
          </w:p>
        </w:tc>
        <w:tc>
          <w:tcPr>
            <w:tcW w:w="1891" w:type="dxa"/>
            <w:tcBorders>
              <w:top w:val="single" w:sz="4" w:space="0" w:color="000000"/>
              <w:left w:val="single" w:sz="4" w:space="0" w:color="000000"/>
              <w:bottom w:val="single" w:sz="4" w:space="0" w:color="000000"/>
            </w:tcBorders>
          </w:tcPr>
          <w:p>
            <w:pPr>
              <w:snapToGrid w:val="0"/>
              <w:jc w:val="right"/>
              <w:rPr>
                <w:b/>
                <w:noProof/>
                <w:color w:val="000000" w:themeColor="text1"/>
              </w:rPr>
            </w:pPr>
            <w:r>
              <w:rPr>
                <w:noProof/>
                <w:color w:val="000000" w:themeColor="text1"/>
              </w:rPr>
              <w:t xml:space="preserve"> 767,3 </w:t>
            </w:r>
          </w:p>
        </w:tc>
        <w:tc>
          <w:tcPr>
            <w:tcW w:w="1446" w:type="dxa"/>
            <w:tcBorders>
              <w:top w:val="single" w:sz="4" w:space="0" w:color="000000"/>
              <w:left w:val="single" w:sz="4" w:space="0" w:color="000000"/>
              <w:bottom w:val="single" w:sz="4" w:space="0" w:color="000000"/>
            </w:tcBorders>
          </w:tcPr>
          <w:p>
            <w:pPr>
              <w:snapToGrid w:val="0"/>
              <w:jc w:val="right"/>
              <w:rPr>
                <w:b/>
                <w:noProof/>
                <w:color w:val="000000" w:themeColor="text1"/>
              </w:rPr>
            </w:pPr>
            <w:r>
              <w:rPr>
                <w:noProof/>
                <w:color w:val="000000" w:themeColor="text1"/>
              </w:rPr>
              <w:t xml:space="preserve"> 80 966,1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b/>
                <w:noProof/>
                <w:color w:val="000000" w:themeColor="text1"/>
              </w:rPr>
            </w:pPr>
            <w:r>
              <w:rPr>
                <w:noProof/>
                <w:color w:val="000000" w:themeColor="text1"/>
              </w:rPr>
              <w:t>100 %</w:t>
            </w:r>
          </w:p>
        </w:tc>
      </w:tr>
      <w:tr>
        <w:trPr>
          <w:trHeight w:val="284"/>
        </w:trPr>
        <w:tc>
          <w:tcPr>
            <w:tcW w:w="8902" w:type="dxa"/>
            <w:gridSpan w:val="5"/>
            <w:tcBorders>
              <w:top w:val="single" w:sz="4" w:space="0" w:color="000000"/>
              <w:left w:val="single" w:sz="4" w:space="0" w:color="000000"/>
              <w:bottom w:val="single" w:sz="4" w:space="0" w:color="000000"/>
              <w:right w:val="single" w:sz="4" w:space="0" w:color="000000"/>
            </w:tcBorders>
          </w:tcPr>
          <w:p>
            <w:pPr>
              <w:tabs>
                <w:tab w:val="left" w:pos="431"/>
              </w:tabs>
              <w:snapToGrid w:val="0"/>
              <w:spacing w:after="0"/>
              <w:ind w:left="431" w:hanging="426"/>
              <w:rPr>
                <w:noProof/>
                <w:color w:val="000000" w:themeColor="text1"/>
                <w:sz w:val="16"/>
                <w:szCs w:val="16"/>
              </w:rPr>
            </w:pPr>
            <w:r>
              <w:rPr>
                <w:noProof/>
                <w:color w:val="000000" w:themeColor="text1"/>
                <w:sz w:val="16"/>
                <w:szCs w:val="16"/>
              </w:rPr>
              <w:t>*</w:t>
            </w:r>
            <w:r>
              <w:rPr>
                <w:noProof/>
              </w:rPr>
              <w:tab/>
            </w:r>
            <w:r>
              <w:rPr>
                <w:noProof/>
                <w:color w:val="000000" w:themeColor="text1"/>
                <w:sz w:val="16"/>
                <w:szCs w:val="16"/>
              </w:rPr>
              <w:t>Този риск е обезпечен пряко от бюджета на ЕС. Тук се включват също заемите, отпуснати от ЕИБ и Евратом</w:t>
            </w:r>
            <w:r>
              <w:rPr>
                <w:noProof/>
              </w:rPr>
              <w:t xml:space="preserve"> </w:t>
            </w:r>
            <w:r>
              <w:rPr>
                <w:noProof/>
              </w:rPr>
              <w:br/>
            </w:r>
            <w:r>
              <w:rPr>
                <w:noProof/>
                <w:color w:val="000000" w:themeColor="text1"/>
                <w:sz w:val="16"/>
                <w:szCs w:val="16"/>
              </w:rPr>
              <w:t>на държави членки преди присъединяването им към ЕС.</w:t>
            </w:r>
          </w:p>
          <w:p>
            <w:pPr>
              <w:tabs>
                <w:tab w:val="left" w:pos="431"/>
              </w:tabs>
              <w:snapToGrid w:val="0"/>
              <w:spacing w:after="0"/>
              <w:ind w:left="431" w:hanging="426"/>
              <w:rPr>
                <w:noProof/>
                <w:color w:val="000000" w:themeColor="text1"/>
                <w:sz w:val="16"/>
                <w:szCs w:val="16"/>
              </w:rPr>
            </w:pPr>
            <w:r>
              <w:rPr>
                <w:noProof/>
                <w:color w:val="000000" w:themeColor="text1"/>
                <w:sz w:val="16"/>
                <w:szCs w:val="16"/>
              </w:rPr>
              <w:t>**</w:t>
            </w:r>
            <w:r>
              <w:rPr>
                <w:noProof/>
              </w:rPr>
              <w:tab/>
            </w:r>
            <w:r>
              <w:rPr>
                <w:noProof/>
                <w:color w:val="000000" w:themeColor="text1"/>
                <w:sz w:val="16"/>
                <w:szCs w:val="16"/>
              </w:rPr>
              <w:t>Тези данни не включват експозицията на гаранцията на ЕС във връзка с изплатените неуредени операции на ЕФСИ, възлизащи на 17,7 милиарда евро към 31 декември 2019 г.</w:t>
            </w:r>
          </w:p>
          <w:p>
            <w:pPr>
              <w:tabs>
                <w:tab w:val="left" w:pos="431"/>
              </w:tabs>
              <w:spacing w:after="0"/>
              <w:ind w:left="431" w:hanging="426"/>
              <w:rPr>
                <w:noProof/>
                <w:color w:val="000000" w:themeColor="text1"/>
                <w:sz w:val="16"/>
                <w:szCs w:val="16"/>
              </w:rPr>
            </w:pPr>
            <w:r>
              <w:rPr>
                <w:noProof/>
                <w:color w:val="000000" w:themeColor="text1"/>
                <w:sz w:val="16"/>
                <w:szCs w:val="16"/>
              </w:rPr>
              <w:t>***</w:t>
            </w:r>
            <w:r>
              <w:rPr>
                <w:noProof/>
              </w:rPr>
              <w:tab/>
            </w:r>
            <w:r>
              <w:rPr>
                <w:noProof/>
                <w:color w:val="000000" w:themeColor="text1"/>
                <w:sz w:val="16"/>
                <w:szCs w:val="16"/>
              </w:rPr>
              <w:t>Обезпеченият от Фонда риск е ограничен до 24,5 милиарда евро поради ограниченията на гаранциите, предоставени на ЕИБ по всеки един от мандатите за външно кредитиране (МВК) (вж. раздел 2.1.3 от свързания работен документ на службите на Комисията „Гаранции, предоставени на ЕИБ“).</w:t>
            </w:r>
          </w:p>
          <w:p>
            <w:pPr>
              <w:tabs>
                <w:tab w:val="left" w:pos="431"/>
              </w:tabs>
              <w:spacing w:after="0"/>
              <w:ind w:left="431" w:hanging="426"/>
              <w:rPr>
                <w:noProof/>
                <w:color w:val="000000" w:themeColor="text1"/>
                <w:sz w:val="20"/>
              </w:rPr>
            </w:pPr>
            <w:r>
              <w:rPr>
                <w:noProof/>
                <w:color w:val="000000" w:themeColor="text1"/>
                <w:sz w:val="16"/>
                <w:szCs w:val="16"/>
              </w:rPr>
              <w:t>****</w:t>
            </w:r>
            <w:r>
              <w:rPr>
                <w:noProof/>
              </w:rPr>
              <w:tab/>
            </w:r>
            <w:r>
              <w:rPr>
                <w:noProof/>
                <w:color w:val="000000" w:themeColor="text1"/>
                <w:sz w:val="16"/>
                <w:szCs w:val="16"/>
              </w:rPr>
              <w:t>Тук са включени заемите, суброгирани на ЕС след неизпълнението на задължения по заеми от ЕИБ от страна на Сирия и Enfidha</w:t>
            </w:r>
            <w:r>
              <w:rPr>
                <w:noProof/>
                <w:color w:val="000000" w:themeColor="text1"/>
                <w:sz w:val="16"/>
                <w:szCs w:val="16"/>
                <w:lang w:val="en-US"/>
              </w:rPr>
              <w:t> </w:t>
            </w:r>
            <w:r>
              <w:rPr>
                <w:noProof/>
                <w:color w:val="000000" w:themeColor="text1"/>
                <w:sz w:val="16"/>
                <w:szCs w:val="16"/>
              </w:rPr>
              <w:t>(Тунис).</w:t>
            </w:r>
            <w:r>
              <w:rPr>
                <w:noProof/>
              </w:rPr>
              <w:t xml:space="preserve"> </w:t>
            </w:r>
            <w:r>
              <w:rPr>
                <w:noProof/>
              </w:rPr>
              <w:br/>
            </w:r>
            <w:r>
              <w:rPr>
                <w:noProof/>
                <w:color w:val="000000" w:themeColor="text1"/>
                <w:sz w:val="16"/>
                <w:szCs w:val="16"/>
              </w:rPr>
              <w:t>(сума: 426,36 милиона евро неизплатена главница). Тези заеми бяха обезценени напълно във финансовите отчети на ЕС за 2015 г., 2016 г., 2017 г., 2018 г. и 2019 г.</w:t>
            </w:r>
            <w:r>
              <w:rPr>
                <w:noProof/>
                <w:color w:val="000000" w:themeColor="text1"/>
                <w:sz w:val="20"/>
              </w:rPr>
              <w:t xml:space="preserve"> </w:t>
            </w:r>
          </w:p>
        </w:tc>
      </w:tr>
    </w:tbl>
    <w:p>
      <w:pPr>
        <w:rPr>
          <w:noProof/>
          <w:color w:val="000000" w:themeColor="text1"/>
        </w:rPr>
      </w:pPr>
      <w:r>
        <w:rPr>
          <w:noProof/>
          <w:color w:val="000000" w:themeColor="text1"/>
        </w:rPr>
        <w:t>В таблици А1, А2а, А2б и А3 от Работния документ на службите на Комисията се предоставя допълнителна подробна информация относно тези непогасени суми, по-специално по отношение на таваните, фактически предоставените суми или ставките по гаранциите.</w:t>
      </w:r>
      <w:bookmarkStart w:id="74" w:name="_Toc390944388"/>
      <w:bookmarkStart w:id="75" w:name="_Toc393969959"/>
      <w:bookmarkStart w:id="76" w:name="_Toc417461966"/>
      <w:bookmarkStart w:id="77" w:name="_Toc417998600"/>
      <w:bookmarkStart w:id="78" w:name="_Toc418157626"/>
      <w:bookmarkStart w:id="79" w:name="_Toc418160307"/>
      <w:bookmarkStart w:id="80" w:name="_Toc446577174"/>
      <w:bookmarkStart w:id="81" w:name="_Toc452646720"/>
      <w:bookmarkStart w:id="82" w:name="_Toc453161359"/>
      <w:bookmarkStart w:id="83" w:name="_Toc486601262"/>
    </w:p>
    <w:p>
      <w:pPr>
        <w:pStyle w:val="ManualHeading2"/>
        <w:rPr>
          <w:noProof/>
        </w:rPr>
      </w:pPr>
      <w:bookmarkStart w:id="84" w:name="_Toc54253099"/>
      <w:r>
        <w:rPr>
          <w:noProof/>
        </w:rPr>
        <w:t>3.1</w:t>
      </w:r>
      <w:r>
        <w:rPr>
          <w:noProof/>
        </w:rPr>
        <w:tab/>
      </w:r>
      <w:bookmarkStart w:id="85" w:name="_Toc389474756"/>
      <w:r>
        <w:rPr>
          <w:noProof/>
        </w:rPr>
        <w:t>Операции, управлявани пряко от</w:t>
      </w:r>
      <w:bookmarkEnd w:id="85"/>
      <w:r>
        <w:rPr>
          <w:noProof/>
        </w:rPr>
        <w:t xml:space="preserve"> Комисията</w:t>
      </w:r>
      <w:bookmarkEnd w:id="74"/>
      <w:bookmarkEnd w:id="75"/>
      <w:bookmarkEnd w:id="76"/>
      <w:bookmarkEnd w:id="77"/>
      <w:bookmarkEnd w:id="78"/>
      <w:bookmarkEnd w:id="79"/>
      <w:bookmarkEnd w:id="80"/>
      <w:bookmarkEnd w:id="81"/>
      <w:bookmarkEnd w:id="82"/>
      <w:bookmarkEnd w:id="83"/>
      <w:bookmarkEnd w:id="84"/>
      <w:r>
        <w:rPr>
          <w:noProof/>
        </w:rPr>
        <w:t xml:space="preserve"> </w:t>
      </w:r>
    </w:p>
    <w:p>
      <w:pPr>
        <w:rPr>
          <w:noProof/>
          <w:color w:val="000000" w:themeColor="text1"/>
        </w:rPr>
      </w:pPr>
      <w:r>
        <w:rPr>
          <w:noProof/>
          <w:color w:val="000000" w:themeColor="text1"/>
        </w:rPr>
        <w:t>Комисията предоставя финансова подкрепа на трети държави и на държавите членки под формата на двустранни заеми, финансирани от капиталовите пазари с гаранция от бюджета на ЕС, по силата на различни правни актове на Съвета или на Съвета и на Европейския парламент, в зависимост от преследваните цели. Съответствието на финансовата подкрепа за трети държави с общите цели на политиката за външна дейност на ЕС се гарантира от Комисията и върховния представител на Съюза по въпросите на външните работи и политиката на сигурност, подпомаган от Европейската служба за външна дейност (ЕСВД).</w:t>
      </w:r>
    </w:p>
    <w:p>
      <w:pPr>
        <w:spacing w:after="240"/>
        <w:rPr>
          <w:noProof/>
          <w:color w:val="000000" w:themeColor="text1"/>
        </w:rPr>
      </w:pPr>
      <w:r>
        <w:rPr>
          <w:noProof/>
          <w:color w:val="000000" w:themeColor="text1"/>
        </w:rPr>
        <w:t>С цел да се финансират отпусканите заеми, одобрени от Съвета, Комисията е оправомощена да заема средства на капиталовите пазари от името на Европейския съюз и Евратом. Вземането и отпускането на заеми се извършват под формата на операции от вида „бек-ту-бек“, с което се гарантира, че бюджетът на ЕС не поема лихвен или валутен риск. На оставащите за изплащане задължения по получени заеми съответстват на оставащите за събиране вземания по отпуснати заеми.</w:t>
      </w:r>
    </w:p>
    <w:p>
      <w:pPr>
        <w:spacing w:before="0" w:after="0"/>
        <w:rPr>
          <w:noProof/>
          <w:color w:val="000000" w:themeColor="text1"/>
          <w:sz w:val="20"/>
          <w:szCs w:val="20"/>
        </w:rPr>
      </w:pPr>
      <w:r>
        <w:rPr>
          <w:noProof/>
          <w:color w:val="000000" w:themeColor="text1"/>
          <w:sz w:val="20"/>
          <w:szCs w:val="20"/>
        </w:rPr>
        <w:t>Таблица 1б „Операции на ЕС през 2019 г. (милиона евро)“</w:t>
      </w:r>
    </w:p>
    <w:p>
      <w:pPr>
        <w:spacing w:before="0" w:after="240"/>
        <w:rPr>
          <w:noProof/>
          <w:color w:val="000000" w:themeColor="text1"/>
          <w:sz w:val="20"/>
          <w:szCs w:val="20"/>
        </w:rPr>
      </w:pPr>
      <w:r>
        <w:rPr>
          <w:noProof/>
          <w:color w:val="000000" w:themeColor="text1"/>
          <w:sz w:val="20"/>
          <w:szCs w:val="20"/>
          <w:lang w:eastAsia="en-GB"/>
        </w:rPr>
        <w:drawing>
          <wp:inline distT="0" distB="0" distL="0" distR="0">
            <wp:extent cx="5761355" cy="1982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1.PNG"/>
                    <pic:cNvPicPr/>
                  </pic:nvPicPr>
                  <pic:blipFill>
                    <a:blip r:embed="rId22">
                      <a:extLst>
                        <a:ext uri="{28A0092B-C50C-407E-A947-70E740481C1C}">
                          <a14:useLocalDpi xmlns:a14="http://schemas.microsoft.com/office/drawing/2010/main" val="0"/>
                        </a:ext>
                      </a:extLst>
                    </a:blip>
                    <a:stretch>
                      <a:fillRect/>
                    </a:stretch>
                  </pic:blipFill>
                  <pic:spPr>
                    <a:xfrm>
                      <a:off x="0" y="0"/>
                      <a:ext cx="5761355" cy="1982470"/>
                    </a:xfrm>
                    <a:prstGeom prst="rect">
                      <a:avLst/>
                    </a:prstGeom>
                  </pic:spPr>
                </pic:pic>
              </a:graphicData>
            </a:graphic>
          </wp:inline>
        </w:drawing>
      </w:r>
    </w:p>
    <w:p>
      <w:pPr>
        <w:spacing w:before="0" w:after="240"/>
        <w:jc w:val="center"/>
        <w:rPr>
          <w:noProof/>
          <w:color w:val="000000" w:themeColor="text1"/>
          <w:sz w:val="20"/>
          <w:szCs w:val="20"/>
        </w:rPr>
      </w:pPr>
      <w:r>
        <w:rPr>
          <w:noProof/>
          <w:color w:val="000000" w:themeColor="text1"/>
          <w:sz w:val="20"/>
          <w:szCs w:val="20"/>
        </w:rPr>
        <w:t>Таблица 2: Нови операции по получаване и отпускане на заеми (гарантирани от бюджета на Съюза), планирани за 2020 г. и 2021 г. (в милиони евро)</w:t>
      </w:r>
      <w:r>
        <w:rPr>
          <w:noProof/>
          <w:color w:val="000000" w:themeColor="text1"/>
        </w:rPr>
        <w:t xml:space="preserve"> </w:t>
      </w:r>
      <w:r>
        <w:rPr>
          <w:noProof/>
          <w:lang w:eastAsia="en-GB"/>
        </w:rPr>
        <w:drawing>
          <wp:inline distT="0" distB="0" distL="0" distR="0">
            <wp:extent cx="5761355" cy="6859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1355" cy="6859270"/>
                    </a:xfrm>
                    <a:prstGeom prst="rect">
                      <a:avLst/>
                    </a:prstGeom>
                  </pic:spPr>
                </pic:pic>
              </a:graphicData>
            </a:graphic>
          </wp:inline>
        </w:drawing>
      </w:r>
    </w:p>
    <w:p>
      <w:pPr>
        <w:pStyle w:val="ManualHeading3"/>
        <w:ind w:left="851" w:hanging="851"/>
        <w:rPr>
          <w:noProof/>
          <w:color w:val="000000" w:themeColor="text1"/>
        </w:rPr>
      </w:pPr>
      <w:bookmarkStart w:id="86" w:name="_Toc393969960"/>
      <w:bookmarkStart w:id="87" w:name="_Toc417461967"/>
      <w:bookmarkStart w:id="88" w:name="_Toc417998601"/>
      <w:bookmarkStart w:id="89" w:name="_Toc418157627"/>
      <w:bookmarkStart w:id="90" w:name="_Toc418160308"/>
      <w:bookmarkStart w:id="91" w:name="_Toc446577175"/>
      <w:bookmarkStart w:id="92" w:name="_Toc452646721"/>
      <w:bookmarkStart w:id="93" w:name="_Toc453161360"/>
      <w:bookmarkStart w:id="94" w:name="_Toc486601263"/>
      <w:bookmarkStart w:id="95" w:name="_Toc54253100"/>
      <w:r>
        <w:rPr>
          <w:noProof/>
          <w:color w:val="000000" w:themeColor="text1"/>
        </w:rPr>
        <w:t>3.1.1</w:t>
      </w:r>
      <w:r>
        <w:rPr>
          <w:noProof/>
        </w:rPr>
        <w:tab/>
      </w:r>
      <w:bookmarkStart w:id="96" w:name="_Toc390944389"/>
      <w:r>
        <w:rPr>
          <w:noProof/>
          <w:color w:val="000000" w:themeColor="text1"/>
        </w:rPr>
        <w:t>Европейски механизъм за финансово стабилизиране</w:t>
      </w:r>
      <w:bookmarkEnd w:id="86"/>
      <w:bookmarkEnd w:id="87"/>
      <w:bookmarkEnd w:id="88"/>
      <w:bookmarkEnd w:id="89"/>
      <w:bookmarkEnd w:id="90"/>
      <w:bookmarkEnd w:id="96"/>
      <w:r>
        <w:rPr>
          <w:noProof/>
          <w:color w:val="000000" w:themeColor="text1"/>
        </w:rPr>
        <w:t xml:space="preserve"> (ЕМФС)</w:t>
      </w:r>
      <w:bookmarkEnd w:id="91"/>
      <w:bookmarkEnd w:id="92"/>
      <w:bookmarkEnd w:id="93"/>
      <w:bookmarkEnd w:id="94"/>
      <w:bookmarkEnd w:id="95"/>
    </w:p>
    <w:p>
      <w:pPr>
        <w:rPr>
          <w:noProof/>
          <w:color w:val="000000" w:themeColor="text1"/>
        </w:rPr>
      </w:pPr>
      <w:r>
        <w:rPr>
          <w:noProof/>
          <w:color w:val="000000" w:themeColor="text1"/>
        </w:rPr>
        <w:t>В заключенията си от 9—10 май 2010</w:t>
      </w:r>
      <w:r>
        <w:rPr>
          <w:noProof/>
          <w:color w:val="000000" w:themeColor="text1"/>
          <w:lang w:val="en-US"/>
        </w:rPr>
        <w:t> </w:t>
      </w:r>
      <w:r>
        <w:rPr>
          <w:noProof/>
          <w:color w:val="000000" w:themeColor="text1"/>
        </w:rPr>
        <w:t>г. Съветът по икономически и финансови въпроси определи размера на средствата по този механизъм на 60 милиарда евро</w:t>
      </w:r>
      <w:r>
        <w:rPr>
          <w:rStyle w:val="Funotenzeichen"/>
          <w:noProof/>
          <w:color w:val="000000" w:themeColor="text1"/>
          <w:lang w:val="en-IE"/>
        </w:rPr>
        <w:footnoteReference w:id="25"/>
      </w:r>
      <w:r>
        <w:rPr>
          <w:noProof/>
          <w:color w:val="000000" w:themeColor="text1"/>
        </w:rPr>
        <w:t>. В допълнение държавите членки от еврозоната изразиха готовност да допълнят тези ресурси при необходимост. С член 2, параграф 2 от Регламент № 407/2010 на Съвета</w:t>
      </w:r>
      <w:r>
        <w:rPr>
          <w:rStyle w:val="FootnoteReference"/>
          <w:noProof/>
          <w:color w:val="000000" w:themeColor="text1"/>
          <w:lang w:val="en-IE"/>
        </w:rPr>
        <w:footnoteReference w:id="26"/>
      </w:r>
      <w:r>
        <w:rPr>
          <w:noProof/>
          <w:color w:val="000000" w:themeColor="text1"/>
        </w:rPr>
        <w:t xml:space="preserve"> непогасените суми по заеми или кредитните линии, които ще бъдат предоставени на държавите членки, се ограничават до съществуващия марж под тавана на собствените ресурси за бюджетните кредити за плащания.</w:t>
      </w:r>
    </w:p>
    <w:p>
      <w:pPr>
        <w:rPr>
          <w:noProof/>
          <w:color w:val="000000" w:themeColor="text1"/>
        </w:rPr>
      </w:pPr>
      <w:r>
        <w:rPr>
          <w:noProof/>
          <w:color w:val="000000" w:themeColor="text1"/>
        </w:rPr>
        <w:t>Вследствие на решенията на Съвета за предоставяне на финансова помощ от Съюза на Ирландия</w:t>
      </w:r>
      <w:r>
        <w:rPr>
          <w:rStyle w:val="FootnoteReference"/>
          <w:noProof/>
          <w:color w:val="000000" w:themeColor="text1"/>
          <w:lang w:val="en-IE"/>
        </w:rPr>
        <w:footnoteReference w:id="27"/>
      </w:r>
      <w:r>
        <w:rPr>
          <w:noProof/>
          <w:color w:val="000000" w:themeColor="text1"/>
        </w:rPr>
        <w:t xml:space="preserve"> (до 22,5 милиарда евро) и Португалия</w:t>
      </w:r>
      <w:r>
        <w:rPr>
          <w:rStyle w:val="FootnoteReference"/>
          <w:noProof/>
          <w:color w:val="000000" w:themeColor="text1"/>
          <w:lang w:val="en-IE"/>
        </w:rPr>
        <w:footnoteReference w:id="28"/>
      </w:r>
      <w:r>
        <w:rPr>
          <w:noProof/>
          <w:color w:val="000000" w:themeColor="text1"/>
        </w:rPr>
        <w:t xml:space="preserve"> (до 26 милиарда евро) плащанията достигнаха 22,5 милиарда евро за Ирландия и 24,3 милиарда евро за Португалия (останалите 1,7 милиарда евро не бяха поискани от португалското правителство). Съответно ЕМФС разполага с остатъчен капацитет от 13,2 милиарда евро за оказване на допълнителна помощ при поискване.</w:t>
      </w:r>
    </w:p>
    <w:p>
      <w:pPr>
        <w:rPr>
          <w:noProof/>
          <w:color w:val="000000" w:themeColor="text1"/>
        </w:rPr>
      </w:pPr>
      <w:r>
        <w:rPr>
          <w:noProof/>
          <w:color w:val="000000" w:themeColor="text1"/>
        </w:rPr>
        <w:t>През април 2013 г. Еврогрупата/Съветът по икономически и финансови въпроси реши да увеличи максималния среднопретеглен матуритет на заемите от ЕМФС от 12,5 на 19,5 години, като по този начин на държавите бенефициери беше дадена възможност да поискат удължаване на матуритетите на заемите до 2026 г. (по отделни траншове).</w:t>
      </w:r>
    </w:p>
    <w:p>
      <w:pPr>
        <w:spacing w:after="240"/>
        <w:rPr>
          <w:noProof/>
          <w:color w:val="000000" w:themeColor="text1"/>
          <w:u w:val="single"/>
        </w:rPr>
      </w:pPr>
      <w:r>
        <w:rPr>
          <w:noProof/>
          <w:color w:val="000000" w:themeColor="text1"/>
          <w:u w:val="single"/>
        </w:rPr>
        <w:t>Развитие през 2019 г.</w:t>
      </w:r>
    </w:p>
    <w:p>
      <w:pPr>
        <w:spacing w:before="0" w:after="480"/>
        <w:rPr>
          <w:noProof/>
          <w:color w:val="000000" w:themeColor="text1"/>
        </w:rPr>
      </w:pPr>
      <w:r>
        <w:rPr>
          <w:noProof/>
          <w:color w:val="000000" w:themeColor="text1"/>
        </w:rPr>
        <w:t>Няма развития</w:t>
      </w:r>
    </w:p>
    <w:p>
      <w:pPr>
        <w:pStyle w:val="ManualHeading3"/>
        <w:rPr>
          <w:noProof/>
          <w:color w:val="000000" w:themeColor="text1"/>
        </w:rPr>
      </w:pPr>
      <w:bookmarkStart w:id="97" w:name="_Toc393969961"/>
      <w:bookmarkStart w:id="98" w:name="_Toc417461968"/>
      <w:bookmarkStart w:id="99" w:name="_Toc417998602"/>
      <w:bookmarkStart w:id="100" w:name="_Toc418157628"/>
      <w:bookmarkStart w:id="101" w:name="_Toc418160309"/>
      <w:bookmarkStart w:id="102" w:name="_Toc446577176"/>
      <w:bookmarkStart w:id="103" w:name="_Toc452646722"/>
      <w:bookmarkStart w:id="104" w:name="_Toc453161361"/>
      <w:bookmarkStart w:id="105" w:name="_Toc486601264"/>
      <w:bookmarkStart w:id="106" w:name="_Toc54253101"/>
      <w:r>
        <w:rPr>
          <w:noProof/>
          <w:color w:val="000000" w:themeColor="text1"/>
        </w:rPr>
        <w:t>3.1.2</w:t>
      </w:r>
      <w:r>
        <w:rPr>
          <w:noProof/>
        </w:rPr>
        <w:tab/>
      </w:r>
      <w:bookmarkStart w:id="107" w:name="_Toc390944390"/>
      <w:r>
        <w:rPr>
          <w:noProof/>
          <w:color w:val="000000" w:themeColor="text1"/>
        </w:rPr>
        <w:t>Механизъм за подкрепа на платежния баланс</w:t>
      </w:r>
      <w:bookmarkEnd w:id="97"/>
      <w:bookmarkEnd w:id="98"/>
      <w:bookmarkEnd w:id="99"/>
      <w:bookmarkEnd w:id="100"/>
      <w:bookmarkEnd w:id="101"/>
      <w:bookmarkEnd w:id="102"/>
      <w:bookmarkEnd w:id="103"/>
      <w:bookmarkEnd w:id="104"/>
      <w:bookmarkEnd w:id="105"/>
      <w:bookmarkEnd w:id="107"/>
      <w:r>
        <w:rPr>
          <w:noProof/>
          <w:color w:val="000000" w:themeColor="text1"/>
        </w:rPr>
        <w:t xml:space="preserve"> (ПБ)</w:t>
      </w:r>
      <w:bookmarkEnd w:id="106"/>
    </w:p>
    <w:p>
      <w:pPr>
        <w:rPr>
          <w:noProof/>
          <w:color w:val="000000" w:themeColor="text1"/>
        </w:rPr>
      </w:pPr>
      <w:r>
        <w:rPr>
          <w:noProof/>
          <w:color w:val="000000" w:themeColor="text1"/>
        </w:rPr>
        <w:t xml:space="preserve">Средносрочната финансова подкрепа на ЕС по механизма за ППБ беше възобновена в края на 2008 г., за да се помогне на Унгария, а по-късно и на Латвия и Румъния да възстановят доверието на пазарите, с общ размер на поетите задължения от 14,6 милиарда евро, от които бяха изплатени 13,4 милиарда евро. </w:t>
      </w:r>
    </w:p>
    <w:p>
      <w:pPr>
        <w:spacing w:after="240"/>
        <w:rPr>
          <w:noProof/>
          <w:color w:val="000000" w:themeColor="text1"/>
          <w:u w:val="single"/>
        </w:rPr>
      </w:pPr>
      <w:r>
        <w:rPr>
          <w:noProof/>
          <w:color w:val="000000" w:themeColor="text1"/>
          <w:u w:val="single"/>
        </w:rPr>
        <w:t>Развитие през 2019 г.</w:t>
      </w:r>
    </w:p>
    <w:p>
      <w:pPr>
        <w:autoSpaceDE w:val="0"/>
        <w:autoSpaceDN w:val="0"/>
        <w:adjustRightInd w:val="0"/>
        <w:spacing w:before="0" w:after="240"/>
        <w:rPr>
          <w:noProof/>
          <w:color w:val="000000" w:themeColor="text1"/>
        </w:rPr>
      </w:pPr>
      <w:r>
        <w:rPr>
          <w:noProof/>
          <w:color w:val="000000" w:themeColor="text1"/>
        </w:rPr>
        <w:t xml:space="preserve">Румъния изплати последния си транш от 1 милиард евро през май 2019 г.. Също през май 2019 г. Латвия изплати транш от 500 милиарда евро. След тези изплащания, през 2019 г. непогасената сума по заеми за ППБ намаля от 1,7 милиарда евро на 200 милиона евро. </w:t>
      </w:r>
    </w:p>
    <w:p>
      <w:pPr>
        <w:spacing w:before="0" w:after="240"/>
        <w:rPr>
          <w:noProof/>
          <w:color w:val="000000" w:themeColor="text1"/>
        </w:rPr>
      </w:pPr>
      <w:r>
        <w:rPr>
          <w:noProof/>
          <w:color w:val="000000" w:themeColor="text1"/>
        </w:rPr>
        <w:t xml:space="preserve">Към 31 декември 2019 г., от максималния размер от 50 млрд. евро, механизмът за ППБ разполагаше с остатъчен капацитет в размер на 49,8 милиарда евро за предоставяне на допълнителна помощ при необходимост. </w:t>
      </w:r>
    </w:p>
    <w:p>
      <w:pPr>
        <w:pStyle w:val="ManualHeading3"/>
        <w:spacing w:before="0" w:after="240"/>
        <w:ind w:left="851" w:hanging="851"/>
        <w:rPr>
          <w:noProof/>
          <w:color w:val="000000" w:themeColor="text1"/>
        </w:rPr>
      </w:pPr>
      <w:bookmarkStart w:id="108" w:name="_Toc393969962"/>
      <w:bookmarkStart w:id="109" w:name="_Toc417461969"/>
      <w:bookmarkStart w:id="110" w:name="_Toc417998603"/>
      <w:bookmarkStart w:id="111" w:name="_Toc418157629"/>
      <w:bookmarkStart w:id="112" w:name="_Toc418160310"/>
      <w:bookmarkStart w:id="113" w:name="_Toc446577177"/>
      <w:bookmarkStart w:id="114" w:name="_Toc452646723"/>
      <w:bookmarkStart w:id="115" w:name="_Toc453161362"/>
      <w:bookmarkStart w:id="116" w:name="_Toc486601265"/>
      <w:bookmarkStart w:id="117" w:name="_Toc54253102"/>
      <w:r>
        <w:rPr>
          <w:noProof/>
          <w:color w:val="000000" w:themeColor="text1"/>
        </w:rPr>
        <w:t>3.1.3</w:t>
      </w:r>
      <w:r>
        <w:rPr>
          <w:noProof/>
        </w:rPr>
        <w:tab/>
      </w:r>
      <w:bookmarkStart w:id="118" w:name="_Toc390944391"/>
      <w:r>
        <w:rPr>
          <w:noProof/>
          <w:color w:val="000000" w:themeColor="text1"/>
        </w:rPr>
        <w:t>Заеми за макрофинансова помощ</w:t>
      </w:r>
      <w:bookmarkEnd w:id="108"/>
      <w:bookmarkEnd w:id="109"/>
      <w:bookmarkEnd w:id="110"/>
      <w:bookmarkEnd w:id="111"/>
      <w:bookmarkEnd w:id="112"/>
      <w:bookmarkEnd w:id="113"/>
      <w:bookmarkEnd w:id="114"/>
      <w:bookmarkEnd w:id="115"/>
      <w:bookmarkEnd w:id="116"/>
      <w:bookmarkEnd w:id="118"/>
      <w:r>
        <w:rPr>
          <w:noProof/>
          <w:color w:val="000000" w:themeColor="text1"/>
        </w:rPr>
        <w:t xml:space="preserve"> (МФП)</w:t>
      </w:r>
      <w:bookmarkEnd w:id="117"/>
    </w:p>
    <w:p>
      <w:pPr>
        <w:autoSpaceDE w:val="0"/>
        <w:autoSpaceDN w:val="0"/>
        <w:adjustRightInd w:val="0"/>
        <w:spacing w:before="0" w:after="240"/>
        <w:rPr>
          <w:noProof/>
          <w:color w:val="000000" w:themeColor="text1"/>
        </w:rPr>
      </w:pPr>
      <w:r>
        <w:rPr>
          <w:noProof/>
          <w:color w:val="000000" w:themeColor="text1"/>
        </w:rPr>
        <w:t>Като правило, решенията за МФП се вземат от Европейския парламент и Съвета (член 212 от ДФЕС). Съветът обаче може да приеме решение по предложение на Комисията, когато ситуацията в трета държава изисква спешна финансова помощ (член 213 от ДФЕС). Тази процедура бе използвана при втория пакет за МФП за Украйна през 2014 г.</w:t>
      </w:r>
    </w:p>
    <w:p>
      <w:pPr>
        <w:spacing w:before="0" w:after="240"/>
        <w:rPr>
          <w:b/>
          <w:noProof/>
          <w:color w:val="000000" w:themeColor="text1"/>
          <w:u w:val="single"/>
        </w:rPr>
      </w:pPr>
      <w:r>
        <w:rPr>
          <w:b/>
          <w:noProof/>
          <w:color w:val="000000" w:themeColor="text1"/>
          <w:u w:val="single"/>
        </w:rPr>
        <w:t>Развитие през 2019 г.</w:t>
      </w:r>
    </w:p>
    <w:p>
      <w:pPr>
        <w:rPr>
          <w:rFonts w:eastAsia="Calibri" w:cstheme="minorBidi"/>
          <w:b/>
          <w:noProof/>
          <w:color w:val="000000" w:themeColor="text1"/>
          <w:szCs w:val="22"/>
        </w:rPr>
      </w:pPr>
      <w:r>
        <w:rPr>
          <w:b/>
          <w:noProof/>
          <w:color w:val="000000" w:themeColor="text1"/>
          <w:szCs w:val="22"/>
        </w:rPr>
        <w:t>Хашемитско кралство Йордания</w:t>
      </w:r>
    </w:p>
    <w:p>
      <w:pPr>
        <w:rPr>
          <w:rFonts w:eastAsia="Calibri" w:cstheme="minorBidi"/>
          <w:noProof/>
          <w:color w:val="000000" w:themeColor="text1"/>
          <w:szCs w:val="22"/>
          <w:u w:val="single"/>
        </w:rPr>
      </w:pPr>
      <w:r>
        <w:rPr>
          <w:noProof/>
          <w:color w:val="000000" w:themeColor="text1"/>
          <w:szCs w:val="22"/>
          <w:u w:val="single"/>
        </w:rPr>
        <w:t>Втора програма на Йордания (МФП II)</w:t>
      </w:r>
    </w:p>
    <w:p>
      <w:pPr>
        <w:rPr>
          <w:noProof/>
          <w:color w:val="000000" w:themeColor="text1"/>
        </w:rPr>
      </w:pPr>
      <w:r>
        <w:rPr>
          <w:noProof/>
          <w:color w:val="000000" w:themeColor="text1"/>
        </w:rPr>
        <w:t>Меморандумът за разбирателство (МзР) и споразумението за заем за Йордания за МФП II бяха подписани на 19 септември 2017 г. Ратификацията от страна на йорданските органи също бе осъществена на 19 септември 2017 г. и споразумението за заем влезе в сила на 3 октомври 2017 г. Първият транш от 100 милиона евро (от общо 200 милиона евро съгласно решението) на втората програма на Йордания (МФП II)</w:t>
      </w:r>
      <w:r>
        <w:rPr>
          <w:rStyle w:val="FootnoteReference"/>
          <w:noProof/>
          <w:color w:val="000000" w:themeColor="text1"/>
        </w:rPr>
        <w:footnoteReference w:id="29"/>
      </w:r>
      <w:r>
        <w:rPr>
          <w:noProof/>
          <w:color w:val="000000" w:themeColor="text1"/>
        </w:rPr>
        <w:t xml:space="preserve"> беше изплатен на 25 октомври 2017 г. Вторият и последен транш от 100 милиона евро бе изплатен на 3 юли 2019 г.</w:t>
      </w:r>
    </w:p>
    <w:p>
      <w:pPr>
        <w:spacing w:before="240"/>
        <w:rPr>
          <w:rFonts w:eastAsia="Calibri" w:cstheme="minorBidi"/>
          <w:b/>
          <w:noProof/>
          <w:color w:val="000000" w:themeColor="text1"/>
          <w:szCs w:val="22"/>
        </w:rPr>
      </w:pPr>
      <w:r>
        <w:rPr>
          <w:b/>
          <w:noProof/>
          <w:color w:val="000000" w:themeColor="text1"/>
          <w:szCs w:val="22"/>
        </w:rPr>
        <w:t>Тунис</w:t>
      </w:r>
    </w:p>
    <w:p>
      <w:pPr>
        <w:rPr>
          <w:rFonts w:eastAsia="Calibri" w:cstheme="minorBidi"/>
          <w:noProof/>
          <w:color w:val="000000" w:themeColor="text1"/>
          <w:szCs w:val="22"/>
          <w:u w:val="single"/>
        </w:rPr>
      </w:pPr>
      <w:r>
        <w:rPr>
          <w:noProof/>
          <w:color w:val="000000" w:themeColor="text1"/>
          <w:szCs w:val="22"/>
          <w:u w:val="single"/>
        </w:rPr>
        <w:t>Втора програма на Тунис (МФП II)</w:t>
      </w:r>
    </w:p>
    <w:p>
      <w:pPr>
        <w:rPr>
          <w:noProof/>
          <w:color w:val="000000" w:themeColor="text1"/>
        </w:rPr>
      </w:pPr>
      <w:r>
        <w:rPr>
          <w:noProof/>
          <w:color w:val="000000" w:themeColor="text1"/>
        </w:rPr>
        <w:t>Меморандумът за разбирателство (МзР) и споразумението за заем за Тунис за МФП II бяха подписани на 27 април 2017 г. Ратификацията от страна на тунизийските органи бе осъществена на 11 август 2017 г. и споразумението за заем влезе в сила на 8 септември 2017 г. Първият транш от 200 милиона евро (от общо 500 милиона евро съгласно решението) на втората програма на Тунис (МФП II)</w:t>
      </w:r>
      <w:r>
        <w:rPr>
          <w:rStyle w:val="FootnoteReference"/>
          <w:noProof/>
          <w:color w:val="000000" w:themeColor="text1"/>
        </w:rPr>
        <w:footnoteReference w:id="30"/>
      </w:r>
      <w:r>
        <w:rPr>
          <w:noProof/>
          <w:color w:val="000000" w:themeColor="text1"/>
        </w:rPr>
        <w:t xml:space="preserve"> беше изплатен на 25 октомври 2017 г.</w:t>
      </w:r>
      <w:r>
        <w:rPr>
          <w:b/>
          <w:noProof/>
          <w:color w:val="000000" w:themeColor="text1"/>
        </w:rPr>
        <w:t xml:space="preserve"> </w:t>
      </w:r>
      <w:r>
        <w:rPr>
          <w:noProof/>
          <w:color w:val="000000" w:themeColor="text1"/>
        </w:rPr>
        <w:t>Вторият и третият последен транш от по 150 милиона евро бяха изплатени съответно на 3 юли 2019 г. и на 11 ноември 2019 г.</w:t>
      </w:r>
    </w:p>
    <w:p>
      <w:pPr>
        <w:spacing w:before="240"/>
        <w:rPr>
          <w:rFonts w:eastAsia="Calibri" w:cstheme="minorBidi"/>
          <w:b/>
          <w:noProof/>
          <w:color w:val="000000" w:themeColor="text1"/>
          <w:szCs w:val="22"/>
        </w:rPr>
      </w:pPr>
      <w:r>
        <w:rPr>
          <w:b/>
          <w:noProof/>
          <w:color w:val="000000" w:themeColor="text1"/>
          <w:szCs w:val="22"/>
        </w:rPr>
        <w:t>Република Молдова</w:t>
      </w:r>
    </w:p>
    <w:p>
      <w:pPr>
        <w:autoSpaceDE w:val="0"/>
        <w:autoSpaceDN w:val="0"/>
        <w:adjustRightInd w:val="0"/>
        <w:rPr>
          <w:b/>
          <w:noProof/>
          <w:color w:val="000000" w:themeColor="text1"/>
        </w:rPr>
      </w:pPr>
      <w:r>
        <w:rPr>
          <w:noProof/>
          <w:color w:val="000000" w:themeColor="text1"/>
        </w:rPr>
        <w:t>На 13 септември 2017 г. Европейският парламент и Съветът решиха да предоставят допълнителна макрофинансова помощ на Република Молдова в размер на 100 милиона евро (до 60 милиона евро под формата на заеми и до 40 милиона евро под формата на безвъзмездни средства)</w:t>
      </w:r>
      <w:r>
        <w:rPr>
          <w:rStyle w:val="FootnoteReference"/>
          <w:noProof/>
          <w:color w:val="000000" w:themeColor="text1"/>
        </w:rPr>
        <w:t xml:space="preserve"> </w:t>
      </w:r>
      <w:r>
        <w:rPr>
          <w:rStyle w:val="FootnoteReference"/>
          <w:noProof/>
          <w:color w:val="000000" w:themeColor="text1"/>
          <w:lang w:val="en-IE"/>
        </w:rPr>
        <w:footnoteReference w:id="31"/>
      </w:r>
      <w:r>
        <w:rPr>
          <w:noProof/>
          <w:color w:val="000000" w:themeColor="text1"/>
        </w:rPr>
        <w:t>. Първият транш в размер на 20 милиона евро беше изплатен през октомври 2019 г., а вторият транш – през юли 2020 г.</w:t>
      </w:r>
    </w:p>
    <w:p>
      <w:pPr>
        <w:spacing w:before="240"/>
        <w:rPr>
          <w:rFonts w:eastAsia="Calibri" w:cstheme="minorBidi"/>
          <w:b/>
          <w:noProof/>
          <w:color w:val="000000" w:themeColor="text1"/>
          <w:szCs w:val="22"/>
          <w:u w:val="single"/>
        </w:rPr>
      </w:pPr>
      <w:r>
        <w:rPr>
          <w:b/>
          <w:noProof/>
          <w:color w:val="000000" w:themeColor="text1"/>
          <w:szCs w:val="22"/>
          <w:u w:val="single"/>
        </w:rPr>
        <w:t xml:space="preserve">Допълнителна информация </w:t>
      </w:r>
    </w:p>
    <w:p>
      <w:pPr>
        <w:autoSpaceDE w:val="0"/>
        <w:autoSpaceDN w:val="0"/>
        <w:adjustRightInd w:val="0"/>
        <w:rPr>
          <w:rFonts w:cs="Arial"/>
          <w:noProof/>
          <w:color w:val="000000" w:themeColor="text1"/>
        </w:rPr>
      </w:pPr>
      <w:r>
        <w:rPr>
          <w:noProof/>
          <w:color w:val="000000" w:themeColor="text1"/>
        </w:rPr>
        <w:t>Що се отнася до погасяванията, 52,13 милиона евро бяха възстановени от държавите бенефициери: Албания (1,8 милиона евро), Босна и Херцеговинa (14 милиона евро), Черна гора (0,3 милиона евро) и Сърбия (36,03 милиона евро).</w:t>
      </w:r>
    </w:p>
    <w:p>
      <w:pPr>
        <w:autoSpaceDE w:val="0"/>
        <w:autoSpaceDN w:val="0"/>
        <w:adjustRightInd w:val="0"/>
        <w:spacing w:after="360"/>
        <w:rPr>
          <w:noProof/>
          <w:color w:val="000000" w:themeColor="text1"/>
        </w:rPr>
      </w:pPr>
      <w:r>
        <w:rPr>
          <w:noProof/>
          <w:color w:val="000000" w:themeColor="text1"/>
        </w:rPr>
        <w:t>Непогасените суми по заеми за МФП нараснаха от 4,4 милиарда евро на 4,7 милиарда евро в периода от 31 декември 2018 г. до 31 декември 2019 г. Заемите за Украйна представляват 70 % от общата експозиция за МФП.</w:t>
      </w:r>
    </w:p>
    <w:p>
      <w:pPr>
        <w:pStyle w:val="ManualHeading3"/>
        <w:rPr>
          <w:noProof/>
          <w:color w:val="000000" w:themeColor="text1"/>
        </w:rPr>
      </w:pPr>
      <w:bookmarkStart w:id="119" w:name="_Toc390944392"/>
      <w:bookmarkStart w:id="120" w:name="_Toc393969963"/>
      <w:bookmarkStart w:id="121" w:name="_Toc418157630"/>
      <w:bookmarkStart w:id="122" w:name="_Toc418160311"/>
      <w:bookmarkStart w:id="123" w:name="_Toc446577178"/>
      <w:bookmarkStart w:id="124" w:name="_Toc452646724"/>
      <w:bookmarkStart w:id="125" w:name="_Toc453161363"/>
      <w:bookmarkStart w:id="126" w:name="_Toc486601266"/>
      <w:bookmarkStart w:id="127" w:name="_Toc54253103"/>
      <w:r>
        <w:rPr>
          <w:noProof/>
          <w:color w:val="000000" w:themeColor="text1"/>
        </w:rPr>
        <w:t>3.1.4</w:t>
      </w:r>
      <w:r>
        <w:rPr>
          <w:noProof/>
        </w:rPr>
        <w:tab/>
      </w:r>
      <w:r>
        <w:rPr>
          <w:noProof/>
          <w:color w:val="000000" w:themeColor="text1"/>
        </w:rPr>
        <w:t>Заеми в рамките на Евратом</w:t>
      </w:r>
      <w:bookmarkEnd w:id="119"/>
      <w:bookmarkEnd w:id="120"/>
      <w:bookmarkEnd w:id="121"/>
      <w:bookmarkEnd w:id="122"/>
      <w:bookmarkEnd w:id="123"/>
      <w:bookmarkEnd w:id="124"/>
      <w:bookmarkEnd w:id="125"/>
      <w:bookmarkEnd w:id="126"/>
      <w:bookmarkEnd w:id="127"/>
    </w:p>
    <w:p>
      <w:pPr>
        <w:autoSpaceDE w:val="0"/>
        <w:autoSpaceDN w:val="0"/>
        <w:adjustRightInd w:val="0"/>
        <w:rPr>
          <w:noProof/>
          <w:color w:val="000000" w:themeColor="text1"/>
        </w:rPr>
      </w:pPr>
      <w:r>
        <w:rPr>
          <w:noProof/>
          <w:color w:val="000000" w:themeColor="text1"/>
        </w:rPr>
        <w:t>Заемите от Евратом, предоставени на държави членки или на някои отговарящи на условията държави извън ЕС (в момента Руската федерация, Армения и Украйна), са с максимален размер от 4 милиарда евро, от които вече са изплатени около 92 %. 326 милиона евро остават под сумата от 4 милиарда евро под формата на заеми, разрешени с Решение № 77/270/Евратом</w:t>
      </w:r>
      <w:r>
        <w:rPr>
          <w:rStyle w:val="FootnoteReference"/>
          <w:noProof/>
          <w:color w:val="000000" w:themeColor="text1"/>
          <w:lang w:val="en-IE"/>
        </w:rPr>
        <w:footnoteReference w:id="32"/>
      </w:r>
      <w:r>
        <w:rPr>
          <w:noProof/>
          <w:color w:val="000000" w:themeColor="text1"/>
        </w:rPr>
        <w:t>.</w:t>
      </w:r>
    </w:p>
    <w:p>
      <w:pPr>
        <w:spacing w:before="240"/>
        <w:rPr>
          <w:rFonts w:eastAsia="Calibri" w:cstheme="minorBidi"/>
          <w:b/>
          <w:noProof/>
          <w:color w:val="000000" w:themeColor="text1"/>
          <w:szCs w:val="22"/>
        </w:rPr>
      </w:pPr>
      <w:r>
        <w:rPr>
          <w:b/>
          <w:noProof/>
          <w:color w:val="000000" w:themeColor="text1"/>
          <w:szCs w:val="22"/>
        </w:rPr>
        <w:t>Украйна</w:t>
      </w:r>
    </w:p>
    <w:p>
      <w:pPr>
        <w:autoSpaceDE w:val="0"/>
        <w:autoSpaceDN w:val="0"/>
        <w:adjustRightInd w:val="0"/>
        <w:rPr>
          <w:noProof/>
          <w:color w:val="000000" w:themeColor="text1"/>
        </w:rPr>
      </w:pPr>
      <w:r>
        <w:rPr>
          <w:noProof/>
          <w:color w:val="000000" w:themeColor="text1"/>
        </w:rPr>
        <w:t>Заем в размер на 300 милиона евро за Украйна, предназначен за модернизацията с цел обезопасяване на съществуващите ядрени съоръжения, бе предоставен с Решение на Комисията от 24 юни 2013 г.</w:t>
      </w:r>
      <w:r>
        <w:rPr>
          <w:rStyle w:val="FootnoteReference"/>
          <w:noProof/>
          <w:color w:val="000000" w:themeColor="text1"/>
          <w:lang w:val="en-IE"/>
        </w:rPr>
        <w:footnoteReference w:id="33"/>
      </w:r>
      <w:r>
        <w:rPr>
          <w:noProof/>
          <w:color w:val="000000" w:themeColor="text1"/>
        </w:rPr>
        <w:t xml:space="preserve"> Заемът е отпуснат в тясно сътрудничество с ЕБВР, която успоредно с него предоставя друг заем от 300 милиона евро.</w:t>
      </w:r>
    </w:p>
    <w:p>
      <w:pPr>
        <w:autoSpaceDE w:val="0"/>
        <w:autoSpaceDN w:val="0"/>
        <w:adjustRightInd w:val="0"/>
        <w:spacing w:after="240"/>
        <w:rPr>
          <w:rFonts w:cs="Arial"/>
          <w:noProof/>
          <w:color w:val="000000" w:themeColor="text1"/>
        </w:rPr>
      </w:pPr>
      <w:r>
        <w:rPr>
          <w:noProof/>
          <w:color w:val="000000" w:themeColor="text1"/>
        </w:rPr>
        <w:t>Тези заеми са обезпечени с държавни гаранции, които покриват 100 % от непогасените суми в края на годината. Първият транш от Евратом от 50 милиона евро беше изплатен през май 2017 г., вторият транш от Евратом от 50 милиона евро беше изплатен през юни 2018 г., а третият транш от Евратом в размер на 100 милиона евро беше изплатен през юли 2020 г.</w:t>
      </w:r>
    </w:p>
    <w:p>
      <w:pPr>
        <w:spacing w:before="240"/>
        <w:rPr>
          <w:rFonts w:eastAsia="Calibri" w:cstheme="minorBidi"/>
          <w:b/>
          <w:noProof/>
          <w:color w:val="000000" w:themeColor="text1"/>
          <w:szCs w:val="22"/>
        </w:rPr>
      </w:pPr>
      <w:r>
        <w:rPr>
          <w:b/>
          <w:noProof/>
          <w:color w:val="000000" w:themeColor="text1"/>
          <w:szCs w:val="22"/>
        </w:rPr>
        <w:t>България и Румъния</w:t>
      </w:r>
    </w:p>
    <w:p>
      <w:pPr>
        <w:autoSpaceDE w:val="0"/>
        <w:autoSpaceDN w:val="0"/>
        <w:adjustRightInd w:val="0"/>
        <w:rPr>
          <w:noProof/>
          <w:color w:val="000000" w:themeColor="text1"/>
        </w:rPr>
      </w:pPr>
      <w:r>
        <w:rPr>
          <w:noProof/>
          <w:color w:val="000000" w:themeColor="text1"/>
        </w:rPr>
        <w:t>Заем от 212,5 милиона евро бе предоставен на България под формата на многовалутен механизъм за модернизирането на атомната електроцентрала „Козлодуй“ (блокове 5 и 6). Споразумението за заем между Европейската общност за атомна енергия и АЕЦ „Козлодуй“ ЕАД бе подписано на 29 май 2000 г. Към 31 декември 2019</w:t>
      </w:r>
      <w:r>
        <w:rPr>
          <w:noProof/>
          <w:color w:val="000000" w:themeColor="text1"/>
          <w:lang w:val="en-US"/>
        </w:rPr>
        <w:t> </w:t>
      </w:r>
      <w:r>
        <w:rPr>
          <w:noProof/>
          <w:color w:val="000000" w:themeColor="text1"/>
        </w:rPr>
        <w:t>г. неизплатената сума възлизаше на 16,9 милиона евро.</w:t>
      </w:r>
    </w:p>
    <w:p>
      <w:pPr>
        <w:autoSpaceDE w:val="0"/>
        <w:autoSpaceDN w:val="0"/>
        <w:adjustRightInd w:val="0"/>
        <w:rPr>
          <w:noProof/>
          <w:color w:val="000000" w:themeColor="text1"/>
        </w:rPr>
      </w:pPr>
      <w:r>
        <w:rPr>
          <w:noProof/>
          <w:color w:val="000000" w:themeColor="text1"/>
        </w:rPr>
        <w:t>Заем от 223,5 милиона евро бе предоставен на Румъния под формата на многовалутен механизъм за завършването на втори блок от атомната електроцентрала „Черна вода“. Споразумението за заем между Европейската общност за атомна енергия и Societatea Nationala Nuclearelectrica S.A. бе подписано на 11 юни 2004 г. Към 31 декември 2018 г. неизплатената сума възлизаше на 95,9 милиона евро.</w:t>
      </w:r>
    </w:p>
    <w:p>
      <w:pPr>
        <w:autoSpaceDE w:val="0"/>
        <w:autoSpaceDN w:val="0"/>
        <w:adjustRightInd w:val="0"/>
        <w:rPr>
          <w:noProof/>
          <w:color w:val="000000" w:themeColor="text1"/>
        </w:rPr>
      </w:pPr>
      <w:r>
        <w:rPr>
          <w:noProof/>
          <w:color w:val="000000" w:themeColor="text1"/>
        </w:rPr>
        <w:t>От 1 януари 2007 г., когато България и Румъния станаха държави членки, остатъчният риск по тези операции се обезпечава пряко от бюджета на ЕС, а не от Гаранционния фонд за външни дейности.</w:t>
      </w:r>
    </w:p>
    <w:p>
      <w:pPr>
        <w:autoSpaceDE w:val="0"/>
        <w:autoSpaceDN w:val="0"/>
        <w:adjustRightInd w:val="0"/>
        <w:spacing w:after="0"/>
        <w:rPr>
          <w:noProof/>
          <w:color w:val="000000" w:themeColor="text1"/>
          <w:lang w:val="en-IE"/>
        </w:rPr>
      </w:pPr>
    </w:p>
    <w:p>
      <w:pPr>
        <w:pStyle w:val="ManualHeading2"/>
        <w:tabs>
          <w:tab w:val="clear" w:pos="850"/>
        </w:tabs>
        <w:ind w:left="567" w:hanging="567"/>
        <w:rPr>
          <w:noProof/>
          <w:color w:val="000000" w:themeColor="text1"/>
        </w:rPr>
      </w:pPr>
      <w:bookmarkStart w:id="128" w:name="_Toc329261061"/>
      <w:bookmarkStart w:id="129" w:name="_Toc329855623"/>
      <w:bookmarkStart w:id="130" w:name="_Toc330551228"/>
      <w:bookmarkStart w:id="131" w:name="_Toc342470151"/>
      <w:bookmarkStart w:id="132" w:name="_Toc345073701"/>
      <w:bookmarkStart w:id="133" w:name="_Toc365986218"/>
      <w:bookmarkStart w:id="134" w:name="_Toc367869471"/>
      <w:bookmarkStart w:id="135" w:name="_Toc367869998"/>
      <w:bookmarkStart w:id="136" w:name="_Toc388973016"/>
      <w:bookmarkStart w:id="137" w:name="_Toc389474749"/>
      <w:bookmarkStart w:id="138" w:name="_Toc390944393"/>
      <w:bookmarkStart w:id="139" w:name="_Toc393969964"/>
      <w:bookmarkStart w:id="140" w:name="_Toc417461970"/>
      <w:bookmarkStart w:id="141" w:name="_Toc417998604"/>
      <w:bookmarkStart w:id="142" w:name="_Toc418157631"/>
      <w:bookmarkStart w:id="143" w:name="_Toc418160312"/>
      <w:bookmarkStart w:id="144" w:name="_Toc446577179"/>
      <w:bookmarkStart w:id="145" w:name="_Toc452646725"/>
      <w:bookmarkStart w:id="146" w:name="_Toc453161364"/>
      <w:bookmarkStart w:id="147" w:name="_Toc486601267"/>
      <w:bookmarkStart w:id="148" w:name="_Toc54253104"/>
      <w:r>
        <w:rPr>
          <w:noProof/>
          <w:color w:val="000000" w:themeColor="text1"/>
        </w:rPr>
        <w:t>3.2</w:t>
      </w:r>
      <w:r>
        <w:rPr>
          <w:noProof/>
        </w:rPr>
        <w:tab/>
      </w:r>
      <w:bookmarkStart w:id="149" w:name="_Toc309831361"/>
      <w:r>
        <w:rPr>
          <w:noProof/>
          <w:color w:val="000000" w:themeColor="text1"/>
        </w:rPr>
        <w:t>Развитие на операциите на ЕИБ за външно</w:t>
      </w:r>
      <w:bookmarkEnd w:id="128"/>
      <w:bookmarkEnd w:id="129"/>
      <w:bookmarkEnd w:id="130"/>
      <w:bookmarkEnd w:id="131"/>
      <w:bookmarkEnd w:id="132"/>
      <w:bookmarkEnd w:id="133"/>
      <w:bookmarkEnd w:id="134"/>
      <w:bookmarkEnd w:id="135"/>
      <w:bookmarkEnd w:id="136"/>
      <w:bookmarkEnd w:id="137"/>
      <w:bookmarkEnd w:id="149"/>
      <w:r>
        <w:rPr>
          <w:noProof/>
          <w:color w:val="000000" w:themeColor="text1"/>
        </w:rPr>
        <w:t xml:space="preserve"> финансиране</w:t>
      </w:r>
      <w:bookmarkEnd w:id="138"/>
      <w:bookmarkEnd w:id="139"/>
      <w:bookmarkEnd w:id="140"/>
      <w:bookmarkEnd w:id="141"/>
      <w:bookmarkEnd w:id="142"/>
      <w:bookmarkEnd w:id="143"/>
      <w:bookmarkEnd w:id="144"/>
      <w:bookmarkEnd w:id="145"/>
      <w:bookmarkEnd w:id="146"/>
      <w:bookmarkEnd w:id="147"/>
      <w:bookmarkEnd w:id="148"/>
    </w:p>
    <w:p>
      <w:pPr>
        <w:spacing w:after="240"/>
        <w:rPr>
          <w:noProof/>
          <w:color w:val="000000" w:themeColor="text1"/>
          <w:u w:val="single"/>
        </w:rPr>
      </w:pPr>
      <w:r>
        <w:rPr>
          <w:noProof/>
          <w:color w:val="000000" w:themeColor="text1"/>
          <w:u w:val="single"/>
        </w:rPr>
        <w:t>Развитие през 2019 г.</w:t>
      </w:r>
    </w:p>
    <w:p>
      <w:pPr>
        <w:spacing w:before="0" w:after="240"/>
        <w:rPr>
          <w:noProof/>
          <w:color w:val="000000" w:themeColor="text1"/>
        </w:rPr>
      </w:pPr>
      <w:r>
        <w:rPr>
          <w:noProof/>
          <w:color w:val="000000" w:themeColor="text1"/>
        </w:rPr>
        <w:t>В рамките на мандата на ЕИБ за външно кредитиране за периода 2014—2020 г. към 31</w:t>
      </w:r>
      <w:r>
        <w:rPr>
          <w:noProof/>
          <w:color w:val="000000" w:themeColor="text1"/>
          <w:lang w:val="en-US"/>
        </w:rPr>
        <w:t> </w:t>
      </w:r>
      <w:r>
        <w:rPr>
          <w:noProof/>
          <w:color w:val="000000" w:themeColor="text1"/>
        </w:rPr>
        <w:t>декември 2019 г. са били подписани договори за 22,44 милиарда евро, от които само 7,99 милиарда евро са били изплатени към тази дата, с което непогасената главница остава 7,03 милиарда евро (вж. таблица А3 от Работния документ на службите на Комисията). За повече информация относно държавите, обхванати от мандата на ЕИБ, вж. таблици A1, А3 и А4 от Работния документ на службите на Комисията.</w:t>
      </w:r>
    </w:p>
    <w:p>
      <w:pPr>
        <w:spacing w:before="0" w:after="240"/>
        <w:rPr>
          <w:noProof/>
          <w:color w:val="000000" w:themeColor="text1"/>
        </w:rPr>
      </w:pPr>
      <w:r>
        <w:rPr>
          <w:noProof/>
          <w:color w:val="000000" w:themeColor="text1"/>
        </w:rPr>
        <w:t>За предишните мандати на ЕИБ за външно кредитиране вж. таблица A3 от Работния документ на службите на Комисията.</w:t>
      </w:r>
    </w:p>
    <w:p>
      <w:pPr>
        <w:spacing w:before="0" w:after="240"/>
        <w:rPr>
          <w:noProof/>
          <w:color w:val="000000" w:themeColor="text1"/>
        </w:rPr>
      </w:pPr>
      <w:r>
        <w:rPr>
          <w:noProof/>
          <w:color w:val="000000" w:themeColor="text1"/>
        </w:rPr>
        <w:t>Неизпълнението на плащанията по лихвите и главниците от страна на сирийското правителство продължи и през 2019 г. ЕИБ се обърна към Гаранционния фонд, за да покрие тези просрочени плащания (вж. точка 5.2 по-долу).</w:t>
      </w:r>
    </w:p>
    <w:p>
      <w:pPr>
        <w:spacing w:before="0"/>
        <w:rPr>
          <w:noProof/>
          <w:color w:val="000000" w:themeColor="text1"/>
        </w:rPr>
      </w:pPr>
      <w:r>
        <w:rPr>
          <w:noProof/>
          <w:color w:val="000000" w:themeColor="text1"/>
        </w:rPr>
        <w:t>Непогасените суми към 31 декември 2019 г. по различните механизми, изброени в настоящия раздел, са представени в таблица 1.</w:t>
      </w:r>
    </w:p>
    <w:p>
      <w:pPr>
        <w:pStyle w:val="ManualHeading1"/>
        <w:tabs>
          <w:tab w:val="clear" w:pos="850"/>
        </w:tabs>
        <w:ind w:left="567" w:hanging="567"/>
        <w:rPr>
          <w:noProof/>
          <w:color w:val="000000" w:themeColor="text1"/>
        </w:rPr>
      </w:pPr>
      <w:bookmarkStart w:id="150" w:name="_Toc329261062"/>
      <w:bookmarkStart w:id="151" w:name="_Toc329855624"/>
      <w:bookmarkStart w:id="152" w:name="_Toc330551229"/>
      <w:bookmarkStart w:id="153" w:name="_Toc342470152"/>
      <w:bookmarkStart w:id="154" w:name="_Toc345073702"/>
      <w:bookmarkStart w:id="155" w:name="_Toc365986219"/>
      <w:bookmarkStart w:id="156" w:name="_Toc367869472"/>
      <w:bookmarkStart w:id="157" w:name="_Toc367869999"/>
      <w:bookmarkStart w:id="158" w:name="_Toc388973017"/>
      <w:bookmarkStart w:id="159" w:name="_Toc389474750"/>
      <w:bookmarkStart w:id="160" w:name="_Toc390944394"/>
      <w:bookmarkStart w:id="161" w:name="_Toc393969965"/>
      <w:bookmarkStart w:id="162" w:name="_Toc417461971"/>
      <w:bookmarkStart w:id="163" w:name="_Toc417998605"/>
      <w:bookmarkStart w:id="164" w:name="_Toc418157632"/>
      <w:bookmarkStart w:id="165" w:name="_Toc418160313"/>
      <w:bookmarkStart w:id="166" w:name="_Toc446577180"/>
      <w:bookmarkStart w:id="167" w:name="_Toc452646726"/>
      <w:bookmarkStart w:id="168" w:name="_Toc453161365"/>
      <w:bookmarkStart w:id="169" w:name="_Toc486601268"/>
      <w:bookmarkStart w:id="170" w:name="_Toc54253105"/>
      <w:r>
        <w:rPr>
          <w:noProof/>
          <w:color w:val="000000" w:themeColor="text1"/>
        </w:rPr>
        <w:t>4.</w:t>
      </w:r>
      <w:r>
        <w:rPr>
          <w:noProof/>
        </w:rPr>
        <w:tab/>
      </w:r>
      <w:bookmarkStart w:id="171" w:name="_Toc309831362"/>
      <w:r>
        <w:rPr>
          <w:noProof/>
          <w:color w:val="000000" w:themeColor="text1"/>
        </w:rPr>
        <w:t>Рискове, обезпечени от</w:t>
      </w:r>
      <w:bookmarkEnd w:id="150"/>
      <w:bookmarkEnd w:id="151"/>
      <w:bookmarkEnd w:id="152"/>
      <w:bookmarkEnd w:id="153"/>
      <w:bookmarkEnd w:id="154"/>
      <w:bookmarkEnd w:id="155"/>
      <w:bookmarkEnd w:id="156"/>
      <w:bookmarkEnd w:id="157"/>
      <w:bookmarkEnd w:id="158"/>
      <w:bookmarkEnd w:id="159"/>
      <w:bookmarkEnd w:id="171"/>
      <w:r>
        <w:rPr>
          <w:noProof/>
          <w:color w:val="000000" w:themeColor="text1"/>
        </w:rPr>
        <w:t xml:space="preserve"> бюджета на ЕС</w:t>
      </w:r>
      <w:bookmarkEnd w:id="160"/>
      <w:bookmarkEnd w:id="161"/>
      <w:bookmarkEnd w:id="162"/>
      <w:bookmarkEnd w:id="163"/>
      <w:bookmarkEnd w:id="164"/>
      <w:bookmarkEnd w:id="165"/>
      <w:bookmarkEnd w:id="166"/>
      <w:bookmarkEnd w:id="167"/>
      <w:bookmarkEnd w:id="168"/>
      <w:bookmarkEnd w:id="169"/>
      <w:bookmarkEnd w:id="170"/>
    </w:p>
    <w:p>
      <w:pPr>
        <w:pStyle w:val="ManualHeading2"/>
        <w:tabs>
          <w:tab w:val="clear" w:pos="850"/>
        </w:tabs>
        <w:ind w:left="567" w:hanging="567"/>
        <w:rPr>
          <w:noProof/>
          <w:color w:val="000000" w:themeColor="text1"/>
        </w:rPr>
      </w:pPr>
      <w:bookmarkStart w:id="172" w:name="_Toc309831363"/>
      <w:bookmarkStart w:id="173" w:name="_Toc329261063"/>
      <w:bookmarkStart w:id="174" w:name="_Toc329855625"/>
      <w:bookmarkStart w:id="175" w:name="_Toc330551230"/>
      <w:bookmarkStart w:id="176" w:name="_Toc342470153"/>
      <w:bookmarkStart w:id="177" w:name="_Toc345073703"/>
      <w:bookmarkStart w:id="178" w:name="_Toc365986220"/>
      <w:bookmarkStart w:id="179" w:name="_Toc367869473"/>
      <w:bookmarkStart w:id="180" w:name="_Toc367870000"/>
      <w:bookmarkStart w:id="181" w:name="_Toc388973018"/>
      <w:bookmarkStart w:id="182" w:name="_Toc389474751"/>
      <w:bookmarkStart w:id="183" w:name="_Toc390944395"/>
      <w:bookmarkStart w:id="184" w:name="_Toc393969966"/>
      <w:bookmarkStart w:id="185" w:name="_Toc417461972"/>
      <w:bookmarkStart w:id="186" w:name="_Toc417998606"/>
      <w:bookmarkStart w:id="187" w:name="_Toc418157633"/>
      <w:bookmarkStart w:id="188" w:name="_Toc418160314"/>
      <w:bookmarkStart w:id="189" w:name="_Toc446577181"/>
      <w:bookmarkStart w:id="190" w:name="_Toc452646727"/>
      <w:bookmarkStart w:id="191" w:name="_Toc453161366"/>
      <w:bookmarkStart w:id="192" w:name="_Toc486601269"/>
      <w:bookmarkStart w:id="193" w:name="_Toc54253106"/>
      <w:r>
        <w:rPr>
          <w:noProof/>
          <w:color w:val="000000" w:themeColor="text1"/>
        </w:rPr>
        <w:t>4.1</w:t>
      </w:r>
      <w:r>
        <w:rPr>
          <w:noProof/>
        </w:rPr>
        <w:tab/>
      </w:r>
      <w:r>
        <w:rPr>
          <w:noProof/>
          <w:color w:val="000000" w:themeColor="text1"/>
        </w:rPr>
        <w:t>Определение на риска</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rPr>
          <w:noProof/>
          <w:color w:val="000000" w:themeColor="text1"/>
        </w:rPr>
      </w:pPr>
      <w:r>
        <w:rPr>
          <w:noProof/>
          <w:color w:val="000000" w:themeColor="text1"/>
        </w:rPr>
        <w:t>Поетият от бюджета на ЕС риск произтича от непогасената главница и дължимата лихва за гарантираните операции.</w:t>
      </w:r>
    </w:p>
    <w:p>
      <w:pPr>
        <w:rPr>
          <w:noProof/>
          <w:color w:val="000000" w:themeColor="text1"/>
        </w:rPr>
      </w:pPr>
      <w:r>
        <w:rPr>
          <w:noProof/>
          <w:color w:val="000000" w:themeColor="text1"/>
        </w:rPr>
        <w:t>За целите на настоящия доклад се използват два метода за оценка на рисковете, поети от бюджета на ЕС (пряко или косвено чрез Фонда):</w:t>
      </w:r>
    </w:p>
    <w:p>
      <w:pPr>
        <w:pStyle w:val="ListDash"/>
        <w:rPr>
          <w:noProof/>
          <w:color w:val="000000" w:themeColor="text1"/>
        </w:rPr>
      </w:pPr>
      <w:r>
        <w:rPr>
          <w:noProof/>
          <w:color w:val="000000" w:themeColor="text1"/>
        </w:rPr>
        <w:t>„общият обезпечен риск“ се базира на общата сума на непогасената главница и начислените лихви по съответните операции към определена дата</w:t>
      </w:r>
      <w:r>
        <w:rPr>
          <w:rStyle w:val="FootnoteReference"/>
          <w:noProof/>
          <w:color w:val="000000" w:themeColor="text1"/>
          <w:lang w:val="en-IE"/>
        </w:rPr>
        <w:footnoteReference w:id="34"/>
      </w:r>
      <w:r>
        <w:rPr>
          <w:noProof/>
          <w:color w:val="000000" w:themeColor="text1"/>
        </w:rPr>
        <w:t>.</w:t>
      </w:r>
    </w:p>
    <w:p>
      <w:pPr>
        <w:pStyle w:val="ListDash"/>
        <w:ind w:left="284" w:hanging="284"/>
        <w:rPr>
          <w:noProof/>
          <w:color w:val="000000" w:themeColor="text1"/>
        </w:rPr>
      </w:pPr>
      <w:r>
        <w:rPr>
          <w:noProof/>
          <w:color w:val="000000" w:themeColor="text1"/>
        </w:rPr>
        <w:t>Бюджетният подход, който се определя като „годишен риск, поет от бюджета на ЕС“, се основава на изчисляване на максималната сума на дължимите годишни плащания, които ЕС трябва да извърши през дадена финансова година, ако се допусне, че е налице неизпълнение за всички плащания по гарантираните заеми</w:t>
      </w:r>
      <w:r>
        <w:rPr>
          <w:rStyle w:val="Funotenzeichen"/>
          <w:noProof/>
          <w:color w:val="000000" w:themeColor="text1"/>
          <w:lang w:val="en-IE"/>
        </w:rPr>
        <w:footnoteReference w:id="35"/>
      </w:r>
      <w:r>
        <w:rPr>
          <w:noProof/>
          <w:color w:val="000000" w:themeColor="text1"/>
        </w:rPr>
        <w:t>.</w:t>
      </w:r>
    </w:p>
    <w:p>
      <w:pPr>
        <w:pStyle w:val="ManualHeading2"/>
        <w:tabs>
          <w:tab w:val="clear" w:pos="850"/>
        </w:tabs>
        <w:ind w:left="567" w:hanging="567"/>
        <w:rPr>
          <w:noProof/>
          <w:color w:val="000000" w:themeColor="text1"/>
        </w:rPr>
      </w:pPr>
      <w:bookmarkStart w:id="194" w:name="_Toc309831364"/>
      <w:bookmarkStart w:id="195" w:name="_Toc329261064"/>
      <w:bookmarkStart w:id="196" w:name="_Toc329855626"/>
      <w:bookmarkStart w:id="197" w:name="_Toc330551231"/>
      <w:bookmarkStart w:id="198" w:name="_Toc342470154"/>
      <w:bookmarkStart w:id="199" w:name="_Toc345073704"/>
      <w:bookmarkStart w:id="200" w:name="_Toc365986221"/>
      <w:bookmarkStart w:id="201" w:name="_Toc367869474"/>
      <w:bookmarkStart w:id="202" w:name="_Toc367870001"/>
      <w:bookmarkStart w:id="203" w:name="_Toc388973019"/>
      <w:bookmarkStart w:id="204" w:name="_Toc389474752"/>
      <w:bookmarkStart w:id="205" w:name="_Toc390944396"/>
      <w:bookmarkStart w:id="206" w:name="_Toc393969967"/>
      <w:bookmarkStart w:id="207" w:name="_Toc417461973"/>
      <w:bookmarkStart w:id="208" w:name="_Toc417998607"/>
      <w:bookmarkStart w:id="209" w:name="_Toc418157634"/>
      <w:bookmarkStart w:id="210" w:name="_Toc418160315"/>
      <w:bookmarkStart w:id="211" w:name="_Toc446577182"/>
      <w:bookmarkStart w:id="212" w:name="_Toc452646728"/>
      <w:bookmarkStart w:id="213" w:name="_Toc453161367"/>
      <w:bookmarkStart w:id="214" w:name="_Toc486601270"/>
      <w:bookmarkStart w:id="215" w:name="_Toc54253107"/>
      <w:r>
        <w:rPr>
          <w:noProof/>
          <w:color w:val="000000" w:themeColor="text1"/>
        </w:rPr>
        <w:t>4.2</w:t>
      </w:r>
      <w:r>
        <w:rPr>
          <w:noProof/>
        </w:rPr>
        <w:tab/>
      </w:r>
      <w:r>
        <w:rPr>
          <w:noProof/>
          <w:color w:val="000000" w:themeColor="text1"/>
        </w:rPr>
        <w:t>Общ състав на рисковете</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rPr>
          <w:noProof/>
          <w:color w:val="000000" w:themeColor="text1"/>
        </w:rPr>
      </w:pPr>
      <w:r>
        <w:rPr>
          <w:noProof/>
          <w:color w:val="000000" w:themeColor="text1"/>
        </w:rPr>
        <w:t>До 2010 г. максималният риск по отношение на общите непогасени гарантирани суми беше свързан главно със заеми, предоставени на трети държави. От 2011 г. финансовата криза засегна значително публичните финанси на държавите членки, което доведе до увеличение на кредитните операции на ЕС в помощ на нуждите от държавно финансиране в отделните държави членки.</w:t>
      </w:r>
    </w:p>
    <w:p>
      <w:pPr>
        <w:rPr>
          <w:noProof/>
          <w:color w:val="000000" w:themeColor="text1"/>
        </w:rPr>
      </w:pPr>
      <w:r>
        <w:rPr>
          <w:noProof/>
          <w:color w:val="000000" w:themeColor="text1"/>
        </w:rPr>
        <w:t>Вследствие на това съставът на риска се промени. Към 31 декември 2019 г. 60,1 % от общите непогасени суми</w:t>
      </w:r>
      <w:r>
        <w:rPr>
          <w:rStyle w:val="FootnoteReference"/>
          <w:noProof/>
          <w:color w:val="000000" w:themeColor="text1"/>
          <w:lang w:val="en-IE"/>
        </w:rPr>
        <w:footnoteReference w:id="36"/>
      </w:r>
      <w:r>
        <w:rPr>
          <w:noProof/>
          <w:color w:val="000000" w:themeColor="text1"/>
        </w:rPr>
        <w:t xml:space="preserve"> са по операции по получаване на заеми за държавите членки, обезпечени пряко от бюджета на ЕС (спрямо 45 % към 31.12.2010 г.).</w:t>
      </w:r>
    </w:p>
    <w:p>
      <w:pPr>
        <w:pStyle w:val="ManualHeading2"/>
        <w:tabs>
          <w:tab w:val="clear" w:pos="850"/>
        </w:tabs>
        <w:ind w:left="567" w:hanging="567"/>
        <w:rPr>
          <w:noProof/>
          <w:color w:val="000000" w:themeColor="text1"/>
        </w:rPr>
      </w:pPr>
      <w:bookmarkStart w:id="216" w:name="_Toc342470155"/>
      <w:bookmarkStart w:id="217" w:name="_Toc309831365"/>
      <w:bookmarkStart w:id="218" w:name="_Toc329261065"/>
      <w:bookmarkStart w:id="219" w:name="_Toc329855627"/>
      <w:bookmarkStart w:id="220" w:name="_Toc330551232"/>
      <w:bookmarkStart w:id="221" w:name="_Toc342470159"/>
      <w:bookmarkStart w:id="222" w:name="_Toc345073705"/>
      <w:bookmarkStart w:id="223" w:name="_Toc365986222"/>
      <w:bookmarkStart w:id="224" w:name="_Toc367869475"/>
      <w:bookmarkStart w:id="225" w:name="_Toc367870002"/>
      <w:bookmarkStart w:id="226" w:name="_Toc388973020"/>
      <w:bookmarkStart w:id="227" w:name="_Toc389474753"/>
      <w:bookmarkStart w:id="228" w:name="_Toc390944397"/>
      <w:bookmarkStart w:id="229" w:name="_Toc393969968"/>
      <w:bookmarkStart w:id="230" w:name="_Toc417461974"/>
      <w:bookmarkStart w:id="231" w:name="_Toc417998608"/>
      <w:bookmarkStart w:id="232" w:name="_Toc418157635"/>
      <w:bookmarkStart w:id="233" w:name="_Toc418160316"/>
      <w:bookmarkStart w:id="234" w:name="_Toc446577183"/>
      <w:bookmarkStart w:id="235" w:name="_Toc452646729"/>
      <w:bookmarkStart w:id="236" w:name="_Toc453161368"/>
      <w:bookmarkStart w:id="237" w:name="_Toc486601271"/>
      <w:bookmarkStart w:id="238" w:name="_Toc54253108"/>
      <w:bookmarkEnd w:id="216"/>
      <w:r>
        <w:rPr>
          <w:noProof/>
          <w:color w:val="000000" w:themeColor="text1"/>
        </w:rPr>
        <w:t>4.3</w:t>
      </w:r>
      <w:r>
        <w:rPr>
          <w:noProof/>
        </w:rPr>
        <w:tab/>
      </w:r>
      <w:r>
        <w:rPr>
          <w:noProof/>
          <w:color w:val="000000" w:themeColor="text1"/>
        </w:rPr>
        <w:t>Годишен риск, обезпечен от</w:t>
      </w:r>
      <w:bookmarkEnd w:id="217"/>
      <w:bookmarkEnd w:id="218"/>
      <w:bookmarkEnd w:id="219"/>
      <w:bookmarkEnd w:id="220"/>
      <w:bookmarkEnd w:id="221"/>
      <w:bookmarkEnd w:id="222"/>
      <w:bookmarkEnd w:id="223"/>
      <w:bookmarkEnd w:id="224"/>
      <w:bookmarkEnd w:id="225"/>
      <w:bookmarkEnd w:id="226"/>
      <w:bookmarkEnd w:id="227"/>
      <w:r>
        <w:rPr>
          <w:noProof/>
          <w:color w:val="000000" w:themeColor="text1"/>
        </w:rPr>
        <w:t xml:space="preserve"> бюджета на ЕС</w:t>
      </w:r>
      <w:bookmarkEnd w:id="228"/>
      <w:bookmarkEnd w:id="229"/>
      <w:bookmarkEnd w:id="230"/>
      <w:bookmarkEnd w:id="231"/>
      <w:bookmarkEnd w:id="232"/>
      <w:bookmarkEnd w:id="233"/>
      <w:bookmarkEnd w:id="234"/>
      <w:bookmarkEnd w:id="235"/>
      <w:bookmarkEnd w:id="236"/>
      <w:bookmarkEnd w:id="237"/>
      <w:bookmarkEnd w:id="238"/>
    </w:p>
    <w:p>
      <w:pPr>
        <w:rPr>
          <w:noProof/>
          <w:color w:val="000000" w:themeColor="text1"/>
        </w:rPr>
      </w:pPr>
      <w:r>
        <w:rPr>
          <w:noProof/>
          <w:color w:val="000000" w:themeColor="text1"/>
        </w:rPr>
        <w:t xml:space="preserve">Що се отнася до непогасените заеми към 31 декември 2019 г. (вж. таблица 1 по-горе), максималната сума, която ЕС трябва да изплати през 2020 г. (пряко и чрез Фонда) — </w:t>
      </w:r>
      <w:r>
        <w:rPr>
          <w:i/>
          <w:noProof/>
          <w:color w:val="000000" w:themeColor="text1"/>
        </w:rPr>
        <w:t>ако се предположи</w:t>
      </w:r>
      <w:r>
        <w:rPr>
          <w:noProof/>
          <w:color w:val="000000" w:themeColor="text1"/>
        </w:rPr>
        <w:t xml:space="preserve">, че по </w:t>
      </w:r>
      <w:r>
        <w:rPr>
          <w:i/>
          <w:noProof/>
          <w:color w:val="000000" w:themeColor="text1"/>
        </w:rPr>
        <w:t>всички</w:t>
      </w:r>
      <w:r>
        <w:rPr>
          <w:noProof/>
          <w:color w:val="000000" w:themeColor="text1"/>
        </w:rPr>
        <w:t xml:space="preserve"> гарантирани заеми е налице неизпълнение, възлиза на 4 509 милиона евро. Това включва плащания на главница и на лихви по обезпечените заеми, изискуеми през 2020 г., при допускането, че при необслужваните заеми под внимание се вземат само изискуемите плащания, а не пълният размер на оставащото за погасяване задължение (за </w:t>
      </w:r>
      <w:bookmarkStart w:id="239" w:name="_Toc309831366"/>
      <w:bookmarkStart w:id="240" w:name="_Toc329261066"/>
      <w:bookmarkStart w:id="241" w:name="_Toc329855628"/>
      <w:bookmarkStart w:id="242" w:name="_Toc330551233"/>
      <w:bookmarkStart w:id="243" w:name="_Toc342470160"/>
      <w:bookmarkStart w:id="244" w:name="_Toc345073706"/>
      <w:bookmarkStart w:id="245" w:name="_Toc365986223"/>
      <w:bookmarkStart w:id="246" w:name="_Toc367869476"/>
      <w:bookmarkStart w:id="247" w:name="_Toc367870003"/>
      <w:bookmarkStart w:id="248" w:name="_Toc388973021"/>
      <w:bookmarkStart w:id="249" w:name="_Toc389474754"/>
      <w:bookmarkStart w:id="250" w:name="_Toc390944398"/>
      <w:bookmarkStart w:id="251" w:name="_Toc393969969"/>
      <w:bookmarkStart w:id="252" w:name="_Toc417461975"/>
      <w:bookmarkStart w:id="253" w:name="_Toc417998609"/>
      <w:bookmarkStart w:id="254" w:name="_Toc418157636"/>
      <w:bookmarkStart w:id="255" w:name="_Toc418160317"/>
      <w:bookmarkStart w:id="256" w:name="_Toc446577184"/>
      <w:bookmarkStart w:id="257" w:name="_Toc452646730"/>
      <w:bookmarkStart w:id="258" w:name="_Toc453161369"/>
      <w:r>
        <w:rPr>
          <w:noProof/>
          <w:color w:val="000000" w:themeColor="text1"/>
        </w:rPr>
        <w:t>подробна информация вж. таблица А4 от Работния документ на службите на Комисията).</w:t>
      </w:r>
    </w:p>
    <w:p>
      <w:pPr>
        <w:pStyle w:val="ManualHeading3"/>
        <w:rPr>
          <w:noProof/>
          <w:color w:val="000000" w:themeColor="text1"/>
        </w:rPr>
      </w:pPr>
      <w:bookmarkStart w:id="259" w:name="_Toc486601272"/>
      <w:bookmarkStart w:id="260" w:name="_Toc54253109"/>
      <w:r>
        <w:rPr>
          <w:noProof/>
          <w:color w:val="000000" w:themeColor="text1"/>
        </w:rPr>
        <w:t>4.3.1</w:t>
      </w:r>
      <w:r>
        <w:rPr>
          <w:noProof/>
        </w:rPr>
        <w:tab/>
      </w:r>
      <w:r>
        <w:rPr>
          <w:noProof/>
          <w:color w:val="000000" w:themeColor="text1"/>
        </w:rPr>
        <w:t xml:space="preserve">Експозиция към </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noProof/>
          <w:color w:val="000000" w:themeColor="text1"/>
        </w:rPr>
        <w:t>държавите членки</w:t>
      </w:r>
      <w:bookmarkEnd w:id="257"/>
      <w:bookmarkEnd w:id="258"/>
      <w:bookmarkEnd w:id="259"/>
      <w:bookmarkEnd w:id="260"/>
    </w:p>
    <w:p>
      <w:pPr>
        <w:rPr>
          <w:noProof/>
          <w:color w:val="000000" w:themeColor="text1"/>
        </w:rPr>
      </w:pPr>
      <w:r>
        <w:rPr>
          <w:noProof/>
          <w:color w:val="000000" w:themeColor="text1"/>
        </w:rPr>
        <w:t>През 2020 г. ЕС ще поеме максимален годишен риск, свързан с операциите с държави членки, в размер на 1 374,2 милиона евро (30,5 % от общия годишен риск). Този риск се отнася до:</w:t>
      </w:r>
    </w:p>
    <w:p>
      <w:pPr>
        <w:rPr>
          <w:noProof/>
          <w:color w:val="000000" w:themeColor="text1"/>
        </w:rPr>
      </w:pPr>
      <w:r>
        <w:rPr>
          <w:noProof/>
          <w:color w:val="000000" w:themeColor="text1"/>
        </w:rPr>
        <w:t>а) заемите, отпуснати от ЕИБ и/или от Евратом преди присъединяването на държавите членки към ЕС;</w:t>
      </w:r>
    </w:p>
    <w:p>
      <w:pPr>
        <w:rPr>
          <w:noProof/>
          <w:color w:val="000000" w:themeColor="text1"/>
        </w:rPr>
      </w:pPr>
      <w:r>
        <w:rPr>
          <w:noProof/>
          <w:color w:val="000000" w:themeColor="text1"/>
        </w:rPr>
        <w:t>б) заемите, отпуснати в рамките на механизма за ППБ, и</w:t>
      </w:r>
    </w:p>
    <w:p>
      <w:pPr>
        <w:rPr>
          <w:noProof/>
          <w:color w:val="000000" w:themeColor="text1"/>
        </w:rPr>
      </w:pPr>
      <w:r>
        <w:rPr>
          <w:noProof/>
          <w:color w:val="000000" w:themeColor="text1"/>
        </w:rPr>
        <w:t>в) заемите, отпуснати по линия на ЕМФС.</w:t>
      </w:r>
    </w:p>
    <w:p>
      <w:pPr>
        <w:rPr>
          <w:noProof/>
          <w:color w:val="000000" w:themeColor="text1"/>
          <w:sz w:val="18"/>
        </w:rPr>
      </w:pPr>
      <w:r>
        <w:rPr>
          <w:noProof/>
          <w:color w:val="000000" w:themeColor="text1"/>
          <w:sz w:val="18"/>
        </w:rPr>
        <w:br w:type="page"/>
        <w:t>Таблица 2: Класация на държавите членки в зависимост от годишния риск, поет от бюджета на ЕС през 2020 г. (в милиона евро)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056"/>
        <w:gridCol w:w="1035"/>
        <w:gridCol w:w="1855"/>
        <w:gridCol w:w="1660"/>
        <w:gridCol w:w="1546"/>
      </w:tblGrid>
      <w:tr>
        <w:tc>
          <w:tcPr>
            <w:tcW w:w="1028" w:type="dxa"/>
            <w:shd w:val="clear" w:color="auto" w:fill="auto"/>
          </w:tcPr>
          <w:p>
            <w:pPr>
              <w:jc w:val="center"/>
              <w:rPr>
                <w:b/>
                <w:noProof/>
                <w:color w:val="000000" w:themeColor="text1"/>
                <w:sz w:val="20"/>
                <w:szCs w:val="20"/>
              </w:rPr>
            </w:pPr>
            <w:r>
              <w:rPr>
                <w:b/>
                <w:noProof/>
                <w:color w:val="000000" w:themeColor="text1"/>
                <w:sz w:val="20"/>
                <w:szCs w:val="20"/>
              </w:rPr>
              <w:t>Позиция</w:t>
            </w:r>
          </w:p>
        </w:tc>
        <w:tc>
          <w:tcPr>
            <w:tcW w:w="2056" w:type="dxa"/>
            <w:shd w:val="clear" w:color="auto" w:fill="auto"/>
          </w:tcPr>
          <w:p>
            <w:pPr>
              <w:jc w:val="center"/>
              <w:rPr>
                <w:b/>
                <w:noProof/>
                <w:color w:val="000000" w:themeColor="text1"/>
                <w:sz w:val="20"/>
                <w:szCs w:val="20"/>
              </w:rPr>
            </w:pPr>
            <w:r>
              <w:rPr>
                <w:b/>
                <w:noProof/>
                <w:color w:val="000000" w:themeColor="text1"/>
                <w:sz w:val="20"/>
                <w:szCs w:val="20"/>
              </w:rPr>
              <w:t>Държава</w:t>
            </w:r>
          </w:p>
        </w:tc>
        <w:tc>
          <w:tcPr>
            <w:tcW w:w="1035" w:type="dxa"/>
            <w:shd w:val="clear" w:color="auto" w:fill="auto"/>
          </w:tcPr>
          <w:p>
            <w:pPr>
              <w:jc w:val="center"/>
              <w:rPr>
                <w:b/>
                <w:noProof/>
                <w:color w:val="000000" w:themeColor="text1"/>
                <w:sz w:val="20"/>
                <w:szCs w:val="20"/>
              </w:rPr>
            </w:pPr>
            <w:r>
              <w:rPr>
                <w:b/>
                <w:noProof/>
                <w:color w:val="000000" w:themeColor="text1"/>
                <w:sz w:val="20"/>
                <w:szCs w:val="20"/>
              </w:rPr>
              <w:t>Заеми</w:t>
            </w:r>
          </w:p>
        </w:tc>
        <w:tc>
          <w:tcPr>
            <w:tcW w:w="1855" w:type="dxa"/>
            <w:shd w:val="clear" w:color="auto" w:fill="auto"/>
          </w:tcPr>
          <w:p>
            <w:pPr>
              <w:jc w:val="center"/>
              <w:rPr>
                <w:b/>
                <w:noProof/>
                <w:color w:val="000000" w:themeColor="text1"/>
                <w:sz w:val="20"/>
                <w:szCs w:val="20"/>
              </w:rPr>
            </w:pPr>
            <w:r>
              <w:rPr>
                <w:b/>
                <w:noProof/>
                <w:color w:val="000000" w:themeColor="text1"/>
                <w:sz w:val="20"/>
                <w:szCs w:val="20"/>
              </w:rPr>
              <w:t>Максимален годишен риск</w:t>
            </w:r>
          </w:p>
        </w:tc>
        <w:tc>
          <w:tcPr>
            <w:tcW w:w="1660" w:type="dxa"/>
            <w:shd w:val="clear" w:color="auto" w:fill="auto"/>
          </w:tcPr>
          <w:p>
            <w:pPr>
              <w:jc w:val="center"/>
              <w:rPr>
                <w:b/>
                <w:noProof/>
                <w:color w:val="000000" w:themeColor="text1"/>
                <w:sz w:val="20"/>
                <w:szCs w:val="20"/>
              </w:rPr>
            </w:pPr>
            <w:r>
              <w:rPr>
                <w:b/>
                <w:noProof/>
                <w:color w:val="000000" w:themeColor="text1"/>
                <w:sz w:val="20"/>
                <w:szCs w:val="20"/>
              </w:rPr>
              <w:t>Дял на страната в годишния риск, свързан с държавите членки</w:t>
            </w:r>
          </w:p>
        </w:tc>
        <w:tc>
          <w:tcPr>
            <w:tcW w:w="1546" w:type="dxa"/>
            <w:shd w:val="clear" w:color="auto" w:fill="auto"/>
          </w:tcPr>
          <w:p>
            <w:pPr>
              <w:jc w:val="center"/>
              <w:rPr>
                <w:b/>
                <w:noProof/>
                <w:color w:val="000000" w:themeColor="text1"/>
                <w:sz w:val="20"/>
                <w:szCs w:val="20"/>
              </w:rPr>
            </w:pPr>
            <w:r>
              <w:rPr>
                <w:b/>
                <w:noProof/>
                <w:color w:val="000000" w:themeColor="text1"/>
                <w:sz w:val="20"/>
                <w:szCs w:val="20"/>
              </w:rPr>
              <w:t>Дял на страната в общия годишен риск за 2020 г. (държави членки и трети държави)</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1</w:t>
            </w:r>
          </w:p>
        </w:tc>
        <w:tc>
          <w:tcPr>
            <w:tcW w:w="2056" w:type="dxa"/>
            <w:shd w:val="clear" w:color="auto" w:fill="auto"/>
          </w:tcPr>
          <w:p>
            <w:pPr>
              <w:rPr>
                <w:noProof/>
                <w:color w:val="000000" w:themeColor="text1"/>
                <w:sz w:val="20"/>
                <w:szCs w:val="20"/>
              </w:rPr>
            </w:pPr>
            <w:r>
              <w:rPr>
                <w:noProof/>
                <w:sz w:val="20"/>
                <w:szCs w:val="20"/>
              </w:rPr>
              <w:t>Португалия</w:t>
            </w:r>
          </w:p>
        </w:tc>
        <w:tc>
          <w:tcPr>
            <w:tcW w:w="1035" w:type="dxa"/>
            <w:shd w:val="clear" w:color="auto" w:fill="auto"/>
          </w:tcPr>
          <w:p>
            <w:pPr>
              <w:jc w:val="center"/>
              <w:rPr>
                <w:noProof/>
                <w:color w:val="000000" w:themeColor="text1"/>
                <w:sz w:val="20"/>
                <w:szCs w:val="20"/>
              </w:rPr>
            </w:pPr>
            <w:r>
              <w:rPr>
                <w:noProof/>
                <w:color w:val="000000" w:themeColor="text1"/>
                <w:sz w:val="20"/>
                <w:szCs w:val="20"/>
              </w:rPr>
              <w:t>в)</w:t>
            </w:r>
          </w:p>
        </w:tc>
        <w:tc>
          <w:tcPr>
            <w:tcW w:w="1855" w:type="dxa"/>
            <w:shd w:val="clear" w:color="auto" w:fill="auto"/>
          </w:tcPr>
          <w:p>
            <w:pPr>
              <w:jc w:val="right"/>
              <w:rPr>
                <w:noProof/>
                <w:color w:val="000000" w:themeColor="text1"/>
                <w:sz w:val="20"/>
                <w:szCs w:val="20"/>
              </w:rPr>
            </w:pPr>
            <w:r>
              <w:rPr>
                <w:noProof/>
                <w:sz w:val="20"/>
                <w:szCs w:val="20"/>
              </w:rPr>
              <w:t xml:space="preserve"> 584,25 </w:t>
            </w:r>
          </w:p>
        </w:tc>
        <w:tc>
          <w:tcPr>
            <w:tcW w:w="1660" w:type="dxa"/>
            <w:shd w:val="clear" w:color="auto" w:fill="auto"/>
          </w:tcPr>
          <w:p>
            <w:pPr>
              <w:jc w:val="right"/>
              <w:rPr>
                <w:noProof/>
                <w:color w:val="000000" w:themeColor="text1"/>
                <w:sz w:val="20"/>
                <w:szCs w:val="20"/>
              </w:rPr>
            </w:pPr>
            <w:r>
              <w:rPr>
                <w:noProof/>
                <w:sz w:val="20"/>
                <w:szCs w:val="20"/>
              </w:rPr>
              <w:t>42,5 %</w:t>
            </w:r>
          </w:p>
        </w:tc>
        <w:tc>
          <w:tcPr>
            <w:tcW w:w="1546" w:type="dxa"/>
            <w:shd w:val="clear" w:color="auto" w:fill="auto"/>
          </w:tcPr>
          <w:p>
            <w:pPr>
              <w:jc w:val="right"/>
              <w:rPr>
                <w:noProof/>
                <w:color w:val="000000" w:themeColor="text1"/>
                <w:sz w:val="20"/>
                <w:szCs w:val="20"/>
              </w:rPr>
            </w:pPr>
            <w:r>
              <w:rPr>
                <w:noProof/>
                <w:sz w:val="20"/>
                <w:szCs w:val="20"/>
              </w:rPr>
              <w:t>13,0 %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2</w:t>
            </w:r>
          </w:p>
        </w:tc>
        <w:tc>
          <w:tcPr>
            <w:tcW w:w="2056" w:type="dxa"/>
            <w:shd w:val="clear" w:color="auto" w:fill="auto"/>
          </w:tcPr>
          <w:p>
            <w:pPr>
              <w:rPr>
                <w:noProof/>
                <w:color w:val="000000" w:themeColor="text1"/>
                <w:sz w:val="20"/>
                <w:szCs w:val="20"/>
              </w:rPr>
            </w:pPr>
            <w:r>
              <w:rPr>
                <w:noProof/>
                <w:sz w:val="20"/>
                <w:szCs w:val="20"/>
              </w:rPr>
              <w:t>Ирландия</w:t>
            </w:r>
          </w:p>
        </w:tc>
        <w:tc>
          <w:tcPr>
            <w:tcW w:w="1035" w:type="dxa"/>
            <w:shd w:val="clear" w:color="auto" w:fill="auto"/>
          </w:tcPr>
          <w:p>
            <w:pPr>
              <w:jc w:val="center"/>
              <w:rPr>
                <w:noProof/>
                <w:color w:val="000000" w:themeColor="text1"/>
                <w:sz w:val="20"/>
                <w:szCs w:val="20"/>
              </w:rPr>
            </w:pPr>
            <w:r>
              <w:rPr>
                <w:noProof/>
                <w:color w:val="000000" w:themeColor="text1"/>
                <w:sz w:val="20"/>
                <w:szCs w:val="20"/>
              </w:rPr>
              <w:t>в)</w:t>
            </w:r>
          </w:p>
        </w:tc>
        <w:tc>
          <w:tcPr>
            <w:tcW w:w="1855" w:type="dxa"/>
            <w:shd w:val="clear" w:color="auto" w:fill="auto"/>
          </w:tcPr>
          <w:p>
            <w:pPr>
              <w:jc w:val="right"/>
              <w:rPr>
                <w:noProof/>
                <w:color w:val="000000" w:themeColor="text1"/>
                <w:sz w:val="20"/>
                <w:szCs w:val="20"/>
              </w:rPr>
            </w:pPr>
            <w:r>
              <w:rPr>
                <w:noProof/>
                <w:sz w:val="20"/>
                <w:szCs w:val="20"/>
              </w:rPr>
              <w:t xml:space="preserve"> 515,63 </w:t>
            </w:r>
          </w:p>
        </w:tc>
        <w:tc>
          <w:tcPr>
            <w:tcW w:w="1660" w:type="dxa"/>
            <w:shd w:val="clear" w:color="auto" w:fill="auto"/>
          </w:tcPr>
          <w:p>
            <w:pPr>
              <w:jc w:val="right"/>
              <w:rPr>
                <w:noProof/>
                <w:color w:val="000000" w:themeColor="text1"/>
                <w:sz w:val="20"/>
                <w:szCs w:val="20"/>
              </w:rPr>
            </w:pPr>
            <w:r>
              <w:rPr>
                <w:noProof/>
                <w:sz w:val="20"/>
                <w:szCs w:val="20"/>
              </w:rPr>
              <w:t>37,5 %</w:t>
            </w:r>
          </w:p>
        </w:tc>
        <w:tc>
          <w:tcPr>
            <w:tcW w:w="1546" w:type="dxa"/>
            <w:shd w:val="clear" w:color="auto" w:fill="auto"/>
          </w:tcPr>
          <w:p>
            <w:pPr>
              <w:jc w:val="right"/>
              <w:rPr>
                <w:noProof/>
                <w:color w:val="000000" w:themeColor="text1"/>
                <w:sz w:val="20"/>
                <w:szCs w:val="20"/>
              </w:rPr>
            </w:pPr>
            <w:r>
              <w:rPr>
                <w:noProof/>
                <w:sz w:val="20"/>
                <w:szCs w:val="20"/>
              </w:rPr>
              <w:t>11,4 %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3</w:t>
            </w:r>
          </w:p>
        </w:tc>
        <w:tc>
          <w:tcPr>
            <w:tcW w:w="2056" w:type="dxa"/>
            <w:shd w:val="clear" w:color="auto" w:fill="auto"/>
          </w:tcPr>
          <w:p>
            <w:pPr>
              <w:rPr>
                <w:noProof/>
                <w:color w:val="000000" w:themeColor="text1"/>
                <w:sz w:val="20"/>
                <w:szCs w:val="20"/>
              </w:rPr>
            </w:pPr>
            <w:r>
              <w:rPr>
                <w:noProof/>
                <w:sz w:val="20"/>
                <w:szCs w:val="20"/>
              </w:rPr>
              <w:t>Румъния</w:t>
            </w:r>
          </w:p>
        </w:tc>
        <w:tc>
          <w:tcPr>
            <w:tcW w:w="1035" w:type="dxa"/>
            <w:shd w:val="clear" w:color="auto" w:fill="auto"/>
          </w:tcPr>
          <w:p>
            <w:pPr>
              <w:jc w:val="center"/>
              <w:rPr>
                <w:noProof/>
                <w:color w:val="000000" w:themeColor="text1"/>
                <w:sz w:val="20"/>
                <w:szCs w:val="20"/>
              </w:rPr>
            </w:pPr>
            <w:r>
              <w:rPr>
                <w:noProof/>
                <w:color w:val="000000" w:themeColor="text1"/>
                <w:sz w:val="20"/>
                <w:szCs w:val="20"/>
              </w:rPr>
              <w:t>а)</w:t>
            </w:r>
          </w:p>
        </w:tc>
        <w:tc>
          <w:tcPr>
            <w:tcW w:w="1855" w:type="dxa"/>
            <w:shd w:val="clear" w:color="auto" w:fill="auto"/>
          </w:tcPr>
          <w:p>
            <w:pPr>
              <w:jc w:val="right"/>
              <w:rPr>
                <w:noProof/>
                <w:color w:val="000000" w:themeColor="text1"/>
                <w:sz w:val="20"/>
                <w:szCs w:val="20"/>
              </w:rPr>
            </w:pPr>
            <w:r>
              <w:rPr>
                <w:noProof/>
                <w:sz w:val="20"/>
                <w:szCs w:val="20"/>
              </w:rPr>
              <w:t xml:space="preserve"> 143,10 </w:t>
            </w:r>
          </w:p>
        </w:tc>
        <w:tc>
          <w:tcPr>
            <w:tcW w:w="1660" w:type="dxa"/>
            <w:shd w:val="clear" w:color="auto" w:fill="auto"/>
          </w:tcPr>
          <w:p>
            <w:pPr>
              <w:jc w:val="right"/>
              <w:rPr>
                <w:noProof/>
                <w:color w:val="000000" w:themeColor="text1"/>
                <w:sz w:val="20"/>
                <w:szCs w:val="20"/>
              </w:rPr>
            </w:pPr>
            <w:r>
              <w:rPr>
                <w:noProof/>
                <w:sz w:val="20"/>
                <w:szCs w:val="20"/>
              </w:rPr>
              <w:t>10,4 %</w:t>
            </w:r>
          </w:p>
        </w:tc>
        <w:tc>
          <w:tcPr>
            <w:tcW w:w="1546" w:type="dxa"/>
            <w:shd w:val="clear" w:color="auto" w:fill="auto"/>
          </w:tcPr>
          <w:p>
            <w:pPr>
              <w:jc w:val="right"/>
              <w:rPr>
                <w:noProof/>
                <w:color w:val="000000" w:themeColor="text1"/>
                <w:sz w:val="20"/>
                <w:szCs w:val="20"/>
              </w:rPr>
            </w:pPr>
            <w:r>
              <w:rPr>
                <w:noProof/>
                <w:sz w:val="20"/>
                <w:szCs w:val="20"/>
              </w:rPr>
              <w:t>3,2 %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4</w:t>
            </w:r>
          </w:p>
        </w:tc>
        <w:tc>
          <w:tcPr>
            <w:tcW w:w="2056" w:type="dxa"/>
            <w:shd w:val="clear" w:color="auto" w:fill="auto"/>
          </w:tcPr>
          <w:p>
            <w:pPr>
              <w:rPr>
                <w:noProof/>
                <w:color w:val="000000" w:themeColor="text1"/>
                <w:sz w:val="20"/>
                <w:szCs w:val="20"/>
              </w:rPr>
            </w:pPr>
            <w:r>
              <w:rPr>
                <w:noProof/>
                <w:sz w:val="20"/>
                <w:szCs w:val="20"/>
              </w:rPr>
              <w:t>България</w:t>
            </w:r>
          </w:p>
        </w:tc>
        <w:tc>
          <w:tcPr>
            <w:tcW w:w="1035" w:type="dxa"/>
            <w:shd w:val="clear" w:color="auto" w:fill="auto"/>
          </w:tcPr>
          <w:p>
            <w:pPr>
              <w:jc w:val="center"/>
              <w:rPr>
                <w:noProof/>
                <w:color w:val="000000" w:themeColor="text1"/>
                <w:sz w:val="20"/>
                <w:szCs w:val="20"/>
              </w:rPr>
            </w:pPr>
            <w:r>
              <w:rPr>
                <w:noProof/>
                <w:color w:val="000000" w:themeColor="text1"/>
                <w:sz w:val="20"/>
                <w:szCs w:val="20"/>
              </w:rPr>
              <w:t>а)</w:t>
            </w:r>
          </w:p>
        </w:tc>
        <w:tc>
          <w:tcPr>
            <w:tcW w:w="1855" w:type="dxa"/>
            <w:shd w:val="clear" w:color="auto" w:fill="auto"/>
          </w:tcPr>
          <w:p>
            <w:pPr>
              <w:jc w:val="right"/>
              <w:rPr>
                <w:noProof/>
                <w:color w:val="000000" w:themeColor="text1"/>
                <w:sz w:val="20"/>
                <w:szCs w:val="20"/>
              </w:rPr>
            </w:pPr>
            <w:r>
              <w:rPr>
                <w:noProof/>
                <w:sz w:val="20"/>
                <w:szCs w:val="20"/>
              </w:rPr>
              <w:t xml:space="preserve"> 46,52 </w:t>
            </w:r>
          </w:p>
        </w:tc>
        <w:tc>
          <w:tcPr>
            <w:tcW w:w="1660" w:type="dxa"/>
            <w:shd w:val="clear" w:color="auto" w:fill="auto"/>
          </w:tcPr>
          <w:p>
            <w:pPr>
              <w:jc w:val="right"/>
              <w:rPr>
                <w:noProof/>
                <w:color w:val="000000" w:themeColor="text1"/>
                <w:sz w:val="20"/>
                <w:szCs w:val="20"/>
              </w:rPr>
            </w:pPr>
            <w:r>
              <w:rPr>
                <w:noProof/>
                <w:sz w:val="20"/>
                <w:szCs w:val="20"/>
              </w:rPr>
              <w:t>3,4 %</w:t>
            </w:r>
          </w:p>
        </w:tc>
        <w:tc>
          <w:tcPr>
            <w:tcW w:w="1546" w:type="dxa"/>
            <w:shd w:val="clear" w:color="auto" w:fill="auto"/>
          </w:tcPr>
          <w:p>
            <w:pPr>
              <w:jc w:val="right"/>
              <w:rPr>
                <w:noProof/>
                <w:color w:val="000000" w:themeColor="text1"/>
                <w:sz w:val="20"/>
                <w:szCs w:val="20"/>
              </w:rPr>
            </w:pPr>
            <w:r>
              <w:rPr>
                <w:noProof/>
                <w:sz w:val="20"/>
                <w:szCs w:val="20"/>
              </w:rPr>
              <w:t>1,0 %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5</w:t>
            </w:r>
          </w:p>
        </w:tc>
        <w:tc>
          <w:tcPr>
            <w:tcW w:w="2056" w:type="dxa"/>
            <w:shd w:val="clear" w:color="auto" w:fill="auto"/>
          </w:tcPr>
          <w:p>
            <w:pPr>
              <w:rPr>
                <w:noProof/>
                <w:color w:val="000000" w:themeColor="text1"/>
                <w:sz w:val="20"/>
                <w:szCs w:val="20"/>
              </w:rPr>
            </w:pPr>
            <w:r>
              <w:rPr>
                <w:noProof/>
                <w:sz w:val="20"/>
                <w:szCs w:val="20"/>
              </w:rPr>
              <w:t>Хърватия</w:t>
            </w:r>
          </w:p>
        </w:tc>
        <w:tc>
          <w:tcPr>
            <w:tcW w:w="1035" w:type="dxa"/>
            <w:shd w:val="clear" w:color="auto" w:fill="auto"/>
          </w:tcPr>
          <w:p>
            <w:pPr>
              <w:jc w:val="center"/>
              <w:rPr>
                <w:noProof/>
                <w:color w:val="000000" w:themeColor="text1"/>
                <w:sz w:val="20"/>
                <w:szCs w:val="20"/>
              </w:rPr>
            </w:pPr>
            <w:r>
              <w:rPr>
                <w:noProof/>
                <w:color w:val="000000" w:themeColor="text1"/>
                <w:sz w:val="20"/>
                <w:szCs w:val="20"/>
              </w:rPr>
              <w:t>а)</w:t>
            </w:r>
          </w:p>
        </w:tc>
        <w:tc>
          <w:tcPr>
            <w:tcW w:w="1855" w:type="dxa"/>
            <w:shd w:val="clear" w:color="auto" w:fill="auto"/>
          </w:tcPr>
          <w:p>
            <w:pPr>
              <w:jc w:val="right"/>
              <w:rPr>
                <w:noProof/>
                <w:color w:val="000000" w:themeColor="text1"/>
                <w:sz w:val="20"/>
                <w:szCs w:val="20"/>
              </w:rPr>
            </w:pPr>
            <w:r>
              <w:rPr>
                <w:noProof/>
                <w:sz w:val="20"/>
                <w:szCs w:val="20"/>
              </w:rPr>
              <w:t xml:space="preserve"> 32,63 </w:t>
            </w:r>
          </w:p>
        </w:tc>
        <w:tc>
          <w:tcPr>
            <w:tcW w:w="1660" w:type="dxa"/>
            <w:shd w:val="clear" w:color="auto" w:fill="auto"/>
          </w:tcPr>
          <w:p>
            <w:pPr>
              <w:jc w:val="right"/>
              <w:rPr>
                <w:noProof/>
                <w:color w:val="000000" w:themeColor="text1"/>
                <w:sz w:val="20"/>
                <w:szCs w:val="20"/>
              </w:rPr>
            </w:pPr>
            <w:r>
              <w:rPr>
                <w:noProof/>
                <w:sz w:val="20"/>
                <w:szCs w:val="20"/>
              </w:rPr>
              <w:t>2,4 %</w:t>
            </w:r>
          </w:p>
        </w:tc>
        <w:tc>
          <w:tcPr>
            <w:tcW w:w="1546" w:type="dxa"/>
            <w:shd w:val="clear" w:color="auto" w:fill="auto"/>
          </w:tcPr>
          <w:p>
            <w:pPr>
              <w:jc w:val="right"/>
              <w:rPr>
                <w:noProof/>
                <w:color w:val="000000" w:themeColor="text1"/>
                <w:sz w:val="20"/>
                <w:szCs w:val="20"/>
              </w:rPr>
            </w:pPr>
            <w:r>
              <w:rPr>
                <w:noProof/>
                <w:sz w:val="20"/>
                <w:szCs w:val="20"/>
              </w:rPr>
              <w:t>0,7 %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6</w:t>
            </w:r>
          </w:p>
        </w:tc>
        <w:tc>
          <w:tcPr>
            <w:tcW w:w="2056" w:type="dxa"/>
            <w:shd w:val="clear" w:color="auto" w:fill="auto"/>
          </w:tcPr>
          <w:p>
            <w:pPr>
              <w:rPr>
                <w:noProof/>
                <w:color w:val="000000" w:themeColor="text1"/>
                <w:sz w:val="20"/>
                <w:szCs w:val="20"/>
              </w:rPr>
            </w:pPr>
            <w:r>
              <w:rPr>
                <w:noProof/>
                <w:sz w:val="20"/>
                <w:szCs w:val="20"/>
              </w:rPr>
              <w:t>Полша</w:t>
            </w:r>
          </w:p>
        </w:tc>
        <w:tc>
          <w:tcPr>
            <w:tcW w:w="1035" w:type="dxa"/>
            <w:shd w:val="clear" w:color="auto" w:fill="auto"/>
          </w:tcPr>
          <w:p>
            <w:pPr>
              <w:jc w:val="center"/>
              <w:rPr>
                <w:noProof/>
                <w:color w:val="000000" w:themeColor="text1"/>
                <w:sz w:val="20"/>
                <w:szCs w:val="20"/>
              </w:rPr>
            </w:pPr>
            <w:r>
              <w:rPr>
                <w:noProof/>
                <w:color w:val="000000" w:themeColor="text1"/>
                <w:sz w:val="20"/>
                <w:szCs w:val="20"/>
              </w:rPr>
              <w:t>а)</w:t>
            </w:r>
          </w:p>
        </w:tc>
        <w:tc>
          <w:tcPr>
            <w:tcW w:w="1855" w:type="dxa"/>
            <w:shd w:val="clear" w:color="auto" w:fill="auto"/>
          </w:tcPr>
          <w:p>
            <w:pPr>
              <w:jc w:val="right"/>
              <w:rPr>
                <w:noProof/>
                <w:color w:val="000000" w:themeColor="text1"/>
                <w:sz w:val="20"/>
                <w:szCs w:val="20"/>
              </w:rPr>
            </w:pPr>
            <w:r>
              <w:rPr>
                <w:noProof/>
                <w:sz w:val="20"/>
                <w:szCs w:val="20"/>
              </w:rPr>
              <w:t xml:space="preserve"> 18,07 </w:t>
            </w:r>
          </w:p>
        </w:tc>
        <w:tc>
          <w:tcPr>
            <w:tcW w:w="1660" w:type="dxa"/>
            <w:shd w:val="clear" w:color="auto" w:fill="auto"/>
          </w:tcPr>
          <w:p>
            <w:pPr>
              <w:jc w:val="right"/>
              <w:rPr>
                <w:noProof/>
                <w:color w:val="000000" w:themeColor="text1"/>
                <w:sz w:val="20"/>
                <w:szCs w:val="20"/>
              </w:rPr>
            </w:pPr>
            <w:r>
              <w:rPr>
                <w:noProof/>
                <w:sz w:val="20"/>
                <w:szCs w:val="20"/>
              </w:rPr>
              <w:t>1,3 %</w:t>
            </w:r>
          </w:p>
        </w:tc>
        <w:tc>
          <w:tcPr>
            <w:tcW w:w="1546" w:type="dxa"/>
            <w:shd w:val="clear" w:color="auto" w:fill="auto"/>
          </w:tcPr>
          <w:p>
            <w:pPr>
              <w:jc w:val="right"/>
              <w:rPr>
                <w:noProof/>
                <w:color w:val="000000" w:themeColor="text1"/>
                <w:sz w:val="20"/>
                <w:szCs w:val="20"/>
              </w:rPr>
            </w:pPr>
            <w:r>
              <w:rPr>
                <w:noProof/>
                <w:sz w:val="20"/>
                <w:szCs w:val="20"/>
              </w:rPr>
              <w:t>0,4 %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7</w:t>
            </w:r>
          </w:p>
        </w:tc>
        <w:tc>
          <w:tcPr>
            <w:tcW w:w="2056" w:type="dxa"/>
            <w:shd w:val="clear" w:color="auto" w:fill="auto"/>
          </w:tcPr>
          <w:p>
            <w:pPr>
              <w:rPr>
                <w:noProof/>
                <w:color w:val="000000" w:themeColor="text1"/>
                <w:sz w:val="20"/>
                <w:szCs w:val="20"/>
              </w:rPr>
            </w:pPr>
            <w:r>
              <w:rPr>
                <w:noProof/>
                <w:sz w:val="20"/>
                <w:szCs w:val="20"/>
              </w:rPr>
              <w:t>Словакия</w:t>
            </w:r>
          </w:p>
        </w:tc>
        <w:tc>
          <w:tcPr>
            <w:tcW w:w="1035" w:type="dxa"/>
            <w:shd w:val="clear" w:color="auto" w:fill="auto"/>
          </w:tcPr>
          <w:p>
            <w:pPr>
              <w:jc w:val="center"/>
              <w:rPr>
                <w:noProof/>
                <w:color w:val="000000" w:themeColor="text1"/>
                <w:sz w:val="20"/>
                <w:szCs w:val="20"/>
              </w:rPr>
            </w:pPr>
            <w:r>
              <w:rPr>
                <w:noProof/>
                <w:color w:val="000000" w:themeColor="text1"/>
                <w:sz w:val="20"/>
                <w:szCs w:val="20"/>
              </w:rPr>
              <w:t>а)</w:t>
            </w:r>
          </w:p>
        </w:tc>
        <w:tc>
          <w:tcPr>
            <w:tcW w:w="1855" w:type="dxa"/>
            <w:shd w:val="clear" w:color="auto" w:fill="auto"/>
          </w:tcPr>
          <w:p>
            <w:pPr>
              <w:jc w:val="right"/>
              <w:rPr>
                <w:noProof/>
                <w:color w:val="000000" w:themeColor="text1"/>
                <w:sz w:val="20"/>
                <w:szCs w:val="20"/>
              </w:rPr>
            </w:pPr>
            <w:r>
              <w:rPr>
                <w:noProof/>
                <w:sz w:val="20"/>
                <w:szCs w:val="20"/>
              </w:rPr>
              <w:t xml:space="preserve"> 12,98 </w:t>
            </w:r>
          </w:p>
        </w:tc>
        <w:tc>
          <w:tcPr>
            <w:tcW w:w="1660" w:type="dxa"/>
            <w:shd w:val="clear" w:color="auto" w:fill="auto"/>
          </w:tcPr>
          <w:p>
            <w:pPr>
              <w:jc w:val="right"/>
              <w:rPr>
                <w:noProof/>
                <w:color w:val="000000" w:themeColor="text1"/>
                <w:sz w:val="20"/>
                <w:szCs w:val="20"/>
              </w:rPr>
            </w:pPr>
            <w:r>
              <w:rPr>
                <w:noProof/>
                <w:sz w:val="20"/>
                <w:szCs w:val="20"/>
              </w:rPr>
              <w:t>0,9 %</w:t>
            </w:r>
          </w:p>
        </w:tc>
        <w:tc>
          <w:tcPr>
            <w:tcW w:w="1546" w:type="dxa"/>
            <w:shd w:val="clear" w:color="auto" w:fill="auto"/>
          </w:tcPr>
          <w:p>
            <w:pPr>
              <w:jc w:val="right"/>
              <w:rPr>
                <w:noProof/>
                <w:color w:val="000000" w:themeColor="text1"/>
                <w:sz w:val="20"/>
                <w:szCs w:val="20"/>
              </w:rPr>
            </w:pPr>
            <w:r>
              <w:rPr>
                <w:noProof/>
                <w:sz w:val="20"/>
                <w:szCs w:val="20"/>
              </w:rPr>
              <w:t>0,3 %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8</w:t>
            </w:r>
          </w:p>
        </w:tc>
        <w:tc>
          <w:tcPr>
            <w:tcW w:w="2056" w:type="dxa"/>
            <w:shd w:val="clear" w:color="auto" w:fill="auto"/>
          </w:tcPr>
          <w:p>
            <w:pPr>
              <w:rPr>
                <w:noProof/>
                <w:color w:val="000000" w:themeColor="text1"/>
                <w:sz w:val="20"/>
                <w:szCs w:val="20"/>
              </w:rPr>
            </w:pPr>
            <w:r>
              <w:rPr>
                <w:noProof/>
                <w:sz w:val="20"/>
                <w:szCs w:val="20"/>
              </w:rPr>
              <w:t>Чешка република</w:t>
            </w:r>
          </w:p>
        </w:tc>
        <w:tc>
          <w:tcPr>
            <w:tcW w:w="1035" w:type="dxa"/>
            <w:shd w:val="clear" w:color="auto" w:fill="auto"/>
          </w:tcPr>
          <w:p>
            <w:pPr>
              <w:jc w:val="center"/>
              <w:rPr>
                <w:noProof/>
                <w:color w:val="000000" w:themeColor="text1"/>
                <w:sz w:val="20"/>
                <w:szCs w:val="20"/>
              </w:rPr>
            </w:pPr>
            <w:r>
              <w:rPr>
                <w:noProof/>
                <w:color w:val="000000" w:themeColor="text1"/>
                <w:sz w:val="20"/>
                <w:szCs w:val="20"/>
              </w:rPr>
              <w:t>а)</w:t>
            </w:r>
          </w:p>
        </w:tc>
        <w:tc>
          <w:tcPr>
            <w:tcW w:w="1855" w:type="dxa"/>
            <w:shd w:val="clear" w:color="auto" w:fill="auto"/>
          </w:tcPr>
          <w:p>
            <w:pPr>
              <w:jc w:val="right"/>
              <w:rPr>
                <w:noProof/>
                <w:color w:val="000000" w:themeColor="text1"/>
                <w:sz w:val="20"/>
                <w:szCs w:val="20"/>
              </w:rPr>
            </w:pPr>
            <w:r>
              <w:rPr>
                <w:noProof/>
                <w:sz w:val="20"/>
                <w:szCs w:val="20"/>
              </w:rPr>
              <w:t xml:space="preserve"> 12,07 </w:t>
            </w:r>
          </w:p>
        </w:tc>
        <w:tc>
          <w:tcPr>
            <w:tcW w:w="1660" w:type="dxa"/>
            <w:shd w:val="clear" w:color="auto" w:fill="auto"/>
          </w:tcPr>
          <w:p>
            <w:pPr>
              <w:jc w:val="right"/>
              <w:rPr>
                <w:noProof/>
                <w:color w:val="000000" w:themeColor="text1"/>
                <w:sz w:val="20"/>
                <w:szCs w:val="20"/>
              </w:rPr>
            </w:pPr>
            <w:r>
              <w:rPr>
                <w:noProof/>
                <w:sz w:val="20"/>
                <w:szCs w:val="20"/>
              </w:rPr>
              <w:t>0,9 %</w:t>
            </w:r>
          </w:p>
        </w:tc>
        <w:tc>
          <w:tcPr>
            <w:tcW w:w="1546" w:type="dxa"/>
            <w:shd w:val="clear" w:color="auto" w:fill="auto"/>
          </w:tcPr>
          <w:p>
            <w:pPr>
              <w:jc w:val="right"/>
              <w:rPr>
                <w:noProof/>
                <w:color w:val="000000" w:themeColor="text1"/>
                <w:sz w:val="20"/>
                <w:szCs w:val="20"/>
              </w:rPr>
            </w:pPr>
            <w:r>
              <w:rPr>
                <w:noProof/>
                <w:sz w:val="20"/>
                <w:szCs w:val="20"/>
              </w:rPr>
              <w:t>0,3 %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9</w:t>
            </w:r>
          </w:p>
        </w:tc>
        <w:tc>
          <w:tcPr>
            <w:tcW w:w="2056" w:type="dxa"/>
            <w:shd w:val="clear" w:color="auto" w:fill="auto"/>
          </w:tcPr>
          <w:p>
            <w:pPr>
              <w:rPr>
                <w:noProof/>
                <w:color w:val="000000" w:themeColor="text1"/>
                <w:sz w:val="20"/>
                <w:szCs w:val="20"/>
              </w:rPr>
            </w:pPr>
            <w:r>
              <w:rPr>
                <w:noProof/>
                <w:sz w:val="20"/>
                <w:szCs w:val="20"/>
              </w:rPr>
              <w:t>Латвия</w:t>
            </w:r>
          </w:p>
        </w:tc>
        <w:tc>
          <w:tcPr>
            <w:tcW w:w="1035" w:type="dxa"/>
            <w:shd w:val="clear" w:color="auto" w:fill="auto"/>
          </w:tcPr>
          <w:p>
            <w:pPr>
              <w:jc w:val="center"/>
              <w:rPr>
                <w:noProof/>
                <w:color w:val="000000" w:themeColor="text1"/>
                <w:sz w:val="20"/>
                <w:szCs w:val="20"/>
              </w:rPr>
            </w:pPr>
            <w:r>
              <w:rPr>
                <w:noProof/>
                <w:color w:val="000000" w:themeColor="text1"/>
                <w:sz w:val="20"/>
                <w:szCs w:val="20"/>
              </w:rPr>
              <w:t>а) + б)</w:t>
            </w:r>
          </w:p>
        </w:tc>
        <w:tc>
          <w:tcPr>
            <w:tcW w:w="1855" w:type="dxa"/>
            <w:shd w:val="clear" w:color="auto" w:fill="auto"/>
          </w:tcPr>
          <w:p>
            <w:pPr>
              <w:jc w:val="right"/>
              <w:rPr>
                <w:noProof/>
                <w:color w:val="000000" w:themeColor="text1"/>
                <w:sz w:val="20"/>
                <w:szCs w:val="20"/>
              </w:rPr>
            </w:pPr>
            <w:r>
              <w:rPr>
                <w:noProof/>
                <w:sz w:val="20"/>
                <w:szCs w:val="20"/>
              </w:rPr>
              <w:t xml:space="preserve"> 7,17 </w:t>
            </w:r>
          </w:p>
        </w:tc>
        <w:tc>
          <w:tcPr>
            <w:tcW w:w="1660" w:type="dxa"/>
            <w:shd w:val="clear" w:color="auto" w:fill="auto"/>
          </w:tcPr>
          <w:p>
            <w:pPr>
              <w:jc w:val="right"/>
              <w:rPr>
                <w:noProof/>
                <w:color w:val="000000" w:themeColor="text1"/>
                <w:sz w:val="20"/>
                <w:szCs w:val="20"/>
              </w:rPr>
            </w:pPr>
            <w:r>
              <w:rPr>
                <w:noProof/>
                <w:sz w:val="20"/>
                <w:szCs w:val="20"/>
              </w:rPr>
              <w:t>0,5 %</w:t>
            </w:r>
          </w:p>
        </w:tc>
        <w:tc>
          <w:tcPr>
            <w:tcW w:w="1546" w:type="dxa"/>
            <w:shd w:val="clear" w:color="auto" w:fill="auto"/>
          </w:tcPr>
          <w:p>
            <w:pPr>
              <w:jc w:val="right"/>
              <w:rPr>
                <w:noProof/>
                <w:color w:val="000000" w:themeColor="text1"/>
                <w:sz w:val="20"/>
                <w:szCs w:val="20"/>
              </w:rPr>
            </w:pPr>
            <w:r>
              <w:rPr>
                <w:noProof/>
                <w:sz w:val="20"/>
                <w:szCs w:val="20"/>
              </w:rPr>
              <w:t>0,2 %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10</w:t>
            </w:r>
          </w:p>
        </w:tc>
        <w:tc>
          <w:tcPr>
            <w:tcW w:w="2056" w:type="dxa"/>
            <w:shd w:val="clear" w:color="auto" w:fill="auto"/>
          </w:tcPr>
          <w:p>
            <w:pPr>
              <w:rPr>
                <w:noProof/>
                <w:color w:val="000000" w:themeColor="text1"/>
                <w:sz w:val="20"/>
                <w:szCs w:val="20"/>
              </w:rPr>
            </w:pPr>
            <w:r>
              <w:rPr>
                <w:noProof/>
                <w:sz w:val="20"/>
                <w:szCs w:val="20"/>
              </w:rPr>
              <w:t>Литва</w:t>
            </w:r>
          </w:p>
        </w:tc>
        <w:tc>
          <w:tcPr>
            <w:tcW w:w="1035" w:type="dxa"/>
            <w:shd w:val="clear" w:color="auto" w:fill="auto"/>
          </w:tcPr>
          <w:p>
            <w:pPr>
              <w:jc w:val="center"/>
              <w:rPr>
                <w:noProof/>
                <w:color w:val="000000" w:themeColor="text1"/>
                <w:sz w:val="20"/>
                <w:szCs w:val="20"/>
              </w:rPr>
            </w:pPr>
            <w:r>
              <w:rPr>
                <w:noProof/>
                <w:color w:val="000000" w:themeColor="text1"/>
                <w:sz w:val="20"/>
                <w:szCs w:val="20"/>
              </w:rPr>
              <w:t>а)</w:t>
            </w:r>
          </w:p>
        </w:tc>
        <w:tc>
          <w:tcPr>
            <w:tcW w:w="1855" w:type="dxa"/>
            <w:shd w:val="clear" w:color="auto" w:fill="auto"/>
          </w:tcPr>
          <w:p>
            <w:pPr>
              <w:jc w:val="right"/>
              <w:rPr>
                <w:noProof/>
                <w:color w:val="000000" w:themeColor="text1"/>
                <w:sz w:val="20"/>
                <w:szCs w:val="20"/>
              </w:rPr>
            </w:pPr>
            <w:r>
              <w:rPr>
                <w:noProof/>
                <w:sz w:val="20"/>
                <w:szCs w:val="20"/>
              </w:rPr>
              <w:t xml:space="preserve"> 1,83 </w:t>
            </w:r>
          </w:p>
        </w:tc>
        <w:tc>
          <w:tcPr>
            <w:tcW w:w="1660" w:type="dxa"/>
            <w:shd w:val="clear" w:color="auto" w:fill="auto"/>
          </w:tcPr>
          <w:p>
            <w:pPr>
              <w:jc w:val="right"/>
              <w:rPr>
                <w:noProof/>
                <w:color w:val="000000" w:themeColor="text1"/>
                <w:sz w:val="20"/>
                <w:szCs w:val="20"/>
              </w:rPr>
            </w:pPr>
            <w:r>
              <w:rPr>
                <w:noProof/>
                <w:sz w:val="20"/>
                <w:szCs w:val="20"/>
              </w:rPr>
              <w:t>0,1 %</w:t>
            </w:r>
          </w:p>
        </w:tc>
        <w:tc>
          <w:tcPr>
            <w:tcW w:w="1546" w:type="dxa"/>
            <w:shd w:val="clear" w:color="auto" w:fill="auto"/>
          </w:tcPr>
          <w:p>
            <w:pPr>
              <w:jc w:val="right"/>
              <w:rPr>
                <w:noProof/>
                <w:color w:val="000000" w:themeColor="text1"/>
                <w:sz w:val="20"/>
                <w:szCs w:val="20"/>
              </w:rPr>
            </w:pPr>
            <w:r>
              <w:rPr>
                <w:noProof/>
                <w:sz w:val="20"/>
                <w:szCs w:val="20"/>
              </w:rPr>
              <w:t>0,0 %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Общо</w:t>
            </w:r>
          </w:p>
        </w:tc>
        <w:tc>
          <w:tcPr>
            <w:tcW w:w="2056" w:type="dxa"/>
            <w:shd w:val="clear" w:color="auto" w:fill="auto"/>
          </w:tcPr>
          <w:p>
            <w:pPr>
              <w:rPr>
                <w:noProof/>
                <w:color w:val="000000" w:themeColor="text1"/>
                <w:sz w:val="20"/>
                <w:szCs w:val="20"/>
                <w:lang w:val="en-IE"/>
              </w:rPr>
            </w:pPr>
          </w:p>
        </w:tc>
        <w:tc>
          <w:tcPr>
            <w:tcW w:w="1035" w:type="dxa"/>
            <w:shd w:val="clear" w:color="auto" w:fill="auto"/>
          </w:tcPr>
          <w:p>
            <w:pPr>
              <w:jc w:val="right"/>
              <w:rPr>
                <w:noProof/>
                <w:color w:val="000000" w:themeColor="text1"/>
                <w:sz w:val="20"/>
                <w:szCs w:val="20"/>
                <w:lang w:val="en-IE"/>
              </w:rPr>
            </w:pPr>
          </w:p>
        </w:tc>
        <w:tc>
          <w:tcPr>
            <w:tcW w:w="1855" w:type="dxa"/>
            <w:shd w:val="clear" w:color="auto" w:fill="auto"/>
          </w:tcPr>
          <w:p>
            <w:pPr>
              <w:jc w:val="right"/>
              <w:rPr>
                <w:noProof/>
                <w:color w:val="000000" w:themeColor="text1"/>
                <w:sz w:val="20"/>
                <w:szCs w:val="20"/>
              </w:rPr>
            </w:pPr>
            <w:r>
              <w:rPr>
                <w:noProof/>
                <w:color w:val="000000" w:themeColor="text1"/>
                <w:sz w:val="20"/>
                <w:szCs w:val="20"/>
              </w:rPr>
              <w:t>1</w:t>
            </w:r>
            <w:r>
              <w:rPr>
                <w:noProof/>
                <w:color w:val="000000" w:themeColor="text1"/>
              </w:rPr>
              <w:t xml:space="preserve"> </w:t>
            </w:r>
            <w:r>
              <w:rPr>
                <w:noProof/>
                <w:color w:val="000000" w:themeColor="text1"/>
                <w:sz w:val="20"/>
                <w:szCs w:val="20"/>
              </w:rPr>
              <w:t>374,25</w:t>
            </w:r>
          </w:p>
        </w:tc>
        <w:tc>
          <w:tcPr>
            <w:tcW w:w="1660" w:type="dxa"/>
            <w:shd w:val="clear" w:color="auto" w:fill="auto"/>
          </w:tcPr>
          <w:p>
            <w:pPr>
              <w:jc w:val="right"/>
              <w:rPr>
                <w:noProof/>
                <w:color w:val="000000" w:themeColor="text1"/>
                <w:sz w:val="20"/>
                <w:szCs w:val="20"/>
              </w:rPr>
            </w:pPr>
            <w:r>
              <w:rPr>
                <w:noProof/>
                <w:color w:val="000000" w:themeColor="text1"/>
                <w:sz w:val="20"/>
                <w:szCs w:val="20"/>
              </w:rPr>
              <w:t>100,0 %</w:t>
            </w:r>
          </w:p>
        </w:tc>
        <w:tc>
          <w:tcPr>
            <w:tcW w:w="1546" w:type="dxa"/>
            <w:shd w:val="clear" w:color="auto" w:fill="auto"/>
          </w:tcPr>
          <w:p>
            <w:pPr>
              <w:jc w:val="right"/>
              <w:rPr>
                <w:noProof/>
                <w:color w:val="000000" w:themeColor="text1"/>
                <w:sz w:val="20"/>
                <w:szCs w:val="20"/>
              </w:rPr>
            </w:pPr>
            <w:r>
              <w:rPr>
                <w:noProof/>
                <w:sz w:val="20"/>
                <w:szCs w:val="20"/>
              </w:rPr>
              <w:t xml:space="preserve">30,5 % </w:t>
            </w:r>
          </w:p>
        </w:tc>
      </w:tr>
    </w:tbl>
    <w:p>
      <w:pPr>
        <w:pStyle w:val="ManualHeading3"/>
        <w:spacing w:before="360"/>
        <w:ind w:left="0" w:firstLine="0"/>
        <w:rPr>
          <w:noProof/>
          <w:color w:val="000000" w:themeColor="text1"/>
        </w:rPr>
      </w:pPr>
      <w:bookmarkStart w:id="261" w:name="_Toc329261067"/>
      <w:bookmarkStart w:id="262" w:name="_Toc329855629"/>
      <w:bookmarkStart w:id="263" w:name="_Toc330551234"/>
      <w:bookmarkStart w:id="264" w:name="_Toc342470161"/>
      <w:bookmarkStart w:id="265" w:name="_Toc345073707"/>
      <w:bookmarkStart w:id="266" w:name="_Toc365986224"/>
      <w:bookmarkStart w:id="267" w:name="_Toc367869477"/>
      <w:bookmarkStart w:id="268" w:name="_Toc367870004"/>
      <w:bookmarkStart w:id="269" w:name="_Toc388973022"/>
      <w:bookmarkStart w:id="270" w:name="_Toc389474755"/>
      <w:bookmarkStart w:id="271" w:name="_Toc390944399"/>
      <w:bookmarkStart w:id="272" w:name="_Toc393969970"/>
      <w:bookmarkStart w:id="273" w:name="_Toc417461976"/>
      <w:bookmarkStart w:id="274" w:name="_Toc417998610"/>
      <w:bookmarkStart w:id="275" w:name="_Toc418157637"/>
      <w:bookmarkStart w:id="276" w:name="_Toc418160318"/>
      <w:bookmarkStart w:id="277" w:name="_Toc446577185"/>
      <w:bookmarkStart w:id="278" w:name="_Toc452646731"/>
      <w:bookmarkStart w:id="279" w:name="_Toc453161370"/>
      <w:bookmarkStart w:id="280" w:name="_Toc486601273"/>
      <w:bookmarkStart w:id="281" w:name="_Toc54253110"/>
      <w:r>
        <w:rPr>
          <w:noProof/>
          <w:color w:val="000000" w:themeColor="text1"/>
        </w:rPr>
        <w:t>4.3.2</w:t>
      </w:r>
      <w:r>
        <w:rPr>
          <w:noProof/>
        </w:rPr>
        <w:tab/>
      </w:r>
      <w:bookmarkStart w:id="282" w:name="_Toc309831367"/>
      <w:r>
        <w:rPr>
          <w:noProof/>
          <w:color w:val="000000" w:themeColor="text1"/>
        </w:rPr>
        <w:t xml:space="preserve">Експозиция </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82"/>
      <w:r>
        <w:rPr>
          <w:noProof/>
          <w:color w:val="000000" w:themeColor="text1"/>
        </w:rPr>
        <w:t>към трети държави</w:t>
      </w:r>
      <w:bookmarkEnd w:id="278"/>
      <w:bookmarkEnd w:id="279"/>
      <w:bookmarkEnd w:id="280"/>
      <w:bookmarkEnd w:id="281"/>
    </w:p>
    <w:p>
      <w:pPr>
        <w:rPr>
          <w:noProof/>
          <w:color w:val="000000" w:themeColor="text1"/>
        </w:rPr>
      </w:pPr>
      <w:r>
        <w:rPr>
          <w:noProof/>
          <w:color w:val="000000" w:themeColor="text1"/>
        </w:rPr>
        <w:t>През 2020 г. Фондът ще поеме максимален годишен риск, свързан с експозицията към трети държави, в размер на 3 134,41 милиона евро (69,5 % от общия годишен риск). Рисковете, свързани с трети държави, се отнасят до заемите, отпуснати от ЕИБ, МФП и Евратом (подробна информация се съдържа в таблица A2б от Работния документ на службите на Комисията). Фондът обезпечава гарантираните заеми за трети държави с падежи до 2042 г.</w:t>
      </w:r>
    </w:p>
    <w:p>
      <w:pPr>
        <w:rPr>
          <w:noProof/>
          <w:color w:val="000000" w:themeColor="text1"/>
        </w:rPr>
      </w:pPr>
      <w:r>
        <w:rPr>
          <w:noProof/>
          <w:color w:val="000000" w:themeColor="text1"/>
        </w:rPr>
        <w:t>Първите десет държави (от общо 45 държави извън ЕС) са класирани по-долу според изискуемите плащания през 2020 г. Те възлизат на 2 716,77 милиона евро, или 86,7 % от годишния риск във връзка с трети държави, поет от Фонда за 2020 г.</w:t>
      </w:r>
    </w:p>
    <w:p>
      <w:pPr>
        <w:rPr>
          <w:noProof/>
          <w:color w:val="000000" w:themeColor="text1"/>
        </w:rPr>
      </w:pPr>
      <w:r>
        <w:rPr>
          <w:noProof/>
          <w:color w:val="000000" w:themeColor="text1"/>
          <w:sz w:val="18"/>
        </w:rPr>
        <w:br w:type="page"/>
        <w:t xml:space="preserve">Таблица 3: Класация на </w:t>
      </w:r>
      <w:r>
        <w:rPr>
          <w:b/>
          <w:noProof/>
          <w:color w:val="000000" w:themeColor="text1"/>
          <w:sz w:val="18"/>
        </w:rPr>
        <w:t>10-те трети държави</w:t>
      </w:r>
      <w:r>
        <w:rPr>
          <w:noProof/>
          <w:color w:val="000000" w:themeColor="text1"/>
        </w:rPr>
        <w:t xml:space="preserve"> </w:t>
      </w:r>
      <w:r>
        <w:rPr>
          <w:noProof/>
          <w:color w:val="000000" w:themeColor="text1"/>
          <w:sz w:val="18"/>
        </w:rPr>
        <w:t>с най-голяма експозиция според годишния риск, поет от бюджета на ЕС през 2020 г. (в милиона евро).</w:t>
      </w:r>
    </w:p>
    <w:tbl>
      <w:tblPr>
        <w:tblW w:w="8760" w:type="dxa"/>
        <w:tblInd w:w="-5" w:type="dxa"/>
        <w:tblLayout w:type="fixed"/>
        <w:tblLook w:val="0000" w:firstRow="0" w:lastRow="0" w:firstColumn="0" w:lastColumn="0" w:noHBand="0" w:noVBand="0"/>
      </w:tblPr>
      <w:tblGrid>
        <w:gridCol w:w="1814"/>
        <w:gridCol w:w="1701"/>
        <w:gridCol w:w="1560"/>
        <w:gridCol w:w="1842"/>
        <w:gridCol w:w="1843"/>
      </w:tblGrid>
      <w:tr>
        <w:trPr>
          <w:trHeight w:val="405"/>
        </w:trPr>
        <w:tc>
          <w:tcPr>
            <w:tcW w:w="1814" w:type="dxa"/>
            <w:tcBorders>
              <w:top w:val="single" w:sz="4" w:space="0" w:color="000000"/>
              <w:left w:val="single" w:sz="4" w:space="0" w:color="000000"/>
            </w:tcBorders>
          </w:tcPr>
          <w:p>
            <w:pPr>
              <w:jc w:val="center"/>
              <w:rPr>
                <w:b/>
                <w:noProof/>
                <w:color w:val="000000" w:themeColor="text1"/>
                <w:sz w:val="20"/>
                <w:szCs w:val="20"/>
              </w:rPr>
            </w:pPr>
            <w:r>
              <w:rPr>
                <w:b/>
                <w:noProof/>
                <w:color w:val="000000" w:themeColor="text1"/>
                <w:sz w:val="20"/>
                <w:szCs w:val="20"/>
              </w:rPr>
              <w:t>Позиция</w:t>
            </w:r>
          </w:p>
        </w:tc>
        <w:tc>
          <w:tcPr>
            <w:tcW w:w="1701" w:type="dxa"/>
            <w:tcBorders>
              <w:top w:val="single" w:sz="4" w:space="0" w:color="000000"/>
              <w:left w:val="single" w:sz="4" w:space="0" w:color="000000"/>
            </w:tcBorders>
          </w:tcPr>
          <w:p>
            <w:pPr>
              <w:jc w:val="center"/>
              <w:rPr>
                <w:b/>
                <w:noProof/>
                <w:color w:val="000000" w:themeColor="text1"/>
                <w:sz w:val="20"/>
                <w:szCs w:val="20"/>
              </w:rPr>
            </w:pPr>
            <w:r>
              <w:rPr>
                <w:b/>
                <w:noProof/>
                <w:color w:val="000000" w:themeColor="text1"/>
                <w:sz w:val="20"/>
                <w:szCs w:val="20"/>
              </w:rPr>
              <w:t>Държава</w:t>
            </w:r>
          </w:p>
        </w:tc>
        <w:tc>
          <w:tcPr>
            <w:tcW w:w="1560" w:type="dxa"/>
            <w:tcBorders>
              <w:top w:val="single" w:sz="4" w:space="0" w:color="000000"/>
              <w:left w:val="single" w:sz="4" w:space="0" w:color="000000"/>
            </w:tcBorders>
          </w:tcPr>
          <w:p>
            <w:pPr>
              <w:jc w:val="center"/>
              <w:rPr>
                <w:b/>
                <w:noProof/>
                <w:color w:val="000000" w:themeColor="text1"/>
                <w:sz w:val="20"/>
                <w:szCs w:val="20"/>
              </w:rPr>
            </w:pPr>
            <w:r>
              <w:rPr>
                <w:b/>
                <w:noProof/>
                <w:color w:val="000000" w:themeColor="text1"/>
                <w:sz w:val="20"/>
                <w:szCs w:val="20"/>
              </w:rPr>
              <w:t>Максимален годишен риск</w:t>
            </w:r>
          </w:p>
        </w:tc>
        <w:tc>
          <w:tcPr>
            <w:tcW w:w="1842" w:type="dxa"/>
            <w:tcBorders>
              <w:top w:val="single" w:sz="4" w:space="0" w:color="000000"/>
              <w:left w:val="single" w:sz="4" w:space="0" w:color="000000"/>
            </w:tcBorders>
          </w:tcPr>
          <w:p>
            <w:pPr>
              <w:jc w:val="center"/>
              <w:rPr>
                <w:b/>
                <w:noProof/>
                <w:color w:val="000000" w:themeColor="text1"/>
                <w:sz w:val="20"/>
                <w:szCs w:val="20"/>
              </w:rPr>
            </w:pPr>
            <w:r>
              <w:rPr>
                <w:b/>
                <w:noProof/>
                <w:color w:val="000000" w:themeColor="text1"/>
                <w:sz w:val="20"/>
                <w:szCs w:val="20"/>
              </w:rPr>
              <w:t>Дял на страната в годишния риск, свързан с трети държави</w:t>
            </w:r>
          </w:p>
        </w:tc>
        <w:tc>
          <w:tcPr>
            <w:tcW w:w="1843" w:type="dxa"/>
            <w:tcBorders>
              <w:top w:val="single" w:sz="4" w:space="0" w:color="000000"/>
              <w:left w:val="single" w:sz="4" w:space="0" w:color="000000"/>
              <w:right w:val="single" w:sz="4" w:space="0" w:color="000000"/>
            </w:tcBorders>
          </w:tcPr>
          <w:p>
            <w:pPr>
              <w:jc w:val="center"/>
              <w:rPr>
                <w:b/>
                <w:noProof/>
                <w:color w:val="000000" w:themeColor="text1"/>
                <w:sz w:val="20"/>
                <w:szCs w:val="20"/>
              </w:rPr>
            </w:pPr>
            <w:r>
              <w:rPr>
                <w:b/>
                <w:noProof/>
                <w:color w:val="000000" w:themeColor="text1"/>
                <w:sz w:val="20"/>
                <w:szCs w:val="20"/>
              </w:rPr>
              <w:t>Дял на страната в общия годишен риск за 2020 г. (държави членки и трети държави)</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1</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Украйна</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788,63</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25,2 %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17,5 %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2</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Турция</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633,31</w:t>
            </w:r>
          </w:p>
        </w:tc>
        <w:tc>
          <w:tcPr>
            <w:tcW w:w="1842" w:type="dxa"/>
            <w:tcBorders>
              <w:top w:val="single" w:sz="4" w:space="0" w:color="000000"/>
              <w:left w:val="single" w:sz="4" w:space="0" w:color="000000"/>
              <w:bottom w:val="single" w:sz="4" w:space="0" w:color="000000"/>
            </w:tcBorders>
          </w:tcPr>
          <w:p>
            <w:pPr>
              <w:jc w:val="right"/>
              <w:rPr>
                <w:noProof/>
                <w:color w:val="000000" w:themeColor="text1"/>
                <w:sz w:val="20"/>
                <w:szCs w:val="20"/>
              </w:rPr>
            </w:pPr>
            <w:r>
              <w:rPr>
                <w:noProof/>
                <w:color w:val="000000" w:themeColor="text1"/>
                <w:sz w:val="20"/>
                <w:szCs w:val="20"/>
              </w:rPr>
              <w:t>20,2 %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14,0 %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3</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Мароко</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296,26</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9,5 %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6,6 %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4</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Египет</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271,87</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8,7 %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6,0 %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5</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Тунис</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269,76</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8,6 %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6,0 %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6</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Сърбия</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148,86</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4,7 %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3,3 %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7</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Южна Африка</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100,64</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3,2 %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2,2 %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8</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Босна и Херцеговина</w:t>
            </w:r>
          </w:p>
        </w:tc>
        <w:tc>
          <w:tcPr>
            <w:tcW w:w="1560" w:type="dxa"/>
            <w:tcBorders>
              <w:top w:val="single" w:sz="4" w:space="0" w:color="000000"/>
              <w:left w:val="single" w:sz="4" w:space="0" w:color="000000"/>
              <w:bottom w:val="single" w:sz="4" w:space="0" w:color="000000"/>
            </w:tcBorders>
          </w:tcPr>
          <w:p>
            <w:pPr>
              <w:snapToGrid w:val="0"/>
              <w:spacing w:before="240" w:after="0"/>
              <w:jc w:val="right"/>
              <w:rPr>
                <w:noProof/>
                <w:color w:val="000000" w:themeColor="text1"/>
                <w:sz w:val="20"/>
                <w:szCs w:val="20"/>
              </w:rPr>
            </w:pPr>
            <w:r>
              <w:rPr>
                <w:noProof/>
                <w:color w:val="000000" w:themeColor="text1"/>
                <w:sz w:val="20"/>
                <w:szCs w:val="20"/>
              </w:rPr>
              <w:t>78,11</w:t>
            </w:r>
          </w:p>
        </w:tc>
        <w:tc>
          <w:tcPr>
            <w:tcW w:w="1842" w:type="dxa"/>
            <w:tcBorders>
              <w:top w:val="single" w:sz="4" w:space="0" w:color="000000"/>
              <w:left w:val="single" w:sz="4" w:space="0" w:color="000000"/>
              <w:bottom w:val="single" w:sz="4" w:space="0" w:color="000000"/>
            </w:tcBorders>
          </w:tcPr>
          <w:p>
            <w:pPr>
              <w:snapToGrid w:val="0"/>
              <w:spacing w:before="240"/>
              <w:jc w:val="right"/>
              <w:rPr>
                <w:noProof/>
                <w:color w:val="000000" w:themeColor="text1"/>
                <w:sz w:val="20"/>
                <w:szCs w:val="20"/>
              </w:rPr>
            </w:pPr>
            <w:r>
              <w:rPr>
                <w:noProof/>
                <w:color w:val="000000" w:themeColor="text1"/>
                <w:sz w:val="20"/>
                <w:szCs w:val="20"/>
              </w:rPr>
              <w:t>2,5 %</w:t>
            </w:r>
          </w:p>
        </w:tc>
        <w:tc>
          <w:tcPr>
            <w:tcW w:w="1843" w:type="dxa"/>
            <w:tcBorders>
              <w:top w:val="single" w:sz="4" w:space="0" w:color="000000"/>
              <w:left w:val="single" w:sz="4" w:space="0" w:color="000000"/>
              <w:bottom w:val="single" w:sz="4" w:space="0" w:color="000000"/>
              <w:right w:val="single" w:sz="4" w:space="0" w:color="000000"/>
            </w:tcBorders>
          </w:tcPr>
          <w:p>
            <w:pPr>
              <w:snapToGrid w:val="0"/>
              <w:spacing w:before="240"/>
              <w:jc w:val="right"/>
              <w:rPr>
                <w:noProof/>
                <w:color w:val="000000" w:themeColor="text1"/>
                <w:sz w:val="20"/>
                <w:szCs w:val="20"/>
              </w:rPr>
            </w:pPr>
            <w:r>
              <w:rPr>
                <w:noProof/>
                <w:color w:val="000000" w:themeColor="text1"/>
                <w:sz w:val="20"/>
                <w:szCs w:val="20"/>
              </w:rPr>
              <w:t>1,7 %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9</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Ливан</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71,94</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2,3 %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1,6 %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10</w:t>
            </w:r>
          </w:p>
        </w:tc>
        <w:tc>
          <w:tcPr>
            <w:tcW w:w="1701" w:type="dxa"/>
            <w:tcBorders>
              <w:top w:val="single" w:sz="4" w:space="0" w:color="000000"/>
              <w:left w:val="single" w:sz="4" w:space="0" w:color="000000"/>
              <w:bottom w:val="single" w:sz="4" w:space="0" w:color="000000"/>
            </w:tcBorders>
          </w:tcPr>
          <w:p>
            <w:pPr>
              <w:snapToGrid w:val="0"/>
              <w:jc w:val="left"/>
              <w:rPr>
                <w:noProof/>
                <w:color w:val="000000" w:themeColor="text1"/>
                <w:sz w:val="20"/>
                <w:szCs w:val="20"/>
              </w:rPr>
            </w:pPr>
            <w:r>
              <w:rPr>
                <w:noProof/>
                <w:color w:val="000000" w:themeColor="text1"/>
                <w:sz w:val="20"/>
                <w:szCs w:val="20"/>
              </w:rPr>
              <w:t>Панама</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57,37</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1,8 %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1,3 %</w:t>
            </w:r>
          </w:p>
        </w:tc>
      </w:tr>
      <w:tr>
        <w:tc>
          <w:tcPr>
            <w:tcW w:w="1814" w:type="dxa"/>
            <w:tcBorders>
              <w:top w:val="single" w:sz="4" w:space="0" w:color="000000"/>
              <w:left w:val="single" w:sz="4" w:space="0" w:color="000000"/>
              <w:bottom w:val="single" w:sz="4" w:space="0" w:color="000000"/>
            </w:tcBorders>
          </w:tcPr>
          <w:p>
            <w:pPr>
              <w:jc w:val="center"/>
              <w:rPr>
                <w:b/>
                <w:noProof/>
                <w:color w:val="000000" w:themeColor="text1"/>
                <w:sz w:val="20"/>
                <w:szCs w:val="20"/>
              </w:rPr>
            </w:pPr>
            <w:r>
              <w:rPr>
                <w:b/>
                <w:noProof/>
                <w:color w:val="000000" w:themeColor="text1"/>
                <w:sz w:val="20"/>
                <w:szCs w:val="20"/>
              </w:rPr>
              <w:t>Общо (първите 10)</w:t>
            </w:r>
          </w:p>
        </w:tc>
        <w:tc>
          <w:tcPr>
            <w:tcW w:w="1701" w:type="dxa"/>
            <w:tcBorders>
              <w:top w:val="single" w:sz="4" w:space="0" w:color="000000"/>
              <w:left w:val="single" w:sz="4" w:space="0" w:color="000000"/>
              <w:bottom w:val="single" w:sz="4" w:space="0" w:color="000000"/>
            </w:tcBorders>
          </w:tcPr>
          <w:p>
            <w:pPr>
              <w:jc w:val="center"/>
              <w:rPr>
                <w:noProof/>
                <w:color w:val="000000" w:themeColor="text1"/>
                <w:sz w:val="20"/>
                <w:szCs w:val="20"/>
                <w:lang w:val="en-IE"/>
              </w:rPr>
            </w:pPr>
          </w:p>
        </w:tc>
        <w:tc>
          <w:tcPr>
            <w:tcW w:w="1560" w:type="dxa"/>
            <w:tcBorders>
              <w:top w:val="single" w:sz="4" w:space="0" w:color="000000"/>
              <w:left w:val="single" w:sz="4" w:space="0" w:color="000000"/>
              <w:bottom w:val="single" w:sz="4" w:space="0" w:color="000000"/>
            </w:tcBorders>
          </w:tcPr>
          <w:p>
            <w:pPr>
              <w:jc w:val="right"/>
              <w:rPr>
                <w:noProof/>
                <w:color w:val="000000" w:themeColor="text1"/>
                <w:sz w:val="20"/>
                <w:szCs w:val="20"/>
              </w:rPr>
            </w:pPr>
            <w:r>
              <w:rPr>
                <w:noProof/>
                <w:color w:val="000000" w:themeColor="text1"/>
                <w:sz w:val="20"/>
                <w:szCs w:val="20"/>
              </w:rPr>
              <w:t>2716,77</w:t>
            </w:r>
          </w:p>
        </w:tc>
        <w:tc>
          <w:tcPr>
            <w:tcW w:w="1842" w:type="dxa"/>
            <w:tcBorders>
              <w:top w:val="single" w:sz="4" w:space="0" w:color="000000"/>
              <w:left w:val="single" w:sz="4" w:space="0" w:color="000000"/>
              <w:bottom w:val="single" w:sz="4" w:space="0" w:color="000000"/>
            </w:tcBorders>
          </w:tcPr>
          <w:p>
            <w:pPr>
              <w:jc w:val="right"/>
              <w:rPr>
                <w:noProof/>
                <w:color w:val="000000" w:themeColor="text1"/>
                <w:sz w:val="20"/>
                <w:szCs w:val="20"/>
              </w:rPr>
            </w:pPr>
            <w:r>
              <w:rPr>
                <w:noProof/>
                <w:color w:val="000000" w:themeColor="text1"/>
                <w:sz w:val="20"/>
                <w:szCs w:val="20"/>
              </w:rPr>
              <w:t>86,7 %</w:t>
            </w:r>
          </w:p>
        </w:tc>
        <w:tc>
          <w:tcPr>
            <w:tcW w:w="1843" w:type="dxa"/>
            <w:tcBorders>
              <w:top w:val="single" w:sz="4" w:space="0" w:color="000000"/>
              <w:left w:val="single" w:sz="4" w:space="0" w:color="000000"/>
              <w:bottom w:val="single" w:sz="4" w:space="0" w:color="000000"/>
              <w:right w:val="single" w:sz="4" w:space="0" w:color="000000"/>
            </w:tcBorders>
          </w:tcPr>
          <w:p>
            <w:pPr>
              <w:jc w:val="right"/>
              <w:rPr>
                <w:noProof/>
                <w:color w:val="000000" w:themeColor="text1"/>
                <w:sz w:val="20"/>
                <w:szCs w:val="20"/>
              </w:rPr>
            </w:pPr>
            <w:r>
              <w:rPr>
                <w:noProof/>
                <w:color w:val="000000" w:themeColor="text1"/>
                <w:sz w:val="20"/>
                <w:szCs w:val="20"/>
              </w:rPr>
              <w:t>60,3 %</w:t>
            </w:r>
          </w:p>
        </w:tc>
      </w:tr>
    </w:tbl>
    <w:p>
      <w:pPr>
        <w:pStyle w:val="ManualHeading1"/>
        <w:ind w:left="567" w:hanging="567"/>
        <w:rPr>
          <w:noProof/>
          <w:color w:val="000000" w:themeColor="text1"/>
        </w:rPr>
      </w:pPr>
      <w:bookmarkStart w:id="283" w:name="_Toc417461977"/>
      <w:bookmarkStart w:id="284" w:name="_Toc417998611"/>
      <w:bookmarkStart w:id="285" w:name="_Toc418157638"/>
      <w:bookmarkStart w:id="286" w:name="_Toc418160319"/>
      <w:bookmarkStart w:id="287" w:name="_Toc446577186"/>
      <w:bookmarkStart w:id="288" w:name="_Toc452646732"/>
      <w:bookmarkStart w:id="289" w:name="_Toc453161371"/>
      <w:bookmarkStart w:id="290" w:name="_Toc486601274"/>
      <w:bookmarkStart w:id="291" w:name="_Toc54253111"/>
      <w:r>
        <w:rPr>
          <w:noProof/>
          <w:color w:val="000000" w:themeColor="text1"/>
        </w:rPr>
        <w:t>5.</w:t>
      </w:r>
      <w:r>
        <w:rPr>
          <w:noProof/>
        </w:rPr>
        <w:tab/>
      </w:r>
      <w:bookmarkStart w:id="292" w:name="_Toc342470163"/>
      <w:bookmarkStart w:id="293" w:name="_Toc390944400"/>
      <w:bookmarkStart w:id="294" w:name="_Toc393969971"/>
      <w:bookmarkEnd w:id="292"/>
      <w:r>
        <w:rPr>
          <w:noProof/>
          <w:color w:val="000000" w:themeColor="text1"/>
        </w:rPr>
        <w:t>Задействане и плащане на гаранциите</w:t>
      </w:r>
      <w:bookmarkEnd w:id="283"/>
      <w:bookmarkEnd w:id="284"/>
      <w:bookmarkEnd w:id="285"/>
      <w:bookmarkEnd w:id="286"/>
      <w:bookmarkEnd w:id="287"/>
      <w:bookmarkEnd w:id="288"/>
      <w:bookmarkEnd w:id="289"/>
      <w:bookmarkEnd w:id="290"/>
      <w:bookmarkEnd w:id="293"/>
      <w:bookmarkEnd w:id="294"/>
      <w:bookmarkEnd w:id="291"/>
    </w:p>
    <w:p>
      <w:pPr>
        <w:pStyle w:val="ManualHeading2"/>
        <w:tabs>
          <w:tab w:val="clear" w:pos="850"/>
        </w:tabs>
        <w:ind w:left="567" w:hanging="566"/>
        <w:rPr>
          <w:noProof/>
          <w:color w:val="000000" w:themeColor="text1"/>
        </w:rPr>
      </w:pPr>
      <w:bookmarkStart w:id="295" w:name="_Toc54253112"/>
      <w:bookmarkStart w:id="296" w:name="_Toc390944401"/>
      <w:bookmarkStart w:id="297" w:name="_Toc393969972"/>
      <w:bookmarkStart w:id="298" w:name="_Toc417461978"/>
      <w:bookmarkStart w:id="299" w:name="_Toc417998612"/>
      <w:bookmarkStart w:id="300" w:name="_Toc418157639"/>
      <w:bookmarkStart w:id="301" w:name="_Toc418160320"/>
      <w:bookmarkStart w:id="302" w:name="_Toc446577187"/>
      <w:bookmarkStart w:id="303" w:name="_Toc452646733"/>
      <w:bookmarkStart w:id="304" w:name="_Toc453161372"/>
      <w:bookmarkStart w:id="305" w:name="_Toc486601275"/>
      <w:bookmarkStart w:id="306" w:name="_Toc309831370"/>
      <w:bookmarkStart w:id="307" w:name="_Toc329261070"/>
      <w:bookmarkStart w:id="308" w:name="_Toc329855632"/>
      <w:bookmarkStart w:id="309" w:name="_Toc330551237"/>
      <w:bookmarkStart w:id="310" w:name="_Toc342470165"/>
      <w:bookmarkStart w:id="311" w:name="_Toc345073710"/>
      <w:bookmarkStart w:id="312" w:name="_Toc365986227"/>
      <w:bookmarkStart w:id="313" w:name="_Toc367869480"/>
      <w:bookmarkStart w:id="314" w:name="_Toc367870007"/>
      <w:bookmarkStart w:id="315" w:name="_Toc388973025"/>
      <w:bookmarkStart w:id="316" w:name="_Toc389474758"/>
      <w:r>
        <w:rPr>
          <w:noProof/>
          <w:color w:val="000000" w:themeColor="text1"/>
        </w:rPr>
        <w:t>5.1</w:t>
      </w:r>
      <w:r>
        <w:rPr>
          <w:noProof/>
        </w:rPr>
        <w:tab/>
      </w:r>
      <w:r>
        <w:rPr>
          <w:noProof/>
          <w:color w:val="000000" w:themeColor="text1"/>
        </w:rPr>
        <w:t>Обслужване на дълга, което не е обезпечено от Гаранционния фонд за външни дейности (заеми от Евратом за държавите членки, ЕМФС и ППБ)</w:t>
      </w:r>
      <w:bookmarkEnd w:id="295"/>
    </w:p>
    <w:p>
      <w:pPr>
        <w:rPr>
          <w:noProof/>
          <w:color w:val="000000" w:themeColor="text1"/>
        </w:rPr>
      </w:pPr>
      <w:r>
        <w:rPr>
          <w:noProof/>
          <w:color w:val="000000" w:themeColor="text1"/>
        </w:rPr>
        <w:t xml:space="preserve">Член 323 от ДФЕС гласи, че „финансови средства се предоставят, за да може Съюзът да изпълнява своите правни задължения спрямо трети страни“. В съответствие с това законодателната уредба на ЕС, както и приложимите процедури гарантират, че държавите членки задължително внасят в бюджета на ЕС финансовите средства, необходими на Съюза, за да изпълнява винаги правните си задължения. </w:t>
      </w:r>
    </w:p>
    <w:p>
      <w:pPr>
        <w:rPr>
          <w:noProof/>
          <w:color w:val="000000" w:themeColor="text1"/>
        </w:rPr>
      </w:pPr>
      <w:r>
        <w:rPr>
          <w:noProof/>
          <w:color w:val="000000" w:themeColor="text1"/>
        </w:rPr>
        <w:t>Поради това ЕС е въвел множество слоеве от много строги предпазни механизми, за да се гарантира, че винаги ще се издължи на своите собствени заемодатели своевременно и в пълен размер. Всеки един от основните предпазни механизми, сам по себе си, би бил достатъчен, за да се гарантират погасяванията.</w:t>
      </w:r>
    </w:p>
    <w:p>
      <w:pPr>
        <w:pStyle w:val="ManualHeading3"/>
        <w:rPr>
          <w:noProof/>
          <w:color w:val="000000" w:themeColor="text1"/>
        </w:rPr>
      </w:pPr>
      <w:bookmarkStart w:id="317" w:name="_Toc390944402"/>
      <w:bookmarkStart w:id="318" w:name="_Toc393969973"/>
      <w:bookmarkStart w:id="319" w:name="_Toc417461979"/>
      <w:bookmarkStart w:id="320" w:name="_Toc417998613"/>
      <w:bookmarkStart w:id="321" w:name="_Toc418157640"/>
      <w:bookmarkStart w:id="322" w:name="_Toc418160321"/>
      <w:bookmarkStart w:id="323" w:name="_Toc446577188"/>
      <w:bookmarkStart w:id="324" w:name="_Toc452646734"/>
      <w:bookmarkStart w:id="325" w:name="_Toc453161373"/>
      <w:bookmarkStart w:id="326" w:name="_Toc486601276"/>
      <w:bookmarkStart w:id="327" w:name="_Toc54253113"/>
      <w:bookmarkEnd w:id="296"/>
      <w:bookmarkEnd w:id="297"/>
      <w:bookmarkEnd w:id="298"/>
      <w:bookmarkEnd w:id="299"/>
      <w:bookmarkEnd w:id="300"/>
      <w:bookmarkEnd w:id="301"/>
      <w:bookmarkEnd w:id="302"/>
      <w:bookmarkEnd w:id="303"/>
      <w:bookmarkEnd w:id="304"/>
      <w:bookmarkEnd w:id="305"/>
      <w:r>
        <w:rPr>
          <w:noProof/>
          <w:color w:val="000000" w:themeColor="text1"/>
        </w:rPr>
        <w:t>5.1.1</w:t>
      </w:r>
      <w:r>
        <w:rPr>
          <w:noProof/>
        </w:rPr>
        <w:tab/>
      </w:r>
      <w:r>
        <w:rPr>
          <w:noProof/>
          <w:color w:val="000000" w:themeColor="text1"/>
        </w:rPr>
        <w:t>Плащания от касова наличност</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rPr>
          <w:noProof/>
          <w:color w:val="000000" w:themeColor="text1"/>
        </w:rPr>
      </w:pPr>
      <w:r>
        <w:rPr>
          <w:noProof/>
          <w:color w:val="000000" w:themeColor="text1"/>
        </w:rPr>
        <w:t>Бюджетът на ЕС временно покрива обслужването на дълга в съответните срокове, в случай че длъжникът не изплати своя заем от ЕС навреме. Комисията използва собствените си касови наличности, за да избегне закъснения и свързаните с тях разходи при обслужване на операциите си по получаване на заеми</w:t>
      </w:r>
      <w:r>
        <w:rPr>
          <w:rStyle w:val="Funotenzeichen"/>
          <w:noProof/>
          <w:color w:val="000000" w:themeColor="text1"/>
          <w:lang w:val="en-IE"/>
        </w:rPr>
        <w:footnoteReference w:id="37"/>
      </w:r>
      <w:r>
        <w:rPr>
          <w:noProof/>
          <w:color w:val="000000" w:themeColor="text1"/>
        </w:rPr>
        <w:t>.</w:t>
      </w:r>
    </w:p>
    <w:p>
      <w:pPr>
        <w:rPr>
          <w:noProof/>
          <w:color w:val="000000" w:themeColor="text1"/>
        </w:rPr>
      </w:pPr>
      <w:r>
        <w:rPr>
          <w:noProof/>
          <w:color w:val="000000" w:themeColor="text1"/>
        </w:rPr>
        <w:t>Като се има предвид, че повечето разходи се правят през първото тримесечие на всяка година, погасяването на дълга е структурирано за месеците след това, както и в началото на всеки месец, когато наличните средства са най-големи.</w:t>
      </w:r>
    </w:p>
    <w:p>
      <w:pPr>
        <w:pStyle w:val="ManualHeading3"/>
        <w:rPr>
          <w:noProof/>
          <w:color w:val="000000" w:themeColor="text1"/>
        </w:rPr>
      </w:pPr>
      <w:bookmarkStart w:id="328" w:name="_Toc329261071"/>
      <w:bookmarkStart w:id="329" w:name="_Toc329855633"/>
      <w:bookmarkStart w:id="330" w:name="_Toc330551238"/>
      <w:bookmarkStart w:id="331" w:name="_Toc342470166"/>
      <w:bookmarkStart w:id="332" w:name="_Toc345073711"/>
      <w:bookmarkStart w:id="333" w:name="_Toc365986228"/>
      <w:bookmarkStart w:id="334" w:name="_Toc367869481"/>
      <w:bookmarkStart w:id="335" w:name="_Toc367870008"/>
      <w:bookmarkStart w:id="336" w:name="_Toc388973026"/>
      <w:bookmarkStart w:id="337" w:name="_Toc389474759"/>
      <w:bookmarkStart w:id="338" w:name="_Toc390944403"/>
      <w:bookmarkStart w:id="339" w:name="_Toc393969974"/>
      <w:bookmarkStart w:id="340" w:name="_Toc417461980"/>
      <w:bookmarkStart w:id="341" w:name="_Toc417998614"/>
      <w:bookmarkStart w:id="342" w:name="_Toc418157641"/>
      <w:bookmarkStart w:id="343" w:name="_Toc418160322"/>
      <w:bookmarkStart w:id="344" w:name="_Toc446577189"/>
      <w:bookmarkStart w:id="345" w:name="_Toc452646735"/>
      <w:bookmarkStart w:id="346" w:name="_Toc453161374"/>
      <w:bookmarkStart w:id="347" w:name="_Toc486601277"/>
      <w:bookmarkStart w:id="348" w:name="_Toc54253114"/>
      <w:r>
        <w:rPr>
          <w:noProof/>
          <w:color w:val="000000" w:themeColor="text1"/>
        </w:rPr>
        <w:t>5.1.2</w:t>
      </w:r>
      <w:r>
        <w:rPr>
          <w:noProof/>
        </w:rPr>
        <w:tab/>
      </w:r>
      <w:bookmarkStart w:id="349" w:name="_Toc309831371"/>
      <w:r>
        <w:rPr>
          <w:noProof/>
          <w:color w:val="000000" w:themeColor="text1"/>
        </w:rPr>
        <w:t>Плащания от</w:t>
      </w:r>
      <w:bookmarkEnd w:id="328"/>
      <w:bookmarkEnd w:id="329"/>
      <w:bookmarkEnd w:id="330"/>
      <w:bookmarkEnd w:id="331"/>
      <w:bookmarkEnd w:id="332"/>
      <w:bookmarkEnd w:id="333"/>
      <w:bookmarkEnd w:id="334"/>
      <w:bookmarkEnd w:id="335"/>
      <w:bookmarkEnd w:id="336"/>
      <w:bookmarkEnd w:id="337"/>
      <w:bookmarkEnd w:id="349"/>
      <w:r>
        <w:rPr>
          <w:noProof/>
          <w:color w:val="000000" w:themeColor="text1"/>
        </w:rPr>
        <w:t xml:space="preserve"> бюджета на ЕС</w:t>
      </w:r>
      <w:bookmarkEnd w:id="338"/>
      <w:bookmarkEnd w:id="339"/>
      <w:bookmarkEnd w:id="340"/>
      <w:bookmarkEnd w:id="341"/>
      <w:bookmarkEnd w:id="342"/>
      <w:bookmarkEnd w:id="343"/>
      <w:bookmarkEnd w:id="344"/>
      <w:bookmarkEnd w:id="345"/>
      <w:bookmarkEnd w:id="346"/>
      <w:bookmarkEnd w:id="347"/>
      <w:bookmarkEnd w:id="348"/>
    </w:p>
    <w:p>
      <w:pPr>
        <w:rPr>
          <w:noProof/>
          <w:color w:val="000000" w:themeColor="text1"/>
        </w:rPr>
      </w:pPr>
      <w:r>
        <w:rPr>
          <w:noProof/>
          <w:color w:val="000000" w:themeColor="text1"/>
        </w:rPr>
        <w:t>В случай на неизпълнение от държава членка</w:t>
      </w:r>
      <w:r>
        <w:rPr>
          <w:rStyle w:val="Funotenzeichen"/>
          <w:noProof/>
          <w:color w:val="000000" w:themeColor="text1"/>
          <w:lang w:val="en-IE"/>
        </w:rPr>
        <w:footnoteReference w:id="38"/>
      </w:r>
      <w:r>
        <w:rPr>
          <w:noProof/>
          <w:color w:val="000000" w:themeColor="text1"/>
        </w:rPr>
        <w:t xml:space="preserve"> и недостатъчност на собствените ресурси на ЕС Комисията може да използва наличните ресурси от бюджета на ЕС и да даде приоритет на изплащането на дълга пред другите незадължителни разходи. Според член 14, параграф 4 от Регламент № 609/2014 на Съвета, ако това се окаже недостатъчно, законодателството на ЕС задължава държавите членки да направят допълнителни вноски, необходими за изплащане на дълга и балансиране на бюджета, до таван от 1,20 % от БНД на ЕС.</w:t>
      </w:r>
    </w:p>
    <w:p>
      <w:pPr>
        <w:rPr>
          <w:noProof/>
          <w:color w:val="000000" w:themeColor="text1"/>
        </w:rPr>
      </w:pPr>
      <w:r>
        <w:rPr>
          <w:noProof/>
          <w:color w:val="000000" w:themeColor="text1"/>
        </w:rPr>
        <w:t>Тъй като през 2019 г. нямаше неизпълнение от страна на държави членки, не бяха поискани бюджетни кредити.</w:t>
      </w:r>
    </w:p>
    <w:p>
      <w:pPr>
        <w:pStyle w:val="ManualHeading3"/>
        <w:tabs>
          <w:tab w:val="clear" w:pos="850"/>
        </w:tabs>
        <w:ind w:left="567" w:hanging="567"/>
        <w:rPr>
          <w:b/>
          <w:i w:val="0"/>
          <w:noProof/>
          <w:color w:val="000000" w:themeColor="text1"/>
        </w:rPr>
      </w:pPr>
      <w:bookmarkStart w:id="350" w:name="_Toc329261072"/>
      <w:bookmarkStart w:id="351" w:name="_Toc329855634"/>
      <w:bookmarkStart w:id="352" w:name="_Toc330551239"/>
      <w:bookmarkStart w:id="353" w:name="_Toc342470167"/>
      <w:bookmarkStart w:id="354" w:name="_Toc345073712"/>
      <w:bookmarkStart w:id="355" w:name="_Toc365986229"/>
      <w:bookmarkStart w:id="356" w:name="_Toc367869482"/>
      <w:bookmarkStart w:id="357" w:name="_Toc367870009"/>
      <w:bookmarkStart w:id="358" w:name="_Toc388973027"/>
      <w:bookmarkStart w:id="359" w:name="_Toc389474760"/>
      <w:bookmarkStart w:id="360" w:name="_Toc390944404"/>
      <w:bookmarkStart w:id="361" w:name="_Toc393969975"/>
      <w:bookmarkStart w:id="362" w:name="_Toc417461981"/>
      <w:bookmarkStart w:id="363" w:name="_Toc417998615"/>
      <w:bookmarkStart w:id="364" w:name="_Toc418157642"/>
      <w:bookmarkStart w:id="365" w:name="_Toc418160323"/>
      <w:bookmarkStart w:id="366" w:name="_Toc446577190"/>
      <w:bookmarkStart w:id="367" w:name="_Toc452646736"/>
      <w:bookmarkStart w:id="368" w:name="_Toc453161375"/>
      <w:bookmarkStart w:id="369" w:name="_Toc486601278"/>
      <w:bookmarkStart w:id="370" w:name="_Toc522525029"/>
      <w:bookmarkStart w:id="371" w:name="_Toc54253115"/>
      <w:r>
        <w:rPr>
          <w:b/>
          <w:i w:val="0"/>
          <w:noProof/>
          <w:color w:val="000000" w:themeColor="text1"/>
        </w:rPr>
        <w:t>5.2</w:t>
      </w:r>
      <w:r>
        <w:rPr>
          <w:noProof/>
        </w:rPr>
        <w:tab/>
      </w:r>
      <w:bookmarkStart w:id="372" w:name="_Toc309831372"/>
      <w:r>
        <w:rPr>
          <w:b/>
          <w:i w:val="0"/>
          <w:noProof/>
          <w:color w:val="000000" w:themeColor="text1"/>
        </w:rPr>
        <w:t xml:space="preserve">Искания, отправени към Гаранционния фонд </w:t>
      </w:r>
      <w:bookmarkEnd w:id="350"/>
      <w:bookmarkEnd w:id="351"/>
      <w:bookmarkEnd w:id="352"/>
      <w:bookmarkEnd w:id="353"/>
      <w:bookmarkEnd w:id="354"/>
      <w:bookmarkEnd w:id="355"/>
      <w:bookmarkEnd w:id="356"/>
      <w:bookmarkEnd w:id="357"/>
      <w:bookmarkEnd w:id="358"/>
      <w:bookmarkEnd w:id="359"/>
      <w:bookmarkEnd w:id="372"/>
      <w:r>
        <w:rPr>
          <w:b/>
          <w:i w:val="0"/>
          <w:noProof/>
          <w:color w:val="000000" w:themeColor="text1"/>
        </w:rPr>
        <w:t>за външни дейности, и събрани суми</w:t>
      </w:r>
      <w:bookmarkEnd w:id="360"/>
      <w:bookmarkEnd w:id="361"/>
      <w:bookmarkEnd w:id="362"/>
      <w:bookmarkEnd w:id="363"/>
      <w:bookmarkEnd w:id="364"/>
      <w:bookmarkEnd w:id="365"/>
      <w:bookmarkEnd w:id="366"/>
      <w:bookmarkEnd w:id="367"/>
      <w:bookmarkEnd w:id="368"/>
      <w:bookmarkEnd w:id="369"/>
      <w:r>
        <w:rPr>
          <w:b/>
          <w:i w:val="0"/>
          <w:noProof/>
          <w:color w:val="000000" w:themeColor="text1"/>
        </w:rPr>
        <w:t xml:space="preserve"> (заеми по линия на МВК, МФП и Евратом за трети държави)</w:t>
      </w:r>
      <w:bookmarkEnd w:id="370"/>
      <w:bookmarkEnd w:id="371"/>
    </w:p>
    <w:p>
      <w:pPr>
        <w:rPr>
          <w:noProof/>
          <w:color w:val="000000" w:themeColor="text1"/>
        </w:rPr>
      </w:pPr>
      <w:r>
        <w:rPr>
          <w:noProof/>
          <w:color w:val="000000" w:themeColor="text1"/>
        </w:rPr>
        <w:t>В случай на забавено плащане от страна на бенефициера на заем в полза на трета държава, който е отпуснат или гарантиран от ЕС, Гаранционният фонд следва да покрие сумата на неизпълнението в срок от три месеца от искането.</w:t>
      </w:r>
    </w:p>
    <w:p>
      <w:pPr>
        <w:rPr>
          <w:noProof/>
          <w:color w:val="000000" w:themeColor="text1"/>
        </w:rPr>
      </w:pPr>
      <w:r>
        <w:rPr>
          <w:noProof/>
          <w:color w:val="000000" w:themeColor="text1"/>
        </w:rPr>
        <w:t>За заеми по линия на МВК сумите, поискани от ЕИБ, се изтеглят от сметката на Гаранционния фонд след разрешение от службите на Комисията. Когато ЕС извършва плащане по гаранцията на ЕС, той встъпва в правата и средствата за правна защита на ЕИБ</w:t>
      </w:r>
      <w:r>
        <w:rPr>
          <w:rStyle w:val="Funotenzeichen"/>
          <w:noProof/>
          <w:color w:val="000000" w:themeColor="text1"/>
        </w:rPr>
        <w:t xml:space="preserve"> </w:t>
      </w:r>
      <w:r>
        <w:rPr>
          <w:rStyle w:val="Funotenzeichen"/>
          <w:noProof/>
          <w:color w:val="000000" w:themeColor="text1"/>
          <w:lang w:val="en-IE"/>
        </w:rPr>
        <w:footnoteReference w:id="39"/>
      </w:r>
      <w:r>
        <w:rPr>
          <w:noProof/>
          <w:color w:val="000000" w:themeColor="text1"/>
        </w:rPr>
        <w:t>. За заемите по линия на Евратом и МФП, ако плащането закъснее с повече от три месеца след падежа, Комисията използва средствата на Фонда за покриване на неизпълнението</w:t>
      </w:r>
      <w:r>
        <w:rPr>
          <w:rStyle w:val="FootnoteReference"/>
          <w:noProof/>
          <w:color w:val="000000" w:themeColor="text1"/>
          <w:lang w:val="en-IE"/>
        </w:rPr>
        <w:footnoteReference w:id="40"/>
      </w:r>
      <w:r>
        <w:rPr>
          <w:noProof/>
          <w:color w:val="000000" w:themeColor="text1"/>
        </w:rPr>
        <w:t xml:space="preserve"> и за попълване на своите касови наличности.</w:t>
      </w:r>
    </w:p>
    <w:p>
      <w:pPr>
        <w:rPr>
          <w:i/>
          <w:noProof/>
          <w:color w:val="000000" w:themeColor="text1"/>
          <w:u w:val="single"/>
        </w:rPr>
      </w:pPr>
      <w:r>
        <w:rPr>
          <w:noProof/>
          <w:color w:val="000000" w:themeColor="text1"/>
        </w:rPr>
        <w:t>В контекста на МВК, ЕИБ извършва от името на ЕС процедурите по събиране на суброгираните суми</w:t>
      </w:r>
      <w:r>
        <w:rPr>
          <w:rStyle w:val="Funotenzeichen"/>
          <w:noProof/>
          <w:color w:val="000000" w:themeColor="text1"/>
          <w:lang w:val="en-IE"/>
        </w:rPr>
        <w:footnoteReference w:id="41"/>
      </w:r>
      <w:r>
        <w:rPr>
          <w:noProof/>
          <w:color w:val="000000" w:themeColor="text1"/>
        </w:rPr>
        <w:t>.</w:t>
      </w:r>
    </w:p>
    <w:p>
      <w:pPr>
        <w:spacing w:before="100" w:beforeAutospacing="1"/>
        <w:rPr>
          <w:i/>
          <w:noProof/>
          <w:color w:val="000000" w:themeColor="text1"/>
          <w:u w:val="single"/>
        </w:rPr>
      </w:pPr>
      <w:r>
        <w:rPr>
          <w:i/>
          <w:noProof/>
          <w:color w:val="000000" w:themeColor="text1"/>
          <w:u w:val="single"/>
        </w:rPr>
        <w:t>Заеми от ЕИБ за проекти в Сирия</w:t>
      </w:r>
    </w:p>
    <w:p>
      <w:pPr>
        <w:spacing w:before="0"/>
        <w:rPr>
          <w:noProof/>
          <w:color w:val="000000" w:themeColor="text1"/>
          <w:szCs w:val="20"/>
        </w:rPr>
      </w:pPr>
      <w:r>
        <w:rPr>
          <w:noProof/>
          <w:color w:val="000000" w:themeColor="text1"/>
        </w:rPr>
        <w:t>От декември 2011 г. ЕИБ отчита неизпълнение при погасяването на определени лихвени плащания и главница от страна на сирийското правителство. Тъй като официалните искания за плащане не бяха изпълнени, през май 2012 г. ЕИБ се обърна към Гаранционния фонд. Исканията за плащане, съответстващи на необслужваните от Сирия заеми, са представени в таблица 4а.</w:t>
      </w:r>
    </w:p>
    <w:p>
      <w:pPr>
        <w:rPr>
          <w:noProof/>
          <w:color w:val="000000" w:themeColor="text1"/>
          <w:sz w:val="18"/>
        </w:rPr>
      </w:pPr>
      <w:r>
        <w:rPr>
          <w:noProof/>
          <w:color w:val="000000" w:themeColor="text1"/>
          <w:sz w:val="18"/>
        </w:rPr>
        <w:t>Таблица 4a: Искания, отправени към Гаранционния фонд поради необслужвани от Сирия заеми (милиона евро)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26"/>
        <w:gridCol w:w="1431"/>
        <w:gridCol w:w="1461"/>
        <w:gridCol w:w="1481"/>
      </w:tblGrid>
      <w:tr>
        <w:trPr>
          <w:trHeight w:val="1231"/>
        </w:trPr>
        <w:tc>
          <w:tcPr>
            <w:tcW w:w="1416" w:type="dxa"/>
            <w:shd w:val="clear" w:color="auto" w:fill="auto"/>
          </w:tcPr>
          <w:p>
            <w:pPr>
              <w:spacing w:after="240"/>
              <w:jc w:val="center"/>
              <w:rPr>
                <w:b/>
                <w:noProof/>
                <w:color w:val="000000" w:themeColor="text1"/>
                <w:sz w:val="20"/>
                <w:szCs w:val="20"/>
              </w:rPr>
            </w:pPr>
            <w:r>
              <w:rPr>
                <w:b/>
                <w:noProof/>
                <w:color w:val="000000" w:themeColor="text1"/>
                <w:sz w:val="20"/>
                <w:szCs w:val="20"/>
              </w:rPr>
              <w:t>Година (Теглене от сметката на ГФ)</w:t>
            </w:r>
          </w:p>
        </w:tc>
        <w:tc>
          <w:tcPr>
            <w:tcW w:w="1430" w:type="dxa"/>
            <w:shd w:val="clear" w:color="auto" w:fill="auto"/>
          </w:tcPr>
          <w:p>
            <w:pPr>
              <w:spacing w:after="240"/>
              <w:jc w:val="center"/>
              <w:rPr>
                <w:b/>
                <w:noProof/>
                <w:color w:val="000000" w:themeColor="text1"/>
                <w:sz w:val="20"/>
                <w:szCs w:val="20"/>
              </w:rPr>
            </w:pPr>
            <w:r>
              <w:rPr>
                <w:b/>
                <w:noProof/>
                <w:color w:val="000000" w:themeColor="text1"/>
                <w:sz w:val="20"/>
                <w:szCs w:val="20"/>
              </w:rPr>
              <w:t>Брой изплатени искания</w:t>
            </w:r>
          </w:p>
        </w:tc>
        <w:tc>
          <w:tcPr>
            <w:tcW w:w="1426" w:type="dxa"/>
            <w:shd w:val="clear" w:color="auto" w:fill="auto"/>
          </w:tcPr>
          <w:p>
            <w:pPr>
              <w:spacing w:after="240"/>
              <w:jc w:val="center"/>
              <w:rPr>
                <w:b/>
                <w:noProof/>
                <w:color w:val="000000" w:themeColor="text1"/>
                <w:sz w:val="20"/>
                <w:szCs w:val="20"/>
              </w:rPr>
            </w:pPr>
            <w:r>
              <w:rPr>
                <w:b/>
                <w:noProof/>
                <w:color w:val="000000" w:themeColor="text1"/>
                <w:sz w:val="20"/>
                <w:szCs w:val="20"/>
              </w:rPr>
              <w:t>Размер на дължимите погасителни вноски</w:t>
            </w:r>
          </w:p>
        </w:tc>
        <w:tc>
          <w:tcPr>
            <w:tcW w:w="1431" w:type="dxa"/>
            <w:shd w:val="clear" w:color="auto" w:fill="auto"/>
          </w:tcPr>
          <w:p>
            <w:pPr>
              <w:spacing w:after="240"/>
              <w:jc w:val="center"/>
              <w:rPr>
                <w:b/>
                <w:noProof/>
                <w:color w:val="000000" w:themeColor="text1"/>
                <w:sz w:val="20"/>
                <w:szCs w:val="20"/>
              </w:rPr>
            </w:pPr>
            <w:r>
              <w:rPr>
                <w:b/>
                <w:noProof/>
                <w:color w:val="000000" w:themeColor="text1"/>
                <w:sz w:val="20"/>
                <w:szCs w:val="20"/>
              </w:rPr>
              <w:t>Санкции и начислени лихви</w:t>
            </w:r>
            <w:r>
              <w:rPr>
                <w:rStyle w:val="FootnoteReference"/>
                <w:b/>
                <w:noProof/>
                <w:color w:val="000000" w:themeColor="text1"/>
                <w:sz w:val="20"/>
                <w:szCs w:val="20"/>
                <w:lang w:val="en-IE"/>
              </w:rPr>
              <w:footnoteReference w:id="42"/>
            </w:r>
          </w:p>
        </w:tc>
        <w:tc>
          <w:tcPr>
            <w:tcW w:w="1366" w:type="dxa"/>
            <w:shd w:val="clear" w:color="auto" w:fill="auto"/>
          </w:tcPr>
          <w:p>
            <w:pPr>
              <w:spacing w:after="240"/>
              <w:jc w:val="center"/>
              <w:rPr>
                <w:b/>
                <w:noProof/>
                <w:color w:val="000000" w:themeColor="text1"/>
                <w:sz w:val="20"/>
                <w:szCs w:val="20"/>
              </w:rPr>
            </w:pPr>
            <w:r>
              <w:rPr>
                <w:b/>
                <w:noProof/>
                <w:color w:val="000000" w:themeColor="text1"/>
                <w:sz w:val="20"/>
                <w:szCs w:val="20"/>
              </w:rPr>
              <w:t>Възстановена сума</w:t>
            </w:r>
          </w:p>
        </w:tc>
        <w:tc>
          <w:tcPr>
            <w:tcW w:w="1481" w:type="dxa"/>
            <w:shd w:val="clear" w:color="auto" w:fill="auto"/>
          </w:tcPr>
          <w:p>
            <w:pPr>
              <w:spacing w:after="240"/>
              <w:jc w:val="center"/>
              <w:rPr>
                <w:b/>
                <w:noProof/>
                <w:color w:val="000000" w:themeColor="text1"/>
                <w:sz w:val="20"/>
                <w:szCs w:val="20"/>
              </w:rPr>
            </w:pPr>
            <w:r>
              <w:rPr>
                <w:b/>
                <w:noProof/>
                <w:color w:val="000000" w:themeColor="text1"/>
                <w:sz w:val="20"/>
                <w:szCs w:val="20"/>
              </w:rPr>
              <w:t>Общо</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2012 г.</w:t>
            </w:r>
          </w:p>
        </w:tc>
        <w:tc>
          <w:tcPr>
            <w:tcW w:w="1430" w:type="dxa"/>
            <w:shd w:val="clear" w:color="auto" w:fill="auto"/>
          </w:tcPr>
          <w:p>
            <w:pPr>
              <w:jc w:val="right"/>
              <w:rPr>
                <w:noProof/>
                <w:color w:val="000000" w:themeColor="text1"/>
                <w:sz w:val="20"/>
                <w:szCs w:val="20"/>
              </w:rPr>
            </w:pPr>
            <w:r>
              <w:rPr>
                <w:noProof/>
                <w:color w:val="000000" w:themeColor="text1"/>
                <w:sz w:val="20"/>
                <w:szCs w:val="20"/>
              </w:rPr>
              <w:t>2</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24,0</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2,1</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21,8</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2013 г.</w:t>
            </w:r>
          </w:p>
        </w:tc>
        <w:tc>
          <w:tcPr>
            <w:tcW w:w="1430" w:type="dxa"/>
            <w:shd w:val="clear" w:color="auto" w:fill="auto"/>
          </w:tcPr>
          <w:p>
            <w:pPr>
              <w:jc w:val="right"/>
              <w:rPr>
                <w:noProof/>
                <w:color w:val="000000" w:themeColor="text1"/>
                <w:sz w:val="20"/>
                <w:szCs w:val="20"/>
              </w:rPr>
            </w:pPr>
            <w:r>
              <w:rPr>
                <w:noProof/>
                <w:color w:val="000000" w:themeColor="text1"/>
                <w:sz w:val="20"/>
                <w:szCs w:val="20"/>
              </w:rPr>
              <w:t>8</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59,3</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1,4</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60,7</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2014 г.</w:t>
            </w:r>
          </w:p>
        </w:tc>
        <w:tc>
          <w:tcPr>
            <w:tcW w:w="1430" w:type="dxa"/>
            <w:shd w:val="clear" w:color="auto" w:fill="auto"/>
          </w:tcPr>
          <w:p>
            <w:pPr>
              <w:jc w:val="right"/>
              <w:rPr>
                <w:noProof/>
                <w:color w:val="000000" w:themeColor="text1"/>
                <w:sz w:val="20"/>
                <w:szCs w:val="20"/>
              </w:rPr>
            </w:pPr>
            <w:r>
              <w:rPr>
                <w:noProof/>
                <w:color w:val="000000" w:themeColor="text1"/>
                <w:sz w:val="20"/>
                <w:szCs w:val="20"/>
              </w:rPr>
              <w:t>8</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58,7</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1,5</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60,2</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2015 г.</w:t>
            </w:r>
          </w:p>
        </w:tc>
        <w:tc>
          <w:tcPr>
            <w:tcW w:w="1430" w:type="dxa"/>
            <w:shd w:val="clear" w:color="auto" w:fill="auto"/>
          </w:tcPr>
          <w:p>
            <w:pPr>
              <w:jc w:val="right"/>
              <w:rPr>
                <w:noProof/>
                <w:color w:val="000000" w:themeColor="text1"/>
                <w:sz w:val="20"/>
                <w:szCs w:val="20"/>
              </w:rPr>
            </w:pPr>
            <w:r>
              <w:rPr>
                <w:noProof/>
                <w:color w:val="000000" w:themeColor="text1"/>
                <w:sz w:val="20"/>
                <w:szCs w:val="20"/>
              </w:rPr>
              <w:t>8</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58,7</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1,5</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60,2</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2016 г.</w:t>
            </w:r>
          </w:p>
        </w:tc>
        <w:tc>
          <w:tcPr>
            <w:tcW w:w="1430" w:type="dxa"/>
            <w:shd w:val="clear" w:color="auto" w:fill="auto"/>
            <w:vAlign w:val="center"/>
          </w:tcPr>
          <w:p>
            <w:pPr>
              <w:jc w:val="right"/>
              <w:rPr>
                <w:noProof/>
                <w:color w:val="000000" w:themeColor="text1"/>
                <w:sz w:val="20"/>
                <w:szCs w:val="20"/>
              </w:rPr>
            </w:pPr>
            <w:r>
              <w:rPr>
                <w:noProof/>
                <w:color w:val="000000" w:themeColor="text1"/>
                <w:sz w:val="20"/>
                <w:szCs w:val="20"/>
              </w:rPr>
              <w:t>12</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103,8</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2,4</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106,2</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2017 г.</w:t>
            </w:r>
          </w:p>
        </w:tc>
        <w:tc>
          <w:tcPr>
            <w:tcW w:w="1430" w:type="dxa"/>
            <w:shd w:val="clear" w:color="auto" w:fill="auto"/>
            <w:vAlign w:val="center"/>
          </w:tcPr>
          <w:p>
            <w:pPr>
              <w:jc w:val="right"/>
              <w:rPr>
                <w:noProof/>
                <w:color w:val="000000" w:themeColor="text1"/>
                <w:sz w:val="20"/>
                <w:szCs w:val="20"/>
              </w:rPr>
            </w:pPr>
            <w:r>
              <w:rPr>
                <w:noProof/>
                <w:color w:val="000000" w:themeColor="text1"/>
                <w:sz w:val="20"/>
                <w:szCs w:val="20"/>
              </w:rPr>
              <w:t>13</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56,1</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0,2</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56,3</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2018 г.</w:t>
            </w:r>
          </w:p>
        </w:tc>
        <w:tc>
          <w:tcPr>
            <w:tcW w:w="1430" w:type="dxa"/>
            <w:shd w:val="clear" w:color="auto" w:fill="auto"/>
          </w:tcPr>
          <w:p>
            <w:pPr>
              <w:jc w:val="right"/>
              <w:rPr>
                <w:noProof/>
                <w:color w:val="000000" w:themeColor="text1"/>
                <w:sz w:val="20"/>
                <w:szCs w:val="20"/>
              </w:rPr>
            </w:pPr>
            <w:r>
              <w:rPr>
                <w:noProof/>
                <w:color w:val="000000" w:themeColor="text1"/>
                <w:sz w:val="20"/>
                <w:szCs w:val="20"/>
              </w:rPr>
              <w:t>12</w:t>
            </w:r>
          </w:p>
        </w:tc>
        <w:tc>
          <w:tcPr>
            <w:tcW w:w="1426" w:type="dxa"/>
            <w:shd w:val="clear" w:color="auto" w:fill="auto"/>
          </w:tcPr>
          <w:p>
            <w:pPr>
              <w:jc w:val="right"/>
              <w:rPr>
                <w:noProof/>
                <w:color w:val="000000" w:themeColor="text1"/>
                <w:sz w:val="20"/>
                <w:szCs w:val="20"/>
              </w:rPr>
            </w:pPr>
            <w:r>
              <w:rPr>
                <w:noProof/>
                <w:color w:val="000000" w:themeColor="text1"/>
                <w:sz w:val="20"/>
                <w:szCs w:val="20"/>
              </w:rPr>
              <w:t>55,7</w:t>
            </w:r>
          </w:p>
        </w:tc>
        <w:tc>
          <w:tcPr>
            <w:tcW w:w="1431" w:type="dxa"/>
            <w:shd w:val="clear" w:color="auto" w:fill="auto"/>
          </w:tcPr>
          <w:p>
            <w:pPr>
              <w:jc w:val="right"/>
              <w:rPr>
                <w:noProof/>
                <w:color w:val="000000" w:themeColor="text1"/>
                <w:sz w:val="20"/>
                <w:szCs w:val="20"/>
              </w:rPr>
            </w:pPr>
            <w:r>
              <w:rPr>
                <w:noProof/>
                <w:color w:val="000000" w:themeColor="text1"/>
                <w:sz w:val="20"/>
                <w:szCs w:val="20"/>
              </w:rPr>
              <w:t>0,1</w:t>
            </w:r>
          </w:p>
        </w:tc>
        <w:tc>
          <w:tcPr>
            <w:tcW w:w="1366" w:type="dxa"/>
            <w:shd w:val="clear" w:color="auto" w:fill="auto"/>
          </w:tcPr>
          <w:p>
            <w:pPr>
              <w:jc w:val="right"/>
              <w:rPr>
                <w:noProof/>
                <w:color w:val="000000" w:themeColor="text1"/>
                <w:sz w:val="20"/>
                <w:szCs w:val="20"/>
              </w:rPr>
            </w:pPr>
            <w:r>
              <w:rPr>
                <w:noProof/>
                <w:color w:val="000000" w:themeColor="text1"/>
                <w:sz w:val="20"/>
                <w:szCs w:val="20"/>
              </w:rPr>
              <w:t>0,0</w:t>
            </w:r>
          </w:p>
        </w:tc>
        <w:tc>
          <w:tcPr>
            <w:tcW w:w="1481" w:type="dxa"/>
            <w:shd w:val="clear" w:color="auto" w:fill="auto"/>
          </w:tcPr>
          <w:p>
            <w:pPr>
              <w:jc w:val="right"/>
              <w:rPr>
                <w:noProof/>
                <w:color w:val="000000" w:themeColor="text1"/>
                <w:sz w:val="20"/>
                <w:szCs w:val="20"/>
              </w:rPr>
            </w:pPr>
            <w:r>
              <w:rPr>
                <w:noProof/>
                <w:color w:val="000000" w:themeColor="text1"/>
                <w:sz w:val="20"/>
                <w:szCs w:val="20"/>
              </w:rPr>
              <w:t>55,7</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2019 г.</w:t>
            </w:r>
          </w:p>
        </w:tc>
        <w:tc>
          <w:tcPr>
            <w:tcW w:w="1430" w:type="dxa"/>
            <w:shd w:val="clear" w:color="auto" w:fill="auto"/>
          </w:tcPr>
          <w:p>
            <w:pPr>
              <w:jc w:val="right"/>
              <w:rPr>
                <w:noProof/>
                <w:color w:val="000000" w:themeColor="text1"/>
                <w:sz w:val="20"/>
                <w:szCs w:val="20"/>
              </w:rPr>
            </w:pPr>
            <w:r>
              <w:rPr>
                <w:noProof/>
                <w:color w:val="000000" w:themeColor="text1"/>
                <w:sz w:val="20"/>
                <w:szCs w:val="20"/>
              </w:rPr>
              <w:t>14</w:t>
            </w:r>
          </w:p>
        </w:tc>
        <w:tc>
          <w:tcPr>
            <w:tcW w:w="1426" w:type="dxa"/>
            <w:shd w:val="clear" w:color="auto" w:fill="auto"/>
          </w:tcPr>
          <w:p>
            <w:pPr>
              <w:jc w:val="right"/>
              <w:rPr>
                <w:noProof/>
                <w:color w:val="000000" w:themeColor="text1"/>
                <w:sz w:val="20"/>
                <w:szCs w:val="20"/>
              </w:rPr>
            </w:pPr>
            <w:r>
              <w:rPr>
                <w:noProof/>
                <w:color w:val="000000" w:themeColor="text1"/>
                <w:sz w:val="20"/>
                <w:szCs w:val="20"/>
              </w:rPr>
              <w:t>54,8</w:t>
            </w:r>
          </w:p>
        </w:tc>
        <w:tc>
          <w:tcPr>
            <w:tcW w:w="1431" w:type="dxa"/>
            <w:shd w:val="clear" w:color="auto" w:fill="auto"/>
          </w:tcPr>
          <w:p>
            <w:pPr>
              <w:jc w:val="right"/>
              <w:rPr>
                <w:noProof/>
                <w:color w:val="000000" w:themeColor="text1"/>
                <w:sz w:val="20"/>
                <w:szCs w:val="20"/>
              </w:rPr>
            </w:pPr>
            <w:r>
              <w:rPr>
                <w:noProof/>
                <w:color w:val="000000" w:themeColor="text1"/>
                <w:sz w:val="20"/>
                <w:szCs w:val="20"/>
              </w:rPr>
              <w:t>0,06</w:t>
            </w:r>
          </w:p>
        </w:tc>
        <w:tc>
          <w:tcPr>
            <w:tcW w:w="1366" w:type="dxa"/>
            <w:shd w:val="clear" w:color="auto" w:fill="auto"/>
          </w:tcPr>
          <w:p>
            <w:pPr>
              <w:jc w:val="right"/>
              <w:rPr>
                <w:noProof/>
                <w:color w:val="000000" w:themeColor="text1"/>
                <w:sz w:val="20"/>
                <w:szCs w:val="20"/>
              </w:rPr>
            </w:pPr>
            <w:r>
              <w:rPr>
                <w:noProof/>
                <w:color w:val="000000" w:themeColor="text1"/>
                <w:sz w:val="20"/>
                <w:szCs w:val="20"/>
              </w:rPr>
              <w:t>0,0</w:t>
            </w:r>
          </w:p>
        </w:tc>
        <w:tc>
          <w:tcPr>
            <w:tcW w:w="1481" w:type="dxa"/>
            <w:shd w:val="clear" w:color="auto" w:fill="auto"/>
          </w:tcPr>
          <w:p>
            <w:pPr>
              <w:jc w:val="right"/>
              <w:rPr>
                <w:noProof/>
                <w:color w:val="000000" w:themeColor="text1"/>
                <w:sz w:val="20"/>
                <w:szCs w:val="20"/>
              </w:rPr>
            </w:pPr>
            <w:r>
              <w:rPr>
                <w:noProof/>
                <w:color w:val="000000" w:themeColor="text1"/>
                <w:sz w:val="20"/>
                <w:szCs w:val="20"/>
              </w:rPr>
              <w:t>54,91</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Общо</w:t>
            </w:r>
          </w:p>
        </w:tc>
        <w:tc>
          <w:tcPr>
            <w:tcW w:w="1430" w:type="dxa"/>
            <w:shd w:val="clear" w:color="auto" w:fill="auto"/>
          </w:tcPr>
          <w:p>
            <w:pPr>
              <w:jc w:val="right"/>
              <w:rPr>
                <w:noProof/>
                <w:color w:val="000000" w:themeColor="text1"/>
                <w:sz w:val="20"/>
                <w:szCs w:val="20"/>
              </w:rPr>
            </w:pPr>
            <w:r>
              <w:rPr>
                <w:noProof/>
                <w:color w:val="000000" w:themeColor="text1"/>
                <w:sz w:val="20"/>
                <w:szCs w:val="20"/>
              </w:rPr>
              <w:t>63</w:t>
            </w:r>
          </w:p>
        </w:tc>
        <w:tc>
          <w:tcPr>
            <w:tcW w:w="1426" w:type="dxa"/>
            <w:shd w:val="clear" w:color="auto" w:fill="auto"/>
          </w:tcPr>
          <w:p>
            <w:pPr>
              <w:jc w:val="right"/>
              <w:rPr>
                <w:noProof/>
                <w:color w:val="000000" w:themeColor="text1"/>
                <w:sz w:val="20"/>
                <w:szCs w:val="20"/>
              </w:rPr>
            </w:pPr>
            <w:r>
              <w:rPr>
                <w:noProof/>
                <w:color w:val="000000" w:themeColor="text1"/>
                <w:sz w:val="20"/>
                <w:szCs w:val="20"/>
              </w:rPr>
              <w:t>471,01</w:t>
            </w:r>
          </w:p>
        </w:tc>
        <w:tc>
          <w:tcPr>
            <w:tcW w:w="1431" w:type="dxa"/>
            <w:shd w:val="clear" w:color="auto" w:fill="auto"/>
          </w:tcPr>
          <w:p>
            <w:pPr>
              <w:jc w:val="right"/>
              <w:rPr>
                <w:noProof/>
                <w:color w:val="000000" w:themeColor="text1"/>
                <w:sz w:val="20"/>
                <w:szCs w:val="20"/>
              </w:rPr>
            </w:pPr>
            <w:r>
              <w:rPr>
                <w:noProof/>
                <w:color w:val="000000" w:themeColor="text1"/>
                <w:sz w:val="20"/>
                <w:szCs w:val="20"/>
              </w:rPr>
              <w:t>7,09</w:t>
            </w:r>
          </w:p>
        </w:tc>
        <w:tc>
          <w:tcPr>
            <w:tcW w:w="1366" w:type="dxa"/>
            <w:shd w:val="clear" w:color="auto" w:fill="auto"/>
          </w:tcPr>
          <w:p>
            <w:pPr>
              <w:jc w:val="right"/>
              <w:rPr>
                <w:noProof/>
                <w:color w:val="000000" w:themeColor="text1"/>
                <w:sz w:val="20"/>
                <w:szCs w:val="20"/>
              </w:rPr>
            </w:pPr>
            <w:r>
              <w:rPr>
                <w:noProof/>
                <w:color w:val="000000" w:themeColor="text1"/>
                <w:sz w:val="20"/>
                <w:szCs w:val="20"/>
              </w:rPr>
              <w:t>2,1</w:t>
            </w:r>
          </w:p>
        </w:tc>
        <w:tc>
          <w:tcPr>
            <w:tcW w:w="1481" w:type="dxa"/>
            <w:shd w:val="clear" w:color="auto" w:fill="auto"/>
          </w:tcPr>
          <w:p>
            <w:pPr>
              <w:jc w:val="right"/>
              <w:rPr>
                <w:noProof/>
                <w:color w:val="000000" w:themeColor="text1"/>
                <w:sz w:val="20"/>
                <w:szCs w:val="20"/>
              </w:rPr>
            </w:pPr>
            <w:r>
              <w:rPr>
                <w:noProof/>
                <w:color w:val="000000" w:themeColor="text1"/>
                <w:sz w:val="20"/>
                <w:szCs w:val="20"/>
              </w:rPr>
              <w:t>475,96</w:t>
            </w:r>
          </w:p>
        </w:tc>
      </w:tr>
    </w:tbl>
    <w:p>
      <w:pPr>
        <w:spacing w:before="240" w:after="240"/>
        <w:rPr>
          <w:noProof/>
          <w:color w:val="000000" w:themeColor="text1"/>
        </w:rPr>
      </w:pPr>
      <w:r>
        <w:rPr>
          <w:noProof/>
        </w:rPr>
        <w:t>Към 31 декември 2019 г. общата сума на непогасената главница по гарантираните заеми, свързани със Сирия, възлиза на 555 милиона евро главница</w:t>
      </w:r>
      <w:r>
        <w:rPr>
          <w:rStyle w:val="FootnoteReference"/>
          <w:noProof/>
          <w:color w:val="000000" w:themeColor="text1"/>
          <w:lang w:val="en-IE"/>
        </w:rPr>
        <w:footnoteReference w:id="43"/>
      </w:r>
      <w:r>
        <w:rPr>
          <w:noProof/>
        </w:rPr>
        <w:t>, като падежът на последния заем настъпва през 2030 г.</w:t>
      </w:r>
    </w:p>
    <w:p>
      <w:pPr>
        <w:spacing w:before="100" w:beforeAutospacing="1"/>
        <w:rPr>
          <w:i/>
          <w:noProof/>
          <w:color w:val="000000" w:themeColor="text1"/>
          <w:u w:val="single"/>
          <w:lang w:val="fr-BE"/>
        </w:rPr>
      </w:pPr>
      <w:r>
        <w:rPr>
          <w:i/>
          <w:noProof/>
          <w:color w:val="000000" w:themeColor="text1"/>
          <w:u w:val="single"/>
          <w:lang w:val="fr-BE"/>
        </w:rPr>
        <w:t>TAV Tunisie S.A. (</w:t>
      </w:r>
      <w:r>
        <w:rPr>
          <w:i/>
          <w:noProof/>
          <w:color w:val="000000" w:themeColor="text1"/>
          <w:u w:val="single"/>
        </w:rPr>
        <w:t>летище</w:t>
      </w:r>
      <w:r>
        <w:rPr>
          <w:i/>
          <w:noProof/>
          <w:color w:val="000000" w:themeColor="text1"/>
          <w:u w:val="single"/>
          <w:lang w:val="fr-BE"/>
        </w:rPr>
        <w:t xml:space="preserve"> Enfidha )</w:t>
      </w:r>
    </w:p>
    <w:p>
      <w:pPr>
        <w:spacing w:before="100" w:beforeAutospacing="1"/>
        <w:rPr>
          <w:noProof/>
          <w:color w:val="000000" w:themeColor="text1"/>
          <w:szCs w:val="20"/>
          <w:lang w:val="fr-BE"/>
        </w:rPr>
      </w:pPr>
      <w:r>
        <w:rPr>
          <w:noProof/>
          <w:color w:val="000000" w:themeColor="text1"/>
          <w:szCs w:val="20"/>
        </w:rPr>
        <w:t>През</w:t>
      </w:r>
      <w:r>
        <w:rPr>
          <w:noProof/>
          <w:color w:val="000000" w:themeColor="text1"/>
          <w:szCs w:val="20"/>
          <w:lang w:val="fr-BE"/>
        </w:rPr>
        <w:t xml:space="preserve"> 2016 </w:t>
      </w:r>
      <w:r>
        <w:rPr>
          <w:noProof/>
          <w:color w:val="000000" w:themeColor="text1"/>
          <w:szCs w:val="20"/>
        </w:rPr>
        <w:t>г</w:t>
      </w:r>
      <w:r>
        <w:rPr>
          <w:noProof/>
          <w:color w:val="000000" w:themeColor="text1"/>
          <w:szCs w:val="20"/>
          <w:lang w:val="fr-BE"/>
        </w:rPr>
        <w:t xml:space="preserve">. </w:t>
      </w:r>
      <w:r>
        <w:rPr>
          <w:noProof/>
          <w:color w:val="000000" w:themeColor="text1"/>
          <w:szCs w:val="20"/>
        </w:rPr>
        <w:t>ЕИБ</w:t>
      </w:r>
      <w:r>
        <w:rPr>
          <w:noProof/>
          <w:color w:val="000000" w:themeColor="text1"/>
          <w:szCs w:val="20"/>
          <w:lang w:val="fr-BE"/>
        </w:rPr>
        <w:t xml:space="preserve"> </w:t>
      </w:r>
      <w:r>
        <w:rPr>
          <w:noProof/>
          <w:color w:val="000000" w:themeColor="text1"/>
          <w:szCs w:val="20"/>
        </w:rPr>
        <w:t>задейства</w:t>
      </w:r>
      <w:r>
        <w:rPr>
          <w:noProof/>
          <w:color w:val="000000" w:themeColor="text1"/>
          <w:szCs w:val="20"/>
          <w:lang w:val="fr-BE"/>
        </w:rPr>
        <w:t xml:space="preserve"> </w:t>
      </w:r>
      <w:r>
        <w:rPr>
          <w:noProof/>
          <w:color w:val="000000" w:themeColor="text1"/>
          <w:szCs w:val="20"/>
        </w:rPr>
        <w:t>гаранцията</w:t>
      </w:r>
      <w:r>
        <w:rPr>
          <w:noProof/>
          <w:color w:val="000000" w:themeColor="text1"/>
          <w:szCs w:val="20"/>
          <w:lang w:val="fr-BE"/>
        </w:rPr>
        <w:t xml:space="preserve"> </w:t>
      </w:r>
      <w:r>
        <w:rPr>
          <w:noProof/>
          <w:color w:val="000000" w:themeColor="text1"/>
          <w:szCs w:val="20"/>
        </w:rPr>
        <w:t>на</w:t>
      </w:r>
      <w:r>
        <w:rPr>
          <w:noProof/>
          <w:color w:val="000000" w:themeColor="text1"/>
          <w:szCs w:val="20"/>
          <w:lang w:val="fr-BE"/>
        </w:rPr>
        <w:t xml:space="preserve"> </w:t>
      </w:r>
      <w:r>
        <w:rPr>
          <w:noProof/>
          <w:color w:val="000000" w:themeColor="text1"/>
          <w:szCs w:val="20"/>
        </w:rPr>
        <w:t>ЕС</w:t>
      </w:r>
      <w:r>
        <w:rPr>
          <w:noProof/>
          <w:color w:val="000000" w:themeColor="text1"/>
          <w:szCs w:val="20"/>
          <w:lang w:val="fr-BE"/>
        </w:rPr>
        <w:t xml:space="preserve"> </w:t>
      </w:r>
      <w:r>
        <w:rPr>
          <w:noProof/>
          <w:color w:val="000000" w:themeColor="text1"/>
          <w:szCs w:val="20"/>
        </w:rPr>
        <w:t>съгласно</w:t>
      </w:r>
      <w:r>
        <w:rPr>
          <w:noProof/>
          <w:color w:val="000000" w:themeColor="text1"/>
          <w:szCs w:val="20"/>
          <w:lang w:val="fr-BE"/>
        </w:rPr>
        <w:t xml:space="preserve"> </w:t>
      </w:r>
      <w:r>
        <w:rPr>
          <w:noProof/>
          <w:color w:val="000000" w:themeColor="text1"/>
          <w:szCs w:val="20"/>
        </w:rPr>
        <w:t>мандата</w:t>
      </w:r>
      <w:r>
        <w:rPr>
          <w:noProof/>
          <w:color w:val="000000" w:themeColor="text1"/>
          <w:szCs w:val="20"/>
          <w:lang w:val="fr-BE"/>
        </w:rPr>
        <w:t xml:space="preserve"> </w:t>
      </w:r>
      <w:r>
        <w:rPr>
          <w:noProof/>
          <w:color w:val="000000" w:themeColor="text1"/>
          <w:szCs w:val="20"/>
        </w:rPr>
        <w:t>за</w:t>
      </w:r>
      <w:r>
        <w:rPr>
          <w:noProof/>
          <w:color w:val="000000" w:themeColor="text1"/>
          <w:szCs w:val="20"/>
          <w:lang w:val="fr-BE"/>
        </w:rPr>
        <w:t xml:space="preserve"> </w:t>
      </w:r>
      <w:r>
        <w:rPr>
          <w:noProof/>
          <w:color w:val="000000" w:themeColor="text1"/>
          <w:szCs w:val="20"/>
        </w:rPr>
        <w:t>външно</w:t>
      </w:r>
      <w:r>
        <w:rPr>
          <w:noProof/>
          <w:color w:val="000000" w:themeColor="text1"/>
          <w:szCs w:val="20"/>
          <w:lang w:val="fr-BE"/>
        </w:rPr>
        <w:t xml:space="preserve"> </w:t>
      </w:r>
      <w:r>
        <w:rPr>
          <w:noProof/>
          <w:color w:val="000000" w:themeColor="text1"/>
          <w:szCs w:val="20"/>
        </w:rPr>
        <w:t>кредитиране</w:t>
      </w:r>
      <w:r>
        <w:rPr>
          <w:noProof/>
          <w:color w:val="000000" w:themeColor="text1"/>
          <w:szCs w:val="20"/>
          <w:lang w:val="fr-BE"/>
        </w:rPr>
        <w:t xml:space="preserve"> </w:t>
      </w:r>
      <w:r>
        <w:rPr>
          <w:noProof/>
          <w:color w:val="000000" w:themeColor="text1"/>
          <w:szCs w:val="20"/>
        </w:rPr>
        <w:t>във</w:t>
      </w:r>
      <w:r>
        <w:rPr>
          <w:noProof/>
          <w:color w:val="000000" w:themeColor="text1"/>
          <w:szCs w:val="20"/>
          <w:lang w:val="fr-BE"/>
        </w:rPr>
        <w:t xml:space="preserve"> </w:t>
      </w:r>
      <w:r>
        <w:rPr>
          <w:noProof/>
          <w:color w:val="000000" w:themeColor="text1"/>
          <w:szCs w:val="20"/>
        </w:rPr>
        <w:t>връзка</w:t>
      </w:r>
      <w:r>
        <w:rPr>
          <w:noProof/>
          <w:color w:val="000000" w:themeColor="text1"/>
          <w:szCs w:val="20"/>
          <w:lang w:val="fr-BE"/>
        </w:rPr>
        <w:t xml:space="preserve"> </w:t>
      </w:r>
      <w:r>
        <w:rPr>
          <w:noProof/>
          <w:color w:val="000000" w:themeColor="text1"/>
          <w:szCs w:val="20"/>
        </w:rPr>
        <w:t>със</w:t>
      </w:r>
      <w:r>
        <w:rPr>
          <w:noProof/>
          <w:color w:val="000000" w:themeColor="text1"/>
          <w:szCs w:val="20"/>
          <w:lang w:val="fr-BE"/>
        </w:rPr>
        <w:t xml:space="preserve"> </w:t>
      </w:r>
      <w:r>
        <w:rPr>
          <w:noProof/>
          <w:color w:val="000000" w:themeColor="text1"/>
          <w:szCs w:val="20"/>
        </w:rPr>
        <w:t>заем</w:t>
      </w:r>
      <w:r>
        <w:rPr>
          <w:noProof/>
          <w:color w:val="000000" w:themeColor="text1"/>
          <w:szCs w:val="20"/>
          <w:lang w:val="fr-BE"/>
        </w:rPr>
        <w:t xml:space="preserve"> </w:t>
      </w:r>
      <w:r>
        <w:rPr>
          <w:noProof/>
          <w:color w:val="000000" w:themeColor="text1"/>
          <w:szCs w:val="20"/>
        </w:rPr>
        <w:t>за</w:t>
      </w:r>
      <w:r>
        <w:rPr>
          <w:noProof/>
          <w:color w:val="000000" w:themeColor="text1"/>
          <w:szCs w:val="20"/>
          <w:lang w:val="fr-BE"/>
        </w:rPr>
        <w:t xml:space="preserve"> TAV Tunisie S.A. (</w:t>
      </w:r>
      <w:r>
        <w:rPr>
          <w:noProof/>
          <w:color w:val="000000" w:themeColor="text1"/>
          <w:szCs w:val="20"/>
        </w:rPr>
        <w:t>летище</w:t>
      </w:r>
      <w:r>
        <w:rPr>
          <w:noProof/>
          <w:color w:val="000000" w:themeColor="text1"/>
          <w:szCs w:val="20"/>
          <w:lang w:val="fr-BE"/>
        </w:rPr>
        <w:t xml:space="preserve"> Enfidha).</w:t>
      </w:r>
    </w:p>
    <w:p>
      <w:pPr>
        <w:spacing w:before="0" w:after="240"/>
        <w:rPr>
          <w:noProof/>
          <w:color w:val="000000" w:themeColor="text1"/>
          <w:lang w:val="fr-BE"/>
        </w:rPr>
      </w:pPr>
      <w:r>
        <w:rPr>
          <w:noProof/>
        </w:rPr>
        <w:t>На</w:t>
      </w:r>
      <w:r>
        <w:rPr>
          <w:noProof/>
          <w:lang w:val="fr-BE"/>
        </w:rPr>
        <w:t xml:space="preserve"> 15 </w:t>
      </w:r>
      <w:r>
        <w:rPr>
          <w:noProof/>
        </w:rPr>
        <w:t>януари</w:t>
      </w:r>
      <w:r>
        <w:rPr>
          <w:noProof/>
          <w:lang w:val="fr-BE"/>
        </w:rPr>
        <w:t xml:space="preserve"> 2018 </w:t>
      </w:r>
      <w:r>
        <w:rPr>
          <w:noProof/>
        </w:rPr>
        <w:t>г</w:t>
      </w:r>
      <w:r>
        <w:rPr>
          <w:noProof/>
          <w:lang w:val="fr-BE"/>
        </w:rPr>
        <w:t xml:space="preserve">. </w:t>
      </w:r>
      <w:r>
        <w:rPr>
          <w:noProof/>
        </w:rPr>
        <w:t>сумата</w:t>
      </w:r>
      <w:r>
        <w:rPr>
          <w:noProof/>
          <w:lang w:val="fr-BE"/>
        </w:rPr>
        <w:t xml:space="preserve"> </w:t>
      </w:r>
      <w:r>
        <w:rPr>
          <w:noProof/>
        </w:rPr>
        <w:t>от</w:t>
      </w:r>
      <w:r>
        <w:rPr>
          <w:noProof/>
          <w:lang w:val="fr-BE"/>
        </w:rPr>
        <w:t xml:space="preserve"> 0,14 </w:t>
      </w:r>
      <w:r>
        <w:rPr>
          <w:noProof/>
        </w:rPr>
        <w:t>милиона</w:t>
      </w:r>
      <w:r>
        <w:rPr>
          <w:noProof/>
          <w:lang w:val="fr-BE"/>
        </w:rPr>
        <w:t xml:space="preserve"> </w:t>
      </w:r>
      <w:r>
        <w:rPr>
          <w:noProof/>
        </w:rPr>
        <w:t>евро</w:t>
      </w:r>
      <w:r>
        <w:rPr>
          <w:noProof/>
          <w:lang w:val="fr-BE"/>
        </w:rPr>
        <w:t xml:space="preserve">, </w:t>
      </w:r>
      <w:r>
        <w:rPr>
          <w:noProof/>
        </w:rPr>
        <w:t>събрана</w:t>
      </w:r>
      <w:r>
        <w:rPr>
          <w:noProof/>
          <w:lang w:val="fr-BE"/>
        </w:rPr>
        <w:t xml:space="preserve"> </w:t>
      </w:r>
      <w:r>
        <w:rPr>
          <w:noProof/>
        </w:rPr>
        <w:t>от</w:t>
      </w:r>
      <w:r>
        <w:rPr>
          <w:noProof/>
          <w:lang w:val="fr-BE"/>
        </w:rPr>
        <w:t xml:space="preserve"> </w:t>
      </w:r>
      <w:r>
        <w:rPr>
          <w:noProof/>
        </w:rPr>
        <w:t>летище</w:t>
      </w:r>
      <w:r>
        <w:rPr>
          <w:noProof/>
          <w:lang w:val="fr-BE"/>
        </w:rPr>
        <w:t xml:space="preserve"> Enfidha, </w:t>
      </w:r>
      <w:r>
        <w:rPr>
          <w:noProof/>
        </w:rPr>
        <w:t>беше</w:t>
      </w:r>
      <w:r>
        <w:rPr>
          <w:noProof/>
          <w:lang w:val="fr-BE"/>
        </w:rPr>
        <w:t xml:space="preserve"> </w:t>
      </w:r>
      <w:r>
        <w:rPr>
          <w:noProof/>
        </w:rPr>
        <w:t>кредитирана</w:t>
      </w:r>
      <w:r>
        <w:rPr>
          <w:noProof/>
          <w:lang w:val="fr-BE"/>
        </w:rPr>
        <w:t xml:space="preserve"> </w:t>
      </w:r>
      <w:r>
        <w:rPr>
          <w:noProof/>
        </w:rPr>
        <w:t>в</w:t>
      </w:r>
      <w:r>
        <w:rPr>
          <w:noProof/>
          <w:lang w:val="fr-BE"/>
        </w:rPr>
        <w:t xml:space="preserve"> </w:t>
      </w:r>
      <w:r>
        <w:rPr>
          <w:noProof/>
        </w:rPr>
        <w:t>полза</w:t>
      </w:r>
      <w:r>
        <w:rPr>
          <w:noProof/>
          <w:lang w:val="fr-BE"/>
        </w:rPr>
        <w:t xml:space="preserve"> </w:t>
      </w:r>
      <w:r>
        <w:rPr>
          <w:noProof/>
        </w:rPr>
        <w:t>на</w:t>
      </w:r>
      <w:r>
        <w:rPr>
          <w:noProof/>
          <w:lang w:val="fr-BE"/>
        </w:rPr>
        <w:t xml:space="preserve"> </w:t>
      </w:r>
      <w:r>
        <w:rPr>
          <w:noProof/>
        </w:rPr>
        <w:t>Гаранционния</w:t>
      </w:r>
      <w:r>
        <w:rPr>
          <w:noProof/>
          <w:lang w:val="fr-BE"/>
        </w:rPr>
        <w:t xml:space="preserve"> </w:t>
      </w:r>
      <w:r>
        <w:rPr>
          <w:noProof/>
        </w:rPr>
        <w:t>фонд</w:t>
      </w:r>
      <w:r>
        <w:rPr>
          <w:noProof/>
          <w:lang w:val="fr-BE"/>
        </w:rPr>
        <w:t xml:space="preserve"> </w:t>
      </w:r>
      <w:r>
        <w:rPr>
          <w:noProof/>
        </w:rPr>
        <w:t>за</w:t>
      </w:r>
      <w:r>
        <w:rPr>
          <w:noProof/>
          <w:lang w:val="fr-BE"/>
        </w:rPr>
        <w:t xml:space="preserve"> </w:t>
      </w:r>
      <w:r>
        <w:rPr>
          <w:noProof/>
        </w:rPr>
        <w:t>външни</w:t>
      </w:r>
      <w:r>
        <w:rPr>
          <w:noProof/>
          <w:lang w:val="fr-BE"/>
        </w:rPr>
        <w:t xml:space="preserve"> </w:t>
      </w:r>
      <w:r>
        <w:rPr>
          <w:noProof/>
        </w:rPr>
        <w:t>дейности</w:t>
      </w:r>
      <w:r>
        <w:rPr>
          <w:noProof/>
          <w:lang w:val="fr-BE"/>
        </w:rPr>
        <w:t>.</w:t>
      </w:r>
      <w:r>
        <w:rPr>
          <w:noProof/>
          <w:color w:val="000000" w:themeColor="text1"/>
          <w:lang w:val="fr-BE"/>
        </w:rPr>
        <w:t xml:space="preserve"> </w:t>
      </w:r>
      <w:r>
        <w:rPr>
          <w:noProof/>
        </w:rPr>
        <w:t>Тази</w:t>
      </w:r>
      <w:r>
        <w:rPr>
          <w:noProof/>
          <w:lang w:val="fr-BE"/>
        </w:rPr>
        <w:t xml:space="preserve"> </w:t>
      </w:r>
      <w:r>
        <w:rPr>
          <w:noProof/>
        </w:rPr>
        <w:t>сума</w:t>
      </w:r>
      <w:r>
        <w:rPr>
          <w:noProof/>
          <w:lang w:val="fr-BE"/>
        </w:rPr>
        <w:t xml:space="preserve"> </w:t>
      </w:r>
      <w:r>
        <w:rPr>
          <w:noProof/>
        </w:rPr>
        <w:t>вече</w:t>
      </w:r>
      <w:r>
        <w:rPr>
          <w:noProof/>
          <w:lang w:val="fr-BE"/>
        </w:rPr>
        <w:t xml:space="preserve"> </w:t>
      </w:r>
      <w:r>
        <w:rPr>
          <w:noProof/>
        </w:rPr>
        <w:t>беше</w:t>
      </w:r>
      <w:r>
        <w:rPr>
          <w:noProof/>
          <w:lang w:val="fr-BE"/>
        </w:rPr>
        <w:t xml:space="preserve"> </w:t>
      </w:r>
      <w:r>
        <w:rPr>
          <w:noProof/>
        </w:rPr>
        <w:t>отчетена</w:t>
      </w:r>
      <w:r>
        <w:rPr>
          <w:noProof/>
          <w:lang w:val="fr-BE"/>
        </w:rPr>
        <w:t xml:space="preserve"> </w:t>
      </w:r>
      <w:r>
        <w:rPr>
          <w:noProof/>
        </w:rPr>
        <w:t>като</w:t>
      </w:r>
      <w:r>
        <w:rPr>
          <w:noProof/>
          <w:lang w:val="fr-BE"/>
        </w:rPr>
        <w:t xml:space="preserve"> </w:t>
      </w:r>
      <w:r>
        <w:rPr>
          <w:noProof/>
        </w:rPr>
        <w:t>актив</w:t>
      </w:r>
      <w:r>
        <w:rPr>
          <w:noProof/>
          <w:lang w:val="fr-BE"/>
        </w:rPr>
        <w:t xml:space="preserve"> (</w:t>
      </w:r>
      <w:r>
        <w:rPr>
          <w:noProof/>
        </w:rPr>
        <w:t>вземане</w:t>
      </w:r>
      <w:r>
        <w:rPr>
          <w:noProof/>
          <w:lang w:val="fr-BE"/>
        </w:rPr>
        <w:t xml:space="preserve">) </w:t>
      </w:r>
      <w:r>
        <w:rPr>
          <w:noProof/>
        </w:rPr>
        <w:t>в</w:t>
      </w:r>
      <w:r>
        <w:rPr>
          <w:noProof/>
          <w:lang w:val="fr-BE"/>
        </w:rPr>
        <w:t xml:space="preserve"> </w:t>
      </w:r>
      <w:r>
        <w:rPr>
          <w:noProof/>
        </w:rPr>
        <w:t>счетоводния</w:t>
      </w:r>
      <w:r>
        <w:rPr>
          <w:noProof/>
          <w:lang w:val="fr-BE"/>
        </w:rPr>
        <w:t xml:space="preserve"> </w:t>
      </w:r>
      <w:r>
        <w:rPr>
          <w:noProof/>
        </w:rPr>
        <w:t>баланс</w:t>
      </w:r>
      <w:r>
        <w:rPr>
          <w:noProof/>
          <w:lang w:val="fr-BE"/>
        </w:rPr>
        <w:t xml:space="preserve"> </w:t>
      </w:r>
      <w:r>
        <w:rPr>
          <w:noProof/>
        </w:rPr>
        <w:t>към</w:t>
      </w:r>
      <w:r>
        <w:rPr>
          <w:noProof/>
          <w:lang w:val="fr-BE"/>
        </w:rPr>
        <w:t xml:space="preserve"> 31 </w:t>
      </w:r>
      <w:r>
        <w:rPr>
          <w:noProof/>
        </w:rPr>
        <w:t>декември</w:t>
      </w:r>
      <w:r>
        <w:rPr>
          <w:noProof/>
          <w:lang w:val="fr-BE"/>
        </w:rPr>
        <w:t xml:space="preserve"> 2017 </w:t>
      </w:r>
      <w:r>
        <w:rPr>
          <w:noProof/>
        </w:rPr>
        <w:t>г</w:t>
      </w:r>
      <w:r>
        <w:rPr>
          <w:noProof/>
          <w:lang w:val="fr-BE"/>
        </w:rPr>
        <w:t>.</w:t>
      </w:r>
    </w:p>
    <w:p>
      <w:pPr>
        <w:spacing w:before="0"/>
        <w:jc w:val="left"/>
        <w:rPr>
          <w:noProof/>
          <w:color w:val="000000" w:themeColor="text1"/>
          <w:szCs w:val="20"/>
          <w:lang w:val="fr-BE"/>
        </w:rPr>
      </w:pPr>
      <w:r>
        <w:rPr>
          <w:noProof/>
          <w:color w:val="000000" w:themeColor="text1"/>
          <w:szCs w:val="20"/>
        </w:rPr>
        <w:t>Отправените</w:t>
      </w:r>
      <w:r>
        <w:rPr>
          <w:noProof/>
          <w:color w:val="000000" w:themeColor="text1"/>
          <w:szCs w:val="20"/>
          <w:lang w:val="fr-BE"/>
        </w:rPr>
        <w:t xml:space="preserve"> </w:t>
      </w:r>
      <w:r>
        <w:rPr>
          <w:noProof/>
          <w:color w:val="000000" w:themeColor="text1"/>
          <w:szCs w:val="20"/>
        </w:rPr>
        <w:t>към</w:t>
      </w:r>
      <w:r>
        <w:rPr>
          <w:noProof/>
          <w:color w:val="000000" w:themeColor="text1"/>
          <w:szCs w:val="20"/>
          <w:lang w:val="fr-BE"/>
        </w:rPr>
        <w:t xml:space="preserve"> </w:t>
      </w:r>
      <w:r>
        <w:rPr>
          <w:noProof/>
          <w:color w:val="000000" w:themeColor="text1"/>
          <w:szCs w:val="20"/>
        </w:rPr>
        <w:t>Фонда</w:t>
      </w:r>
      <w:r>
        <w:rPr>
          <w:noProof/>
          <w:color w:val="000000" w:themeColor="text1"/>
          <w:szCs w:val="20"/>
          <w:lang w:val="fr-BE"/>
        </w:rPr>
        <w:t xml:space="preserve"> </w:t>
      </w:r>
      <w:r>
        <w:rPr>
          <w:noProof/>
          <w:color w:val="000000" w:themeColor="text1"/>
          <w:szCs w:val="20"/>
        </w:rPr>
        <w:t>искания</w:t>
      </w:r>
      <w:r>
        <w:rPr>
          <w:noProof/>
          <w:color w:val="000000" w:themeColor="text1"/>
          <w:szCs w:val="20"/>
          <w:lang w:val="fr-BE"/>
        </w:rPr>
        <w:t xml:space="preserve">, </w:t>
      </w:r>
      <w:r>
        <w:rPr>
          <w:noProof/>
          <w:color w:val="000000" w:themeColor="text1"/>
          <w:szCs w:val="20"/>
        </w:rPr>
        <w:t>съответстващи</w:t>
      </w:r>
      <w:r>
        <w:rPr>
          <w:noProof/>
          <w:color w:val="000000" w:themeColor="text1"/>
          <w:szCs w:val="20"/>
          <w:lang w:val="fr-BE"/>
        </w:rPr>
        <w:t xml:space="preserve"> </w:t>
      </w:r>
      <w:r>
        <w:rPr>
          <w:noProof/>
          <w:color w:val="000000" w:themeColor="text1"/>
          <w:szCs w:val="20"/>
        </w:rPr>
        <w:t>на</w:t>
      </w:r>
      <w:r>
        <w:rPr>
          <w:noProof/>
          <w:color w:val="000000" w:themeColor="text1"/>
          <w:szCs w:val="20"/>
          <w:lang w:val="fr-BE"/>
        </w:rPr>
        <w:t xml:space="preserve"> </w:t>
      </w:r>
      <w:r>
        <w:rPr>
          <w:noProof/>
          <w:color w:val="000000" w:themeColor="text1"/>
          <w:szCs w:val="20"/>
        </w:rPr>
        <w:t>необслужвания</w:t>
      </w:r>
      <w:r>
        <w:rPr>
          <w:noProof/>
          <w:color w:val="000000" w:themeColor="text1"/>
          <w:szCs w:val="20"/>
          <w:lang w:val="fr-BE"/>
        </w:rPr>
        <w:t xml:space="preserve"> </w:t>
      </w:r>
      <w:r>
        <w:rPr>
          <w:noProof/>
          <w:color w:val="000000" w:themeColor="text1"/>
          <w:szCs w:val="20"/>
        </w:rPr>
        <w:t>заем</w:t>
      </w:r>
      <w:r>
        <w:rPr>
          <w:noProof/>
          <w:color w:val="000000" w:themeColor="text1"/>
          <w:szCs w:val="20"/>
          <w:lang w:val="fr-BE"/>
        </w:rPr>
        <w:t xml:space="preserve"> </w:t>
      </w:r>
      <w:r>
        <w:rPr>
          <w:noProof/>
          <w:color w:val="000000" w:themeColor="text1"/>
          <w:szCs w:val="20"/>
        </w:rPr>
        <w:t>за</w:t>
      </w:r>
      <w:r>
        <w:rPr>
          <w:noProof/>
          <w:color w:val="000000" w:themeColor="text1"/>
          <w:szCs w:val="20"/>
          <w:lang w:val="fr-BE"/>
        </w:rPr>
        <w:t xml:space="preserve"> TAV Tunisie S.A. (</w:t>
      </w:r>
      <w:r>
        <w:rPr>
          <w:noProof/>
          <w:color w:val="000000" w:themeColor="text1"/>
          <w:szCs w:val="20"/>
        </w:rPr>
        <w:t>летище</w:t>
      </w:r>
      <w:r>
        <w:rPr>
          <w:noProof/>
          <w:color w:val="000000" w:themeColor="text1"/>
          <w:szCs w:val="20"/>
          <w:lang w:val="fr-BE"/>
        </w:rPr>
        <w:t xml:space="preserve"> Enfidha), </w:t>
      </w:r>
      <w:r>
        <w:rPr>
          <w:noProof/>
          <w:color w:val="000000" w:themeColor="text1"/>
          <w:szCs w:val="20"/>
        </w:rPr>
        <w:t>са</w:t>
      </w:r>
      <w:r>
        <w:rPr>
          <w:noProof/>
          <w:color w:val="000000" w:themeColor="text1"/>
          <w:szCs w:val="20"/>
          <w:lang w:val="fr-BE"/>
        </w:rPr>
        <w:t xml:space="preserve"> </w:t>
      </w:r>
      <w:r>
        <w:rPr>
          <w:noProof/>
          <w:color w:val="000000" w:themeColor="text1"/>
          <w:szCs w:val="20"/>
        </w:rPr>
        <w:t>представени</w:t>
      </w:r>
      <w:r>
        <w:rPr>
          <w:noProof/>
          <w:color w:val="000000" w:themeColor="text1"/>
          <w:szCs w:val="20"/>
          <w:lang w:val="fr-BE"/>
        </w:rPr>
        <w:t xml:space="preserve"> </w:t>
      </w:r>
      <w:r>
        <w:rPr>
          <w:noProof/>
          <w:color w:val="000000" w:themeColor="text1"/>
          <w:szCs w:val="20"/>
        </w:rPr>
        <w:t>в</w:t>
      </w:r>
      <w:r>
        <w:rPr>
          <w:noProof/>
          <w:color w:val="000000" w:themeColor="text1"/>
          <w:szCs w:val="20"/>
          <w:lang w:val="fr-BE"/>
        </w:rPr>
        <w:t xml:space="preserve"> </w:t>
      </w:r>
      <w:r>
        <w:rPr>
          <w:noProof/>
          <w:color w:val="000000" w:themeColor="text1"/>
          <w:szCs w:val="20"/>
        </w:rPr>
        <w:t>таблица</w:t>
      </w:r>
      <w:r>
        <w:rPr>
          <w:noProof/>
          <w:color w:val="000000" w:themeColor="text1"/>
          <w:szCs w:val="20"/>
          <w:lang w:val="fr-BE"/>
        </w:rPr>
        <w:t xml:space="preserve"> 4</w:t>
      </w:r>
      <w:r>
        <w:rPr>
          <w:noProof/>
          <w:color w:val="000000" w:themeColor="text1"/>
          <w:szCs w:val="20"/>
        </w:rPr>
        <w:t>б</w:t>
      </w:r>
      <w:r>
        <w:rPr>
          <w:noProof/>
          <w:color w:val="000000" w:themeColor="text1"/>
          <w:szCs w:val="20"/>
          <w:lang w:val="fr-BE"/>
        </w:rPr>
        <w:t>.</w:t>
      </w:r>
    </w:p>
    <w:p>
      <w:pPr>
        <w:spacing w:before="0"/>
        <w:jc w:val="left"/>
        <w:rPr>
          <w:noProof/>
          <w:color w:val="000000" w:themeColor="text1"/>
          <w:sz w:val="18"/>
        </w:rPr>
      </w:pPr>
    </w:p>
    <w:p>
      <w:pPr>
        <w:spacing w:before="0"/>
        <w:jc w:val="left"/>
        <w:rPr>
          <w:noProof/>
          <w:color w:val="000000" w:themeColor="text1"/>
          <w:szCs w:val="20"/>
        </w:rPr>
      </w:pPr>
      <w:r>
        <w:rPr>
          <w:noProof/>
          <w:color w:val="000000" w:themeColor="text1"/>
          <w:sz w:val="18"/>
        </w:rPr>
        <w:t>Таблица 4б: Искане към Гаранционния фонд във връзка с TAV Tunisie S.A. (летище Enfidha) (в милиони евро)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842"/>
        <w:gridCol w:w="1586"/>
        <w:gridCol w:w="1417"/>
      </w:tblGrid>
      <w:tr>
        <w:trPr>
          <w:trHeight w:val="1231"/>
        </w:trPr>
        <w:tc>
          <w:tcPr>
            <w:tcW w:w="1416" w:type="dxa"/>
            <w:shd w:val="clear" w:color="auto" w:fill="auto"/>
          </w:tcPr>
          <w:p>
            <w:pPr>
              <w:spacing w:before="360" w:after="240"/>
              <w:jc w:val="center"/>
              <w:rPr>
                <w:b/>
                <w:noProof/>
                <w:color w:val="000000" w:themeColor="text1"/>
                <w:sz w:val="22"/>
                <w:szCs w:val="22"/>
              </w:rPr>
            </w:pPr>
            <w:r>
              <w:rPr>
                <w:b/>
                <w:noProof/>
                <w:color w:val="000000" w:themeColor="text1"/>
                <w:sz w:val="22"/>
                <w:szCs w:val="22"/>
              </w:rPr>
              <w:t xml:space="preserve">Година на теглене </w:t>
            </w:r>
          </w:p>
        </w:tc>
        <w:tc>
          <w:tcPr>
            <w:tcW w:w="1430" w:type="dxa"/>
            <w:shd w:val="clear" w:color="auto" w:fill="auto"/>
          </w:tcPr>
          <w:p>
            <w:pPr>
              <w:keepNext/>
              <w:spacing w:before="360" w:after="240"/>
              <w:jc w:val="center"/>
              <w:rPr>
                <w:b/>
                <w:noProof/>
                <w:color w:val="000000" w:themeColor="text1"/>
                <w:sz w:val="22"/>
                <w:szCs w:val="22"/>
              </w:rPr>
            </w:pPr>
            <w:r>
              <w:rPr>
                <w:b/>
                <w:noProof/>
                <w:color w:val="000000" w:themeColor="text1"/>
                <w:sz w:val="22"/>
                <w:szCs w:val="22"/>
              </w:rPr>
              <w:t>Брой изплатени искания</w:t>
            </w:r>
          </w:p>
        </w:tc>
        <w:tc>
          <w:tcPr>
            <w:tcW w:w="1842" w:type="dxa"/>
            <w:shd w:val="clear" w:color="auto" w:fill="auto"/>
          </w:tcPr>
          <w:p>
            <w:pPr>
              <w:keepNext/>
              <w:spacing w:before="480" w:after="240"/>
              <w:jc w:val="center"/>
              <w:rPr>
                <w:b/>
                <w:noProof/>
                <w:color w:val="000000" w:themeColor="text1"/>
                <w:sz w:val="22"/>
                <w:szCs w:val="22"/>
              </w:rPr>
            </w:pPr>
            <w:r>
              <w:rPr>
                <w:b/>
                <w:noProof/>
                <w:color w:val="000000" w:themeColor="text1"/>
                <w:sz w:val="22"/>
                <w:szCs w:val="22"/>
              </w:rPr>
              <w:t>Сума на исканията</w:t>
            </w:r>
          </w:p>
        </w:tc>
        <w:tc>
          <w:tcPr>
            <w:tcW w:w="1418" w:type="dxa"/>
            <w:shd w:val="clear" w:color="auto" w:fill="auto"/>
          </w:tcPr>
          <w:p>
            <w:pPr>
              <w:keepNext/>
              <w:spacing w:before="360" w:after="240"/>
              <w:jc w:val="center"/>
              <w:rPr>
                <w:b/>
                <w:noProof/>
                <w:color w:val="000000" w:themeColor="text1"/>
                <w:sz w:val="22"/>
                <w:szCs w:val="22"/>
              </w:rPr>
            </w:pPr>
            <w:r>
              <w:rPr>
                <w:b/>
                <w:noProof/>
                <w:color w:val="000000" w:themeColor="text1"/>
                <w:sz w:val="22"/>
                <w:szCs w:val="22"/>
              </w:rPr>
              <w:t>Възстановена сума</w:t>
            </w:r>
          </w:p>
        </w:tc>
        <w:tc>
          <w:tcPr>
            <w:tcW w:w="1417" w:type="dxa"/>
            <w:shd w:val="clear" w:color="auto" w:fill="auto"/>
          </w:tcPr>
          <w:p>
            <w:pPr>
              <w:keepNext/>
              <w:spacing w:before="480" w:after="240"/>
              <w:jc w:val="center"/>
              <w:rPr>
                <w:b/>
                <w:noProof/>
                <w:color w:val="000000" w:themeColor="text1"/>
                <w:sz w:val="22"/>
                <w:szCs w:val="22"/>
              </w:rPr>
            </w:pPr>
            <w:r>
              <w:rPr>
                <w:b/>
                <w:noProof/>
                <w:color w:val="000000" w:themeColor="text1"/>
                <w:sz w:val="22"/>
                <w:szCs w:val="22"/>
              </w:rPr>
              <w:t>Общо</w:t>
            </w:r>
          </w:p>
        </w:tc>
      </w:tr>
      <w:tr>
        <w:tc>
          <w:tcPr>
            <w:tcW w:w="1416" w:type="dxa"/>
            <w:shd w:val="clear" w:color="auto" w:fill="auto"/>
            <w:vAlign w:val="center"/>
          </w:tcPr>
          <w:p>
            <w:pPr>
              <w:spacing w:after="240"/>
              <w:jc w:val="center"/>
              <w:rPr>
                <w:noProof/>
                <w:color w:val="000000" w:themeColor="text1"/>
                <w:sz w:val="20"/>
                <w:szCs w:val="20"/>
              </w:rPr>
            </w:pPr>
            <w:r>
              <w:rPr>
                <w:noProof/>
                <w:color w:val="000000" w:themeColor="text1"/>
                <w:sz w:val="20"/>
                <w:szCs w:val="20"/>
              </w:rPr>
              <w:t>2016 г.</w:t>
            </w:r>
          </w:p>
        </w:tc>
        <w:tc>
          <w:tcPr>
            <w:tcW w:w="1430" w:type="dxa"/>
            <w:shd w:val="clear" w:color="auto" w:fill="auto"/>
            <w:vAlign w:val="center"/>
          </w:tcPr>
          <w:p>
            <w:pPr>
              <w:keepNext/>
              <w:spacing w:after="240"/>
              <w:jc w:val="right"/>
              <w:rPr>
                <w:noProof/>
                <w:color w:val="000000" w:themeColor="text1"/>
                <w:sz w:val="22"/>
              </w:rPr>
            </w:pPr>
            <w:r>
              <w:rPr>
                <w:noProof/>
                <w:color w:val="000000" w:themeColor="text1"/>
                <w:sz w:val="22"/>
                <w:szCs w:val="22"/>
              </w:rPr>
              <w:t>1</w:t>
            </w:r>
          </w:p>
        </w:tc>
        <w:tc>
          <w:tcPr>
            <w:tcW w:w="1842" w:type="dxa"/>
            <w:shd w:val="clear" w:color="auto" w:fill="auto"/>
            <w:vAlign w:val="center"/>
          </w:tcPr>
          <w:p>
            <w:pPr>
              <w:keepNext/>
              <w:spacing w:after="240"/>
              <w:jc w:val="right"/>
              <w:rPr>
                <w:noProof/>
                <w:color w:val="000000" w:themeColor="text1"/>
                <w:sz w:val="22"/>
              </w:rPr>
            </w:pPr>
            <w:r>
              <w:rPr>
                <w:noProof/>
                <w:color w:val="000000" w:themeColor="text1"/>
                <w:sz w:val="22"/>
                <w:szCs w:val="22"/>
              </w:rPr>
              <w:t>4,65</w:t>
            </w:r>
          </w:p>
        </w:tc>
        <w:tc>
          <w:tcPr>
            <w:tcW w:w="1418" w:type="dxa"/>
            <w:shd w:val="clear" w:color="auto" w:fill="auto"/>
            <w:vAlign w:val="center"/>
          </w:tcPr>
          <w:p>
            <w:pPr>
              <w:keepNext/>
              <w:spacing w:after="240"/>
              <w:jc w:val="right"/>
              <w:rPr>
                <w:noProof/>
                <w:color w:val="000000" w:themeColor="text1"/>
                <w:sz w:val="22"/>
              </w:rPr>
            </w:pPr>
            <w:r>
              <w:rPr>
                <w:noProof/>
                <w:color w:val="000000" w:themeColor="text1"/>
                <w:sz w:val="22"/>
                <w:szCs w:val="22"/>
              </w:rPr>
              <w:t>0,00</w:t>
            </w:r>
          </w:p>
        </w:tc>
        <w:tc>
          <w:tcPr>
            <w:tcW w:w="1417" w:type="dxa"/>
            <w:shd w:val="clear" w:color="auto" w:fill="auto"/>
            <w:vAlign w:val="center"/>
          </w:tcPr>
          <w:p>
            <w:pPr>
              <w:keepNext/>
              <w:spacing w:after="240"/>
              <w:jc w:val="right"/>
              <w:rPr>
                <w:noProof/>
                <w:color w:val="000000" w:themeColor="text1"/>
                <w:sz w:val="22"/>
              </w:rPr>
            </w:pPr>
            <w:r>
              <w:rPr>
                <w:noProof/>
                <w:color w:val="000000" w:themeColor="text1"/>
                <w:sz w:val="22"/>
                <w:szCs w:val="22"/>
              </w:rPr>
              <w:t>4,65</w:t>
            </w:r>
          </w:p>
        </w:tc>
      </w:tr>
      <w:tr>
        <w:tc>
          <w:tcPr>
            <w:tcW w:w="1416" w:type="dxa"/>
            <w:shd w:val="clear" w:color="auto" w:fill="auto"/>
          </w:tcPr>
          <w:p>
            <w:pPr>
              <w:spacing w:after="240"/>
              <w:jc w:val="center"/>
              <w:rPr>
                <w:noProof/>
                <w:color w:val="000000" w:themeColor="text1"/>
                <w:sz w:val="20"/>
                <w:szCs w:val="20"/>
              </w:rPr>
            </w:pPr>
            <w:r>
              <w:rPr>
                <w:noProof/>
                <w:color w:val="000000" w:themeColor="text1"/>
                <w:sz w:val="20"/>
                <w:szCs w:val="20"/>
              </w:rPr>
              <w:t>2017 г.</w:t>
            </w:r>
          </w:p>
        </w:tc>
        <w:tc>
          <w:tcPr>
            <w:tcW w:w="1430"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3</w:t>
            </w:r>
          </w:p>
        </w:tc>
        <w:tc>
          <w:tcPr>
            <w:tcW w:w="1842" w:type="dxa"/>
            <w:shd w:val="clear" w:color="auto" w:fill="auto"/>
          </w:tcPr>
          <w:p>
            <w:pPr>
              <w:keepNext/>
              <w:spacing w:after="240"/>
              <w:jc w:val="right"/>
              <w:rPr>
                <w:noProof/>
                <w:color w:val="000000" w:themeColor="text1"/>
                <w:sz w:val="22"/>
                <w:szCs w:val="22"/>
              </w:rPr>
            </w:pPr>
            <w:r>
              <w:rPr>
                <w:noProof/>
                <w:color w:val="000000" w:themeColor="text1"/>
                <w:sz w:val="22"/>
                <w:szCs w:val="22"/>
              </w:rPr>
              <w:t xml:space="preserve"> 30,17 </w:t>
            </w:r>
          </w:p>
        </w:tc>
        <w:tc>
          <w:tcPr>
            <w:tcW w:w="1418" w:type="dxa"/>
            <w:shd w:val="clear" w:color="auto" w:fill="auto"/>
          </w:tcPr>
          <w:p>
            <w:pPr>
              <w:keepNext/>
              <w:spacing w:after="240"/>
              <w:jc w:val="right"/>
              <w:rPr>
                <w:noProof/>
                <w:color w:val="000000" w:themeColor="text1"/>
                <w:sz w:val="22"/>
                <w:szCs w:val="22"/>
              </w:rPr>
            </w:pPr>
            <w:r>
              <w:rPr>
                <w:noProof/>
                <w:color w:val="000000" w:themeColor="text1"/>
                <w:sz w:val="22"/>
                <w:szCs w:val="22"/>
              </w:rPr>
              <w:t>0,00</w:t>
            </w:r>
          </w:p>
        </w:tc>
        <w:tc>
          <w:tcPr>
            <w:tcW w:w="1417" w:type="dxa"/>
            <w:shd w:val="clear" w:color="auto" w:fill="auto"/>
          </w:tcPr>
          <w:p>
            <w:pPr>
              <w:keepNext/>
              <w:spacing w:after="240"/>
              <w:jc w:val="right"/>
              <w:rPr>
                <w:noProof/>
                <w:color w:val="000000" w:themeColor="text1"/>
                <w:sz w:val="22"/>
                <w:szCs w:val="22"/>
              </w:rPr>
            </w:pPr>
            <w:r>
              <w:rPr>
                <w:noProof/>
                <w:color w:val="000000" w:themeColor="text1"/>
                <w:sz w:val="22"/>
                <w:szCs w:val="22"/>
              </w:rPr>
              <w:t xml:space="preserve"> 30,17 </w:t>
            </w:r>
          </w:p>
        </w:tc>
      </w:tr>
      <w:tr>
        <w:tc>
          <w:tcPr>
            <w:tcW w:w="1416" w:type="dxa"/>
            <w:shd w:val="clear" w:color="auto" w:fill="auto"/>
          </w:tcPr>
          <w:p>
            <w:pPr>
              <w:spacing w:after="240"/>
              <w:jc w:val="center"/>
              <w:rPr>
                <w:noProof/>
                <w:color w:val="000000" w:themeColor="text1"/>
                <w:sz w:val="20"/>
                <w:szCs w:val="20"/>
              </w:rPr>
            </w:pPr>
            <w:r>
              <w:rPr>
                <w:noProof/>
                <w:color w:val="000000" w:themeColor="text1"/>
                <w:sz w:val="20"/>
                <w:szCs w:val="20"/>
              </w:rPr>
              <w:t>2018 г.</w:t>
            </w:r>
          </w:p>
        </w:tc>
        <w:tc>
          <w:tcPr>
            <w:tcW w:w="1430"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0</w:t>
            </w:r>
          </w:p>
        </w:tc>
        <w:tc>
          <w:tcPr>
            <w:tcW w:w="1842"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0,0</w:t>
            </w:r>
          </w:p>
        </w:tc>
        <w:tc>
          <w:tcPr>
            <w:tcW w:w="1418"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0,14</w:t>
            </w:r>
          </w:p>
        </w:tc>
        <w:tc>
          <w:tcPr>
            <w:tcW w:w="1417"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-0,14</w:t>
            </w:r>
          </w:p>
        </w:tc>
      </w:tr>
      <w:tr>
        <w:tc>
          <w:tcPr>
            <w:tcW w:w="1416" w:type="dxa"/>
            <w:shd w:val="clear" w:color="auto" w:fill="auto"/>
            <w:vAlign w:val="center"/>
          </w:tcPr>
          <w:p>
            <w:pPr>
              <w:spacing w:after="240"/>
              <w:jc w:val="center"/>
              <w:rPr>
                <w:noProof/>
                <w:color w:val="000000" w:themeColor="text1"/>
                <w:sz w:val="20"/>
                <w:szCs w:val="20"/>
              </w:rPr>
            </w:pPr>
            <w:r>
              <w:rPr>
                <w:noProof/>
                <w:color w:val="000000" w:themeColor="text1"/>
                <w:sz w:val="22"/>
                <w:szCs w:val="22"/>
              </w:rPr>
              <w:t>Общо</w:t>
            </w:r>
          </w:p>
        </w:tc>
        <w:tc>
          <w:tcPr>
            <w:tcW w:w="1430"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4</w:t>
            </w:r>
          </w:p>
        </w:tc>
        <w:tc>
          <w:tcPr>
            <w:tcW w:w="1842" w:type="dxa"/>
            <w:shd w:val="clear" w:color="auto" w:fill="auto"/>
          </w:tcPr>
          <w:p>
            <w:pPr>
              <w:keepNext/>
              <w:spacing w:after="240"/>
              <w:jc w:val="right"/>
              <w:rPr>
                <w:noProof/>
                <w:color w:val="000000" w:themeColor="text1"/>
                <w:sz w:val="22"/>
                <w:szCs w:val="22"/>
              </w:rPr>
            </w:pPr>
            <w:r>
              <w:rPr>
                <w:noProof/>
                <w:color w:val="000000" w:themeColor="text1"/>
                <w:sz w:val="22"/>
                <w:szCs w:val="22"/>
              </w:rPr>
              <w:t xml:space="preserve"> </w:t>
            </w:r>
            <w:r>
              <w:rPr>
                <w:noProof/>
                <w:color w:val="000000" w:themeColor="text1"/>
              </w:rPr>
              <w:t>34,82</w:t>
            </w:r>
            <w:r>
              <w:rPr>
                <w:noProof/>
                <w:color w:val="000000" w:themeColor="text1"/>
                <w:vertAlign w:val="superscript"/>
                <w:lang w:val="en-IE"/>
              </w:rPr>
              <w:footnoteReference w:id="44"/>
            </w:r>
            <w:r>
              <w:rPr>
                <w:noProof/>
                <w:color w:val="000000" w:themeColor="text1"/>
                <w:sz w:val="22"/>
                <w:szCs w:val="22"/>
              </w:rPr>
              <w:t xml:space="preserve"> </w:t>
            </w:r>
          </w:p>
        </w:tc>
        <w:tc>
          <w:tcPr>
            <w:tcW w:w="1418" w:type="dxa"/>
            <w:shd w:val="clear" w:color="auto" w:fill="auto"/>
          </w:tcPr>
          <w:p>
            <w:pPr>
              <w:keepNext/>
              <w:spacing w:after="240"/>
              <w:jc w:val="right"/>
              <w:rPr>
                <w:noProof/>
                <w:color w:val="000000" w:themeColor="text1"/>
                <w:sz w:val="22"/>
                <w:szCs w:val="22"/>
              </w:rPr>
            </w:pPr>
            <w:r>
              <w:rPr>
                <w:noProof/>
                <w:color w:val="000000" w:themeColor="text1"/>
                <w:sz w:val="22"/>
                <w:szCs w:val="22"/>
              </w:rPr>
              <w:t xml:space="preserve"> 0,14 </w:t>
            </w:r>
          </w:p>
        </w:tc>
        <w:tc>
          <w:tcPr>
            <w:tcW w:w="1417" w:type="dxa"/>
            <w:shd w:val="clear" w:color="auto" w:fill="auto"/>
          </w:tcPr>
          <w:p>
            <w:pPr>
              <w:keepNext/>
              <w:spacing w:after="240"/>
              <w:jc w:val="right"/>
              <w:rPr>
                <w:noProof/>
                <w:color w:val="000000" w:themeColor="text1"/>
                <w:sz w:val="22"/>
                <w:szCs w:val="22"/>
              </w:rPr>
            </w:pPr>
            <w:r>
              <w:rPr>
                <w:noProof/>
                <w:color w:val="000000" w:themeColor="text1"/>
                <w:sz w:val="22"/>
                <w:szCs w:val="22"/>
              </w:rPr>
              <w:t xml:space="preserve"> 34,68 </w:t>
            </w:r>
          </w:p>
        </w:tc>
      </w:tr>
    </w:tbl>
    <w:p>
      <w:pPr>
        <w:spacing w:before="0" w:after="240"/>
        <w:rPr>
          <w:noProof/>
          <w:color w:val="000000" w:themeColor="text1"/>
          <w:lang w:val="en-IE"/>
        </w:rPr>
      </w:pPr>
    </w:p>
    <w:p>
      <w:pPr>
        <w:spacing w:before="0" w:after="240"/>
        <w:rPr>
          <w:b/>
          <w:noProof/>
          <w:color w:val="000000" w:themeColor="text1"/>
          <w:u w:val="single"/>
        </w:rPr>
      </w:pPr>
      <w:r>
        <w:rPr>
          <w:b/>
          <w:noProof/>
          <w:color w:val="000000" w:themeColor="text1"/>
          <w:u w:val="single"/>
        </w:rPr>
        <w:t>Развитие след 31 декември 2019 г. (до 31 май 2020 г.)</w:t>
      </w:r>
    </w:p>
    <w:p>
      <w:pPr>
        <w:spacing w:before="0"/>
        <w:rPr>
          <w:b/>
          <w:noProof/>
          <w:color w:val="000000" w:themeColor="text1"/>
        </w:rPr>
      </w:pPr>
      <w:r>
        <w:rPr>
          <w:b/>
          <w:noProof/>
          <w:color w:val="000000" w:themeColor="text1"/>
        </w:rPr>
        <w:t>Летище Enfidha (Тунис)</w:t>
      </w:r>
    </w:p>
    <w:p>
      <w:pPr>
        <w:spacing w:before="0" w:after="240"/>
        <w:rPr>
          <w:noProof/>
          <w:color w:val="000000" w:themeColor="text1"/>
        </w:rPr>
      </w:pPr>
      <w:r>
        <w:rPr>
          <w:noProof/>
        </w:rPr>
        <w:t>През януари 2020 г. сумата от 0,7 милиона евро бе кредитирана по банковата сметка на Гаранционния фонд.</w:t>
      </w:r>
      <w:r>
        <w:rPr>
          <w:noProof/>
          <w:color w:val="000000" w:themeColor="text1"/>
        </w:rPr>
        <w:t xml:space="preserve"> Това беше частично възстановяване на заем за летище Enfidha (Тунис), събрано от ЕИБ през декември 2019 г.</w:t>
      </w:r>
    </w:p>
    <w:p>
      <w:pPr>
        <w:spacing w:before="0"/>
        <w:rPr>
          <w:b/>
          <w:noProof/>
          <w:color w:val="000000" w:themeColor="text1"/>
        </w:rPr>
      </w:pPr>
      <w:r>
        <w:rPr>
          <w:b/>
          <w:noProof/>
          <w:color w:val="000000" w:themeColor="text1"/>
        </w:rPr>
        <w:t>Сирия</w:t>
      </w:r>
    </w:p>
    <w:p>
      <w:pPr>
        <w:spacing w:before="0" w:after="0"/>
        <w:rPr>
          <w:noProof/>
          <w:color w:val="000000" w:themeColor="text1"/>
        </w:rPr>
      </w:pPr>
      <w:r>
        <w:rPr>
          <w:noProof/>
          <w:color w:val="000000" w:themeColor="text1"/>
        </w:rPr>
        <w:t>През януари, март и май 2020 г. бяха изплатени общо 12,7 милиона евро по четири искания за плащане във връзка с просрочени плащания от Сирия (3,2 милиона евро, 0,5 милиона евро, 7,4 милиона евро и 1,7 милиона евро, включително санкциите, прилагани от ЕИБ).</w:t>
      </w:r>
    </w:p>
    <w:p>
      <w:pPr>
        <w:spacing w:before="0" w:after="0"/>
        <w:rPr>
          <w:noProof/>
          <w:color w:val="000000" w:themeColor="text1"/>
          <w:lang w:val="en-IE"/>
        </w:rPr>
      </w:pPr>
    </w:p>
    <w:p>
      <w:pPr>
        <w:pStyle w:val="ManualHeading2"/>
        <w:rPr>
          <w:noProof/>
        </w:rPr>
      </w:pPr>
      <w:bookmarkStart w:id="373" w:name="_Toc393969976"/>
      <w:bookmarkStart w:id="374" w:name="_Toc417461982"/>
      <w:bookmarkStart w:id="375" w:name="_Toc417998616"/>
      <w:bookmarkStart w:id="376" w:name="_Toc418157643"/>
      <w:bookmarkStart w:id="377" w:name="_Toc418160324"/>
      <w:bookmarkStart w:id="378" w:name="_Toc446577191"/>
      <w:bookmarkStart w:id="379" w:name="_Toc452646737"/>
      <w:bookmarkStart w:id="380" w:name="_Toc453161376"/>
      <w:bookmarkStart w:id="381" w:name="_Toc486601279"/>
      <w:bookmarkStart w:id="382" w:name="_Toc54253116"/>
      <w:r>
        <w:rPr>
          <w:noProof/>
        </w:rPr>
        <w:t>5.3</w:t>
      </w:r>
      <w:r>
        <w:rPr>
          <w:noProof/>
        </w:rPr>
        <w:tab/>
      </w:r>
      <w:bookmarkStart w:id="383" w:name="_Toc390944405"/>
      <w:r>
        <w:rPr>
          <w:noProof/>
        </w:rPr>
        <w:t>Развитие на Гаранционния фонд за външни дейности</w:t>
      </w:r>
      <w:bookmarkEnd w:id="373"/>
      <w:bookmarkEnd w:id="374"/>
      <w:bookmarkEnd w:id="375"/>
      <w:bookmarkEnd w:id="376"/>
      <w:bookmarkEnd w:id="377"/>
      <w:bookmarkEnd w:id="378"/>
      <w:bookmarkEnd w:id="379"/>
      <w:bookmarkEnd w:id="380"/>
      <w:bookmarkEnd w:id="381"/>
      <w:bookmarkEnd w:id="383"/>
      <w:r>
        <w:rPr>
          <w:noProof/>
        </w:rPr>
        <w:t xml:space="preserve"> през 2019 г.</w:t>
      </w:r>
      <w:bookmarkEnd w:id="382"/>
    </w:p>
    <w:p>
      <w:pPr>
        <w:rPr>
          <w:noProof/>
          <w:color w:val="000000" w:themeColor="text1"/>
        </w:rPr>
      </w:pPr>
      <w:r>
        <w:rPr>
          <w:noProof/>
          <w:color w:val="000000" w:themeColor="text1"/>
        </w:rPr>
        <w:t>Съгласно Регламента за създаване на Гаранционен фонд за външни дейности („Регламентът за Гаранционния фонд“)</w:t>
      </w:r>
      <w:r>
        <w:rPr>
          <w:noProof/>
          <w:color w:val="000000" w:themeColor="text1"/>
          <w:vertAlign w:val="superscript"/>
          <w:lang w:val="en-IE"/>
        </w:rPr>
        <w:footnoteReference w:id="45"/>
      </w:r>
      <w:r>
        <w:rPr>
          <w:noProof/>
          <w:color w:val="000000" w:themeColor="text1"/>
        </w:rPr>
        <w:t xml:space="preserve"> подходящото ниво на финансиране (целева сума) е определено на 9 % от общия размер на непогасените задължения по главницата, произтичащи от всяка операция, плюс начислените лихви. Въведен е механизъм за финансиране, чрез който да се осигури постигането на целевата сума.</w:t>
      </w:r>
    </w:p>
    <w:p>
      <w:pPr>
        <w:rPr>
          <w:noProof/>
          <w:color w:val="000000" w:themeColor="text1"/>
        </w:rPr>
      </w:pPr>
      <w:r>
        <w:rPr>
          <w:noProof/>
          <w:color w:val="000000" w:themeColor="text1"/>
        </w:rPr>
        <w:t>Въз основа на този механизъм през февруари 2019 г. от бюджета на ЕС бяха изплатени 103,2 милиона евро в полза на Фонда, а през февруари 2020 г. съответното плащане бе в размер на 240,2 милиона евро.</w:t>
      </w:r>
    </w:p>
    <w:p>
      <w:pPr>
        <w:rPr>
          <w:noProof/>
        </w:rPr>
      </w:pPr>
      <w:r>
        <w:rPr>
          <w:noProof/>
        </w:rPr>
        <w:t>Към 31 декември 2019 г. общият размер на Гаранционния фонд възлиза на 2 828 738 292,88 EUR (2 609 881 747,51 EUR към 31 декември 2018 г.)</w:t>
      </w:r>
      <w:r>
        <w:rPr>
          <w:noProof/>
          <w:color w:val="000000" w:themeColor="text1"/>
          <w:vertAlign w:val="superscript"/>
          <w:lang w:val="en-IE"/>
        </w:rPr>
        <w:footnoteReference w:id="46"/>
      </w:r>
      <w:r>
        <w:rPr>
          <w:noProof/>
        </w:rPr>
        <w:t>.</w:t>
      </w:r>
    </w:p>
    <w:p>
      <w:pPr>
        <w:rPr>
          <w:noProof/>
        </w:rPr>
      </w:pPr>
      <w:r>
        <w:rPr>
          <w:noProof/>
        </w:rPr>
        <w:t>През 2019 г. oбщата балансова стойност на Фонда се е повишила с около 218,86 милиона евро. Това се дължи най-вече на:</w:t>
      </w:r>
    </w:p>
    <w:p>
      <w:pPr>
        <w:rPr>
          <w:noProof/>
          <w:u w:val="single"/>
        </w:rPr>
      </w:pPr>
      <w:r>
        <w:rPr>
          <w:noProof/>
          <w:u w:val="single"/>
        </w:rPr>
        <w:t>Увеличаване:</w:t>
      </w:r>
    </w:p>
    <w:p>
      <w:pPr>
        <w:pStyle w:val="Bullet0"/>
        <w:numPr>
          <w:ilvl w:val="0"/>
          <w:numId w:val="46"/>
        </w:numPr>
        <w:rPr>
          <w:noProof/>
        </w:rPr>
      </w:pPr>
      <w:r>
        <w:rPr>
          <w:noProof/>
        </w:rPr>
        <w:t xml:space="preserve">Вноската от бюджета на ЕС (размер на финансирането) в размер на 240,15 милиона евро за привеждане на средствата на Фонда в съответствие с целевата му сума от 9 % от съвкупните непогасени задължения. </w:t>
      </w:r>
    </w:p>
    <w:p>
      <w:pPr>
        <w:pStyle w:val="Bullet0"/>
        <w:numPr>
          <w:ilvl w:val="0"/>
          <w:numId w:val="46"/>
        </w:numPr>
        <w:ind w:left="360"/>
        <w:rPr>
          <w:noProof/>
        </w:rPr>
      </w:pPr>
      <w:r>
        <w:rPr>
          <w:noProof/>
        </w:rPr>
        <w:t>Стопанският резултат от финансовите операции възлиза на 25,13 милиона евро.</w:t>
      </w:r>
    </w:p>
    <w:p>
      <w:pPr>
        <w:pStyle w:val="Bullet0"/>
        <w:numPr>
          <w:ilvl w:val="0"/>
          <w:numId w:val="46"/>
        </w:numPr>
        <w:ind w:left="360"/>
        <w:rPr>
          <w:noProof/>
        </w:rPr>
      </w:pPr>
      <w:r>
        <w:rPr>
          <w:noProof/>
        </w:rPr>
        <w:t>Оценката на портфейла се е увеличила с 8,6 милиона евро поради пазарната корекция в неговата стойност.</w:t>
      </w:r>
    </w:p>
    <w:p>
      <w:pPr>
        <w:spacing w:before="240"/>
        <w:rPr>
          <w:noProof/>
          <w:u w:val="single"/>
        </w:rPr>
      </w:pPr>
      <w:r>
        <w:rPr>
          <w:noProof/>
          <w:u w:val="single"/>
        </w:rPr>
        <w:t>Намаляване:</w:t>
      </w:r>
    </w:p>
    <w:p>
      <w:pPr>
        <w:pStyle w:val="Bullet0"/>
        <w:numPr>
          <w:ilvl w:val="0"/>
          <w:numId w:val="46"/>
        </w:numPr>
        <w:ind w:left="360"/>
        <w:rPr>
          <w:noProof/>
        </w:rPr>
      </w:pPr>
      <w:r>
        <w:rPr>
          <w:noProof/>
        </w:rPr>
        <w:t xml:space="preserve">Намеси на Фонда за покриване на просрочени плащания по заеми в размер на общо 54,9 милиона евро. </w:t>
      </w:r>
    </w:p>
    <w:p>
      <w:pPr>
        <w:spacing w:before="360"/>
        <w:rPr>
          <w:i/>
          <w:noProof/>
          <w:color w:val="000000" w:themeColor="text1"/>
        </w:rPr>
      </w:pPr>
      <w:r>
        <w:rPr>
          <w:i/>
          <w:noProof/>
          <w:color w:val="000000" w:themeColor="text1"/>
        </w:rPr>
        <w:t>За повече информация относно Гаранционния фонд за външни дейности през 2019 г. вж. Доклада на Комисията до Европейския парламент, Съвета и Сметната палата относно управлението на Гаранционния фонд за външни дейности към 31 декември 2019 г. и свързания с него работен документ на службите на Комисията</w:t>
      </w:r>
      <w:r>
        <w:rPr>
          <w:rStyle w:val="FootnoteReference"/>
          <w:i/>
          <w:noProof/>
          <w:color w:val="000000" w:themeColor="text1"/>
        </w:rPr>
        <w:t xml:space="preserve"> </w:t>
      </w:r>
      <w:r>
        <w:rPr>
          <w:rStyle w:val="FootnoteReference"/>
          <w:i/>
          <w:noProof/>
          <w:color w:val="000000" w:themeColor="text1"/>
          <w:lang w:val="en-IE"/>
        </w:rPr>
        <w:footnoteReference w:id="47"/>
      </w:r>
      <w:r>
        <w:rPr>
          <w:i/>
          <w:noProof/>
          <w:color w:val="000000" w:themeColor="text1"/>
        </w:rPr>
        <w:t>.</w:t>
      </w:r>
    </w:p>
    <w:p>
      <w:pPr>
        <w:pStyle w:val="ManualHeading1"/>
        <w:tabs>
          <w:tab w:val="clear" w:pos="850"/>
        </w:tabs>
        <w:ind w:left="567" w:hanging="567"/>
        <w:rPr>
          <w:noProof/>
          <w:color w:val="000000" w:themeColor="text1"/>
        </w:rPr>
      </w:pPr>
      <w:bookmarkStart w:id="384" w:name="_Toc54253117"/>
      <w:r>
        <w:rPr>
          <w:noProof/>
          <w:color w:val="000000" w:themeColor="text1"/>
        </w:rPr>
        <w:t>6.</w:t>
      </w:r>
      <w:r>
        <w:rPr>
          <w:noProof/>
        </w:rPr>
        <w:tab/>
      </w:r>
      <w:r>
        <w:rPr>
          <w:noProof/>
          <w:color w:val="000000" w:themeColor="text1"/>
        </w:rPr>
        <w:t>Европейският фонд за стратегически инвестиции (ЕФСИ) през 2019 г.</w:t>
      </w:r>
      <w:r>
        <w:rPr>
          <w:noProof/>
        </w:rPr>
        <w:t xml:space="preserve"> </w:t>
      </w:r>
      <w:r>
        <w:rPr>
          <w:noProof/>
          <w:vertAlign w:val="superscript"/>
        </w:rPr>
        <w:footnoteReference w:id="48"/>
      </w:r>
      <w:bookmarkEnd w:id="384"/>
    </w:p>
    <w:p>
      <w:pPr>
        <w:pStyle w:val="ManualHeading2"/>
        <w:tabs>
          <w:tab w:val="clear" w:pos="850"/>
        </w:tabs>
        <w:ind w:left="567" w:hanging="567"/>
        <w:rPr>
          <w:noProof/>
          <w:color w:val="000000" w:themeColor="text1"/>
        </w:rPr>
      </w:pPr>
      <w:bookmarkStart w:id="385" w:name="_Toc54253118"/>
      <w:r>
        <w:rPr>
          <w:noProof/>
          <w:color w:val="000000" w:themeColor="text1"/>
        </w:rPr>
        <w:t>6.1 Финансови отчети на Гаранционния фонд за ЕФСИ към 31 декември 2019 г.</w:t>
      </w:r>
      <w:bookmarkEnd w:id="385"/>
    </w:p>
    <w:p>
      <w:pPr>
        <w:rPr>
          <w:noProof/>
          <w:color w:val="000000" w:themeColor="text1"/>
        </w:rPr>
      </w:pPr>
      <w:r>
        <w:rPr>
          <w:noProof/>
        </w:rPr>
        <w:t>Към 31 декември 2019 г. общите активи на ГФЕФСИ възлизаха на 6 688 милиона евро.</w:t>
      </w:r>
      <w:r>
        <w:rPr>
          <w:noProof/>
          <w:color w:val="000000" w:themeColor="text1"/>
        </w:rPr>
        <w:t xml:space="preserve"> </w:t>
      </w:r>
      <w:r>
        <w:rPr>
          <w:noProof/>
        </w:rPr>
        <w:t>Активите обхващаха инвестиционния портфейл от ценни книжа, класифициран като обявен за продажба (6 654 милиона евро), валутна форуърд продажба на щатски долари с положителна нетна настояща стойност, класифицирана като финансови активи по справедлива стойност чрез излишъка или дефицита (3 милиона евро), и пари и парични еквиваленти (31 милиона евро).</w:t>
      </w:r>
    </w:p>
    <w:p>
      <w:pPr>
        <w:spacing w:after="240"/>
        <w:rPr>
          <w:noProof/>
          <w:color w:val="000000" w:themeColor="text1"/>
        </w:rPr>
      </w:pPr>
      <w:r>
        <w:rPr>
          <w:noProof/>
        </w:rPr>
        <w:t>По отношение на отчета за финансовия резултат за 2019 г. ГФЕФСИ приключи годината с икономически резултат от 21,7 милиона евро.</w:t>
      </w:r>
      <w:r>
        <w:rPr>
          <w:noProof/>
          <w:color w:val="000000" w:themeColor="text1"/>
        </w:rPr>
        <w:t xml:space="preserve"> </w:t>
      </w:r>
      <w:r>
        <w:rPr>
          <w:noProof/>
        </w:rPr>
        <w:t>Той се дължи главно на положителни нетни приходи от лихви в размер на 18,3 милиона евро и нетни печалби от продажби на ценни книжа, обявени за продажба</w:t>
      </w:r>
      <w:r>
        <w:rPr>
          <w:noProof/>
          <w:vertAlign w:val="superscript"/>
          <w:lang w:eastAsia="en-GB"/>
        </w:rPr>
        <w:footnoteReference w:id="49"/>
      </w:r>
      <w:r>
        <w:rPr>
          <w:noProof/>
        </w:rPr>
        <w:t xml:space="preserve"> (17,1 милиона евро).</w:t>
      </w:r>
      <w:r>
        <w:rPr>
          <w:noProof/>
          <w:color w:val="000000" w:themeColor="text1"/>
        </w:rPr>
        <w:t xml:space="preserve"> </w:t>
      </w:r>
      <w:r>
        <w:rPr>
          <w:noProof/>
        </w:rPr>
        <w:t>Това беше компенсирано от отрицателен резултат от валутна преоценка в размер на -13,1 милиона евро</w:t>
      </w:r>
      <w:r>
        <w:rPr>
          <w:noProof/>
          <w:vertAlign w:val="superscript"/>
          <w:lang w:eastAsia="en-GB"/>
        </w:rPr>
        <w:footnoteReference w:id="50"/>
      </w:r>
      <w:r>
        <w:rPr>
          <w:noProof/>
        </w:rPr>
        <w:t>.</w:t>
      </w:r>
      <w:r>
        <w:rPr>
          <w:noProof/>
          <w:color w:val="000000" w:themeColor="text1"/>
        </w:rPr>
        <w:t xml:space="preserve"> Останалите нетни разходи от -0,6 милиона евро се състояха главно от попечителски такси.</w:t>
      </w:r>
    </w:p>
    <w:p>
      <w:pPr>
        <w:pStyle w:val="ManualHeading2"/>
        <w:tabs>
          <w:tab w:val="clear" w:pos="850"/>
        </w:tabs>
        <w:ind w:left="567" w:hanging="567"/>
        <w:rPr>
          <w:noProof/>
          <w:color w:val="000000" w:themeColor="text1"/>
        </w:rPr>
      </w:pPr>
      <w:bookmarkStart w:id="386" w:name="_Toc54253119"/>
      <w:r>
        <w:rPr>
          <w:noProof/>
          <w:color w:val="000000" w:themeColor="text1"/>
        </w:rPr>
        <w:t>6.2 Операции на ЕФСИ по гаранцията на ЕС</w:t>
      </w:r>
      <w:bookmarkEnd w:id="386"/>
    </w:p>
    <w:p>
      <w:pPr>
        <w:rPr>
          <w:noProof/>
          <w:color w:val="000000" w:themeColor="text1"/>
        </w:rPr>
      </w:pPr>
      <w:r>
        <w:rPr>
          <w:noProof/>
        </w:rPr>
        <w:t>Експозицията на ЕС по гаранцията във връзка с изплатени от групата на ЕИБ операции на ЕФСИ, по които средствата не са възстановени, към 31 декември 2019 г. възлизаше на 17,7 милиарда евро от нетното налично правно задължение</w:t>
      </w:r>
      <w:r>
        <w:rPr>
          <w:rStyle w:val="FootnoteReference"/>
          <w:noProof/>
        </w:rPr>
        <w:footnoteReference w:id="51"/>
      </w:r>
      <w:r>
        <w:rPr>
          <w:noProof/>
        </w:rPr>
        <w:t xml:space="preserve"> за гаранцията на ЕС в размер на 25,8 милиарда евро.</w:t>
      </w:r>
      <w:r>
        <w:rPr>
          <w:noProof/>
          <w:color w:val="000000" w:themeColor="text1"/>
        </w:rPr>
        <w:t xml:space="preserve"> </w:t>
      </w:r>
      <w:r>
        <w:rPr>
          <w:noProof/>
        </w:rPr>
        <w:t>Сумата от 17,6 милиарда евро е отчетена като условен пасив в бележките към финансовите отчети на ЕС за 2019 г., а за оставащата сума от 0,1 милиарда евро (74 милиона) е призната провизия.</w:t>
      </w:r>
    </w:p>
    <w:p>
      <w:pPr>
        <w:rPr>
          <w:noProof/>
          <w:color w:val="000000" w:themeColor="text1"/>
        </w:rPr>
      </w:pPr>
      <w:r>
        <w:rPr>
          <w:noProof/>
        </w:rPr>
        <w:t>През 2019 г. управляваните от ЕИБ операции на ЕФСИ в рамките на компонента за инфраструктура и иновации генерираха нетни приходи от 299,5 милиона евро за ЕС</w:t>
      </w:r>
      <w:r>
        <w:rPr>
          <w:rStyle w:val="FootnoteReference"/>
          <w:rFonts w:eastAsiaTheme="minorHAnsi"/>
          <w:noProof/>
        </w:rPr>
        <w:footnoteReference w:id="52"/>
      </w:r>
      <w:r>
        <w:rPr>
          <w:noProof/>
        </w:rPr>
        <w:t>.</w:t>
      </w:r>
      <w:r>
        <w:rPr>
          <w:noProof/>
          <w:color w:val="000000" w:themeColor="text1"/>
        </w:rPr>
        <w:t xml:space="preserve"> </w:t>
      </w:r>
      <w:r>
        <w:rPr>
          <w:noProof/>
        </w:rPr>
        <w:t xml:space="preserve">От тази сума нетно вземане на Комисията от ЕИБ към 31 декември 2019 г. в размер на 50,8 милиона евро беше записано във финансовите отчети на ЕС за 2019 г. </w:t>
      </w:r>
    </w:p>
    <w:p>
      <w:pPr>
        <w:spacing w:after="240"/>
        <w:rPr>
          <w:noProof/>
          <w:color w:val="000000" w:themeColor="text1"/>
        </w:rPr>
      </w:pPr>
      <w:r>
        <w:rPr>
          <w:noProof/>
        </w:rPr>
        <w:t>За операциите на ЕФСИ в рамките на компонента за МСП, през 2019 г. ЕС направи разходи в размер на 109,9 милиона евро</w:t>
      </w:r>
      <w:r>
        <w:rPr>
          <w:rStyle w:val="FootnoteReference"/>
          <w:rFonts w:eastAsiaTheme="minorHAnsi"/>
          <w:noProof/>
        </w:rPr>
        <w:footnoteReference w:id="53"/>
      </w:r>
      <w:r>
        <w:rPr>
          <w:noProof/>
        </w:rPr>
        <w:t>.</w:t>
      </w:r>
      <w:r>
        <w:rPr>
          <w:noProof/>
          <w:color w:val="000000" w:themeColor="text1"/>
        </w:rPr>
        <w:t xml:space="preserve"> </w:t>
      </w:r>
      <w:r>
        <w:rPr>
          <w:noProof/>
        </w:rPr>
        <w:t>От тази сума след 31 декември 2019 г. на ЕИФ следва да се заплатят такси и разходи в размер на 37,9 милиона евро, записани във финансовите отчети на ЕС за 2019 г.</w:t>
      </w:r>
    </w:p>
    <w:p>
      <w:pPr>
        <w:pStyle w:val="ManualHeading2"/>
        <w:tabs>
          <w:tab w:val="clear" w:pos="850"/>
        </w:tabs>
        <w:ind w:left="0" w:firstLine="0"/>
        <w:rPr>
          <w:noProof/>
          <w:color w:val="000000" w:themeColor="text1"/>
        </w:rPr>
      </w:pPr>
      <w:bookmarkStart w:id="387" w:name="_Toc54253120"/>
      <w:r>
        <w:rPr>
          <w:noProof/>
          <w:color w:val="000000" w:themeColor="text1"/>
        </w:rPr>
        <w:t>6.3 Финансиране на Гаранционния фонд на ЕФСИ</w:t>
      </w:r>
      <w:bookmarkEnd w:id="387"/>
    </w:p>
    <w:p>
      <w:pPr>
        <w:rPr>
          <w:noProof/>
          <w:color w:val="000000" w:themeColor="text1"/>
        </w:rPr>
      </w:pPr>
      <w:r>
        <w:rPr>
          <w:noProof/>
        </w:rPr>
        <w:t>През 2019 г. бе поето задължение за бюджетен кредит на обща стойност 357 милиона евро за финансирането на ГФЕФСИ.</w:t>
      </w:r>
      <w:r>
        <w:rPr>
          <w:noProof/>
          <w:color w:val="000000" w:themeColor="text1"/>
        </w:rPr>
        <w:t xml:space="preserve"> </w:t>
      </w:r>
      <w:r>
        <w:rPr>
          <w:noProof/>
        </w:rPr>
        <w:t>От тази сума задължение за бюджетен кредит в размер на 167 милиона евро бе поето с Решение C(2019) 875 на Комисията</w:t>
      </w:r>
      <w:r>
        <w:rPr>
          <w:noProof/>
          <w:vertAlign w:val="superscript"/>
          <w:lang w:eastAsia="en-GB"/>
        </w:rPr>
        <w:footnoteReference w:id="54"/>
      </w:r>
      <w:r>
        <w:rPr>
          <w:noProof/>
        </w:rPr>
        <w:t>.</w:t>
      </w:r>
      <w:r>
        <w:rPr>
          <w:noProof/>
          <w:color w:val="000000" w:themeColor="text1"/>
        </w:rPr>
        <w:t xml:space="preserve"> </w:t>
      </w:r>
      <w:r>
        <w:rPr>
          <w:noProof/>
        </w:rPr>
        <w:t>Допълнителни бюджетни кредити за поети задължения в размер на 190 милиона евро бяха заделени като целеви приходи.</w:t>
      </w:r>
    </w:p>
    <w:p>
      <w:pPr>
        <w:rPr>
          <w:noProof/>
          <w:color w:val="000000" w:themeColor="text1"/>
        </w:rPr>
      </w:pPr>
      <w:r>
        <w:rPr>
          <w:noProof/>
        </w:rPr>
        <w:t>През годината на ГФЕФСИ действително бе изплатена обща сума в размер на 1 166 милиона евро.</w:t>
      </w:r>
      <w:r>
        <w:rPr>
          <w:noProof/>
          <w:color w:val="000000" w:themeColor="text1"/>
        </w:rPr>
        <w:t xml:space="preserve"> </w:t>
      </w:r>
      <w:r>
        <w:rPr>
          <w:noProof/>
        </w:rPr>
        <w:t>По-голямата част от тази сума дойде от бюджетни кредити за плащания от общия бюджет на ЕС, а сума в размер на 163 милиона евро беше събрана като целеви приход (136 милиона евро от приходи на ЕФСИ и 27 милиона евро от приходи на Механизма за свързване на Европа) и сума в размер на 3 милиона евро беше прехвърлена като допълнителни бюджетни кредити за плащания в края на бюджетната година.</w:t>
      </w:r>
    </w:p>
    <w:p>
      <w:pPr>
        <w:pStyle w:val="ManualHeading2"/>
        <w:tabs>
          <w:tab w:val="clear" w:pos="850"/>
        </w:tabs>
        <w:ind w:left="567" w:hanging="567"/>
        <w:rPr>
          <w:noProof/>
          <w:color w:val="000000" w:themeColor="text1"/>
        </w:rPr>
      </w:pPr>
      <w:bookmarkStart w:id="388" w:name="_Toc54253121"/>
      <w:r>
        <w:rPr>
          <w:noProof/>
          <w:color w:val="000000" w:themeColor="text1"/>
        </w:rPr>
        <w:t>6.4 Искания за изпълнение и използване на гаранцията на ЕС</w:t>
      </w:r>
      <w:bookmarkEnd w:id="388"/>
    </w:p>
    <w:p>
      <w:pPr>
        <w:rPr>
          <w:noProof/>
          <w:color w:val="000000" w:themeColor="text1"/>
        </w:rPr>
      </w:pPr>
      <w:r>
        <w:rPr>
          <w:noProof/>
        </w:rPr>
        <w:t>През 2019 г., в съответствие с член 8.1, буква а) от Споразумението за ЕФСИ, бе поискано изпълнение по гаранцията на ЕС за сума в размер на 3,5 милиона евро във връзка с неизпълнение на една капиталова операция в рамките на компонента за инфраструктура и иновации.</w:t>
      </w:r>
      <w:r>
        <w:rPr>
          <w:noProof/>
          <w:color w:val="000000" w:themeColor="text1"/>
        </w:rPr>
        <w:t xml:space="preserve"> </w:t>
      </w:r>
      <w:r>
        <w:rPr>
          <w:noProof/>
        </w:rPr>
        <w:t>Освен това беше поискано изпълнение в размер на 1,4 милиона евро за разходи на ЕИБ за финансиране</w:t>
      </w:r>
      <w:r>
        <w:rPr>
          <w:rStyle w:val="FootnoteReference"/>
          <w:noProof/>
        </w:rPr>
        <w:footnoteReference w:id="55"/>
      </w:r>
      <w:r>
        <w:rPr>
          <w:noProof/>
        </w:rPr>
        <w:t>, 27,3 милиона евро за корекции на стойността</w:t>
      </w:r>
      <w:r>
        <w:rPr>
          <w:rStyle w:val="FootnoteReference"/>
          <w:noProof/>
        </w:rPr>
        <w:footnoteReference w:id="56"/>
      </w:r>
      <w:r>
        <w:rPr>
          <w:noProof/>
        </w:rPr>
        <w:t xml:space="preserve"> и 0,14 милиона евро за разходи по събирането</w:t>
      </w:r>
      <w:r>
        <w:rPr>
          <w:rStyle w:val="FootnoteReference"/>
          <w:noProof/>
        </w:rPr>
        <w:footnoteReference w:id="57"/>
      </w:r>
      <w:r>
        <w:rPr>
          <w:noProof/>
        </w:rPr>
        <w:t>.</w:t>
      </w:r>
      <w:r>
        <w:rPr>
          <w:noProof/>
          <w:color w:val="000000" w:themeColor="text1"/>
        </w:rPr>
        <w:t xml:space="preserve"> </w:t>
      </w:r>
      <w:r>
        <w:rPr>
          <w:noProof/>
        </w:rPr>
        <w:t>В рамките на компонента за МСП бе поискано изпълнение в размер на 8,1 милиона евро за хеджиране на експозиции във валута, различна от еврото.</w:t>
      </w:r>
    </w:p>
    <w:p>
      <w:pPr>
        <w:rPr>
          <w:i/>
          <w:noProof/>
          <w:color w:val="000000" w:themeColor="text1"/>
        </w:rPr>
      </w:pPr>
      <w:r>
        <w:rPr>
          <w:noProof/>
          <w:color w:val="000000" w:themeColor="text1"/>
        </w:rPr>
        <w:t>Всички искания за изпълнение бяха изплатени от наличните средства по сметката на ЕФСИ. Нямаше искания за изпълнение, платени от ГФЕФСИ.</w:t>
      </w:r>
    </w:p>
    <w:p>
      <w:pPr>
        <w:spacing w:before="360"/>
        <w:rPr>
          <w:i/>
          <w:noProof/>
          <w:color w:val="000000" w:themeColor="text1"/>
        </w:rPr>
      </w:pPr>
      <w:r>
        <w:rPr>
          <w:i/>
          <w:noProof/>
          <w:color w:val="000000" w:themeColor="text1"/>
        </w:rPr>
        <w:t>За повече информация относно ЕФСИ и Гаранционния фонд на ЕФСИ през 2019 г. вж. Доклада на Комисията до Европейския парламент, Съвета и Сметната палата относно управлението на Гаранционния фонд на Европейския фонд за стратегически инвестиции към 31 декември 2019</w:t>
      </w:r>
      <w:r>
        <w:rPr>
          <w:i/>
          <w:noProof/>
          <w:color w:val="000000" w:themeColor="text1"/>
          <w:lang w:val="en-US"/>
        </w:rPr>
        <w:t> </w:t>
      </w:r>
      <w:r>
        <w:rPr>
          <w:i/>
          <w:noProof/>
          <w:color w:val="000000" w:themeColor="text1"/>
        </w:rPr>
        <w:t>г. и свързания с него работен документ на службите на Комисията</w:t>
      </w:r>
      <w:r>
        <w:rPr>
          <w:rStyle w:val="FootnoteReference"/>
          <w:i/>
          <w:noProof/>
          <w:color w:val="000000" w:themeColor="text1"/>
          <w:lang w:val="en-IE"/>
        </w:rPr>
        <w:footnoteReference w:id="58"/>
      </w:r>
      <w:r>
        <w:rPr>
          <w:i/>
          <w:noProof/>
          <w:color w:val="000000" w:themeColor="text1"/>
        </w:rPr>
        <w:t>.</w:t>
      </w:r>
    </w:p>
    <w:p>
      <w:pPr>
        <w:pStyle w:val="ManualHeading1"/>
        <w:tabs>
          <w:tab w:val="clear" w:pos="850"/>
          <w:tab w:val="left" w:pos="567"/>
        </w:tabs>
        <w:ind w:left="567" w:hanging="567"/>
        <w:rPr>
          <w:noProof/>
        </w:rPr>
      </w:pPr>
      <w:bookmarkStart w:id="389" w:name="_Toc54253122"/>
      <w:r>
        <w:rPr>
          <w:noProof/>
          <w:color w:val="000000" w:themeColor="text1"/>
        </w:rPr>
        <w:t>7.</w:t>
      </w:r>
      <w:r>
        <w:rPr>
          <w:noProof/>
        </w:rPr>
        <w:tab/>
      </w:r>
      <w:r>
        <w:rPr>
          <w:noProof/>
          <w:color w:val="000000" w:themeColor="text1"/>
        </w:rPr>
        <w:t>Европейският фонд за устойчиво развитие (ЕФУР) през 2019 г.</w:t>
      </w:r>
      <w:bookmarkEnd w:id="389"/>
      <w:r>
        <w:rPr>
          <w:noProof/>
          <w:color w:val="000000" w:themeColor="text1"/>
          <w:vertAlign w:val="superscript"/>
        </w:rPr>
        <w:t xml:space="preserve"> </w:t>
      </w:r>
    </w:p>
    <w:p>
      <w:pPr>
        <w:pStyle w:val="ManualHeading2"/>
        <w:tabs>
          <w:tab w:val="clear" w:pos="850"/>
        </w:tabs>
        <w:ind w:left="567" w:hanging="567"/>
        <w:rPr>
          <w:noProof/>
          <w:color w:val="000000" w:themeColor="text1"/>
        </w:rPr>
      </w:pPr>
      <w:bookmarkStart w:id="390" w:name="_Toc54253123"/>
      <w:r>
        <w:rPr>
          <w:noProof/>
          <w:color w:val="000000" w:themeColor="text1"/>
        </w:rPr>
        <w:t>7.1</w:t>
      </w:r>
      <w:r>
        <w:rPr>
          <w:noProof/>
        </w:rPr>
        <w:tab/>
      </w:r>
      <w:r>
        <w:rPr>
          <w:noProof/>
          <w:color w:val="000000" w:themeColor="text1"/>
        </w:rPr>
        <w:t>Инвестиционни програми</w:t>
      </w:r>
      <w:bookmarkEnd w:id="390"/>
    </w:p>
    <w:p>
      <w:pPr>
        <w:rPr>
          <w:noProof/>
          <w:color w:val="000000" w:themeColor="text1"/>
        </w:rPr>
      </w:pPr>
      <w:r>
        <w:rPr>
          <w:noProof/>
        </w:rPr>
        <w:t>До април 2018 г. редица партньорски финансови институции (ФИ) предложиха над 40 инвестиционни програми в размер на повече от 3,5 милиарда евро, които да бъдат обезпечени с гаранцията от ЕФУР по петте приоритетни области за инвестиции (инвестиционни компоненти), а именно: устойчива енергия и свързаност, б) финансиране на микро-, малки и средни предприятия (ММСП), в) устойчиво земеделие, селскостопански предприемачи и агробизнес, г) устойчиви градове и д) цифровизация за развитие.</w:t>
      </w:r>
    </w:p>
    <w:p>
      <w:pPr>
        <w:rPr>
          <w:noProof/>
          <w:color w:val="000000" w:themeColor="text1"/>
        </w:rPr>
      </w:pPr>
      <w:r>
        <w:rPr>
          <w:noProof/>
          <w:color w:val="000000" w:themeColor="text1"/>
        </w:rPr>
        <w:t>През юни и ноември 2018 г. въз основа на предложенията на ФИ, ЕС отпусна 1,54 милиарда евро за 28 гаранции</w:t>
      </w:r>
      <w:r>
        <w:rPr>
          <w:noProof/>
          <w:color w:val="000000" w:themeColor="text1"/>
          <w:vertAlign w:val="superscript"/>
        </w:rPr>
        <w:footnoteReference w:id="59"/>
      </w:r>
      <w:r>
        <w:rPr>
          <w:noProof/>
          <w:color w:val="000000" w:themeColor="text1"/>
        </w:rPr>
        <w:t>.</w:t>
      </w:r>
    </w:p>
    <w:p>
      <w:pPr>
        <w:rPr>
          <w:noProof/>
          <w:color w:val="000000" w:themeColor="text1"/>
        </w:rPr>
      </w:pPr>
      <w:r>
        <w:rPr>
          <w:noProof/>
        </w:rPr>
        <w:t>Към 31 декември 2019 г. бяха сключени общо три споразумения за гаранция от ЕФУР, възлизащи на 165 млн. евро.</w:t>
      </w:r>
    </w:p>
    <w:p>
      <w:pPr>
        <w:spacing w:before="240"/>
        <w:rPr>
          <w:b/>
          <w:noProof/>
          <w:color w:val="000000" w:themeColor="text1"/>
          <w:u w:val="single"/>
        </w:rPr>
      </w:pPr>
      <w:r>
        <w:rPr>
          <w:b/>
          <w:noProof/>
          <w:color w:val="000000" w:themeColor="text1"/>
          <w:u w:val="single"/>
        </w:rPr>
        <w:t>Nasira</w:t>
      </w:r>
    </w:p>
    <w:p>
      <w:pPr>
        <w:rPr>
          <w:noProof/>
          <w:color w:val="000000" w:themeColor="text1"/>
        </w:rPr>
      </w:pPr>
      <w:r>
        <w:rPr>
          <w:noProof/>
        </w:rPr>
        <w:t>Първото споразумение за гаранция от ЕФУР за сумата от 75 милиона евро беше подписано на 18 декември 2018 г. с нидерландската банка за развитие FMO с кредитен рейтинг ААА в полза на механизма за финансиране със споделен риск NASIRA.</w:t>
      </w:r>
      <w:r>
        <w:rPr>
          <w:noProof/>
          <w:color w:val="000000" w:themeColor="text1"/>
        </w:rPr>
        <w:t xml:space="preserve"> Гаранцията ще позволи на местните банки да предоставят заеми на групи от населението, които те обикновено възприемат като твърде рисковани. Чрез т.нар. „поделяне на риска“ NASIRA ще намали възприеманите и реалните рискове, свързани с отпускането на заеми на уязвими и недостатъчно обслужвани групи от населението в рамките на европейската политика за съседство и в Африка на юг от Сахара, като по този начин ще се създадат условия и ще се стимулира финансирането, от което хората се нуждаят, за да развиват своя (микро) бизнес. </w:t>
      </w:r>
      <w:r>
        <w:rPr>
          <w:noProof/>
        </w:rPr>
        <w:t>FMO очаква NASIRA да създаде и подкрепя до 800 000 работни места и е от полза за малките и средните предприятия (МСП), вътрешно разселените и връщаните лица, бежанците, жените и младите хора.</w:t>
      </w:r>
    </w:p>
    <w:p>
      <w:pPr>
        <w:spacing w:before="240"/>
        <w:rPr>
          <w:b/>
          <w:noProof/>
          <w:color w:val="000000" w:themeColor="text1"/>
          <w:u w:val="single"/>
        </w:rPr>
      </w:pPr>
      <w:r>
        <w:rPr>
          <w:b/>
          <w:noProof/>
          <w:color w:val="000000" w:themeColor="text1"/>
          <w:u w:val="single"/>
        </w:rPr>
        <w:br w:type="page"/>
        <w:t>Програма за рисков капитал на FMO</w:t>
      </w:r>
    </w:p>
    <w:p>
      <w:pPr>
        <w:rPr>
          <w:noProof/>
          <w:color w:val="000000" w:themeColor="text1"/>
        </w:rPr>
      </w:pPr>
      <w:r>
        <w:rPr>
          <w:noProof/>
        </w:rPr>
        <w:t>Това споразумение за гаранция с FMO в размер на 40 милиона евро, подписано на 11 ноември 2019 г., ще гарантира рисков капитал за новосъздадени предприятия, по-специално за предприятия, създадени от млади предприемачи.</w:t>
      </w:r>
      <w:r>
        <w:rPr>
          <w:noProof/>
          <w:color w:val="000000" w:themeColor="text1"/>
        </w:rPr>
        <w:t xml:space="preserve"> Предприятията ще използват технологии, за да намалят разходите за производство или доставка на продукти и услуги, които до този момент са били недостъпни за много хора. Гаранцията ще бъде насочена към предприятия, предлагащи цифрови решения в широк кръг от области — от селското стопанство и достъпа до енергийни и финансови услуги до образованието, здравеопазването, транспорта и логистиката. </w:t>
      </w:r>
      <w:r>
        <w:rPr>
          <w:noProof/>
        </w:rPr>
        <w:t>FMO очаква, че програмата за рисков капитал ще подкрепи пряко или непряко до 125 000 нови работни места.</w:t>
      </w:r>
    </w:p>
    <w:p>
      <w:pPr>
        <w:spacing w:before="240"/>
        <w:rPr>
          <w:b/>
          <w:noProof/>
          <w:color w:val="000000" w:themeColor="text1"/>
          <w:u w:val="single"/>
        </w:rPr>
      </w:pPr>
      <w:r>
        <w:rPr>
          <w:b/>
          <w:noProof/>
          <w:color w:val="000000" w:themeColor="text1"/>
          <w:u w:val="single"/>
        </w:rPr>
        <w:t>Увеличаване на инвестициите в енергия от възобновяеми източници</w:t>
      </w:r>
    </w:p>
    <w:p>
      <w:pPr>
        <w:rPr>
          <w:noProof/>
          <w:color w:val="000000" w:themeColor="text1"/>
        </w:rPr>
      </w:pPr>
      <w:r>
        <w:rPr>
          <w:noProof/>
        </w:rPr>
        <w:t>Това споразумение за гаранция в размер на 50 милиона евро с Европейската банка за възстановяване и развитие (ЕБВР), подписано на 29 ноември 2019 г., ще помогне за увеличаване на инвестициите в енергия от възобновяеми източници в Украйна и в южното съседство на ЕС, по-специално Йордания, Ливан и Тунис.</w:t>
      </w:r>
      <w:r>
        <w:rPr>
          <w:noProof/>
          <w:color w:val="000000" w:themeColor="text1"/>
        </w:rPr>
        <w:t xml:space="preserve"> Гаранцията цели значително да се увеличи потенциалът на енергията от възобновяеми източници. </w:t>
      </w:r>
      <w:r>
        <w:rPr>
          <w:noProof/>
        </w:rPr>
        <w:t>ЕБВР очаква, че тази гаранция ще помогне да се генерират инвестиции в общ размер до 500 милиона евро и ще осигури 340 MW допълнителен инсталиран капацитет от енергия от възобновяеми източници.</w:t>
      </w:r>
    </w:p>
    <w:p>
      <w:pPr>
        <w:pStyle w:val="ManualHeading2"/>
        <w:tabs>
          <w:tab w:val="clear" w:pos="850"/>
        </w:tabs>
        <w:spacing w:before="240"/>
        <w:ind w:left="567" w:hanging="567"/>
        <w:rPr>
          <w:noProof/>
          <w:color w:val="000000" w:themeColor="text1"/>
        </w:rPr>
      </w:pPr>
      <w:bookmarkStart w:id="391" w:name="_Toc54253124"/>
      <w:r>
        <w:rPr>
          <w:noProof/>
          <w:color w:val="000000" w:themeColor="text1"/>
        </w:rPr>
        <w:t>7.2</w:t>
      </w:r>
      <w:r>
        <w:rPr>
          <w:noProof/>
        </w:rPr>
        <w:tab/>
      </w:r>
      <w:r>
        <w:rPr>
          <w:noProof/>
          <w:color w:val="000000" w:themeColor="text1"/>
        </w:rPr>
        <w:t>Гаранционен фонд на ЕФУР</w:t>
      </w:r>
      <w:bookmarkEnd w:id="391"/>
    </w:p>
    <w:p>
      <w:pPr>
        <w:rPr>
          <w:noProof/>
          <w:color w:val="000000" w:themeColor="text1"/>
        </w:rPr>
      </w:pPr>
      <w:r>
        <w:rPr>
          <w:noProof/>
        </w:rPr>
        <w:t>До края на 2019 г. допълнителните вноски в подкрепа на Гаранционния фонд на ЕФУР включиха 50 милиона щатски долара от фондацията „Бил и Мелинда Гейтс“, 9,6 милиона евро от Дания, 300 000 EUR от Чешката република и 100 000 EUR от Естония.</w:t>
      </w:r>
    </w:p>
    <w:p>
      <w:pPr>
        <w:spacing w:after="360"/>
        <w:rPr>
          <w:noProof/>
        </w:rPr>
      </w:pPr>
      <w:r>
        <w:rPr>
          <w:noProof/>
          <w:color w:val="000000" w:themeColor="text1"/>
        </w:rPr>
        <w:t xml:space="preserve">Гаранционният фонд на ЕФУР на практика започна да функционира през 2018 г. </w:t>
      </w:r>
      <w:r>
        <w:rPr>
          <w:noProof/>
        </w:rPr>
        <w:t>До 31 декември 2019 г. на Фонда е изплатена сума в размер на 600,1 милиона евро.</w:t>
      </w:r>
      <w:r>
        <w:rPr>
          <w:noProof/>
          <w:color w:val="000000" w:themeColor="text1"/>
        </w:rPr>
        <w:t xml:space="preserve"> </w:t>
      </w:r>
      <w:r>
        <w:rPr>
          <w:noProof/>
        </w:rPr>
        <w:t>През 2019 г. нямаше искания за изпълнение по гаранцията от ЕФУР.</w:t>
      </w:r>
    </w:p>
    <w:p>
      <w:pPr>
        <w:rPr>
          <w:i/>
          <w:noProof/>
          <w:color w:val="000000" w:themeColor="text1"/>
        </w:rPr>
      </w:pPr>
      <w:r>
        <w:rPr>
          <w:i/>
          <w:noProof/>
          <w:color w:val="000000" w:themeColor="text1"/>
        </w:rPr>
        <w:t>За повече информация относно ЕФУР и Гаранционния фонд на ЕФУР през 2019 г. вж. Доклада на Комисията до Европейския парламент, Съвета и Сметната палата относно управлението на Гаранционния фонд на Европейския фонд за устойчиво развитие</w:t>
      </w:r>
      <w:r>
        <w:rPr>
          <w:rStyle w:val="FootnoteReference"/>
          <w:i/>
          <w:noProof/>
          <w:color w:val="000000" w:themeColor="text1"/>
        </w:rPr>
        <w:footnoteReference w:id="60"/>
      </w:r>
      <w:r>
        <w:rPr>
          <w:i/>
          <w:noProof/>
          <w:color w:val="000000" w:themeColor="text1"/>
        </w:rPr>
        <w:t>.</w:t>
      </w:r>
    </w:p>
    <w:p>
      <w:pPr>
        <w:pStyle w:val="TOCHeading"/>
        <w:rPr>
          <w:i/>
          <w:noProof/>
          <w:color w:val="000000" w:themeColor="text1"/>
          <w:lang w:val="en-IE"/>
        </w:rPr>
      </w:pP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_GOPA TheSerif Light">
    <w:altName w:val="Times New Roman"/>
    <w:charset w:val="00"/>
    <w:family w:val="roman"/>
    <w:pitch w:val="variable"/>
    <w:sig w:usb0="8000006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tabs>
        <w:tab w:val="left" w:pos="50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fldChar w:fldCharType="begin"/>
    </w:r>
    <w:r>
      <w:instrText xml:space="preserve"> PAGE   \* MERGEFORMAT </w:instrText>
    </w:r>
    <w:r>
      <w:fldChar w:fldCharType="separate"/>
    </w:r>
    <w:r>
      <w:rPr>
        <w:noProof/>
      </w:rPr>
      <w:t>26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426" w:hanging="480"/>
      </w:pPr>
      <w:r>
        <w:rPr>
          <w:rStyle w:val="FootnoteReference"/>
        </w:rPr>
        <w:footnoteRef/>
      </w:r>
      <w:r>
        <w:tab/>
        <w:t>Регламент (ЕО, Евратом) № 2728/94 на Съвета от 31 октомври 1994 г. относно създаване на Гаранционен фонд за външни дейности (ОВ L 293, 12.11.1994 г., стр. 1) и впоследствие изменен с Регламент (ЕО, Евратом) № 480/2009 на Съвета (ОВ L 145, 10.6.2009 г., стр. 10) и Регламент (ЕС) 2018/409 (ОВ L 76, 19.3.2018 г., стр. 1), „Регламент за Гаранционния фонд“.</w:t>
      </w:r>
    </w:p>
  </w:footnote>
  <w:footnote w:id="3">
    <w:p>
      <w:pPr>
        <w:pStyle w:val="FootnoteText"/>
        <w:ind w:left="426" w:hanging="426"/>
      </w:pPr>
      <w:r>
        <w:rPr>
          <w:rStyle w:val="FootnoteReference"/>
        </w:rPr>
        <w:footnoteRef/>
      </w:r>
      <w:r>
        <w:tab/>
        <w:t xml:space="preserve">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(„Регламент за ЕФСИ“) (ОВ L 169, 1.7.2015 г., стр. 1). Регламентът за ЕФСИ беше изменен с Регламент (ЕС) 2017/2396 на Европейския парламент и на Съвета от 13 декември 2017 г. по отношение на удължаването на срока на действие на Европейския фонд за стратегически инвестиции, както и въвеждането на технически подобрения за този фонд и за Европейския консултантски център по инвестиционни въпроси („изменението ЕФСИ 2.0“) (ОВ L 345, 27.12.2017 г., стр. 34). С изменението ЕФСИ 2.0, </w:t>
      </w:r>
      <w:r>
        <w:rPr>
          <w:i/>
          <w:iCs/>
        </w:rPr>
        <w:t>inter alia</w:t>
      </w:r>
      <w:r>
        <w:t>, бе увеличен размерът на гаранцията на ЕС и бе коригиран целевият размер. Споразумението относно управлението на ЕФСИ и относно предоставянето на гаранцията на ЕС („Споразумението за ЕФСИ“) беше подписано от Европейската комисия и Европейската инвестиционна банка (ЕИБ) на 22 юли 2015 г. и беше изменено и отново потвърдено на 21 юли 2016 г., 21 ноември 2017 г., 9 март 2018 г. и през декември 2018 г.</w:t>
      </w:r>
    </w:p>
  </w:footnote>
  <w:footnote w:id="4">
    <w:p>
      <w:pPr>
        <w:pStyle w:val="FootnoteText"/>
        <w:ind w:left="426" w:hanging="426"/>
      </w:pPr>
      <w:r>
        <w:rPr>
          <w:rStyle w:val="FootnoteReference"/>
        </w:rPr>
        <w:footnoteRef/>
      </w:r>
      <w:r>
        <w:tab/>
        <w:t>Регламент (ЕС) 2017/1601 на Европейския парламент и на Съвета от 26 септември 2017</w:t>
      </w:r>
      <w:r>
        <w:rPr>
          <w:lang w:val="en-US"/>
        </w:rPr>
        <w:t> </w:t>
      </w:r>
      <w:r>
        <w:t>г. за създаване на Европейски фонд за устойчиво развитие (ЕФУР), гаранция от ЕФУР и Гаранционен фонд на ЕФУР (OВ L 249, 27.9.2017 г., стp. 1).</w:t>
      </w:r>
    </w:p>
  </w:footnote>
  <w:footnote w:id="5">
    <w:p>
      <w:pPr>
        <w:pStyle w:val="FootnoteText"/>
        <w:ind w:left="480" w:hanging="480"/>
      </w:pPr>
      <w:r>
        <w:rPr>
          <w:rStyle w:val="FootnoteReference"/>
        </w:rPr>
        <w:footnoteRef/>
      </w:r>
      <w:r>
        <w:tab/>
        <w:t xml:space="preserve">МФП може също да бъде под формата на безвъзмездни средства за трети държави (извън обхвата на настоящия доклад). </w:t>
      </w:r>
      <w:r>
        <w:rPr>
          <w:color w:val="000000"/>
        </w:rPr>
        <w:t>Препратките към правните основания</w:t>
      </w:r>
      <w:r>
        <w:t xml:space="preserve"> са посочени в таблица А2Б от приложението към Работния документ на службите на Комисията.</w:t>
      </w:r>
    </w:p>
  </w:footnote>
  <w:footnote w:id="6">
    <w:p>
      <w:pPr>
        <w:pStyle w:val="FootnoteText"/>
        <w:ind w:left="480" w:hanging="480"/>
      </w:pPr>
      <w:r>
        <w:rPr>
          <w:rStyle w:val="FootnoteReference"/>
        </w:rPr>
        <w:footnoteRef/>
      </w:r>
      <w:r>
        <w:tab/>
        <w:t>Регламент (ЕО) № 332/2002 на Съвета от 18 февруари 2002 г. за установяване на механизъм, осигуряващ средносрочна финансова подкрепа за платежния баланс на държавите членки (OВ L 53, 23.2.2002 г., стр. 1).</w:t>
      </w:r>
    </w:p>
  </w:footnote>
  <w:footnote w:id="7">
    <w:p>
      <w:pPr>
        <w:pStyle w:val="FootnoteText"/>
        <w:ind w:left="480" w:hanging="480"/>
      </w:pPr>
      <w:r>
        <w:rPr>
          <w:rStyle w:val="FootnoteReference"/>
        </w:rPr>
        <w:footnoteRef/>
      </w:r>
      <w:r>
        <w:tab/>
        <w:t>Регламент (ЕС) № 407/2010 на Съвета от 11 май 2010 г. за създаване на европейски механизъм за финансово стабилизиране (ОВ L 118, 12.5.2010 г., стр. 1).</w:t>
      </w:r>
    </w:p>
  </w:footnote>
  <w:footnote w:id="8">
    <w:p>
      <w:pPr>
        <w:pStyle w:val="FootnoteText"/>
        <w:ind w:left="480" w:hanging="480"/>
      </w:pPr>
      <w:r>
        <w:rPr>
          <w:rStyle w:val="FootnoteReference"/>
          <w:sz w:val="22"/>
        </w:rPr>
        <w:footnoteRef/>
      </w:r>
      <w:r>
        <w:tab/>
        <w:t>Договор за създаване на Европейската общност за атомна енергия (Евратом) от 25 март 1957 г., изменен и допълнен.</w:t>
      </w:r>
    </w:p>
  </w:footnote>
  <w:footnote w:id="9">
    <w:p>
      <w:pPr>
        <w:pStyle w:val="FootnoteText"/>
        <w:ind w:left="480" w:hanging="480"/>
      </w:pPr>
      <w:r>
        <w:rPr>
          <w:rStyle w:val="FootnoteReference"/>
        </w:rPr>
        <w:footnoteRef/>
      </w:r>
      <w:r>
        <w:tab/>
        <w:t>За държавите членки: Решение 77/270/Евратом на Съвета от 29 март 1977 г. за упълномощаване на Комисията да предоставя заеми по Евратом с цел подпомагане финансирането на атомни електроцентрали (ОВ L 88, 6.4.1977 г., стр. 9), изменено и допълнено.</w:t>
      </w:r>
    </w:p>
  </w:footnote>
  <w:footnote w:id="10">
    <w:p>
      <w:pPr>
        <w:pStyle w:val="FootnoteText"/>
        <w:ind w:left="480" w:hanging="480"/>
      </w:pPr>
      <w:r>
        <w:rPr>
          <w:rStyle w:val="FootnoteReference"/>
        </w:rPr>
        <w:footnoteRef/>
      </w:r>
      <w:r>
        <w:tab/>
        <w:t>За някои държави извън ЕС: Решение 94/179/Евратом на Съвета от 21 март 1994 г. за изменение на Решение 77/270/Евратом за упълномощаване на Комисията да отпуска заеми по Евратом с цел подпомагане финансирането, необходимо за повишаване на безопасността и ефективността на атомните електроцентрали в определени страни, които не са държави-членки (ОВ L 84, 29.3.1994 г.).</w:t>
      </w:r>
    </w:p>
  </w:footnote>
  <w:footnote w:id="11">
    <w:p>
      <w:pPr>
        <w:pStyle w:val="FootnoteText"/>
        <w:ind w:left="480" w:hanging="480"/>
      </w:pPr>
      <w:r>
        <w:rPr>
          <w:rStyle w:val="FootnoteReference"/>
        </w:rPr>
        <w:footnoteRef/>
      </w:r>
      <w:r>
        <w:tab/>
        <w:t>Решение № 466/2014/ЕС на Европейския парламент и на Съвета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 (ОВ L 135, 8.5.2014 г., стр. 1).</w:t>
      </w:r>
    </w:p>
  </w:footnote>
  <w:footnote w:id="12">
    <w:p>
      <w:pPr>
        <w:pStyle w:val="FootnoteText"/>
        <w:ind w:left="426" w:hanging="426"/>
      </w:pPr>
      <w:r>
        <w:rPr>
          <w:rStyle w:val="FootnoteReference"/>
        </w:rPr>
        <w:footnoteRef/>
      </w:r>
      <w:r>
        <w:t xml:space="preserve"> </w:t>
      </w:r>
      <w:r>
        <w:tab/>
        <w:t>Споразумението за партньорство АКТБ — ЕС, подписано в Котону на 23 юни 2000 г., бе сключено за период от 20 години, от 2000 г. до 2020 г. То е най-всеобхватното споразумение за партньорство между развиващите се държави и ЕС. Този инструмент не се финансира от бюджета на ЕС.</w:t>
      </w:r>
    </w:p>
  </w:footnote>
  <w:footnote w:id="13">
    <w:p>
      <w:pPr>
        <w:pStyle w:val="FootnoteText"/>
        <w:ind w:left="426" w:hanging="426"/>
      </w:pPr>
      <w:r>
        <w:rPr>
          <w:rStyle w:val="FootnoteReference"/>
        </w:rPr>
        <w:footnoteRef/>
      </w:r>
      <w:r>
        <w:tab/>
        <w:t>Регламент на Съвета (ЕО, Евратом) № 480/2009 относно създаване на Гаранционен фонд за външни дейности (ОВ L 145, 10.6.2009 г., стр. 10), изменен с Регламент (ЕС) 2018/409 (ОВ L 76, 19.3.2018 г., стр. 1).</w:t>
      </w:r>
    </w:p>
  </w:footnote>
  <w:footnote w:id="14">
    <w:p>
      <w:pPr>
        <w:pStyle w:val="FootnoteText"/>
        <w:ind w:left="426" w:hanging="426"/>
      </w:pPr>
      <w:r>
        <w:rPr>
          <w:rStyle w:val="FootnoteReference"/>
        </w:rPr>
        <w:footnoteRef/>
      </w:r>
      <w:r>
        <w:tab/>
        <w:t xml:space="preserve">Въпреки че в крайна сметка външните рискове са обезпечени от бюджета на ЕС, Гаранционният фонд представлява механизъм за защита на бюджета на ЕС срещу риска от неизпълнение на задължения. Последният годишен доклад за 2019 г. относно Фонда и неговото управление (COM(2020) 327 final) и работният документ на службите на Комисията към него (SWD(2020) 136 final), одобрени на 17 юли 2020 г., могат да бъдат намерени на адрес: </w:t>
      </w:r>
      <w:hyperlink r:id="rId1" w:history="1">
        <w:r>
          <w:rPr>
            <w:rStyle w:val="Hyperlink"/>
            <w:color w:val="auto"/>
          </w:rPr>
          <w:t>http://eur-lex.europa.eu/homepage.html</w:t>
        </w:r>
      </w:hyperlink>
      <w:r>
        <w:t>.</w:t>
      </w:r>
    </w:p>
  </w:footnote>
  <w:footnote w:id="15">
    <w:p>
      <w:pPr>
        <w:pStyle w:val="FootnoteText"/>
        <w:ind w:left="426" w:hanging="426"/>
      </w:pPr>
      <w:r>
        <w:rPr>
          <w:rStyle w:val="FootnoteReference"/>
        </w:rPr>
        <w:footnoteRef/>
      </w:r>
      <w:r>
        <w:tab/>
        <w:t>За подробен доклад относно функционирането на Фонда и целевия размер на обезпечаване вж. COM(2014) 214 final от 8 април 2014 г. и придружаващия го работен документ на службите на Комисията (SWD(2014) 129 final).</w:t>
      </w:r>
    </w:p>
  </w:footnote>
  <w:footnote w:id="16">
    <w:p>
      <w:pPr>
        <w:pStyle w:val="FootnoteText"/>
        <w:ind w:left="426" w:hanging="426"/>
      </w:pPr>
      <w:r>
        <w:rPr>
          <w:rStyle w:val="FootnoteReference"/>
        </w:rPr>
        <w:footnoteRef/>
      </w:r>
      <w:r>
        <w:tab/>
        <w:t>С изменението ЕФСИ 2.0 размерът на гаранцията на ЕС бе увеличен от 16 милиарда евро на 26 милиарда евро.</w:t>
      </w:r>
    </w:p>
  </w:footnote>
  <w:footnote w:id="17">
    <w:p>
      <w:pPr>
        <w:pStyle w:val="FootnoteText"/>
        <w:ind w:left="426" w:hanging="426"/>
      </w:pPr>
      <w:r>
        <w:rPr>
          <w:rStyle w:val="FootnoteReference"/>
        </w:rPr>
        <w:footnoteRef/>
      </w:r>
      <w:r>
        <w:tab/>
        <w:t>С изменението ЕФСИ 2.0 размерът на гаранцията на групата на ЕИБ бе увеличен от 5 милиарда евро на 7,5 милиарда евро.</w:t>
      </w:r>
    </w:p>
  </w:footnote>
  <w:footnote w:id="18">
    <w:p>
      <w:pPr>
        <w:pStyle w:val="FootnoteText"/>
        <w:ind w:left="426" w:hanging="426"/>
      </w:pPr>
      <w:r>
        <w:rPr>
          <w:rStyle w:val="FootnoteReference"/>
        </w:rPr>
        <w:footnoteRef/>
      </w:r>
      <w:r>
        <w:t xml:space="preserve"> </w:t>
      </w:r>
      <w:r>
        <w:tab/>
        <w:t xml:space="preserve">Вж. член 12, параграф 5 от </w:t>
      </w:r>
      <w:hyperlink r:id="rId2" w:history="1">
        <w:r>
          <w:rPr>
            <w:rStyle w:val="Hyperlink"/>
            <w:color w:val="auto"/>
          </w:rPr>
          <w:t>Регламента за ЕФСИ</w:t>
        </w:r>
      </w:hyperlink>
      <w:r>
        <w:t>.</w:t>
      </w:r>
    </w:p>
  </w:footnote>
  <w:footnote w:id="19">
    <w:p>
      <w:pPr>
        <w:pStyle w:val="FootnoteText"/>
        <w:ind w:left="426" w:hanging="426"/>
      </w:pPr>
      <w:r>
        <w:rPr>
          <w:rStyle w:val="FootnoteReference"/>
        </w:rPr>
        <w:footnoteRef/>
      </w:r>
      <w:r>
        <w:tab/>
        <w:t>Регламент (ЕС) 2017/1601 на Европейския парламент и на Съвета от 26 септември 2017</w:t>
      </w:r>
      <w:r>
        <w:rPr>
          <w:lang w:val="en-US"/>
        </w:rPr>
        <w:t> </w:t>
      </w:r>
      <w:r>
        <w:t>г. за създаване на Европейски фонд за устойчиво развитие (ЕФУР), гаранция от ЕФУР и Гаранционен фонд на ЕФУР (OВ L 249, 27.9.2017 г., стp. 1).</w:t>
      </w:r>
    </w:p>
  </w:footnote>
  <w:footnote w:id="20">
    <w:p>
      <w:pPr>
        <w:pStyle w:val="FootnoteText"/>
        <w:ind w:left="426" w:hanging="426"/>
      </w:pPr>
      <w:r>
        <w:rPr>
          <w:rStyle w:val="FootnoteReference"/>
        </w:rPr>
        <w:footnoteRef/>
      </w:r>
      <w:r>
        <w:tab/>
        <w:t>Следва да се отбележи, че като част от ответните действия на кризата, предизвикана от COVID-19, оперативният съвет на ЕФУР от 21 април 2020 г. постигна съгласие да актуализира разпределението на сумите по гаранцията от ЕФУР, като даде приоритет и увеличи размера на гаранциите за предоставяне на ликвидност за микро-, малки и средни предприятия и за проекти за енергия от възобновяеми източници, с което ще се увеличи тяхната гъвкавост за преодоляване на социално-икономическото въздействие на пандемията от COVID-19, и като предвиди освобождаване от плащане на такси в продължение на една година.</w:t>
      </w:r>
    </w:p>
  </w:footnote>
  <w:footnote w:id="21">
    <w:p>
      <w:pPr>
        <w:pStyle w:val="FootnoteText"/>
        <w:ind w:left="480" w:hanging="480"/>
        <w:jc w:val="left"/>
      </w:pPr>
      <w:r>
        <w:rPr>
          <w:rStyle w:val="FootnoteReference"/>
        </w:rPr>
        <w:footnoteRef/>
      </w:r>
      <w:r>
        <w:tab/>
        <w:t>Относно Механизма за отпускане на заеми за Гърция вж.: https://ec.europa.eu/info/business-economy-euro/economic-and-fiscal-policy-coordination/financial-assistance-eu/which-eu-countries-have-received-assistance/financial-assistance-greece_bg.</w:t>
      </w:r>
    </w:p>
  </w:footnote>
  <w:footnote w:id="22">
    <w:p>
      <w:pPr>
        <w:pStyle w:val="FootnoteText"/>
        <w:ind w:left="480" w:hanging="480"/>
        <w:rPr>
          <w:color w:val="000000"/>
        </w:rPr>
      </w:pPr>
      <w:r>
        <w:rPr>
          <w:rStyle w:val="FootnoteReference"/>
        </w:rPr>
        <w:footnoteRef/>
      </w:r>
      <w:r>
        <w:tab/>
      </w:r>
      <w:hyperlink r:id="rId3" w:history="1">
        <w:r>
          <w:rPr>
            <w:rStyle w:val="Hyperlink"/>
            <w:color w:val="auto"/>
            <w:u w:val="none"/>
          </w:rPr>
          <w:t>Относно EFSF вж.</w:t>
        </w:r>
      </w:hyperlink>
      <w:r>
        <w:t>:</w:t>
      </w:r>
      <w:r>
        <w:rPr>
          <w:color w:val="000000"/>
        </w:rPr>
        <w:t xml:space="preserve"> http://www.efsf.europa.eu.</w:t>
      </w:r>
    </w:p>
  </w:footnote>
  <w:footnote w:id="23">
    <w:p>
      <w:pPr>
        <w:pStyle w:val="FootnoteText"/>
        <w:ind w:left="480" w:hanging="480"/>
      </w:pPr>
      <w:r>
        <w:rPr>
          <w:rStyle w:val="FootnoteReference"/>
        </w:rPr>
        <w:footnoteRef/>
      </w:r>
      <w:r>
        <w:tab/>
        <w:t>Заемите, отпуснати по линия на ЕС/ЕМФС, са гарантирани от бюджета на ЕС. За повече информация относно ЕМФС вж. раздел 3.1.1.</w:t>
      </w:r>
    </w:p>
  </w:footnote>
  <w:footnote w:id="24">
    <w:p>
      <w:pPr>
        <w:pStyle w:val="FootnoteText"/>
        <w:ind w:left="480" w:hanging="480"/>
      </w:pPr>
      <w:r>
        <w:rPr>
          <w:rStyle w:val="FootnoteReference"/>
        </w:rPr>
        <w:footnoteRef/>
      </w:r>
      <w:r>
        <w:tab/>
        <w:t xml:space="preserve">Относно ЕМС вж.: </w:t>
      </w:r>
      <w:hyperlink r:id="rId4" w:tgtFrame="_blank" w:history="1">
        <w:r>
          <w:rPr>
            <w:rStyle w:val="Hyperlink"/>
          </w:rPr>
          <w:t>https://www.esm.europa.eu/efsf-overview</w:t>
        </w:r>
      </w:hyperlink>
      <w:r>
        <w:t>.</w:t>
      </w:r>
    </w:p>
  </w:footnote>
  <w:footnote w:id="25">
    <w:p>
      <w:pPr>
        <w:pStyle w:val="FootnoteText"/>
        <w:ind w:left="480" w:hanging="480"/>
        <w:jc w:val="left"/>
      </w:pPr>
      <w:r>
        <w:rPr>
          <w:rStyle w:val="FootnoteReference"/>
        </w:rPr>
        <w:footnoteRef/>
      </w:r>
      <w:r>
        <w:tab/>
        <w:t>Вж. съобщението за медиите относно извънредния Съвет по икономически и финансови въпроси от 9—10 май 2010 г. (</w:t>
      </w:r>
      <w:hyperlink r:id="rId5" w:history="1">
        <w:r>
          <w:rPr>
            <w:rStyle w:val="Hyperlink"/>
            <w:color w:val="auto"/>
          </w:rPr>
          <w:t>http://www.consilium.europa.eu/uedocs/cms_data/docs/pressdata/en/ecofin/114324.pdf</w:t>
        </w:r>
      </w:hyperlink>
      <w:r>
        <w:t>).</w:t>
      </w:r>
    </w:p>
  </w:footnote>
  <w:footnote w:id="26">
    <w:p>
      <w:pPr>
        <w:pStyle w:val="FootnoteText"/>
        <w:ind w:left="480" w:hanging="480"/>
      </w:pPr>
      <w:r>
        <w:rPr>
          <w:rStyle w:val="FootnoteReference"/>
        </w:rPr>
        <w:footnoteRef/>
      </w:r>
      <w:r>
        <w:tab/>
        <w:t>Регламент (ЕС) № 407/2010 на Съвета от 11 май 2010 г. за създаване на европейски механизъм за финансово стабилизиране (ОВ L 118, 12.5.2010 г., стр. 1).</w:t>
      </w:r>
    </w:p>
  </w:footnote>
  <w:footnote w:id="27">
    <w:p>
      <w:pPr>
        <w:pStyle w:val="FootnoteText"/>
        <w:ind w:left="480" w:hanging="480"/>
      </w:pPr>
      <w:r>
        <w:rPr>
          <w:rStyle w:val="FootnoteReference"/>
        </w:rPr>
        <w:footnoteRef/>
      </w:r>
      <w:r>
        <w:tab/>
        <w:t>Решение за изпълнение 2011/77/ЕС на Съвета от 7 декември 2010 г. за предоставяне на финансова помощ за Ирландия от страна на Съюза (ОВ L 30, 4.2.2011 г., стp. 348).</w:t>
      </w:r>
    </w:p>
  </w:footnote>
  <w:footnote w:id="28">
    <w:p>
      <w:pPr>
        <w:pStyle w:val="FootnoteText"/>
        <w:ind w:left="480" w:hanging="480"/>
      </w:pPr>
      <w:r>
        <w:rPr>
          <w:rStyle w:val="FootnoteReference"/>
        </w:rPr>
        <w:footnoteRef/>
      </w:r>
      <w:r>
        <w:tab/>
        <w:t>Решение за изпълнение 2011/344/ЕС на Съвета от 30 май 2011 г. за предоставяне на финансова помощ за Португалия от страна на Съюза (OВ L 159, 17.6.2011 г., стр. 88); вж. също така поправката (ОВ L 178, 10.7.2012 г., стр. 15).</w:t>
      </w:r>
    </w:p>
  </w:footnote>
  <w:footnote w:id="29">
    <w:p>
      <w:pPr>
        <w:pStyle w:val="FootnoteText"/>
        <w:ind w:left="480" w:hanging="480"/>
      </w:pPr>
      <w:r>
        <w:rPr>
          <w:rStyle w:val="FootnoteReference"/>
        </w:rPr>
        <w:footnoteRef/>
      </w:r>
      <w:r>
        <w:tab/>
        <w:t>Решение (ЕС) 2016/2371 на Европейския парламент и на Съвета от 14 декември 2016 г. за предоставяне на допълнителна макрофинансова помощ на Хашемитското кралство Йордания (ОВ L 352, 23.12.2016 г., стр. 18).</w:t>
      </w:r>
    </w:p>
  </w:footnote>
  <w:footnote w:id="30">
    <w:p>
      <w:pPr>
        <w:pStyle w:val="FootnoteText"/>
        <w:ind w:left="480" w:hanging="480"/>
      </w:pPr>
      <w:r>
        <w:rPr>
          <w:rStyle w:val="FootnoteReference"/>
        </w:rPr>
        <w:footnoteRef/>
      </w:r>
      <w:r>
        <w:tab/>
        <w:t>Решение (ЕС) 2016/1112 на Европейския парламент и на Съвета от 6 юли 2016 г. за предоставяне на допълнителна макрофинансова помощ на Тунис (ОВ L 186, 9.7.2016 г., стр. 1).</w:t>
      </w:r>
    </w:p>
  </w:footnote>
  <w:footnote w:id="31">
    <w:p>
      <w:pPr>
        <w:pStyle w:val="FootnoteText"/>
        <w:ind w:left="480" w:hanging="480"/>
      </w:pPr>
      <w:r>
        <w:rPr>
          <w:rStyle w:val="FootnoteReference"/>
        </w:rPr>
        <w:footnoteRef/>
      </w:r>
      <w:r>
        <w:tab/>
        <w:t>Решение (ЕС) 2017/1565 на Европейския парламент и на Съвета от 13 септември 2017 г. за предоставяне на макрофинансова помощ на Република Молдова (ОВ L 242, 20.9.2017 г., стp. 14).</w:t>
      </w:r>
    </w:p>
  </w:footnote>
  <w:footnote w:id="32">
    <w:p>
      <w:pPr>
        <w:pStyle w:val="FootnoteText"/>
        <w:ind w:left="480" w:hanging="480"/>
      </w:pPr>
      <w:r>
        <w:rPr>
          <w:rStyle w:val="FootnoteReference"/>
        </w:rPr>
        <w:footnoteRef/>
      </w:r>
      <w:r>
        <w:tab/>
        <w:t>Решение 77/270/Евратом на Съвета от 29 март 1977 г. за упълномощаване на Комисията да предоставя заеми по Евратом с цел подпомагане финансирането на атомни електроцентрали, изменено с Решение 94/179/Евратом на Съвета от 21 март 1994 г. за упълномощаване на Комисията да отпуска заеми по Евратом с цел подпомагане финансирането, необходимо за повишаване на безопасността и ефективността на атомните електроцентрали в определени страни, които не са държави-членки.</w:t>
      </w:r>
    </w:p>
  </w:footnote>
  <w:footnote w:id="33">
    <w:p>
      <w:pPr>
        <w:pStyle w:val="FootnoteText"/>
        <w:ind w:left="480" w:hanging="480"/>
      </w:pPr>
      <w:r>
        <w:rPr>
          <w:rStyle w:val="FootnoteReference"/>
        </w:rPr>
        <w:footnoteRef/>
      </w:r>
      <w:r>
        <w:tab/>
        <w:t>C(2013) 3496.</w:t>
      </w:r>
    </w:p>
  </w:footnote>
  <w:footnote w:id="34">
    <w:p>
      <w:pPr>
        <w:pStyle w:val="FootnoteText"/>
        <w:ind w:left="482" w:hanging="482"/>
      </w:pPr>
      <w:r>
        <w:rPr>
          <w:rStyle w:val="FootnoteReference"/>
        </w:rPr>
        <w:footnoteRef/>
      </w:r>
      <w:r>
        <w:tab/>
        <w:t>Вж. таблица 1 от доклада.</w:t>
      </w:r>
    </w:p>
  </w:footnote>
  <w:footnote w:id="35">
    <w:p>
      <w:pPr>
        <w:pStyle w:val="FootnoteText"/>
        <w:spacing w:before="120"/>
        <w:ind w:left="480" w:hanging="480"/>
      </w:pPr>
      <w:r>
        <w:rPr>
          <w:rStyle w:val="FootnoteReference"/>
        </w:rPr>
        <w:footnoteRef/>
      </w:r>
      <w:r>
        <w:tab/>
        <w:t>За целите на това изчисление се допуска, че при необслужваните заеми под внимание се вземат само изискуемите плащания, а не пълният размер на оставащото за погасяване задължение (вж. таблици 2 и 3 от доклада и таблица А4 от Работния документ на службите на Комисията).</w:t>
      </w:r>
    </w:p>
  </w:footnote>
  <w:footnote w:id="36">
    <w:p>
      <w:pPr>
        <w:pStyle w:val="FootnoteText"/>
        <w:ind w:left="480" w:hanging="480"/>
      </w:pPr>
      <w:r>
        <w:rPr>
          <w:rStyle w:val="FootnoteReference"/>
        </w:rPr>
        <w:footnoteRef/>
      </w:r>
      <w:r>
        <w:tab/>
        <w:t>Вж. таблица 1.</w:t>
      </w:r>
    </w:p>
  </w:footnote>
  <w:footnote w:id="37">
    <w:p>
      <w:pPr>
        <w:pStyle w:val="FootnoteText"/>
        <w:ind w:left="480" w:hanging="480"/>
      </w:pPr>
      <w:r>
        <w:rPr>
          <w:rStyle w:val="FootnoteReference"/>
        </w:rPr>
        <w:footnoteRef/>
      </w:r>
      <w:r>
        <w:tab/>
      </w:r>
      <w:r>
        <w:rPr>
          <w:color w:val="000000"/>
        </w:rPr>
        <w:t>Вж. член 14 от Регламент (ЕС,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(ОВ L 168, 7.6.2014 г., стр. 39).</w:t>
      </w:r>
    </w:p>
  </w:footnote>
  <w:footnote w:id="38">
    <w:p>
      <w:pPr>
        <w:pStyle w:val="FootnoteText"/>
        <w:ind w:left="480" w:hanging="480"/>
      </w:pPr>
      <w:r>
        <w:rPr>
          <w:rStyle w:val="FootnoteReference"/>
        </w:rPr>
        <w:footnoteRef/>
      </w:r>
      <w:r>
        <w:tab/>
      </w:r>
      <w:r>
        <w:rPr>
          <w:color w:val="000000"/>
        </w:rPr>
        <w:t>Вж. член 14, параграф 3 от Регламент (ЕС, Евратом) № 609/2014.</w:t>
      </w:r>
    </w:p>
  </w:footnote>
  <w:footnote w:id="39">
    <w:p>
      <w:pPr>
        <w:pStyle w:val="FootnoteText"/>
        <w:ind w:left="480" w:hanging="480"/>
      </w:pPr>
      <w:r>
        <w:rPr>
          <w:rStyle w:val="FootnoteReference"/>
        </w:rPr>
        <w:footnoteRef/>
      </w:r>
      <w:r>
        <w:tab/>
      </w:r>
      <w:r>
        <w:rPr>
          <w:color w:val="000000"/>
        </w:rPr>
        <w:t>Вж. член 8.7 от Решение № 466/2014/ЕС на Европейския парламент и на Съвета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 (ОВ L 135, 8.5.2014 г., стр. 1), изменено с Решение (ЕС) 2018/412 на Европейския парламент и Съвета от 14 март 2018 г. за изменение на Решение № 466/2014/ЕС за предоставяне на гаранция от ЕС на Европейската инвестиционна банка за загуби по операции по финансиране на инвестиционни проекти извън Съюза (ОВ L 76, 19.3.2018 г., стр. 30).</w:t>
      </w:r>
    </w:p>
  </w:footnote>
  <w:footnote w:id="40">
    <w:p>
      <w:pPr>
        <w:pStyle w:val="FootnoteText"/>
        <w:ind w:left="480" w:hanging="480"/>
      </w:pPr>
      <w:r>
        <w:rPr>
          <w:rStyle w:val="FootnoteReference"/>
        </w:rPr>
        <w:footnoteRef/>
      </w:r>
      <w:r>
        <w:tab/>
        <w:t>С изключение на България и Румъния, на които бяха предоставени заеми от Евратом преди присъединяването им към Съюза. Заемите (и гаранциите по заеми) за присъединяващите се държави бяха обезпечени от Фонда до датата на присъединяване. От същата дата тези, които останаха непогасени, престанаха да бъдат външни дейности на Съюза и следователно са обезпечени пряко от бюджета на ЕС.</w:t>
      </w:r>
    </w:p>
  </w:footnote>
  <w:footnote w:id="41">
    <w:p>
      <w:pPr>
        <w:pStyle w:val="FootnoteText"/>
        <w:ind w:left="482" w:hanging="482"/>
      </w:pPr>
      <w:r>
        <w:rPr>
          <w:rStyle w:val="FootnoteReference"/>
        </w:rPr>
        <w:footnoteRef/>
      </w:r>
      <w:r>
        <w:tab/>
      </w:r>
      <w:r>
        <w:rPr>
          <w:color w:val="000000"/>
        </w:rPr>
        <w:t>За допълнителна информация относно процедурите по събиране на вземанията вж. също Споразумението за събиране на вземанията, подписано на 3 октомври 2018 г. между Европейския съюз и Европейската инвестиционна банка, уреждащо условията и процедурите за събиране на плащания, извършени от ЕС по линия на гаранциите, предоставени от него на ЕИБ за загуби по операции за финансиране на инвестиционни проекти извън ЕС.</w:t>
      </w:r>
    </w:p>
  </w:footnote>
  <w:footnote w:id="42">
    <w:p>
      <w:pPr>
        <w:pStyle w:val="FootnoteText"/>
        <w:ind w:left="482" w:hanging="482"/>
      </w:pPr>
      <w:r>
        <w:rPr>
          <w:rStyle w:val="FootnoteReference"/>
        </w:rPr>
        <w:footnoteRef/>
      </w:r>
      <w:r>
        <w:tab/>
        <w:t>ЕИБ изисква санкции и начислени лихви едва с второто искане за плащане за всеки заем, като те се начисляват от датата на неизпълнението до датата на плащането от Гаранционния фонд.</w:t>
      </w:r>
    </w:p>
  </w:footnote>
  <w:footnote w:id="43">
    <w:p>
      <w:pPr>
        <w:pStyle w:val="FootnoteText"/>
        <w:ind w:left="480" w:hanging="480"/>
      </w:pPr>
      <w:r>
        <w:rPr>
          <w:rStyle w:val="FootnoteReference"/>
        </w:rPr>
        <w:footnoteRef/>
      </w:r>
      <w:r>
        <w:tab/>
        <w:t>Това включва сумата от 394,2 милиона евро (главница), която вече е поискана от ЕИБ до 31 декември 2019 г.</w:t>
      </w:r>
    </w:p>
  </w:footnote>
  <w:footnote w:id="44">
    <w:p>
      <w:pPr>
        <w:pStyle w:val="FootnoteText"/>
        <w:ind w:left="426" w:hanging="426"/>
      </w:pPr>
      <w:r>
        <w:rPr>
          <w:rStyle w:val="FootnoteReference"/>
        </w:rPr>
        <w:footnoteRef/>
      </w:r>
      <w:r>
        <w:tab/>
        <w:t>Тази сума включва еднократна такса в размер на 1 467 504,32 EUR по отношение на процедури по възстановяване, които са предприети и които ще бъдат предприети от ЕИБ за този конкретен договор в съответствие със Споразумението за събиране на вземанията.</w:t>
      </w:r>
    </w:p>
  </w:footnote>
  <w:footnote w:id="45">
    <w:p>
      <w:pPr>
        <w:pStyle w:val="FootnoteText"/>
        <w:ind w:left="426" w:hanging="426"/>
      </w:pPr>
      <w:r>
        <w:rPr>
          <w:rStyle w:val="FootnoteReference"/>
        </w:rPr>
        <w:footnoteRef/>
      </w:r>
      <w:r>
        <w:tab/>
        <w:t>Регламент на Съвета (ЕО, Евратом) № 480/2009 относно създаване на Гаранционен фонд за външни дейности (ОВ L 145, 10.6.2009 г., стр. 10), изменен с Регламент (ЕС) 2018/409 (ОВ L 76, 19.3.2018 г., стр. 1).</w:t>
      </w:r>
    </w:p>
  </w:footnote>
  <w:footnote w:id="46">
    <w:p>
      <w:pPr>
        <w:pStyle w:val="FootnoteText"/>
        <w:ind w:left="426" w:hanging="426"/>
      </w:pPr>
      <w:r>
        <w:rPr>
          <w:rStyle w:val="FootnoteReference"/>
        </w:rPr>
        <w:footnoteRef/>
      </w:r>
      <w:r>
        <w:tab/>
        <w:t>Тези суми включват вземане от бюджета на ЕС в размер на 240 152 822,10 EUR през 2019 г. (изплатени от бюджета през 2020 г.; и 103 222 935,00 EUR през 2018 г., изплатени през 2019 г.</w:t>
      </w:r>
    </w:p>
  </w:footnote>
  <w:footnote w:id="47">
    <w:p>
      <w:pPr>
        <w:pStyle w:val="FootnoteText"/>
        <w:ind w:left="426" w:hanging="426"/>
      </w:pPr>
      <w:r>
        <w:rPr>
          <w:rStyle w:val="FootnoteReference"/>
        </w:rPr>
        <w:footnoteRef/>
      </w:r>
      <w:r>
        <w:tab/>
        <w:t>COM(2020) 327 и SWD(2020) 136 от 17.7.2020 г., достъпни на http://eur-lex.europa.eu/homepage.html.</w:t>
      </w:r>
    </w:p>
  </w:footnote>
  <w:footnote w:id="48">
    <w:p>
      <w:pPr>
        <w:pStyle w:val="FootnoteText"/>
        <w:spacing w:before="120"/>
        <w:ind w:left="480" w:hanging="480"/>
      </w:pPr>
      <w:r>
        <w:rPr>
          <w:rStyle w:val="FootnoteReference"/>
        </w:rPr>
        <w:footnoteRef/>
      </w:r>
      <w:r>
        <w:tab/>
        <w:t xml:space="preserve">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(„Регламент за ЕФСИ“) Регламентът за ЕФСИ беше изменен с Регламент (ЕС) 2017/2396 на Европейския парламент и на Съвета от 13 декември 2017 г. по отношение на удължаването на срока на действие на Европейския фонд за стратегически инвестиции, както и въвеждането на технически подобрения за този фонд и за Европейския консултантски център по инвестиционни въпроси („изменението ЕФСИ 2.0“). С изменението ЕФСИ 2.0 бе увеличено, </w:t>
      </w:r>
      <w:r>
        <w:rPr>
          <w:i/>
          <w:iCs/>
        </w:rPr>
        <w:t>inter alia</w:t>
      </w:r>
      <w:r>
        <w:t xml:space="preserve">, равнището на гаранцията на ЕС и бе коригиран целевият размер. Споразумението относно управлението на ЕФСИ и относно предоставянето на гаранцията на ЕС („Споразумението за ЕФСИ“) беше подписано от Европейската комисия и Европейската инвестиционна банка (ЕИБ) на 22 юли 2015 г. и беше изменено и потвърдено на 21 юли 2016 г., 21 ноември 2017 г., 9 март 2018 г., 20 декември 2018 г., 27 март 2020 г. и 27 април 2020 г. </w:t>
      </w:r>
    </w:p>
  </w:footnote>
  <w:footnote w:id="49">
    <w:p>
      <w:pPr>
        <w:pStyle w:val="FootnoteText"/>
        <w:ind w:left="426" w:hanging="426"/>
      </w:pPr>
      <w:r>
        <w:rPr>
          <w:rStyle w:val="FootnoteReference"/>
        </w:rPr>
        <w:footnoteRef/>
      </w:r>
      <w:r>
        <w:tab/>
        <w:t>Нетната стойност е съставена от печалби от 18,5 милиона евро и загуби от 1,4 милиона евро.</w:t>
      </w:r>
    </w:p>
  </w:footnote>
  <w:footnote w:id="50">
    <w:p>
      <w:pPr>
        <w:pStyle w:val="FootnoteText"/>
        <w:ind w:left="426" w:hanging="426"/>
      </w:pPr>
      <w:r>
        <w:rPr>
          <w:rStyle w:val="FootnoteReference"/>
        </w:rPr>
        <w:footnoteRef/>
      </w:r>
      <w:r>
        <w:t xml:space="preserve"> </w:t>
      </w:r>
      <w:r>
        <w:tab/>
        <w:t>След хеджиране на валутния риск за частта от портфейла в щатски долари.</w:t>
      </w:r>
    </w:p>
  </w:footnote>
  <w:footnote w:id="51">
    <w:p>
      <w:pPr>
        <w:pStyle w:val="FootnoteText"/>
        <w:ind w:left="426" w:hanging="426"/>
      </w:pPr>
      <w:r>
        <w:rPr>
          <w:rStyle w:val="FootnoteReference"/>
        </w:rPr>
        <w:footnoteRef/>
      </w:r>
      <w:r>
        <w:t xml:space="preserve"> </w:t>
      </w:r>
      <w:r>
        <w:tab/>
        <w:t>Според член 11 от изменението ЕФСИ 2.0 размерът на гаранцията на ЕС не може в нито един момент да надхвърля 26 милиарда евро и да надхвърля 16 милиарда евро преди 6 юли 2018 г. Исканията за изпълнение и използването на гаранцията на ЕС и провизиите за продукти за портфейлна гаранция в рамките на компонента за МСП се приспадат от максималния размер на гаранцията на ЕС.</w:t>
      </w:r>
    </w:p>
  </w:footnote>
  <w:footnote w:id="52">
    <w:p>
      <w:pPr>
        <w:pStyle w:val="FootnoteText"/>
        <w:ind w:left="426" w:hanging="426"/>
      </w:pPr>
      <w:r>
        <w:rPr>
          <w:rStyle w:val="FootnoteReference"/>
        </w:rPr>
        <w:footnoteRef/>
      </w:r>
      <w:r>
        <w:tab/>
        <w:t>Тази сума включва 135,0 милиона евро нереализирани приходи, свързани с възходящото движение на справедливата стойност на капиталовия портфейл на КИИ към 31 декември 2019 г. в сравнение с 31 декември 2018 г.</w:t>
      </w:r>
    </w:p>
  </w:footnote>
  <w:footnote w:id="53">
    <w:p>
      <w:pPr>
        <w:pStyle w:val="FootnoteText"/>
        <w:ind w:left="426" w:hanging="426"/>
      </w:pPr>
      <w:r>
        <w:rPr>
          <w:rStyle w:val="FootnoteReference"/>
        </w:rPr>
        <w:footnoteRef/>
      </w:r>
      <w:r>
        <w:tab/>
        <w:t>Тази сума включва 69,5 милиона евро финансови провизии по дълговите портфейли на KМСП и 4,3 милиона евро нереализирани разходи, свързани с низходящото движение на справедливата стойност на капиталовите портфейли на КМСП към 31 декември 2019 г. в сравнение с 31 декември 2018 г.</w:t>
      </w:r>
    </w:p>
  </w:footnote>
  <w:footnote w:id="54">
    <w:p>
      <w:pPr>
        <w:pStyle w:val="FootnoteText"/>
        <w:ind w:left="426" w:hanging="426"/>
      </w:pPr>
      <w:r>
        <w:rPr>
          <w:rStyle w:val="FootnoteReference"/>
        </w:rPr>
        <w:footnoteRef/>
      </w:r>
      <w:r>
        <w:tab/>
        <w:t>Решение на Комисията от 11 февруари 2019 г. за приемане на годишната работна програма за 2019 г. на Генерална дирекция „Икономически и финансови въпроси“, служещо като решение за финансиране.</w:t>
      </w:r>
    </w:p>
  </w:footnote>
  <w:footnote w:id="55">
    <w:p>
      <w:pPr>
        <w:pStyle w:val="FootnoteText"/>
        <w:ind w:left="426" w:hanging="426"/>
      </w:pPr>
      <w:r>
        <w:rPr>
          <w:rStyle w:val="FootnoteReference"/>
        </w:rPr>
        <w:footnoteRef/>
      </w:r>
      <w:r>
        <w:t xml:space="preserve"> </w:t>
      </w:r>
      <w:r>
        <w:tab/>
        <w:t>Вж. член 8.1, буква г) от Споразумението за ЕФСИ.</w:t>
      </w:r>
    </w:p>
  </w:footnote>
  <w:footnote w:id="56">
    <w:p>
      <w:pPr>
        <w:pStyle w:val="FootnoteText"/>
        <w:ind w:left="426" w:hanging="426"/>
      </w:pPr>
      <w:r>
        <w:rPr>
          <w:rStyle w:val="FootnoteReference"/>
        </w:rPr>
        <w:footnoteRef/>
      </w:r>
      <w:r>
        <w:t xml:space="preserve"> </w:t>
      </w:r>
      <w:r>
        <w:tab/>
        <w:t>Вж. член 8.1, буква б) от Споразумението за ЕФСИ.</w:t>
      </w:r>
    </w:p>
  </w:footnote>
  <w:footnote w:id="57">
    <w:p>
      <w:pPr>
        <w:pStyle w:val="FootnoteText"/>
        <w:ind w:left="426" w:hanging="426"/>
      </w:pPr>
      <w:r>
        <w:rPr>
          <w:rStyle w:val="FootnoteReference"/>
        </w:rPr>
        <w:footnoteRef/>
      </w:r>
      <w:r>
        <w:t xml:space="preserve"> </w:t>
      </w:r>
      <w:r>
        <w:tab/>
        <w:t>Вж. член 8.1, буква г) и член 11.7 от Споразумението за ЕФСИ.</w:t>
      </w:r>
    </w:p>
  </w:footnote>
  <w:footnote w:id="58">
    <w:p>
      <w:pPr>
        <w:pStyle w:val="FootnoteText"/>
        <w:ind w:left="426" w:hanging="426"/>
      </w:pPr>
      <w:r>
        <w:rPr>
          <w:rStyle w:val="FootnoteReference"/>
        </w:rPr>
        <w:footnoteRef/>
      </w:r>
      <w:r>
        <w:tab/>
        <w:t>COM(2020) 385 и SWD(2020) 162 от 18.8.2020 г., достъпни на http://eur-lex.europa.eu/homepage.html.</w:t>
      </w:r>
    </w:p>
  </w:footnote>
  <w:footnote w:id="59">
    <w:p>
      <w:pPr>
        <w:pStyle w:val="FootnoteText"/>
        <w:ind w:left="426" w:hanging="426"/>
      </w:pPr>
      <w:r>
        <w:rPr>
          <w:rStyle w:val="FootnoteReference"/>
        </w:rPr>
        <w:footnoteRef/>
      </w:r>
      <w:r>
        <w:tab/>
        <w:t xml:space="preserve"> Следва да се отбележи, че като част от ответните действия на кризата, предизвикана от COVID-19, оперативният съвет на ЕФУР от 21 април 2020 г. постигна съгласие да актуализира разпределението на сумите по гаранцията от ЕФУР, като даде приоритет и увеличи размера на гаранциите за предоставяне на ликвидност за микро-, малки и средни предприятия и за проекти за енергия от възобновяеми източници, с което ще се увеличи тяхната гъвкавост за преодоляване на социално-икономическото въздействие на пандемията от COVID-19, и като предвиди освобождаване от плащане на такси в продължение на една година.</w:t>
      </w:r>
    </w:p>
  </w:footnote>
  <w:footnote w:id="60">
    <w:p>
      <w:pPr>
        <w:pStyle w:val="FootnoteText"/>
      </w:pPr>
      <w:r>
        <w:rPr>
          <w:rStyle w:val="FootnoteReference"/>
        </w:rPr>
        <w:footnoteRef/>
      </w:r>
      <w:r>
        <w:t xml:space="preserve"> COM(2020) 346 от 31.7.2020 г., достъпен на адрес: http://eur-lex.europa.eu/homepage.html.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AA278"/>
    <w:lvl w:ilvl="0">
      <w:start w:val="1"/>
      <w:numFmt w:val="decimal"/>
      <w:lvlText w:val="%1."/>
      <w:lvlJc w:val="left"/>
      <w:pPr>
        <w:tabs>
          <w:tab w:val="num" w:pos="1492"/>
        </w:tabs>
        <w:ind w:left="1492" w:hanging="360"/>
      </w:pPr>
    </w:lvl>
  </w:abstractNum>
  <w:abstractNum w:abstractNumId="1">
    <w:nsid w:val="FFFFFF80"/>
    <w:multiLevelType w:val="singleLevel"/>
    <w:tmpl w:val="11FC3AC2"/>
    <w:lvl w:ilvl="0">
      <w:start w:val="1"/>
      <w:numFmt w:val="bullet"/>
      <w:lvlText w:val=""/>
      <w:lvlJc w:val="left"/>
      <w:pPr>
        <w:tabs>
          <w:tab w:val="num" w:pos="1492"/>
        </w:tabs>
        <w:ind w:left="1492" w:hanging="360"/>
      </w:pPr>
      <w:rPr>
        <w:rFonts w:ascii="Symbol" w:hAnsi="Symbol" w:hint="default"/>
      </w:rPr>
    </w:lvl>
  </w:abstractNum>
  <w:abstractNum w:abstractNumId="2">
    <w:nsid w:val="FFFFFF89"/>
    <w:multiLevelType w:val="singleLevel"/>
    <w:tmpl w:val="C13E00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D175C68"/>
    <w:multiLevelType w:val="hybridMultilevel"/>
    <w:tmpl w:val="84CE7842"/>
    <w:lvl w:ilvl="0" w:tplc="785CD484">
      <w:start w:val="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8">
    <w:nsid w:val="1CD71CE5"/>
    <w:multiLevelType w:val="hybridMultilevel"/>
    <w:tmpl w:val="5D9A37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31F65919"/>
    <w:multiLevelType w:val="hybridMultilevel"/>
    <w:tmpl w:val="A7B2D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78B083A"/>
    <w:multiLevelType w:val="hybridMultilevel"/>
    <w:tmpl w:val="724C6F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4">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6">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7">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473508AF"/>
    <w:multiLevelType w:val="hybridMultilevel"/>
    <w:tmpl w:val="863C4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9795E82"/>
    <w:multiLevelType w:val="hybridMultilevel"/>
    <w:tmpl w:val="35E04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5630FD0"/>
    <w:multiLevelType w:val="hybridMultilevel"/>
    <w:tmpl w:val="B3E02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4">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5">
    <w:nsid w:val="59D8701E"/>
    <w:multiLevelType w:val="hybridMultilevel"/>
    <w:tmpl w:val="C9241452"/>
    <w:lvl w:ilvl="0" w:tplc="47B077A8">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B4A68BD"/>
    <w:multiLevelType w:val="multilevel"/>
    <w:tmpl w:val="141CFBD6"/>
    <w:lvl w:ilvl="0">
      <w:start w:val="1"/>
      <w:numFmt w:val="bullet"/>
      <w:pStyle w:val="DBulletsgelb1"/>
      <w:lvlText w:val=""/>
      <w:lvlJc w:val="left"/>
      <w:pPr>
        <w:ind w:left="530" w:hanging="360"/>
      </w:pPr>
      <w:rPr>
        <w:rFonts w:ascii="Symbol" w:hAnsi="Symbol" w:hint="default"/>
        <w:color w:val="auto"/>
        <w:sz w:val="19"/>
        <w:szCs w:val="18"/>
      </w:rPr>
    </w:lvl>
    <w:lvl w:ilvl="1">
      <w:start w:val="1"/>
      <w:numFmt w:val="bullet"/>
      <w:pStyle w:val="BBullets2"/>
      <w:lvlText w:val="o"/>
      <w:lvlJc w:val="left"/>
      <w:pPr>
        <w:tabs>
          <w:tab w:val="num" w:pos="709"/>
        </w:tabs>
        <w:ind w:left="709" w:hanging="284"/>
      </w:pPr>
      <w:rPr>
        <w:rFonts w:ascii="Symbol" w:hAnsi="Symbol" w:hint="default"/>
        <w:sz w:val="16"/>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27">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1">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2">
    <w:nsid w:val="67171B55"/>
    <w:multiLevelType w:val="hybridMultilevel"/>
    <w:tmpl w:val="7C96F1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3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D1471E6"/>
    <w:multiLevelType w:val="hybridMultilevel"/>
    <w:tmpl w:val="9544F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A241BD"/>
    <w:multiLevelType w:val="singleLevel"/>
    <w:tmpl w:val="53C4DF32"/>
    <w:name w:val="NumPar"/>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1">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3">
    <w:nsid w:val="7D8820A0"/>
    <w:multiLevelType w:val="singleLevel"/>
    <w:tmpl w:val="54F6C7B4"/>
    <w:name w:val="Heading"/>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4">
    <w:nsid w:val="7F081A4A"/>
    <w:multiLevelType w:val="hybridMultilevel"/>
    <w:tmpl w:val="AB963DFC"/>
    <w:lvl w:ilvl="0" w:tplc="7572F9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7154E1"/>
    <w:multiLevelType w:val="singleLevel"/>
    <w:tmpl w:val="E3F6D2C6"/>
    <w:name w:val="List Dash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1"/>
  </w:num>
  <w:num w:numId="2">
    <w:abstractNumId w:val="10"/>
  </w:num>
  <w:num w:numId="3">
    <w:abstractNumId w:val="29"/>
  </w:num>
  <w:num w:numId="4">
    <w:abstractNumId w:val="27"/>
  </w:num>
  <w:num w:numId="5">
    <w:abstractNumId w:val="19"/>
  </w:num>
  <w:num w:numId="6">
    <w:abstractNumId w:val="34"/>
  </w:num>
  <w:num w:numId="7">
    <w:abstractNumId w:val="39"/>
  </w:num>
  <w:num w:numId="8">
    <w:abstractNumId w:val="39"/>
  </w:num>
  <w:num w:numId="9">
    <w:abstractNumId w:val="38"/>
  </w:num>
  <w:num w:numId="10">
    <w:abstractNumId w:val="42"/>
  </w:num>
  <w:num w:numId="11">
    <w:abstractNumId w:val="14"/>
  </w:num>
  <w:num w:numId="12">
    <w:abstractNumId w:val="13"/>
  </w:num>
  <w:num w:numId="13">
    <w:abstractNumId w:val="30"/>
  </w:num>
  <w:num w:numId="14">
    <w:abstractNumId w:val="15"/>
  </w:num>
  <w:num w:numId="15">
    <w:abstractNumId w:val="23"/>
  </w:num>
  <w:num w:numId="16">
    <w:abstractNumId w:val="28"/>
  </w:num>
  <w:num w:numId="17">
    <w:abstractNumId w:val="41"/>
  </w:num>
  <w:num w:numId="18">
    <w:abstractNumId w:val="9"/>
  </w:num>
  <w:num w:numId="19">
    <w:abstractNumId w:val="4"/>
  </w:num>
  <w:num w:numId="20">
    <w:abstractNumId w:val="3"/>
  </w:num>
  <w:num w:numId="21">
    <w:abstractNumId w:val="35"/>
  </w:num>
  <w:num w:numId="22">
    <w:abstractNumId w:val="6"/>
  </w:num>
  <w:num w:numId="23">
    <w:abstractNumId w:val="16"/>
  </w:num>
  <w:num w:numId="24">
    <w:abstractNumId w:val="45"/>
  </w:num>
  <w:num w:numId="25">
    <w:abstractNumId w:val="17"/>
  </w:num>
  <w:num w:numId="26">
    <w:abstractNumId w:val="31"/>
  </w:num>
  <w:num w:numId="27">
    <w:abstractNumId w:val="24"/>
  </w:num>
  <w:num w:numId="28">
    <w:abstractNumId w:val="40"/>
  </w:num>
  <w:num w:numId="29">
    <w:abstractNumId w:val="43"/>
  </w:num>
  <w:num w:numId="30">
    <w:abstractNumId w:val="2"/>
  </w:num>
  <w:num w:numId="31">
    <w:abstractNumId w:val="39"/>
  </w:num>
  <w:num w:numId="32">
    <w:abstractNumId w:val="39"/>
  </w:num>
  <w:num w:numId="33">
    <w:abstractNumId w:val="26"/>
  </w:num>
  <w:num w:numId="34">
    <w:abstractNumId w:val="33"/>
  </w:num>
  <w:num w:numId="35">
    <w:abstractNumId w:val="18"/>
  </w:num>
  <w:num w:numId="36">
    <w:abstractNumId w:val="22"/>
  </w:num>
  <w:num w:numId="37">
    <w:abstractNumId w:val="20"/>
  </w:num>
  <w:num w:numId="38">
    <w:abstractNumId w:val="8"/>
  </w:num>
  <w:num w:numId="39">
    <w:abstractNumId w:val="36"/>
  </w:num>
  <w:num w:numId="40">
    <w:abstractNumId w:val="12"/>
  </w:num>
  <w:num w:numId="41">
    <w:abstractNumId w:val="11"/>
  </w:num>
  <w:num w:numId="42">
    <w:abstractNumId w:val="44"/>
  </w:num>
  <w:num w:numId="43">
    <w:abstractNumId w:val="25"/>
  </w:num>
  <w:num w:numId="44">
    <w:abstractNumId w:val="5"/>
  </w:num>
  <w:num w:numId="45">
    <w:abstractNumId w:val="7"/>
  </w:num>
  <w:num w:numId="46">
    <w:abstractNumId w:val="32"/>
  </w:num>
  <w:num w:numId="47">
    <w:abstractNumId w:val="1"/>
  </w:num>
  <w:num w:numId="48">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7CBD229D-F292-4210-AD58-0A0B3B536517"/>
    <w:docVar w:name="LW_COVERPAGE_TYPE" w:val="1"/>
    <w:docVar w:name="LW_CROSSREFERENCE" w:val="{SWD(2020) 241 final}"/>
    <w:docVar w:name="LW_DocType" w:val="NORMAL"/>
    <w:docVar w:name="LW_EMISSION" w:val="28.10.2020"/>
    <w:docVar w:name="LW_EMISSION_ISODATE" w:val="2020-10-2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4?\u1058?\u1053?\u1054?\u1057?\u1053?\u1054? \u1043?\u1040?\u1056?\u1040?\u1053?\u1062?\u1048?\u1048?\u1058?\u1045?, \u1050?\u1054?\u1048?\u1058?\u1054? \u1057?\u1045? \u1055?\u1054?\u1050?\u1056?\u1048?\u1042?\u1040?\u1058? \u1054?\u1058? \u1054?\u1041?\u1065?\u1048?\u1071? \u1041?\u1070?\u1044?\u1046?\u1045?\u1058?_x000b_\u1055?\u1086?\u1083?\u1086?\u1078?\u1077?\u1085?\u1080?\u1077? \u1082?\u1098?\u1084? 31 \u1076?\u1077?\u1082?\u1077?\u1084?\u1074?\u1088?\u1080? 2019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number,SUPERS,Footnote Reference Superscript,-E Fuﬂnotenzeichen,-E Fuûnotenzeichen,-E Fußnotenzeichen,EN Footnote Reference,Footnote number,stylish,Footnote symbol,(Footnote Reference),Footnote reference number,note TESI,ftref"/>
    <w:link w:val="BVIfnrChar"/>
    <w:uiPriority w:val="99"/>
    <w:qFormat/>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pPr>
      <w:spacing w:before="0" w:after="160" w:line="240" w:lineRule="exact"/>
      <w:jc w:val="left"/>
    </w:pPr>
    <w:rPr>
      <w:sz w:val="20"/>
      <w:szCs w:val="20"/>
      <w:vertAlign w:val="superscript"/>
      <w:lang w:eastAsia="en-GB"/>
    </w:rPr>
  </w:style>
  <w:style w:type="character" w:customStyle="1" w:styleId="tabbedrightnegativecell">
    <w:name w:val="tabbedrightnegativecell"/>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number,SUPERS,Footnote Reference Superscript,-E Fuﬂnotenzeichen,-E Fuûnotenzeichen,-E Fußnotenzeichen,EN Footnote Reference,Footnote number,stylish,Footnote symbol,(Footnote Reference),Footnote reference number,note TESI,ftref"/>
    <w:link w:val="BVIfnrChar"/>
    <w:uiPriority w:val="99"/>
    <w:qFormat/>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pPr>
      <w:spacing w:before="0" w:after="160" w:line="240" w:lineRule="exact"/>
      <w:jc w:val="left"/>
    </w:pPr>
    <w:rPr>
      <w:sz w:val="20"/>
      <w:szCs w:val="20"/>
      <w:vertAlign w:val="superscript"/>
      <w:lang w:eastAsia="en-GB"/>
    </w:rPr>
  </w:style>
  <w:style w:type="character" w:customStyle="1" w:styleId="tabbedrightnegativecell">
    <w:name w:val="tabbedrightnegativecel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5135">
      <w:bodyDiv w:val="1"/>
      <w:marLeft w:val="0"/>
      <w:marRight w:val="0"/>
      <w:marTop w:val="0"/>
      <w:marBottom w:val="0"/>
      <w:divBdr>
        <w:top w:val="none" w:sz="0" w:space="0" w:color="auto"/>
        <w:left w:val="none" w:sz="0" w:space="0" w:color="auto"/>
        <w:bottom w:val="none" w:sz="0" w:space="0" w:color="auto"/>
        <w:right w:val="none" w:sz="0" w:space="0" w:color="auto"/>
      </w:divBdr>
    </w:div>
    <w:div w:id="339546453">
      <w:bodyDiv w:val="1"/>
      <w:marLeft w:val="0"/>
      <w:marRight w:val="0"/>
      <w:marTop w:val="0"/>
      <w:marBottom w:val="0"/>
      <w:divBdr>
        <w:top w:val="none" w:sz="0" w:space="0" w:color="auto"/>
        <w:left w:val="none" w:sz="0" w:space="0" w:color="auto"/>
        <w:bottom w:val="none" w:sz="0" w:space="0" w:color="auto"/>
        <w:right w:val="none" w:sz="0" w:space="0" w:color="auto"/>
      </w:divBdr>
    </w:div>
    <w:div w:id="357388917">
      <w:bodyDiv w:val="1"/>
      <w:marLeft w:val="0"/>
      <w:marRight w:val="0"/>
      <w:marTop w:val="0"/>
      <w:marBottom w:val="0"/>
      <w:divBdr>
        <w:top w:val="none" w:sz="0" w:space="0" w:color="auto"/>
        <w:left w:val="none" w:sz="0" w:space="0" w:color="auto"/>
        <w:bottom w:val="none" w:sz="0" w:space="0" w:color="auto"/>
        <w:right w:val="none" w:sz="0" w:space="0" w:color="auto"/>
      </w:divBdr>
    </w:div>
    <w:div w:id="419453083">
      <w:bodyDiv w:val="1"/>
      <w:marLeft w:val="0"/>
      <w:marRight w:val="0"/>
      <w:marTop w:val="0"/>
      <w:marBottom w:val="0"/>
      <w:divBdr>
        <w:top w:val="none" w:sz="0" w:space="0" w:color="auto"/>
        <w:left w:val="none" w:sz="0" w:space="0" w:color="auto"/>
        <w:bottom w:val="none" w:sz="0" w:space="0" w:color="auto"/>
        <w:right w:val="none" w:sz="0" w:space="0" w:color="auto"/>
      </w:divBdr>
    </w:div>
    <w:div w:id="552615252">
      <w:bodyDiv w:val="1"/>
      <w:marLeft w:val="0"/>
      <w:marRight w:val="0"/>
      <w:marTop w:val="0"/>
      <w:marBottom w:val="0"/>
      <w:divBdr>
        <w:top w:val="none" w:sz="0" w:space="0" w:color="auto"/>
        <w:left w:val="none" w:sz="0" w:space="0" w:color="auto"/>
        <w:bottom w:val="none" w:sz="0" w:space="0" w:color="auto"/>
        <w:right w:val="none" w:sz="0" w:space="0" w:color="auto"/>
      </w:divBdr>
    </w:div>
    <w:div w:id="751202449">
      <w:bodyDiv w:val="1"/>
      <w:marLeft w:val="0"/>
      <w:marRight w:val="0"/>
      <w:marTop w:val="0"/>
      <w:marBottom w:val="0"/>
      <w:divBdr>
        <w:top w:val="none" w:sz="0" w:space="0" w:color="auto"/>
        <w:left w:val="none" w:sz="0" w:space="0" w:color="auto"/>
        <w:bottom w:val="none" w:sz="0" w:space="0" w:color="auto"/>
        <w:right w:val="none" w:sz="0" w:space="0" w:color="auto"/>
      </w:divBdr>
    </w:div>
    <w:div w:id="790244039">
      <w:bodyDiv w:val="1"/>
      <w:marLeft w:val="0"/>
      <w:marRight w:val="0"/>
      <w:marTop w:val="0"/>
      <w:marBottom w:val="0"/>
      <w:divBdr>
        <w:top w:val="none" w:sz="0" w:space="0" w:color="auto"/>
        <w:left w:val="none" w:sz="0" w:space="0" w:color="auto"/>
        <w:bottom w:val="none" w:sz="0" w:space="0" w:color="auto"/>
        <w:right w:val="none" w:sz="0" w:space="0" w:color="auto"/>
      </w:divBdr>
    </w:div>
    <w:div w:id="983241643">
      <w:bodyDiv w:val="1"/>
      <w:marLeft w:val="0"/>
      <w:marRight w:val="0"/>
      <w:marTop w:val="0"/>
      <w:marBottom w:val="0"/>
      <w:divBdr>
        <w:top w:val="none" w:sz="0" w:space="0" w:color="auto"/>
        <w:left w:val="none" w:sz="0" w:space="0" w:color="auto"/>
        <w:bottom w:val="none" w:sz="0" w:space="0" w:color="auto"/>
        <w:right w:val="none" w:sz="0" w:space="0" w:color="auto"/>
      </w:divBdr>
    </w:div>
    <w:div w:id="1113477509">
      <w:bodyDiv w:val="1"/>
      <w:marLeft w:val="0"/>
      <w:marRight w:val="0"/>
      <w:marTop w:val="0"/>
      <w:marBottom w:val="0"/>
      <w:divBdr>
        <w:top w:val="none" w:sz="0" w:space="0" w:color="auto"/>
        <w:left w:val="none" w:sz="0" w:space="0" w:color="auto"/>
        <w:bottom w:val="none" w:sz="0" w:space="0" w:color="auto"/>
        <w:right w:val="none" w:sz="0" w:space="0" w:color="auto"/>
      </w:divBdr>
    </w:div>
    <w:div w:id="1249382966">
      <w:bodyDiv w:val="1"/>
      <w:marLeft w:val="0"/>
      <w:marRight w:val="0"/>
      <w:marTop w:val="0"/>
      <w:marBottom w:val="0"/>
      <w:divBdr>
        <w:top w:val="none" w:sz="0" w:space="0" w:color="auto"/>
        <w:left w:val="none" w:sz="0" w:space="0" w:color="auto"/>
        <w:bottom w:val="none" w:sz="0" w:space="0" w:color="auto"/>
        <w:right w:val="none" w:sz="0" w:space="0" w:color="auto"/>
      </w:divBdr>
    </w:div>
    <w:div w:id="1435828464">
      <w:bodyDiv w:val="1"/>
      <w:marLeft w:val="0"/>
      <w:marRight w:val="0"/>
      <w:marTop w:val="0"/>
      <w:marBottom w:val="0"/>
      <w:divBdr>
        <w:top w:val="none" w:sz="0" w:space="0" w:color="auto"/>
        <w:left w:val="none" w:sz="0" w:space="0" w:color="auto"/>
        <w:bottom w:val="none" w:sz="0" w:space="0" w:color="auto"/>
        <w:right w:val="none" w:sz="0" w:space="0" w:color="auto"/>
      </w:divBdr>
    </w:div>
    <w:div w:id="1449197605">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3">
          <w:marLeft w:val="0"/>
          <w:marRight w:val="0"/>
          <w:marTop w:val="0"/>
          <w:marBottom w:val="0"/>
          <w:divBdr>
            <w:top w:val="none" w:sz="0" w:space="0" w:color="auto"/>
            <w:left w:val="none" w:sz="0" w:space="0" w:color="auto"/>
            <w:bottom w:val="none" w:sz="0" w:space="0" w:color="auto"/>
            <w:right w:val="none" w:sz="0" w:space="0" w:color="auto"/>
          </w:divBdr>
          <w:divsChild>
            <w:div w:id="1195967791">
              <w:marLeft w:val="-300"/>
              <w:marRight w:val="0"/>
              <w:marTop w:val="0"/>
              <w:marBottom w:val="270"/>
              <w:divBdr>
                <w:top w:val="none" w:sz="0" w:space="0" w:color="auto"/>
                <w:left w:val="none" w:sz="0" w:space="0" w:color="auto"/>
                <w:bottom w:val="none" w:sz="0" w:space="0" w:color="auto"/>
                <w:right w:val="none" w:sz="0" w:space="0" w:color="auto"/>
              </w:divBdr>
              <w:divsChild>
                <w:div w:id="1963266378">
                  <w:marLeft w:val="0"/>
                  <w:marRight w:val="0"/>
                  <w:marTop w:val="0"/>
                  <w:marBottom w:val="0"/>
                  <w:divBdr>
                    <w:top w:val="none" w:sz="0" w:space="0" w:color="auto"/>
                    <w:left w:val="none" w:sz="0" w:space="0" w:color="auto"/>
                    <w:bottom w:val="none" w:sz="0" w:space="0" w:color="auto"/>
                    <w:right w:val="none" w:sz="0" w:space="0" w:color="auto"/>
                  </w:divBdr>
                  <w:divsChild>
                    <w:div w:id="969550347">
                      <w:marLeft w:val="0"/>
                      <w:marRight w:val="0"/>
                      <w:marTop w:val="0"/>
                      <w:marBottom w:val="270"/>
                      <w:divBdr>
                        <w:top w:val="none" w:sz="0" w:space="0" w:color="auto"/>
                        <w:left w:val="none" w:sz="0" w:space="0" w:color="auto"/>
                        <w:bottom w:val="none" w:sz="0" w:space="0" w:color="auto"/>
                        <w:right w:val="none" w:sz="0" w:space="0" w:color="auto"/>
                      </w:divBdr>
                      <w:divsChild>
                        <w:div w:id="1118140803">
                          <w:marLeft w:val="0"/>
                          <w:marRight w:val="0"/>
                          <w:marTop w:val="0"/>
                          <w:marBottom w:val="0"/>
                          <w:divBdr>
                            <w:top w:val="none" w:sz="0" w:space="0" w:color="auto"/>
                            <w:left w:val="none" w:sz="0" w:space="0" w:color="auto"/>
                            <w:bottom w:val="none" w:sz="0" w:space="0" w:color="auto"/>
                            <w:right w:val="none" w:sz="0" w:space="0" w:color="auto"/>
                          </w:divBdr>
                          <w:divsChild>
                            <w:div w:id="2042395949">
                              <w:marLeft w:val="0"/>
                              <w:marRight w:val="0"/>
                              <w:marTop w:val="0"/>
                              <w:marBottom w:val="0"/>
                              <w:divBdr>
                                <w:top w:val="none" w:sz="0" w:space="0" w:color="auto"/>
                                <w:left w:val="none" w:sz="0" w:space="0" w:color="auto"/>
                                <w:bottom w:val="none" w:sz="0" w:space="0" w:color="auto"/>
                                <w:right w:val="none" w:sz="0" w:space="0" w:color="auto"/>
                              </w:divBdr>
                              <w:divsChild>
                                <w:div w:id="59836253">
                                  <w:marLeft w:val="0"/>
                                  <w:marRight w:val="0"/>
                                  <w:marTop w:val="0"/>
                                  <w:marBottom w:val="0"/>
                                  <w:divBdr>
                                    <w:top w:val="none" w:sz="0" w:space="0" w:color="auto"/>
                                    <w:left w:val="none" w:sz="0" w:space="0" w:color="auto"/>
                                    <w:bottom w:val="none" w:sz="0" w:space="0" w:color="auto"/>
                                    <w:right w:val="none" w:sz="0" w:space="0" w:color="auto"/>
                                  </w:divBdr>
                                  <w:divsChild>
                                    <w:div w:id="1570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7983">
      <w:bodyDiv w:val="1"/>
      <w:marLeft w:val="0"/>
      <w:marRight w:val="0"/>
      <w:marTop w:val="0"/>
      <w:marBottom w:val="0"/>
      <w:divBdr>
        <w:top w:val="none" w:sz="0" w:space="0" w:color="auto"/>
        <w:left w:val="none" w:sz="0" w:space="0" w:color="auto"/>
        <w:bottom w:val="none" w:sz="0" w:space="0" w:color="auto"/>
        <w:right w:val="none" w:sz="0" w:space="0" w:color="auto"/>
      </w:divBdr>
      <w:divsChild>
        <w:div w:id="557279205">
          <w:marLeft w:val="0"/>
          <w:marRight w:val="0"/>
          <w:marTop w:val="0"/>
          <w:marBottom w:val="0"/>
          <w:divBdr>
            <w:top w:val="none" w:sz="0" w:space="0" w:color="auto"/>
            <w:left w:val="none" w:sz="0" w:space="0" w:color="auto"/>
            <w:bottom w:val="none" w:sz="0" w:space="0" w:color="auto"/>
            <w:right w:val="none" w:sz="0" w:space="0" w:color="auto"/>
          </w:divBdr>
          <w:divsChild>
            <w:div w:id="1843855925">
              <w:marLeft w:val="0"/>
              <w:marRight w:val="0"/>
              <w:marTop w:val="0"/>
              <w:marBottom w:val="0"/>
              <w:divBdr>
                <w:top w:val="none" w:sz="0" w:space="0" w:color="auto"/>
                <w:left w:val="none" w:sz="0" w:space="0" w:color="auto"/>
                <w:bottom w:val="none" w:sz="0" w:space="0" w:color="auto"/>
                <w:right w:val="none" w:sz="0" w:space="0" w:color="auto"/>
              </w:divBdr>
              <w:divsChild>
                <w:div w:id="335615287">
                  <w:marLeft w:val="0"/>
                  <w:marRight w:val="0"/>
                  <w:marTop w:val="0"/>
                  <w:marBottom w:val="0"/>
                  <w:divBdr>
                    <w:top w:val="none" w:sz="0" w:space="0" w:color="auto"/>
                    <w:left w:val="none" w:sz="0" w:space="0" w:color="auto"/>
                    <w:bottom w:val="none" w:sz="0" w:space="0" w:color="auto"/>
                    <w:right w:val="none" w:sz="0" w:space="0" w:color="auto"/>
                  </w:divBdr>
                  <w:divsChild>
                    <w:div w:id="1252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0335">
      <w:bodyDiv w:val="1"/>
      <w:marLeft w:val="0"/>
      <w:marRight w:val="0"/>
      <w:marTop w:val="0"/>
      <w:marBottom w:val="0"/>
      <w:divBdr>
        <w:top w:val="none" w:sz="0" w:space="0" w:color="auto"/>
        <w:left w:val="none" w:sz="0" w:space="0" w:color="auto"/>
        <w:bottom w:val="none" w:sz="0" w:space="0" w:color="auto"/>
        <w:right w:val="none" w:sz="0" w:space="0" w:color="auto"/>
      </w:divBdr>
    </w:div>
    <w:div w:id="1760590565">
      <w:bodyDiv w:val="1"/>
      <w:marLeft w:val="0"/>
      <w:marRight w:val="0"/>
      <w:marTop w:val="0"/>
      <w:marBottom w:val="0"/>
      <w:divBdr>
        <w:top w:val="none" w:sz="0" w:space="0" w:color="auto"/>
        <w:left w:val="none" w:sz="0" w:space="0" w:color="auto"/>
        <w:bottom w:val="none" w:sz="0" w:space="0" w:color="auto"/>
        <w:right w:val="none" w:sz="0" w:space="0" w:color="auto"/>
      </w:divBdr>
    </w:div>
    <w:div w:id="1959608444">
      <w:bodyDiv w:val="1"/>
      <w:marLeft w:val="0"/>
      <w:marRight w:val="0"/>
      <w:marTop w:val="0"/>
      <w:marBottom w:val="0"/>
      <w:divBdr>
        <w:top w:val="none" w:sz="0" w:space="0" w:color="auto"/>
        <w:left w:val="none" w:sz="0" w:space="0" w:color="auto"/>
        <w:bottom w:val="none" w:sz="0" w:space="0" w:color="auto"/>
        <w:right w:val="none" w:sz="0" w:space="0" w:color="auto"/>
      </w:divBdr>
    </w:div>
    <w:div w:id="2028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stosklo\AppData\Local\AppData\Local\Microsoft\Windows\Temporary%20Internet%20Files\AppData\Local\Microsoft\Windows\Temporary%20Internet%20Files\skrynna\AppData\Local\Microsoft\Windows\skrynna\AppData\Local\Microsoft\Windows\Temporary%20Internet%20Files\sinesca\AppData\Local\Microsoft\Windows\Temporary%20Internet%20Files\skrynna\AppData\Local\Microsoft\Windows\Temporary%20Internet%20Files\skrynna\AppData\Local\Microsoft\Windows\steimpa\AppData\Local\Microsoft\Windows\Temporary%20Internet%20Files\Content.Outlook\ASMTF00S\About%20the%20EFSF" TargetMode="External"/><Relationship Id="rId2" Type="http://schemas.openxmlformats.org/officeDocument/2006/relationships/hyperlink" Target="http://data.europa.eu/eli/reg/2015/1017/2017-12-30" TargetMode="External"/><Relationship Id="rId1" Type="http://schemas.openxmlformats.org/officeDocument/2006/relationships/hyperlink" Target="http://eur-lex.europa.eu/homepage.html" TargetMode="External"/><Relationship Id="rId5" Type="http://schemas.openxmlformats.org/officeDocument/2006/relationships/hyperlink" Target="http://www.consilium.europa.eu/uedocs/cms_data/docs/pressdata/en/ecofin/114324.pdf" TargetMode="External"/><Relationship Id="rId4" Type="http://schemas.openxmlformats.org/officeDocument/2006/relationships/hyperlink" Target="https://www.esm.europa.eu/efsf-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64777-E02D-41A8-BA2E-9029E8D1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7842</Words>
  <Characters>40466</Characters>
  <Application>Microsoft Office Word</Application>
  <DocSecurity>0</DocSecurity>
  <Lines>1064</Lines>
  <Paragraphs>627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47681</CharactersWithSpaces>
  <SharedDoc>false</SharedDoc>
  <HLinks>
    <vt:vector size="156" baseType="variant">
      <vt:variant>
        <vt:i4>1835064</vt:i4>
      </vt:variant>
      <vt:variant>
        <vt:i4>131</vt:i4>
      </vt:variant>
      <vt:variant>
        <vt:i4>0</vt:i4>
      </vt:variant>
      <vt:variant>
        <vt:i4>5</vt:i4>
      </vt:variant>
      <vt:variant>
        <vt:lpwstr/>
      </vt:variant>
      <vt:variant>
        <vt:lpwstr>_Toc485288193</vt:lpwstr>
      </vt:variant>
      <vt:variant>
        <vt:i4>1835064</vt:i4>
      </vt:variant>
      <vt:variant>
        <vt:i4>125</vt:i4>
      </vt:variant>
      <vt:variant>
        <vt:i4>0</vt:i4>
      </vt:variant>
      <vt:variant>
        <vt:i4>5</vt:i4>
      </vt:variant>
      <vt:variant>
        <vt:lpwstr/>
      </vt:variant>
      <vt:variant>
        <vt:lpwstr>_Toc485288192</vt:lpwstr>
      </vt:variant>
      <vt:variant>
        <vt:i4>1835064</vt:i4>
      </vt:variant>
      <vt:variant>
        <vt:i4>119</vt:i4>
      </vt:variant>
      <vt:variant>
        <vt:i4>0</vt:i4>
      </vt:variant>
      <vt:variant>
        <vt:i4>5</vt:i4>
      </vt:variant>
      <vt:variant>
        <vt:lpwstr/>
      </vt:variant>
      <vt:variant>
        <vt:lpwstr>_Toc485288191</vt:lpwstr>
      </vt:variant>
      <vt:variant>
        <vt:i4>1835064</vt:i4>
      </vt:variant>
      <vt:variant>
        <vt:i4>113</vt:i4>
      </vt:variant>
      <vt:variant>
        <vt:i4>0</vt:i4>
      </vt:variant>
      <vt:variant>
        <vt:i4>5</vt:i4>
      </vt:variant>
      <vt:variant>
        <vt:lpwstr/>
      </vt:variant>
      <vt:variant>
        <vt:lpwstr>_Toc485288190</vt:lpwstr>
      </vt:variant>
      <vt:variant>
        <vt:i4>1900600</vt:i4>
      </vt:variant>
      <vt:variant>
        <vt:i4>107</vt:i4>
      </vt:variant>
      <vt:variant>
        <vt:i4>0</vt:i4>
      </vt:variant>
      <vt:variant>
        <vt:i4>5</vt:i4>
      </vt:variant>
      <vt:variant>
        <vt:lpwstr/>
      </vt:variant>
      <vt:variant>
        <vt:lpwstr>_Toc485288189</vt:lpwstr>
      </vt:variant>
      <vt:variant>
        <vt:i4>1900600</vt:i4>
      </vt:variant>
      <vt:variant>
        <vt:i4>101</vt:i4>
      </vt:variant>
      <vt:variant>
        <vt:i4>0</vt:i4>
      </vt:variant>
      <vt:variant>
        <vt:i4>5</vt:i4>
      </vt:variant>
      <vt:variant>
        <vt:lpwstr/>
      </vt:variant>
      <vt:variant>
        <vt:lpwstr>_Toc485288188</vt:lpwstr>
      </vt:variant>
      <vt:variant>
        <vt:i4>1900600</vt:i4>
      </vt:variant>
      <vt:variant>
        <vt:i4>95</vt:i4>
      </vt:variant>
      <vt:variant>
        <vt:i4>0</vt:i4>
      </vt:variant>
      <vt:variant>
        <vt:i4>5</vt:i4>
      </vt:variant>
      <vt:variant>
        <vt:lpwstr/>
      </vt:variant>
      <vt:variant>
        <vt:lpwstr>_Toc485288187</vt:lpwstr>
      </vt:variant>
      <vt:variant>
        <vt:i4>1900600</vt:i4>
      </vt:variant>
      <vt:variant>
        <vt:i4>89</vt:i4>
      </vt:variant>
      <vt:variant>
        <vt:i4>0</vt:i4>
      </vt:variant>
      <vt:variant>
        <vt:i4>5</vt:i4>
      </vt:variant>
      <vt:variant>
        <vt:lpwstr/>
      </vt:variant>
      <vt:variant>
        <vt:lpwstr>_Toc485288186</vt:lpwstr>
      </vt:variant>
      <vt:variant>
        <vt:i4>1900600</vt:i4>
      </vt:variant>
      <vt:variant>
        <vt:i4>83</vt:i4>
      </vt:variant>
      <vt:variant>
        <vt:i4>0</vt:i4>
      </vt:variant>
      <vt:variant>
        <vt:i4>5</vt:i4>
      </vt:variant>
      <vt:variant>
        <vt:lpwstr/>
      </vt:variant>
      <vt:variant>
        <vt:lpwstr>_Toc485288185</vt:lpwstr>
      </vt:variant>
      <vt:variant>
        <vt:i4>1900600</vt:i4>
      </vt:variant>
      <vt:variant>
        <vt:i4>77</vt:i4>
      </vt:variant>
      <vt:variant>
        <vt:i4>0</vt:i4>
      </vt:variant>
      <vt:variant>
        <vt:i4>5</vt:i4>
      </vt:variant>
      <vt:variant>
        <vt:lpwstr/>
      </vt:variant>
      <vt:variant>
        <vt:lpwstr>_Toc485288184</vt:lpwstr>
      </vt:variant>
      <vt:variant>
        <vt:i4>1900600</vt:i4>
      </vt:variant>
      <vt:variant>
        <vt:i4>71</vt:i4>
      </vt:variant>
      <vt:variant>
        <vt:i4>0</vt:i4>
      </vt:variant>
      <vt:variant>
        <vt:i4>5</vt:i4>
      </vt:variant>
      <vt:variant>
        <vt:lpwstr/>
      </vt:variant>
      <vt:variant>
        <vt:lpwstr>_Toc485288183</vt:lpwstr>
      </vt:variant>
      <vt:variant>
        <vt:i4>1900600</vt:i4>
      </vt:variant>
      <vt:variant>
        <vt:i4>65</vt:i4>
      </vt:variant>
      <vt:variant>
        <vt:i4>0</vt:i4>
      </vt:variant>
      <vt:variant>
        <vt:i4>5</vt:i4>
      </vt:variant>
      <vt:variant>
        <vt:lpwstr/>
      </vt:variant>
      <vt:variant>
        <vt:lpwstr>_Toc485288182</vt:lpwstr>
      </vt:variant>
      <vt:variant>
        <vt:i4>1900600</vt:i4>
      </vt:variant>
      <vt:variant>
        <vt:i4>59</vt:i4>
      </vt:variant>
      <vt:variant>
        <vt:i4>0</vt:i4>
      </vt:variant>
      <vt:variant>
        <vt:i4>5</vt:i4>
      </vt:variant>
      <vt:variant>
        <vt:lpwstr/>
      </vt:variant>
      <vt:variant>
        <vt:lpwstr>_Toc485288181</vt:lpwstr>
      </vt:variant>
      <vt:variant>
        <vt:i4>1900600</vt:i4>
      </vt:variant>
      <vt:variant>
        <vt:i4>53</vt:i4>
      </vt:variant>
      <vt:variant>
        <vt:i4>0</vt:i4>
      </vt:variant>
      <vt:variant>
        <vt:i4>5</vt:i4>
      </vt:variant>
      <vt:variant>
        <vt:lpwstr/>
      </vt:variant>
      <vt:variant>
        <vt:lpwstr>_Toc485288180</vt:lpwstr>
      </vt:variant>
      <vt:variant>
        <vt:i4>1179704</vt:i4>
      </vt:variant>
      <vt:variant>
        <vt:i4>47</vt:i4>
      </vt:variant>
      <vt:variant>
        <vt:i4>0</vt:i4>
      </vt:variant>
      <vt:variant>
        <vt:i4>5</vt:i4>
      </vt:variant>
      <vt:variant>
        <vt:lpwstr/>
      </vt:variant>
      <vt:variant>
        <vt:lpwstr>_Toc485288179</vt:lpwstr>
      </vt:variant>
      <vt:variant>
        <vt:i4>1179704</vt:i4>
      </vt:variant>
      <vt:variant>
        <vt:i4>41</vt:i4>
      </vt:variant>
      <vt:variant>
        <vt:i4>0</vt:i4>
      </vt:variant>
      <vt:variant>
        <vt:i4>5</vt:i4>
      </vt:variant>
      <vt:variant>
        <vt:lpwstr/>
      </vt:variant>
      <vt:variant>
        <vt:lpwstr>_Toc485288178</vt:lpwstr>
      </vt:variant>
      <vt:variant>
        <vt:i4>1179704</vt:i4>
      </vt:variant>
      <vt:variant>
        <vt:i4>35</vt:i4>
      </vt:variant>
      <vt:variant>
        <vt:i4>0</vt:i4>
      </vt:variant>
      <vt:variant>
        <vt:i4>5</vt:i4>
      </vt:variant>
      <vt:variant>
        <vt:lpwstr/>
      </vt:variant>
      <vt:variant>
        <vt:lpwstr>_Toc485288177</vt:lpwstr>
      </vt:variant>
      <vt:variant>
        <vt:i4>1179704</vt:i4>
      </vt:variant>
      <vt:variant>
        <vt:i4>29</vt:i4>
      </vt:variant>
      <vt:variant>
        <vt:i4>0</vt:i4>
      </vt:variant>
      <vt:variant>
        <vt:i4>5</vt:i4>
      </vt:variant>
      <vt:variant>
        <vt:lpwstr/>
      </vt:variant>
      <vt:variant>
        <vt:lpwstr>_Toc485288176</vt:lpwstr>
      </vt:variant>
      <vt:variant>
        <vt:i4>1179704</vt:i4>
      </vt:variant>
      <vt:variant>
        <vt:i4>23</vt:i4>
      </vt:variant>
      <vt:variant>
        <vt:i4>0</vt:i4>
      </vt:variant>
      <vt:variant>
        <vt:i4>5</vt:i4>
      </vt:variant>
      <vt:variant>
        <vt:lpwstr/>
      </vt:variant>
      <vt:variant>
        <vt:lpwstr>_Toc485288175</vt:lpwstr>
      </vt:variant>
      <vt:variant>
        <vt:i4>1179704</vt:i4>
      </vt:variant>
      <vt:variant>
        <vt:i4>17</vt:i4>
      </vt:variant>
      <vt:variant>
        <vt:i4>0</vt:i4>
      </vt:variant>
      <vt:variant>
        <vt:i4>5</vt:i4>
      </vt:variant>
      <vt:variant>
        <vt:lpwstr/>
      </vt:variant>
      <vt:variant>
        <vt:lpwstr>_Toc485288174</vt:lpwstr>
      </vt:variant>
      <vt:variant>
        <vt:i4>1179704</vt:i4>
      </vt:variant>
      <vt:variant>
        <vt:i4>11</vt:i4>
      </vt:variant>
      <vt:variant>
        <vt:i4>0</vt:i4>
      </vt:variant>
      <vt:variant>
        <vt:i4>5</vt:i4>
      </vt:variant>
      <vt:variant>
        <vt:lpwstr/>
      </vt:variant>
      <vt:variant>
        <vt:lpwstr>_Toc485288173</vt:lpwstr>
      </vt:variant>
      <vt:variant>
        <vt:i4>1179704</vt:i4>
      </vt:variant>
      <vt:variant>
        <vt:i4>5</vt:i4>
      </vt:variant>
      <vt:variant>
        <vt:i4>0</vt:i4>
      </vt:variant>
      <vt:variant>
        <vt:i4>5</vt:i4>
      </vt:variant>
      <vt:variant>
        <vt:lpwstr/>
      </vt:variant>
      <vt:variant>
        <vt:lpwstr>_Toc485288172</vt:lpwstr>
      </vt:variant>
      <vt:variant>
        <vt:i4>786490</vt:i4>
      </vt:variant>
      <vt:variant>
        <vt:i4>9</vt:i4>
      </vt:variant>
      <vt:variant>
        <vt:i4>0</vt:i4>
      </vt:variant>
      <vt:variant>
        <vt:i4>5</vt:i4>
      </vt:variant>
      <vt:variant>
        <vt:lpwstr>http://www.consilium.europa.eu/uedocs/cms_data/docs/pressdata/en/ecofin/114324.pdf</vt:lpwstr>
      </vt:variant>
      <vt:variant>
        <vt:lpwstr/>
      </vt:variant>
      <vt:variant>
        <vt:i4>2031690</vt:i4>
      </vt:variant>
      <vt:variant>
        <vt:i4>6</vt:i4>
      </vt:variant>
      <vt:variant>
        <vt:i4>0</vt:i4>
      </vt:variant>
      <vt:variant>
        <vt:i4>5</vt:i4>
      </vt:variant>
      <vt:variant>
        <vt:lpwstr>http://esm.europa.eu/</vt:lpwstr>
      </vt:variant>
      <vt:variant>
        <vt:lpwstr/>
      </vt:variant>
      <vt:variant>
        <vt:i4>2883619</vt:i4>
      </vt:variant>
      <vt:variant>
        <vt:i4>3</vt:i4>
      </vt:variant>
      <vt:variant>
        <vt:i4>0</vt:i4>
      </vt:variant>
      <vt:variant>
        <vt:i4>5</vt:i4>
      </vt:variant>
      <vt:variant>
        <vt:lpwstr>../../AppData/Local/Microsoft/Windows/Temporary Internet Files/AppData/Local/Microsoft/Windows/Temporary Internet Files/skrynna/AppData/Local/Microsoft/Windows/skrynna/AppData/Local/Microsoft/Windows/Temporary Internet Files/sinesca/AppData/Local/Microsoft/Windows/Temporary Internet Files/skrynna/AppData/Local/Microsoft/Windows/Temporary Internet Files/skrynna/AppData/Local/Microsoft/Windows/steimpa/AppData/Local/Microsoft/Windows/Temporary Internet Files/Content.Outlook/ASMTF00S/About the EFSF</vt:lpwstr>
      </vt:variant>
      <vt:variant>
        <vt:lpwstr/>
      </vt:variant>
      <vt:variant>
        <vt:i4>3145760</vt:i4>
      </vt:variant>
      <vt:variant>
        <vt:i4>0</vt:i4>
      </vt:variant>
      <vt:variant>
        <vt:i4>0</vt:i4>
      </vt:variant>
      <vt:variant>
        <vt:i4>5</vt:i4>
      </vt:variant>
      <vt:variant>
        <vt:lpwstr>http://eur-lex.europa.eu/homepage.html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24</cp:revision>
  <cp:lastPrinted>2020-09-15T11:02:00Z</cp:lastPrinted>
  <dcterms:created xsi:type="dcterms:W3CDTF">2020-10-20T15:28:00Z</dcterms:created>
  <dcterms:modified xsi:type="dcterms:W3CDTF">2020-10-28T08:06:00Z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