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8917F0A-FEBD-477A-AEB2-9335E916E05C" style="width:450.8pt;height:307.4pt">
            <v:imagedata r:id="rId9" o:title=""/>
          </v:shape>
        </w:pict>
      </w:r>
    </w:p>
    <w:bookmarkEnd w:id="0"/>
    <w:p>
      <w:pPr>
        <w:spacing w:line="240" w:lineRule="auto"/>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line="240" w:lineRule="auto"/>
        <w:ind w:left="426" w:hanging="426"/>
        <w:jc w:val="both"/>
        <w:rPr>
          <w:rFonts w:ascii="Times New Roman" w:hAnsi="Times New Roman" w:cs="Times New Roman"/>
          <w:b/>
          <w:smallCaps/>
          <w:noProof/>
          <w:sz w:val="24"/>
          <w:szCs w:val="24"/>
        </w:rPr>
      </w:pPr>
      <w:bookmarkStart w:id="1" w:name="_GoBack"/>
      <w:bookmarkEnd w:id="1"/>
      <w:r>
        <w:rPr>
          <w:rFonts w:ascii="Times New Roman" w:hAnsi="Times New Roman" w:cs="Times New Roman"/>
          <w:b/>
          <w:smallCaps/>
          <w:noProof/>
          <w:sz w:val="24"/>
          <w:szCs w:val="24"/>
        </w:rPr>
        <w:lastRenderedPageBreak/>
        <w:t>Introduction</w:t>
      </w:r>
    </w:p>
    <w:p>
      <w:pPr>
        <w:pStyle w:val="s12"/>
        <w:spacing w:before="180" w:beforeAutospacing="0" w:after="90" w:afterAutospacing="0"/>
        <w:jc w:val="both"/>
        <w:rPr>
          <w:noProof/>
          <w:lang w:val="en-IE"/>
        </w:rPr>
      </w:pPr>
      <w:r>
        <w:rPr>
          <w:noProof/>
          <w:lang w:val="en-IE"/>
        </w:rPr>
        <w:t>More than eight months have passed since the World Health Organisation recognised COVID-19 as a major public health emergency needing a global effort. Europe has adapted to an unprecedented situation and has led the global response. As our Union confronts a resurgence of cases, Member States are better prepared and coordinated than they were in the early months of the pandemic. We have more knowledge of how to combat the spread of the coronavirus, and how to do it in a way that limits the damage to our daily lives. However, citizens, families and communities across Europe continue to face an unprecedented risk to their health and well-being, while uncertainty undermines our societies and economies.</w:t>
      </w:r>
      <w:r>
        <w:rPr>
          <w:noProof/>
        </w:rPr>
        <w:t xml:space="preserve"> </w:t>
      </w:r>
      <w:r>
        <w:rPr>
          <w:noProof/>
          <w:lang w:val="en-IE"/>
        </w:rPr>
        <w:t>Recent weeks have seen an alarming spread of the virus across Europe, and new measures have had to be applied. With health systems again under pressure, more needs to be done to control and overcome the situation, protecting lives and livelihoods, and promoting European solidarity.</w:t>
      </w:r>
    </w:p>
    <w:p>
      <w:pPr>
        <w:pStyle w:val="s12"/>
        <w:spacing w:before="180" w:beforeAutospacing="0" w:after="90" w:afterAutospacing="0"/>
        <w:jc w:val="both"/>
        <w:rPr>
          <w:b/>
          <w:noProof/>
          <w:lang w:val="en-IE"/>
        </w:rPr>
      </w:pPr>
      <w:r>
        <w:rPr>
          <w:noProof/>
          <w:lang w:val="en-IE"/>
        </w:rPr>
        <w:t xml:space="preserve">Whilst cooperation between Member States has improved since the start of the pandemic, it remains essential if we are to tackle effectively the threats we face. Unilateral and uncoordinated action undermines the impact of the EU’s response and the confidence of citizens. </w:t>
      </w:r>
      <w:r>
        <w:rPr>
          <w:b/>
          <w:noProof/>
          <w:lang w:val="en-IE"/>
        </w:rPr>
        <w:t xml:space="preserve">The relaxation of applied measures during the summer months was not always accompanied by steps to build up sufficient response capacity. This means that urgent steps are needed now at both national and EU level: stronger measures now can pay human and economic dividends in the coming months. </w:t>
      </w:r>
    </w:p>
    <w:p>
      <w:pPr>
        <w:pStyle w:val="s12"/>
        <w:spacing w:before="180" w:beforeAutospacing="0" w:after="90" w:afterAutospacing="0"/>
        <w:jc w:val="both"/>
        <w:rPr>
          <w:noProof/>
          <w:lang w:val="en-IE"/>
        </w:rPr>
      </w:pPr>
      <w:r>
        <w:rPr>
          <w:noProof/>
          <w:lang w:val="en-IE"/>
        </w:rPr>
        <w:t>The Commission has worked ceaselessly to support national efforts since the onset of the pandemic. The measures it has introduced have, amongst others, helped keep essential goods and services flowing, supported national healthcare systems which found themselves under pressure, supported the economy, facilitated free movement of people and crossing of borders and boosted preparedness. Work with EU agencies has helped the EU to build its operational response</w:t>
      </w:r>
      <w:r>
        <w:rPr>
          <w:rStyle w:val="FootnoteReference"/>
          <w:noProof/>
          <w:lang w:val="en-IE"/>
        </w:rPr>
        <w:footnoteReference w:id="2"/>
      </w:r>
      <w:r>
        <w:rPr>
          <w:noProof/>
          <w:lang w:val="en-IE"/>
        </w:rPr>
        <w:t xml:space="preserve"> too. Work to combat the virus and to sustain the economy goes hand in hand, addressing citizens’ understandable anxieties and ‘fatigue’. It is essential to maintain and reinforce efforts until reliable treatments and/or vaccines are widely available and taken up.</w:t>
      </w:r>
    </w:p>
    <w:p>
      <w:pPr>
        <w:pStyle w:val="s12"/>
        <w:spacing w:before="180" w:beforeAutospacing="0" w:after="90" w:afterAutospacing="0"/>
        <w:jc w:val="both"/>
        <w:rPr>
          <w:noProof/>
          <w:lang w:val="en-IE"/>
        </w:rPr>
      </w:pPr>
      <w:r>
        <w:rPr>
          <w:noProof/>
          <w:lang w:val="en-IE"/>
        </w:rPr>
        <w:t>In October, the European Council underlined the need for more cooperation: “to continue the overall coordination effort based on the best available science, notably regarding quarantine regulations, cross-border contact tracing, testing strategies, the joint assessment of testing methods, the mutual recognition of tests, and the temporary restriction on non-essential travel into the EU”</w:t>
      </w:r>
      <w:r>
        <w:rPr>
          <w:rStyle w:val="FootnoteReference"/>
          <w:noProof/>
          <w:lang w:val="en-IE"/>
        </w:rPr>
        <w:footnoteReference w:id="3"/>
      </w:r>
      <w:r>
        <w:rPr>
          <w:noProof/>
          <w:lang w:val="en-IE"/>
        </w:rPr>
        <w:t>. This mirrors a strong wish amongst citizens for a strong EU role</w:t>
      </w:r>
      <w:r>
        <w:rPr>
          <w:rStyle w:val="FootnoteReference"/>
          <w:noProof/>
          <w:lang w:val="en-IE"/>
        </w:rPr>
        <w:footnoteReference w:id="4"/>
      </w:r>
      <w:r>
        <w:rPr>
          <w:noProof/>
          <w:lang w:val="en-IE"/>
        </w:rPr>
        <w:t xml:space="preserve">. </w:t>
      </w:r>
      <w:r>
        <w:rPr>
          <w:b/>
          <w:noProof/>
          <w:lang w:val="en-IE"/>
        </w:rPr>
        <w:t>This Communication sets out next steps in key areas to reinforce the EU’s response.</w:t>
      </w:r>
      <w:r>
        <w:rPr>
          <w:noProof/>
          <w:lang w:val="en-IE"/>
        </w:rPr>
        <w:t> </w:t>
      </w:r>
    </w:p>
    <w:p>
      <w:pPr>
        <w:pStyle w:val="ListParagraph"/>
        <w:numPr>
          <w:ilvl w:val="0"/>
          <w:numId w:val="1"/>
        </w:numPr>
        <w:spacing w:before="480" w:after="0" w:line="240" w:lineRule="auto"/>
        <w:ind w:left="425" w:hanging="425"/>
        <w:contextualSpacing w:val="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The next phase in EU Response Measures</w:t>
      </w:r>
    </w:p>
    <w:p>
      <w:pPr>
        <w:spacing w:after="0" w:line="240" w:lineRule="auto"/>
        <w:jc w:val="both"/>
        <w:rPr>
          <w:rFonts w:ascii="Times New Roman" w:hAnsi="Times New Roman" w:cs="Times New Roman"/>
          <w:noProof/>
          <w:sz w:val="24"/>
          <w:szCs w:val="24"/>
          <w:lang w:val="en-IE"/>
        </w:rPr>
      </w:pPr>
    </w:p>
    <w:p>
      <w:pPr>
        <w:pStyle w:val="ListParagraph"/>
        <w:numPr>
          <w:ilvl w:val="1"/>
          <w:numId w:val="1"/>
        </w:numPr>
        <w:spacing w:after="0" w:line="240" w:lineRule="auto"/>
        <w:ind w:left="1134" w:hanging="708"/>
        <w:contextualSpacing w:val="0"/>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u w:val="single"/>
          <w:lang w:val="en-IE"/>
        </w:rPr>
        <w:t>Ensuring the flow of information to allow informed decision-making</w:t>
      </w:r>
    </w:p>
    <w:p>
      <w:pPr>
        <w:spacing w:after="0" w:line="240" w:lineRule="auto"/>
        <w:jc w:val="both"/>
        <w:rPr>
          <w:rFonts w:ascii="Times New Roman" w:hAnsi="Times New Roman" w:cs="Times New Roman"/>
          <w:noProof/>
          <w:sz w:val="24"/>
          <w:szCs w:val="24"/>
          <w:lang w:val="en-IE"/>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Citizens, p</w:t>
      </w:r>
      <w:r>
        <w:rPr>
          <w:rFonts w:ascii="Times New Roman" w:hAnsi="Times New Roman" w:cs="Times New Roman"/>
          <w:noProof/>
          <w:sz w:val="24"/>
          <w:szCs w:val="24"/>
        </w:rPr>
        <w:t xml:space="preserve">olicy-makers, and businesses depend on the information they have to inform their decisions: ensuring the quality and timeliness of that data is therefore crucial. </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Up to date, accurate, comprehensive and comparable epidemiological data is essential to know the status of the spread of the coronavirus at regional and national level. Provision of both numerical and qualitative information on testing, contact tracing and public health surveillance is crucial in the next months. The sharing of data on the EU COVID-19 Data Platform needs to become the norm: at present only five Member States are using this to share information. A new enhanced surveillance portal will act as an online entry point for all key activities.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Centre for Disease Prevention and Control (ECDC) is pivotal as the central point for the data flow and needs to have the information required. Its surveillance of the situation should rest on data compiled according to common EU definitions, to have a better ability to detect early signals, and to support more accurate risk assessments and responses. Next month, the Commission will make proposals to improve the longer-term health security framework at EU level, but in the meantime, </w:t>
      </w:r>
      <w:r>
        <w:rPr>
          <w:rFonts w:ascii="Times New Roman" w:hAnsi="Times New Roman" w:cs="Times New Roman"/>
          <w:b/>
          <w:noProof/>
          <w:sz w:val="24"/>
          <w:szCs w:val="24"/>
        </w:rPr>
        <w:t>Member States must step up their sharing of data</w:t>
      </w:r>
      <w:r>
        <w:rPr>
          <w:rFonts w:ascii="Times New Roman" w:hAnsi="Times New Roman" w:cs="Times New Roman"/>
          <w:noProof/>
          <w:sz w:val="24"/>
          <w:szCs w:val="24"/>
        </w:rPr>
        <w:t xml:space="preserve"> on a common basis, and ensure a strengthened and integrated surveillance system across the EU. This should extend beyond data relating to the pandemic itself, to areas such as data on the economic situation and on health systems (hospital beds availability and medicines shortages). Knowledge-sharing on the impact of different treatments is also critical to both the effectiveness and the efficiency of response. The Commission, in close cooperation with the ECDC, should facilitate discussion among epidemiologists and other experts at EU level to coordinate national approaches and exchange best practices. The use of existing networks or the creation of a new platform will be explored.</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will allow for a better use of tools to target EU support where it is most needed. For example, accurate mapping of intensive care bed availability would help in the transfer of patients or medical teams between Member States, which can be supported through a €220 million mobility action already in place. </w:t>
      </w:r>
    </w:p>
    <w:p>
      <w:pPr>
        <w:spacing w:after="0" w:line="240" w:lineRule="auto"/>
        <w:jc w:val="both"/>
        <w:rPr>
          <w:rFonts w:ascii="Times New Roman" w:hAnsi="Times New Roman" w:cs="Times New Roman"/>
          <w:noProof/>
          <w:sz w:val="24"/>
          <w:szCs w:val="24"/>
        </w:rPr>
      </w:pPr>
    </w:p>
    <w:tbl>
      <w:tblPr>
        <w:tblStyle w:val="TableGrid"/>
        <w:tblW w:w="0" w:type="auto"/>
        <w:tblInd w:w="108" w:type="dxa"/>
        <w:tblLook w:val="04A0" w:firstRow="1" w:lastRow="0" w:firstColumn="1" w:lastColumn="0" w:noHBand="0" w:noVBand="1"/>
      </w:tblPr>
      <w:tblGrid>
        <w:gridCol w:w="8789"/>
      </w:tblGrid>
      <w:tr>
        <w:tc>
          <w:tcPr>
            <w:tcW w:w="8789" w:type="dxa"/>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Next steps:</w:t>
            </w:r>
          </w:p>
          <w:p>
            <w:pPr>
              <w:pStyle w:val="ListParagraph"/>
              <w:numPr>
                <w:ilvl w:val="0"/>
                <w:numId w:val="3"/>
              </w:numPr>
              <w:ind w:left="458"/>
              <w:jc w:val="both"/>
              <w:rPr>
                <w:rFonts w:ascii="Times New Roman" w:hAnsi="Times New Roman" w:cs="Times New Roman"/>
                <w:i/>
                <w:noProof/>
                <w:sz w:val="24"/>
                <w:szCs w:val="24"/>
              </w:rPr>
            </w:pPr>
            <w:r>
              <w:rPr>
                <w:rFonts w:ascii="Times New Roman" w:hAnsi="Times New Roman" w:cs="Times New Roman"/>
                <w:i/>
                <w:noProof/>
                <w:sz w:val="24"/>
                <w:szCs w:val="24"/>
              </w:rPr>
              <w:t>Member States should provide all relevant data to the ECDC and the Commission using common criteria.</w:t>
            </w:r>
          </w:p>
          <w:p>
            <w:pPr>
              <w:pStyle w:val="ListParagraph"/>
              <w:numPr>
                <w:ilvl w:val="0"/>
                <w:numId w:val="3"/>
              </w:numPr>
              <w:ind w:left="458"/>
              <w:jc w:val="both"/>
              <w:rPr>
                <w:rFonts w:ascii="Times New Roman" w:hAnsi="Times New Roman" w:cs="Times New Roman"/>
                <w:noProof/>
                <w:sz w:val="24"/>
                <w:szCs w:val="24"/>
              </w:rPr>
            </w:pPr>
            <w:r>
              <w:rPr>
                <w:rFonts w:ascii="Times New Roman" w:hAnsi="Times New Roman" w:cs="Times New Roman"/>
                <w:i/>
                <w:noProof/>
                <w:sz w:val="24"/>
                <w:szCs w:val="24"/>
              </w:rPr>
              <w:t>An upgraded ECDC online portal to bring together all key data by April 2021.</w:t>
            </w:r>
          </w:p>
        </w:tc>
      </w:tr>
    </w:tbl>
    <w:p>
      <w:pPr>
        <w:spacing w:after="0" w:line="240" w:lineRule="auto"/>
        <w:jc w:val="both"/>
        <w:rPr>
          <w:rFonts w:ascii="Times New Roman" w:hAnsi="Times New Roman" w:cs="Times New Roman"/>
          <w:noProof/>
          <w:sz w:val="24"/>
          <w:szCs w:val="24"/>
        </w:rPr>
      </w:pPr>
    </w:p>
    <w:p>
      <w:pPr>
        <w:pStyle w:val="ListParagraph"/>
        <w:numPr>
          <w:ilvl w:val="1"/>
          <w:numId w:val="1"/>
        </w:numPr>
        <w:spacing w:after="0" w:line="240" w:lineRule="auto"/>
        <w:contextualSpacing w:val="0"/>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rPr>
        <w:t xml:space="preserve"> </w:t>
      </w:r>
      <w:r>
        <w:rPr>
          <w:rFonts w:ascii="Times New Roman" w:hAnsi="Times New Roman" w:cs="Times New Roman"/>
          <w:b/>
          <w:noProof/>
          <w:sz w:val="24"/>
          <w:szCs w:val="24"/>
          <w:u w:val="single"/>
        </w:rPr>
        <w:t xml:space="preserve">Effective and rapid testing </w:t>
      </w:r>
    </w:p>
    <w:p>
      <w:pPr>
        <w:autoSpaceDE w:val="0"/>
        <w:autoSpaceDN w:val="0"/>
        <w:spacing w:after="0" w:line="240" w:lineRule="auto"/>
        <w:jc w:val="both"/>
        <w:rPr>
          <w:rFonts w:ascii="Times New Roman" w:hAnsi="Times New Roman" w:cs="Times New Roman"/>
          <w:noProof/>
          <w:sz w:val="24"/>
          <w:szCs w:val="24"/>
        </w:rPr>
      </w:pP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Testing – in conjunction with contact tracing and effective isolation practices - is one of the main tools available to slow down the spread of the coronavirus. Accurate and widespread testing allows for public health decisions to be taken on the best basis; rapid testing allows the minimum interruption in the essential work of staff in hospitals or care homes and for swift action to be taken in epicentres such as universities. It can also facilitate travel in certain circumstances. The Commission has been encouraging the </w:t>
      </w:r>
      <w:r>
        <w:rPr>
          <w:rFonts w:ascii="Times New Roman" w:hAnsi="Times New Roman" w:cs="Times New Roman"/>
          <w:b/>
          <w:noProof/>
          <w:sz w:val="24"/>
          <w:szCs w:val="24"/>
        </w:rPr>
        <w:t>development of reliable tests, national testing strategies and rapid antigen tests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current shortfalls in the testing capacity in the face of a resurgence of infection show that further swift action is indispensable. </w:t>
      </w:r>
    </w:p>
    <w:p>
      <w:pPr>
        <w:autoSpaceDE w:val="0"/>
        <w:autoSpaceDN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There are two types of tests now developed for COVID-19. The category of “Reverse Transcriptase - Polymerase Chain Reaction” tests </w:t>
      </w:r>
      <w:r>
        <w:rPr>
          <w:rFonts w:ascii="Times New Roman" w:hAnsi="Times New Roman" w:cs="Times New Roman"/>
          <w:noProof/>
          <w:sz w:val="24"/>
          <w:szCs w:val="24"/>
          <w:lang w:val="en-IE"/>
        </w:rPr>
        <w:t>are considered as “gold standard” for their accuracy, but they take time and use various reagents that can be subject to demand constraints. Rapid antigen tests</w:t>
      </w:r>
      <w:r>
        <w:rPr>
          <w:rStyle w:val="FootnoteReference"/>
          <w:rFonts w:ascii="Times New Roman" w:hAnsi="Times New Roman" w:cs="Times New Roman"/>
          <w:noProof/>
          <w:sz w:val="24"/>
          <w:szCs w:val="24"/>
          <w:lang w:val="en-IE"/>
        </w:rPr>
        <w:footnoteReference w:id="6"/>
      </w:r>
      <w:r>
        <w:rPr>
          <w:rFonts w:ascii="Times New Roman" w:hAnsi="Times New Roman" w:cs="Times New Roman"/>
          <w:noProof/>
          <w:sz w:val="24"/>
          <w:szCs w:val="24"/>
          <w:lang w:val="en-IE"/>
        </w:rPr>
        <w:t xml:space="preserve"> are a new generation of faster and cheaper COVID-19 tests, allowing for a test result in often less than 30 minutes. These are starting to reach the market and Member States are increasingly exploring their wider use. They offer the possibility for rapid, inexpensive and early detection of the most infectious cases, but are recognised as substantially less sensitive. This points to the need for careful strategies for their use: they can be particularly beneficial in scenarios such as suspected outbreaks of COVID-19 in remote settings or to help investigate outbreaks investigations in residential facilities such as care homes, or when there is widespread community transmission. </w:t>
      </w:r>
    </w:p>
    <w:p>
      <w:pPr>
        <w:autoSpaceDE w:val="0"/>
        <w:autoSpaceDN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is today adopting a </w:t>
      </w:r>
      <w:r>
        <w:rPr>
          <w:rFonts w:ascii="Times New Roman" w:hAnsi="Times New Roman" w:cs="Times New Roman"/>
          <w:b/>
          <w:noProof/>
          <w:sz w:val="24"/>
          <w:szCs w:val="24"/>
          <w:lang w:val="en-IE"/>
        </w:rPr>
        <w:t>Commission Recommendation on COVID-19 testing strategies, including the use of rapid antigen tests</w:t>
      </w:r>
      <w:r>
        <w:rPr>
          <w:rFonts w:ascii="Times New Roman" w:hAnsi="Times New Roman" w:cs="Times New Roman"/>
          <w:noProof/>
          <w:sz w:val="24"/>
          <w:szCs w:val="24"/>
          <w:lang w:val="en-IE"/>
        </w:rPr>
        <w:t xml:space="preserve"> to promote effective testing. The Recommendation sets out key elements to be considered for national, regional or local testing strategies: the scope of COVID-19 testing strategies, groups to be prioritised in case of capacity problems, and key points linked to testing capacities and resources. The EU should monitor these national strategies shared by Member States to allow mutual learning and to identify gaps, on the basis of timely, accurate and comparable data at national, regional and local levels. The Recommendation should also accelerate the selection and deployment of rapid and reliable antigen tests. </w:t>
      </w:r>
    </w:p>
    <w:p>
      <w:pPr>
        <w:autoSpaceDE w:val="0"/>
        <w:autoSpaceDN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As a first step, the Commission is now mobilising</w:t>
      </w:r>
      <w:r>
        <w:rPr>
          <w:rFonts w:ascii="Times New Roman" w:hAnsi="Times New Roman" w:cs="Times New Roman"/>
          <w:b/>
          <w:noProof/>
          <w:sz w:val="24"/>
          <w:szCs w:val="24"/>
          <w:lang w:val="en-IE"/>
        </w:rPr>
        <w:t xml:space="preserve"> </w:t>
      </w:r>
      <w:r>
        <w:rPr>
          <w:rFonts w:ascii="Times New Roman" w:hAnsi="Times New Roman" w:cs="Times New Roman"/>
          <w:b/>
          <w:noProof/>
          <w:sz w:val="24"/>
          <w:szCs w:val="24"/>
        </w:rPr>
        <w:t>€</w:t>
      </w:r>
      <w:r>
        <w:rPr>
          <w:rFonts w:ascii="Times New Roman" w:hAnsi="Times New Roman" w:cs="Times New Roman"/>
          <w:b/>
          <w:noProof/>
          <w:sz w:val="24"/>
          <w:szCs w:val="24"/>
          <w:lang w:val="en-IE"/>
        </w:rPr>
        <w:t xml:space="preserve">100 million under the Emergency Support Instrument to directly purchase rapid antigen tests and deliver them to the Member States, </w:t>
      </w:r>
      <w:r>
        <w:rPr>
          <w:rFonts w:ascii="Times New Roman" w:hAnsi="Times New Roman" w:cs="Times New Roman"/>
          <w:noProof/>
          <w:sz w:val="24"/>
          <w:szCs w:val="24"/>
          <w:lang w:val="en-IE"/>
        </w:rPr>
        <w:t xml:space="preserve">based on clear criteria reflecting defined needs at national level and stringent quality criteria. In parallel, the Commission is also launching a </w:t>
      </w:r>
      <w:r>
        <w:rPr>
          <w:rFonts w:ascii="Times New Roman" w:hAnsi="Times New Roman" w:cs="Times New Roman"/>
          <w:b/>
          <w:noProof/>
          <w:sz w:val="24"/>
          <w:szCs w:val="24"/>
          <w:lang w:val="en-IE"/>
        </w:rPr>
        <w:t xml:space="preserve">joint procurement </w:t>
      </w:r>
      <w:r>
        <w:rPr>
          <w:rFonts w:ascii="Times New Roman" w:hAnsi="Times New Roman" w:cs="Times New Roman"/>
          <w:noProof/>
          <w:sz w:val="24"/>
          <w:szCs w:val="24"/>
          <w:lang w:val="en-IE"/>
        </w:rPr>
        <w:t>to enable a second stream of access for Member States to these promising tests.</w:t>
      </w:r>
      <w:r>
        <w:rPr>
          <w:rFonts w:ascii="Times New Roman" w:hAnsi="Times New Roman" w:cs="Times New Roman"/>
          <w:b/>
          <w:noProof/>
          <w:sz w:val="24"/>
          <w:szCs w:val="24"/>
          <w:lang w:val="en-IE"/>
        </w:rPr>
        <w:t xml:space="preserve"> </w:t>
      </w:r>
    </w:p>
    <w:p>
      <w:pPr>
        <w:autoSpaceDE w:val="0"/>
        <w:autoSpaceDN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Testing plays an important role in facilitating free movement in the EU. Some Member States are applying prior testing requirements which depend on the ability of other Member States to undertake such tests. Travellers unable to obtain them, for example because there are no testing capacities foreseen for asymptomatic travellers in the Member State of departure, should be offered to undergo a test after arrival</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mutual recognition of tests, of either type, is essential. If negative COVID-19 tests are to be required or recommended for any activity, this relies on the availability of such tests and the need for all tests meeting agreed minimum and sufficient standards to be accepted as valid. Absence of such mutual recognition could in particular become a serious hurdle if Member States require or recommend testing prior to travel (cf. section 2.6 below). As set out in the Council Recommendation on a coordinated approach to the restriction of free movement, Member States should enhance cooperation on different aspects related to testing, including verification of test certificates, taking into account research and advice of epidemiological experts as well as best practices. Cross-border cooperation on testing (e.g. on laboratory processing) would be one way to alleviate capacity shortfalls until these are remedied.</w:t>
      </w:r>
    </w:p>
    <w:p>
      <w:pPr>
        <w:autoSpaceDE w:val="0"/>
        <w:autoSpaceDN w:val="0"/>
        <w:spacing w:after="0" w:line="240" w:lineRule="auto"/>
        <w:jc w:val="both"/>
        <w:rPr>
          <w:rFonts w:ascii="Times New Roman" w:hAnsi="Times New Roman" w:cs="Times New Roman"/>
          <w:noProof/>
          <w:sz w:val="24"/>
          <w:szCs w:val="24"/>
          <w:lang w:val="en-IE"/>
        </w:rPr>
      </w:pPr>
    </w:p>
    <w:tbl>
      <w:tblPr>
        <w:tblStyle w:val="TableGrid"/>
        <w:tblW w:w="0" w:type="auto"/>
        <w:tblInd w:w="250" w:type="dxa"/>
        <w:tblLook w:val="04A0" w:firstRow="1" w:lastRow="0" w:firstColumn="1" w:lastColumn="0" w:noHBand="0" w:noVBand="1"/>
      </w:tblPr>
      <w:tblGrid>
        <w:gridCol w:w="9038"/>
      </w:tblGrid>
      <w:tr>
        <w:tc>
          <w:tcPr>
            <w:tcW w:w="9038" w:type="dxa"/>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Next steps:</w:t>
            </w:r>
          </w:p>
          <w:p>
            <w:pPr>
              <w:pStyle w:val="ListParagraph"/>
              <w:numPr>
                <w:ilvl w:val="0"/>
                <w:numId w:val="3"/>
              </w:numPr>
              <w:ind w:left="462"/>
              <w:jc w:val="both"/>
              <w:rPr>
                <w:rFonts w:ascii="Times New Roman" w:hAnsi="Times New Roman" w:cs="Times New Roman"/>
                <w:i/>
                <w:noProof/>
                <w:sz w:val="24"/>
                <w:szCs w:val="24"/>
              </w:rPr>
            </w:pPr>
            <w:r>
              <w:rPr>
                <w:rFonts w:ascii="Times New Roman" w:hAnsi="Times New Roman" w:cs="Times New Roman"/>
                <w:i/>
                <w:noProof/>
                <w:sz w:val="24"/>
                <w:szCs w:val="24"/>
              </w:rPr>
              <w:t>The Commission is mobilising €</w:t>
            </w:r>
            <w:r>
              <w:rPr>
                <w:rFonts w:ascii="Times New Roman" w:hAnsi="Times New Roman" w:cs="Times New Roman"/>
                <w:i/>
                <w:noProof/>
                <w:sz w:val="24"/>
                <w:szCs w:val="24"/>
                <w:lang w:val="en-IE"/>
              </w:rPr>
              <w:t>100 million from the Emergency Support Instrument to directly purchase rapid antigen tests and distribute them as soon as possible to Member States, based on a defined allocation strategy.</w:t>
            </w:r>
          </w:p>
          <w:p>
            <w:pPr>
              <w:pStyle w:val="ListParagraph"/>
              <w:numPr>
                <w:ilvl w:val="0"/>
                <w:numId w:val="3"/>
              </w:numPr>
              <w:ind w:left="462"/>
              <w:jc w:val="both"/>
              <w:rPr>
                <w:rFonts w:ascii="Times New Roman" w:hAnsi="Times New Roman" w:cs="Times New Roman"/>
                <w:i/>
                <w:noProof/>
                <w:sz w:val="24"/>
                <w:szCs w:val="24"/>
              </w:rPr>
            </w:pPr>
            <w:r>
              <w:rPr>
                <w:rFonts w:ascii="Times New Roman" w:hAnsi="Times New Roman" w:cs="Times New Roman"/>
                <w:i/>
                <w:noProof/>
                <w:sz w:val="24"/>
                <w:szCs w:val="24"/>
              </w:rPr>
              <w:t>The Commission will launch a joint procurement to make rapid antigen tests available and calls on all Member States to participate.</w:t>
            </w:r>
          </w:p>
          <w:p>
            <w:pPr>
              <w:pStyle w:val="ListParagraph"/>
              <w:numPr>
                <w:ilvl w:val="0"/>
                <w:numId w:val="3"/>
              </w:numPr>
              <w:ind w:left="462"/>
              <w:jc w:val="both"/>
              <w:rPr>
                <w:rFonts w:ascii="Times New Roman" w:hAnsi="Times New Roman" w:cs="Times New Roman"/>
                <w:noProof/>
                <w:sz w:val="24"/>
                <w:szCs w:val="24"/>
              </w:rPr>
            </w:pPr>
            <w:r>
              <w:rPr>
                <w:rFonts w:ascii="Times New Roman" w:hAnsi="Times New Roman" w:cs="Times New Roman"/>
                <w:i/>
                <w:noProof/>
                <w:sz w:val="24"/>
                <w:szCs w:val="24"/>
              </w:rPr>
              <w:t>National strategies on testing to be submitted by mid-November and an analysis completed by end of November.</w:t>
            </w:r>
          </w:p>
        </w:tc>
      </w:tr>
    </w:tbl>
    <w:p>
      <w:pPr>
        <w:spacing w:line="240" w:lineRule="auto"/>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lang w:val="en-IE"/>
        </w:rPr>
        <w:t xml:space="preserve"> </w:t>
      </w:r>
      <w:r>
        <w:rPr>
          <w:rFonts w:ascii="Times New Roman" w:hAnsi="Times New Roman" w:cs="Times New Roman"/>
          <w:b/>
          <w:noProof/>
          <w:sz w:val="24"/>
          <w:szCs w:val="24"/>
          <w:lang w:val="en-IE"/>
        </w:rPr>
        <w:tab/>
        <w:t xml:space="preserve"> </w:t>
      </w:r>
      <w:r>
        <w:rPr>
          <w:rFonts w:ascii="Times New Roman" w:hAnsi="Times New Roman" w:cs="Times New Roman"/>
          <w:b/>
          <w:noProof/>
          <w:sz w:val="24"/>
          <w:szCs w:val="24"/>
          <w:lang w:val="en-IE"/>
        </w:rPr>
        <w:tab/>
      </w:r>
    </w:p>
    <w:p>
      <w:pPr>
        <w:pStyle w:val="ListParagraph"/>
        <w:keepNext/>
        <w:numPr>
          <w:ilvl w:val="1"/>
          <w:numId w:val="1"/>
        </w:numPr>
        <w:spacing w:after="0" w:line="240" w:lineRule="auto"/>
        <w:ind w:left="714" w:hanging="357"/>
        <w:contextualSpacing w:val="0"/>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lang w:val="en-IE"/>
        </w:rPr>
        <w:t xml:space="preserve"> </w:t>
      </w:r>
      <w:r>
        <w:rPr>
          <w:rFonts w:ascii="Times New Roman" w:hAnsi="Times New Roman" w:cs="Times New Roman"/>
          <w:b/>
          <w:noProof/>
          <w:sz w:val="24"/>
          <w:szCs w:val="24"/>
          <w:lang w:val="en-IE"/>
        </w:rPr>
        <w:tab/>
      </w:r>
      <w:r>
        <w:rPr>
          <w:rFonts w:ascii="Times New Roman" w:hAnsi="Times New Roman" w:cs="Times New Roman"/>
          <w:b/>
          <w:noProof/>
          <w:sz w:val="24"/>
          <w:szCs w:val="24"/>
          <w:u w:val="single"/>
          <w:lang w:val="en-IE"/>
        </w:rPr>
        <w:t>Making full use of contact tracing apps</w:t>
      </w:r>
    </w:p>
    <w:p>
      <w:pPr>
        <w:pStyle w:val="ListParagraph"/>
        <w:spacing w:after="0" w:line="240" w:lineRule="auto"/>
        <w:contextualSpacing w:val="0"/>
        <w:jc w:val="both"/>
        <w:rPr>
          <w:rFonts w:ascii="Times New Roman" w:hAnsi="Times New Roman" w:cs="Times New Roman"/>
          <w:b/>
          <w:noProof/>
          <w:sz w:val="24"/>
          <w:szCs w:val="24"/>
          <w:u w:val="single"/>
          <w:lang w:val="en-IE"/>
        </w:rPr>
      </w:pPr>
    </w:p>
    <w:p>
      <w:pPr>
        <w:spacing w:line="240" w:lineRule="auto"/>
        <w:jc w:val="both"/>
        <w:rPr>
          <w:rFonts w:ascii="Times New Roman" w:hAnsi="Times New Roman" w:cs="Times New Roman"/>
          <w:iCs/>
          <w:noProof/>
          <w:sz w:val="24"/>
          <w:szCs w:val="24"/>
        </w:rPr>
      </w:pPr>
      <w:r>
        <w:rPr>
          <w:rFonts w:ascii="Times New Roman" w:eastAsia="Calibri" w:hAnsi="Times New Roman" w:cs="Times New Roman"/>
          <w:iCs/>
          <w:noProof/>
          <w:color w:val="000000"/>
          <w:sz w:val="24"/>
          <w:szCs w:val="24"/>
          <w:u w:color="000000"/>
          <w:lang w:val="en-US" w:eastAsia="fr-BE"/>
        </w:rPr>
        <w:t>Contact tracing is one of the most critical tools to prevent the spread of the virus</w:t>
      </w:r>
      <w:r>
        <w:rPr>
          <w:rFonts w:ascii="Times New Roman" w:eastAsia="Calibri" w:hAnsi="Times New Roman" w:cs="Times New Roman"/>
          <w:b/>
          <w:iCs/>
          <w:noProof/>
          <w:color w:val="000000"/>
          <w:sz w:val="24"/>
          <w:szCs w:val="24"/>
          <w:u w:color="000000"/>
          <w:lang w:val="en-US" w:eastAsia="fr-BE"/>
        </w:rPr>
        <w:t xml:space="preserve"> </w:t>
      </w:r>
      <w:r>
        <w:rPr>
          <w:rFonts w:ascii="Times New Roman" w:eastAsia="Calibri" w:hAnsi="Times New Roman" w:cs="Times New Roman"/>
          <w:iCs/>
          <w:noProof/>
          <w:color w:val="000000"/>
          <w:sz w:val="24"/>
          <w:szCs w:val="24"/>
          <w:u w:color="000000"/>
          <w:lang w:val="en-US" w:eastAsia="fr-BE"/>
        </w:rPr>
        <w:t xml:space="preserve">and break transmission chains. But as infection rates increase, manual contact tracing operations become more difficult. </w:t>
      </w:r>
      <w:r>
        <w:rPr>
          <w:rFonts w:ascii="Times New Roman" w:eastAsia="Calibri" w:hAnsi="Times New Roman" w:cs="Times New Roman"/>
          <w:b/>
          <w:iCs/>
          <w:noProof/>
          <w:color w:val="000000"/>
          <w:sz w:val="24"/>
          <w:szCs w:val="24"/>
          <w:u w:color="000000"/>
          <w:lang w:val="en-US" w:eastAsia="fr-BE"/>
        </w:rPr>
        <w:t>Contact tracing and warning apps can make a real difference by using digital technology to send warnings more quickly</w:t>
      </w:r>
      <w:r>
        <w:rPr>
          <w:rFonts w:ascii="Times New Roman" w:hAnsi="Times New Roman" w:cs="Times New Roman"/>
          <w:b/>
          <w:noProof/>
          <w:color w:val="000000"/>
          <w:sz w:val="24"/>
          <w:szCs w:val="24"/>
          <w:u w:color="000000"/>
          <w:lang w:val="en-US"/>
        </w:rPr>
        <w:t>.</w:t>
      </w:r>
      <w:r>
        <w:rPr>
          <w:rFonts w:ascii="Times New Roman" w:eastAsia="Calibri" w:hAnsi="Times New Roman" w:cs="Times New Roman"/>
          <w:iCs/>
          <w:noProof/>
          <w:color w:val="000000"/>
          <w:sz w:val="24"/>
          <w:szCs w:val="24"/>
          <w:u w:color="000000"/>
          <w:lang w:val="en-US" w:eastAsia="fr-BE"/>
        </w:rPr>
        <w:t xml:space="preserve"> These apps </w:t>
      </w:r>
      <w:r>
        <w:rPr>
          <w:rFonts w:ascii="Times New Roman" w:hAnsi="Times New Roman" w:cs="Times New Roman"/>
          <w:iCs/>
          <w:noProof/>
          <w:sz w:val="24"/>
          <w:szCs w:val="24"/>
        </w:rPr>
        <w:t xml:space="preserve">alert users if they have been in proximity for a defined period to a person who reports a positive test for COVID-19: while ensuring full compliance with data protection and privacy rules. </w:t>
      </w:r>
      <w:r>
        <w:rPr>
          <w:rFonts w:ascii="Times New Roman" w:hAnsi="Times New Roman" w:cs="Times New Roman"/>
          <w:noProof/>
          <w:sz w:val="24"/>
          <w:szCs w:val="24"/>
        </w:rPr>
        <w:t>An </w:t>
      </w:r>
      <w:hyperlink r:id="rId16" w:history="1">
        <w:r>
          <w:rPr>
            <w:rFonts w:ascii="Times New Roman" w:hAnsi="Times New Roman" w:cs="Times New Roman"/>
            <w:noProof/>
            <w:sz w:val="24"/>
            <w:szCs w:val="24"/>
          </w:rPr>
          <w:t>EU toolbox</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has supported the development of many national apps, now launched in 19 Member States and downloaded by 50 million Europeans.</w:t>
        </w:r>
      </w:hyperlink>
      <w:r>
        <w:rPr>
          <w:rFonts w:ascii="Times New Roman" w:hAnsi="Times New Roman" w:cs="Times New Roman"/>
          <w:iCs/>
          <w:noProof/>
          <w:sz w:val="24"/>
          <w:szCs w:val="24"/>
        </w:rPr>
        <w:t xml:space="preserve"> This is a good start but much more is needed if the apps are to play a major role in controlling the spread of the coronavirus. </w:t>
      </w:r>
      <w:r>
        <w:rPr>
          <w:rFonts w:ascii="Times New Roman" w:hAnsi="Times New Roman" w:cs="Times New Roman"/>
          <w:b/>
          <w:iCs/>
          <w:noProof/>
          <w:sz w:val="24"/>
          <w:szCs w:val="24"/>
        </w:rPr>
        <w:t>All Member States should have an app in place</w:t>
      </w:r>
      <w:r>
        <w:rPr>
          <w:rFonts w:ascii="Times New Roman" w:hAnsi="Times New Roman" w:cs="Times New Roman"/>
          <w:iCs/>
          <w:noProof/>
          <w:sz w:val="24"/>
          <w:szCs w:val="24"/>
        </w:rPr>
        <w:t xml:space="preserve">, and there should be a new communication effort at EU and national level to promote uptake of these apps. </w:t>
      </w:r>
    </w:p>
    <w:p>
      <w:pPr>
        <w:pStyle w:val="Body"/>
        <w:spacing w:line="240" w:lineRule="auto"/>
        <w:jc w:val="both"/>
        <w:rPr>
          <w:rFonts w:ascii="Times New Roman" w:hAnsi="Times New Roman" w:cs="Times New Roman"/>
          <w:b/>
          <w:noProof/>
          <w:sz w:val="24"/>
          <w:szCs w:val="24"/>
        </w:rPr>
      </w:pPr>
      <w:r>
        <w:rPr>
          <w:rFonts w:ascii="Times New Roman" w:hAnsi="Times New Roman" w:cs="Times New Roman"/>
          <w:iCs/>
          <w:noProof/>
          <w:sz w:val="24"/>
          <w:szCs w:val="24"/>
        </w:rPr>
        <w:t xml:space="preserve">At Member States’ request, the Commission has also recently launched a solution for linking national apps across the EU through a </w:t>
      </w:r>
      <w:r>
        <w:rPr>
          <w:rFonts w:ascii="Times New Roman" w:hAnsi="Times New Roman" w:cs="Times New Roman"/>
          <w:noProof/>
          <w:sz w:val="24"/>
          <w:szCs w:val="24"/>
        </w:rPr>
        <w:t>‘European Federation Gateway Service’</w:t>
      </w:r>
      <w:r>
        <w:rPr>
          <w:rFonts w:ascii="Times New Roman" w:hAnsi="Times New Roman" w:cs="Times New Roman"/>
          <w:iCs/>
          <w:noProof/>
          <w:sz w:val="24"/>
          <w:szCs w:val="24"/>
        </w:rPr>
        <w:t xml:space="preserve">. Three national apps (Germany, Ireland, and Italy) are now linked through this service with five more Member States expected to connect in the coming days. This means that, for example, someone with the German app can receive a warning if they have had contact with someone who reported a positive test for COVID-19 via the Italian app. A further 16 Member States plan to join by the end of November. </w:t>
      </w:r>
      <w:r>
        <w:rPr>
          <w:rFonts w:ascii="Times New Roman" w:hAnsi="Times New Roman" w:cs="Times New Roman"/>
          <w:b/>
          <w:iCs/>
          <w:noProof/>
          <w:sz w:val="24"/>
          <w:szCs w:val="24"/>
        </w:rPr>
        <w:t>The Commission stands ready to assist Member States in any way possible to develop and roll out national contact tracing apps, and to interconnect them via the Gateway</w:t>
      </w:r>
      <w:r>
        <w:rPr>
          <w:rFonts w:ascii="Times New Roman" w:hAnsi="Times New Roman" w:cs="Times New Roman"/>
          <w:b/>
          <w:noProof/>
          <w:sz w:val="24"/>
          <w:szCs w:val="24"/>
        </w:rPr>
        <w:t xml:space="preserve">. </w:t>
      </w:r>
    </w:p>
    <w:tbl>
      <w:tblPr>
        <w:tblStyle w:val="TableGrid"/>
        <w:tblW w:w="0" w:type="auto"/>
        <w:tblInd w:w="108" w:type="dxa"/>
        <w:tblLook w:val="04A0" w:firstRow="1" w:lastRow="0" w:firstColumn="1" w:lastColumn="0" w:noHBand="0" w:noVBand="1"/>
      </w:tblPr>
      <w:tblGrid>
        <w:gridCol w:w="9180"/>
      </w:tblGrid>
      <w:tr>
        <w:tc>
          <w:tcPr>
            <w:tcW w:w="9180" w:type="dxa"/>
          </w:tcPr>
          <w:p>
            <w:pPr>
              <w:pStyle w:val="Body"/>
              <w:spacing w:after="120"/>
              <w:jc w:val="both"/>
              <w:rPr>
                <w:rFonts w:ascii="Times New Roman" w:hAnsi="Times New Roman" w:cs="Times New Roman"/>
                <w:b/>
                <w:iCs/>
                <w:noProof/>
                <w:sz w:val="24"/>
                <w:szCs w:val="24"/>
                <w:u w:val="single"/>
              </w:rPr>
            </w:pPr>
            <w:r>
              <w:rPr>
                <w:rFonts w:ascii="Times New Roman" w:hAnsi="Times New Roman" w:cs="Times New Roman"/>
                <w:b/>
                <w:iCs/>
                <w:noProof/>
                <w:sz w:val="24"/>
                <w:szCs w:val="24"/>
                <w:u w:val="single"/>
              </w:rPr>
              <w:t xml:space="preserve">Next steps: </w:t>
            </w:r>
          </w:p>
          <w:p>
            <w:pPr>
              <w:pStyle w:val="Body"/>
              <w:numPr>
                <w:ilvl w:val="0"/>
                <w:numId w:val="4"/>
              </w:numPr>
              <w:ind w:left="595"/>
              <w:jc w:val="both"/>
              <w:rPr>
                <w:rFonts w:ascii="Times New Roman" w:hAnsi="Times New Roman" w:cs="Times New Roman"/>
                <w:i/>
                <w:iCs/>
                <w:noProof/>
                <w:sz w:val="24"/>
                <w:szCs w:val="24"/>
              </w:rPr>
            </w:pPr>
            <w:r>
              <w:rPr>
                <w:rFonts w:ascii="Times New Roman" w:hAnsi="Times New Roman" w:cs="Times New Roman"/>
                <w:i/>
                <w:iCs/>
                <w:noProof/>
                <w:sz w:val="24"/>
                <w:szCs w:val="24"/>
              </w:rPr>
              <w:t>The Commission will support Member States to develop national tracing apps and connect them to the European Federation Gateway Service.</w:t>
            </w:r>
          </w:p>
          <w:p>
            <w:pPr>
              <w:pStyle w:val="Body"/>
              <w:numPr>
                <w:ilvl w:val="0"/>
                <w:numId w:val="4"/>
              </w:numPr>
              <w:ind w:left="595"/>
              <w:jc w:val="both"/>
              <w:rPr>
                <w:rFonts w:ascii="Times New Roman" w:hAnsi="Times New Roman" w:cs="Times New Roman"/>
                <w:iCs/>
                <w:noProof/>
                <w:sz w:val="24"/>
                <w:szCs w:val="24"/>
              </w:rPr>
            </w:pPr>
            <w:r>
              <w:rPr>
                <w:rFonts w:ascii="Times New Roman" w:hAnsi="Times New Roman" w:cs="Times New Roman"/>
                <w:i/>
                <w:noProof/>
                <w:sz w:val="24"/>
                <w:szCs w:val="24"/>
              </w:rPr>
              <w:t>All Member States should set up effective and compatible apps to allow an EU-wide system.</w:t>
            </w:r>
          </w:p>
        </w:tc>
      </w:tr>
    </w:tbl>
    <w:p>
      <w:pPr>
        <w:pStyle w:val="ListParagraph"/>
        <w:numPr>
          <w:ilvl w:val="1"/>
          <w:numId w:val="1"/>
        </w:numPr>
        <w:spacing w:before="240" w:after="0" w:line="240" w:lineRule="auto"/>
        <w:ind w:left="714" w:hanging="357"/>
        <w:contextualSpacing w:val="0"/>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lang w:val="en-IE"/>
        </w:rPr>
        <w:t xml:space="preserve"> </w:t>
      </w:r>
      <w:r>
        <w:rPr>
          <w:rFonts w:ascii="Times New Roman" w:hAnsi="Times New Roman" w:cs="Times New Roman"/>
          <w:b/>
          <w:noProof/>
          <w:sz w:val="24"/>
          <w:szCs w:val="24"/>
          <w:lang w:val="en-IE"/>
        </w:rPr>
        <w:tab/>
      </w:r>
      <w:r>
        <w:rPr>
          <w:rFonts w:ascii="Times New Roman" w:hAnsi="Times New Roman" w:cs="Times New Roman"/>
          <w:b/>
          <w:noProof/>
          <w:sz w:val="24"/>
          <w:szCs w:val="24"/>
          <w:u w:val="single"/>
          <w:lang w:val="en-IE"/>
        </w:rPr>
        <w:t xml:space="preserve">Effective vaccination </w:t>
      </w:r>
    </w:p>
    <w:p>
      <w:pPr>
        <w:pStyle w:val="ListParagraph"/>
        <w:spacing w:after="0" w:line="240" w:lineRule="auto"/>
        <w:contextualSpacing w:val="0"/>
        <w:jc w:val="both"/>
        <w:rPr>
          <w:rFonts w:ascii="Times New Roman" w:hAnsi="Times New Roman" w:cs="Times New Roman"/>
          <w:b/>
          <w:noProof/>
          <w:sz w:val="24"/>
          <w:szCs w:val="24"/>
          <w:u w:val="single"/>
          <w:lang w:val="en-IE"/>
        </w:rPr>
      </w:pPr>
    </w:p>
    <w:p>
      <w:pPr>
        <w:spacing w:line="240" w:lineRule="auto"/>
        <w:jc w:val="both"/>
        <w:rPr>
          <w:rFonts w:ascii="Times New Roman" w:hAnsi="Times New Roman" w:cs="Times New Roman"/>
          <w:noProof/>
          <w:sz w:val="24"/>
          <w:szCs w:val="24"/>
          <w:lang w:val="en-IE"/>
        </w:rPr>
      </w:pPr>
      <w:r>
        <w:rPr>
          <w:rFonts w:ascii="Times New Roman" w:eastAsia="Calibri" w:hAnsi="Times New Roman" w:cs="Times New Roman"/>
          <w:iCs/>
          <w:noProof/>
          <w:color w:val="000000"/>
          <w:sz w:val="24"/>
          <w:szCs w:val="24"/>
          <w:u w:color="000000"/>
          <w:lang w:val="en-US" w:eastAsia="fr-BE"/>
        </w:rPr>
        <w:t xml:space="preserve">The development and procurement of an effective vaccine is essential to bringing an end to the crisis. </w:t>
      </w:r>
      <w:r>
        <w:rPr>
          <w:rFonts w:ascii="Times New Roman" w:hAnsi="Times New Roman" w:cs="Times New Roman"/>
          <w:noProof/>
          <w:sz w:val="24"/>
          <w:szCs w:val="24"/>
          <w:lang w:val="en-IE"/>
        </w:rPr>
        <w:t xml:space="preserve">Under the EU Strategy on COVID-19 vaccines, the Commission is negotiating and concluding Advance Purchase Agreements (APAs) with vaccine producers so as to secure access to </w:t>
      </w:r>
      <w:r>
        <w:rPr>
          <w:rFonts w:ascii="Times New Roman" w:hAnsi="Times New Roman" w:cs="Times New Roman"/>
          <w:b/>
          <w:noProof/>
          <w:sz w:val="24"/>
          <w:szCs w:val="24"/>
          <w:lang w:val="en-IE"/>
        </w:rPr>
        <w:t>promising vaccine candidates at the earliest possible opportunity once proven safe and effective</w:t>
      </w:r>
      <w:r>
        <w:rPr>
          <w:rFonts w:ascii="Times New Roman" w:hAnsi="Times New Roman" w:cs="Times New Roman"/>
          <w:noProof/>
          <w:sz w:val="24"/>
          <w:szCs w:val="24"/>
          <w:lang w:val="en-IE"/>
        </w:rPr>
        <w:t>, and on the best possible terms. Contracts with upfront payments of €1.02 billion have been signed so far, with exploratory talks concluded with three companies involving a further €1.45bn in upfront payments.</w:t>
      </w:r>
    </w:p>
    <w:p>
      <w:pPr>
        <w:spacing w:line="240" w:lineRule="auto"/>
        <w:jc w:val="both"/>
        <w:rPr>
          <w:rFonts w:ascii="Times New Roman" w:eastAsia="Calibri" w:hAnsi="Times New Roman" w:cs="Times New Roman"/>
          <w:iCs/>
          <w:noProof/>
          <w:color w:val="000000"/>
          <w:sz w:val="24"/>
          <w:szCs w:val="24"/>
          <w:u w:color="000000"/>
          <w:lang w:val="en-US" w:eastAsia="fr-BE"/>
        </w:rPr>
      </w:pPr>
      <w:r>
        <w:rPr>
          <w:rFonts w:ascii="Times New Roman" w:hAnsi="Times New Roman" w:cs="Times New Roman"/>
          <w:noProof/>
          <w:sz w:val="24"/>
          <w:szCs w:val="24"/>
          <w:lang w:val="en-IE"/>
        </w:rPr>
        <w:t xml:space="preserve">There is no guarantee that any given vaccine candidate will succeed. A broad portfolio of vaccine producers is therefore needed. </w:t>
      </w:r>
      <w:r>
        <w:rPr>
          <w:rFonts w:ascii="Times New Roman" w:hAnsi="Times New Roman" w:cs="Times New Roman"/>
          <w:b/>
          <w:noProof/>
          <w:sz w:val="24"/>
          <w:szCs w:val="24"/>
          <w:lang w:val="en-IE"/>
        </w:rPr>
        <w:t xml:space="preserve">The portfolio will be kept under constant review as the development of vaccines evolves. </w:t>
      </w:r>
      <w:r>
        <w:rPr>
          <w:rFonts w:ascii="Times New Roman" w:hAnsi="Times New Roman" w:cs="Times New Roman"/>
          <w:noProof/>
          <w:sz w:val="24"/>
          <w:szCs w:val="24"/>
          <w:lang w:val="en-IE"/>
        </w:rPr>
        <w:t>This will also require additional funding from Member States under the Emergency Support Instrument</w:t>
      </w:r>
      <w:r>
        <w:rPr>
          <w:rStyle w:val="FootnoteReference"/>
          <w:rFonts w:ascii="Times New Roman" w:hAnsi="Times New Roman" w:cs="Times New Roman"/>
          <w:noProof/>
          <w:sz w:val="24"/>
          <w:szCs w:val="24"/>
          <w:lang w:val="en-IE"/>
        </w:rPr>
        <w:footnoteReference w:id="9"/>
      </w:r>
      <w:r>
        <w:rPr>
          <w:rFonts w:ascii="Times New Roman" w:hAnsi="Times New Roman" w:cs="Times New Roman"/>
          <w:noProof/>
          <w:sz w:val="24"/>
          <w:szCs w:val="24"/>
          <w:lang w:val="en-IE"/>
        </w:rPr>
        <w:t>. In addition, a network is being set up to support smaller developers of promising vaccines</w:t>
      </w:r>
      <w:r>
        <w:rPr>
          <w:rStyle w:val="FootnoteReference"/>
          <w:rFonts w:ascii="Times New Roman" w:hAnsi="Times New Roman" w:cs="Times New Roman"/>
          <w:noProof/>
          <w:sz w:val="24"/>
          <w:szCs w:val="24"/>
          <w:lang w:val="en-IE"/>
        </w:rPr>
        <w:footnoteReference w:id="10"/>
      </w:r>
      <w:r>
        <w:rPr>
          <w:rFonts w:ascii="Times New Roman" w:hAnsi="Times New Roman" w:cs="Times New Roman"/>
          <w:noProof/>
          <w:sz w:val="24"/>
          <w:szCs w:val="24"/>
          <w:lang w:val="en-IE"/>
        </w:rPr>
        <w:t>. The EU has also led the global effort to provide fair and equitable access to vaccines and facilitate their deployment worldwide, as global public goods, via the COVAX facility</w:t>
      </w:r>
      <w:r>
        <w:rPr>
          <w:rStyle w:val="FootnoteReference"/>
          <w:rFonts w:ascii="Times New Roman" w:hAnsi="Times New Roman" w:cs="Times New Roman"/>
          <w:noProof/>
          <w:sz w:val="24"/>
          <w:szCs w:val="24"/>
          <w:lang w:val="en-IE"/>
        </w:rPr>
        <w:footnoteReference w:id="11"/>
      </w:r>
      <w:r>
        <w:rPr>
          <w:rFonts w:ascii="Times New Roman" w:hAnsi="Times New Roman" w:cs="Times New Roman"/>
          <w:noProof/>
          <w:sz w:val="24"/>
          <w:szCs w:val="24"/>
          <w:lang w:val="en-IE"/>
        </w:rPr>
        <w:t>.</w:t>
      </w:r>
    </w:p>
    <w:p>
      <w:pPr>
        <w:spacing w:after="120" w:line="240" w:lineRule="auto"/>
        <w:jc w:val="both"/>
        <w:rPr>
          <w:rFonts w:ascii="Times New Roman" w:eastAsia="Calibri" w:hAnsi="Times New Roman" w:cs="Times New Roman"/>
          <w:iCs/>
          <w:noProof/>
          <w:color w:val="000000"/>
          <w:sz w:val="24"/>
          <w:szCs w:val="24"/>
          <w:u w:color="000000"/>
          <w:lang w:val="en-US" w:eastAsia="fr-BE"/>
        </w:rPr>
      </w:pPr>
      <w:r>
        <w:rPr>
          <w:rFonts w:ascii="Times New Roman" w:eastAsia="Calibri" w:hAnsi="Times New Roman" w:cs="Times New Roman"/>
          <w:iCs/>
          <w:noProof/>
          <w:color w:val="000000"/>
          <w:sz w:val="24"/>
          <w:szCs w:val="24"/>
          <w:u w:color="000000"/>
          <w:lang w:val="en-US" w:eastAsia="fr-BE"/>
        </w:rPr>
        <w:t>Vaccines do not save lives in themselves - vaccination does.</w:t>
      </w:r>
      <w:r>
        <w:rPr>
          <w:rFonts w:ascii="Times New Roman" w:eastAsia="Calibri" w:hAnsi="Times New Roman" w:cs="Times New Roman"/>
          <w:b/>
          <w:iCs/>
          <w:noProof/>
          <w:color w:val="000000"/>
          <w:sz w:val="24"/>
          <w:szCs w:val="24"/>
          <w:u w:color="000000"/>
          <w:lang w:val="en-US" w:eastAsia="fr-BE"/>
        </w:rPr>
        <w:t xml:space="preserve"> </w:t>
      </w:r>
      <w:r>
        <w:rPr>
          <w:rFonts w:ascii="Times New Roman" w:eastAsia="Calibri" w:hAnsi="Times New Roman" w:cs="Times New Roman"/>
          <w:iCs/>
          <w:noProof/>
          <w:color w:val="000000"/>
          <w:sz w:val="24"/>
          <w:szCs w:val="24"/>
          <w:u w:color="000000"/>
          <w:lang w:val="en-US" w:eastAsia="fr-BE"/>
        </w:rPr>
        <w:t>Having a vaccine available is not enough. It also needs to be distributed and deployed to maximum effect. On 15 October 2020, the Commission set out the key steps that Member States need to take in order to prepare</w:t>
      </w:r>
      <w:r>
        <w:rPr>
          <w:rStyle w:val="FootnoteReference"/>
          <w:rFonts w:ascii="Times New Roman" w:eastAsia="Calibri" w:hAnsi="Times New Roman" w:cs="Times New Roman"/>
          <w:iCs/>
          <w:noProof/>
          <w:color w:val="000000"/>
          <w:sz w:val="24"/>
          <w:szCs w:val="24"/>
          <w:u w:color="000000"/>
          <w:lang w:val="en-US" w:eastAsia="fr-BE"/>
        </w:rPr>
        <w:footnoteReference w:id="12"/>
      </w:r>
      <w:r>
        <w:rPr>
          <w:rFonts w:ascii="Times New Roman" w:eastAsia="Calibri" w:hAnsi="Times New Roman" w:cs="Times New Roman"/>
          <w:iCs/>
          <w:noProof/>
          <w:color w:val="000000"/>
          <w:sz w:val="24"/>
          <w:szCs w:val="24"/>
          <w:u w:color="000000"/>
          <w:lang w:val="en-US" w:eastAsia="fr-BE"/>
        </w:rPr>
        <w:t xml:space="preserve">. This includes getting ready all the equipment and infrastructure to undertake the immunisation, and define clear priority groups to be the first to benefit. Member States were called on to establish </w:t>
      </w:r>
      <w:r>
        <w:rPr>
          <w:rFonts w:ascii="Times New Roman" w:eastAsia="Calibri" w:hAnsi="Times New Roman" w:cs="Times New Roman"/>
          <w:b/>
          <w:iCs/>
          <w:noProof/>
          <w:color w:val="000000"/>
          <w:sz w:val="24"/>
          <w:szCs w:val="24"/>
          <w:u w:color="000000"/>
          <w:lang w:val="en-US" w:eastAsia="fr-BE"/>
        </w:rPr>
        <w:t>national vaccination strategies to ensure full readiness</w:t>
      </w:r>
      <w:r>
        <w:rPr>
          <w:rFonts w:ascii="Times New Roman" w:eastAsia="Calibri" w:hAnsi="Times New Roman" w:cs="Times New Roman"/>
          <w:iCs/>
          <w:noProof/>
          <w:color w:val="000000"/>
          <w:sz w:val="24"/>
          <w:szCs w:val="24"/>
          <w:u w:color="000000"/>
          <w:lang w:val="en-US" w:eastAsia="fr-BE"/>
        </w:rPr>
        <w:t xml:space="preserve"> and the approach to be taken as vaccination is rolled out to all. </w:t>
      </w:r>
    </w:p>
    <w:p>
      <w:pPr>
        <w:spacing w:after="120" w:line="240" w:lineRule="auto"/>
        <w:jc w:val="both"/>
        <w:rPr>
          <w:rFonts w:ascii="Times New Roman" w:hAnsi="Times New Roman" w:cs="Times New Roman"/>
          <w:noProof/>
          <w:sz w:val="24"/>
          <w:szCs w:val="24"/>
        </w:rPr>
      </w:pPr>
      <w:r>
        <w:rPr>
          <w:rFonts w:ascii="Times New Roman" w:eastAsia="Calibri" w:hAnsi="Times New Roman" w:cs="Times New Roman"/>
          <w:iCs/>
          <w:noProof/>
          <w:color w:val="000000"/>
          <w:sz w:val="24"/>
          <w:szCs w:val="24"/>
          <w:u w:color="000000"/>
          <w:lang w:val="en-US" w:eastAsia="fr-BE"/>
        </w:rPr>
        <w:t xml:space="preserve">This work needs to be taken forward and operationalised as much as possible in a coordinated manner. The Commission will put in place a common reporting framework so that Member States can work together and learn from each other. The </w:t>
      </w:r>
      <w:r>
        <w:rPr>
          <w:rFonts w:ascii="Times New Roman" w:hAnsi="Times New Roman" w:cs="Times New Roman"/>
          <w:noProof/>
          <w:sz w:val="24"/>
          <w:szCs w:val="24"/>
        </w:rPr>
        <w:t>European Centre for Disease Prevention will compile a first overview of national vaccination plans by the end of October 2020, to allow lessons to be drawn and experience to be shared.</w:t>
      </w:r>
      <w:r>
        <w:rPr>
          <w:rFonts w:ascii="Times New Roman" w:eastAsia="Calibri" w:hAnsi="Times New Roman" w:cs="Times New Roman"/>
          <w:iCs/>
          <w:noProof/>
          <w:color w:val="000000"/>
          <w:sz w:val="24"/>
          <w:szCs w:val="24"/>
          <w:u w:color="000000"/>
          <w:lang w:val="en-US" w:eastAsia="fr-BE"/>
        </w:rPr>
        <w:t xml:space="preserve"> A “test day” will be organised as an exercise to allow plans for strategy and deployment to be stress-tested.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Citizens also need to know that vaccines are safe. This requires robust data, strong controls, and full transparency. In addition to the robust authorisation process before use, it calls for continuous observation as the vaccines are rolled out, with a real-time assessment of the impact of the vaccines once mass vaccination begins. As well as the pre-deployment authorisation by the European Medicines Agency, the Commission will support a platform for post-authorisation studies monitoring the safety, effectiveness, and impact of vaccination.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work on the development and deployment of vaccines develops, other issues are likely to emerge which may require a degree of EU-level coordination and cooperation between Member States, such as the use of proof of vaccination to be provided to citizens.</w:t>
      </w:r>
    </w:p>
    <w:p>
      <w:pPr>
        <w:spacing w:after="0" w:line="240" w:lineRule="auto"/>
        <w:jc w:val="both"/>
        <w:rPr>
          <w:rFonts w:ascii="Times New Roman" w:hAnsi="Times New Roman" w:cs="Times New Roman"/>
          <w:noProof/>
          <w:sz w:val="24"/>
          <w:szCs w:val="24"/>
        </w:rPr>
      </w:pPr>
    </w:p>
    <w:tbl>
      <w:tblPr>
        <w:tblStyle w:val="TableGrid"/>
        <w:tblW w:w="0" w:type="auto"/>
        <w:tblInd w:w="250" w:type="dxa"/>
        <w:tblLook w:val="04A0" w:firstRow="1" w:lastRow="0" w:firstColumn="1" w:lastColumn="0" w:noHBand="0" w:noVBand="1"/>
      </w:tblPr>
      <w:tblGrid>
        <w:gridCol w:w="9038"/>
      </w:tblGrid>
      <w:tr>
        <w:tc>
          <w:tcPr>
            <w:tcW w:w="9038" w:type="dxa"/>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u w:val="single"/>
              </w:rPr>
              <w:t>Next steps</w:t>
            </w:r>
            <w:r>
              <w:rPr>
                <w:rFonts w:ascii="Times New Roman" w:hAnsi="Times New Roman" w:cs="Times New Roman"/>
                <w:b/>
                <w:noProof/>
                <w:sz w:val="24"/>
                <w:szCs w:val="24"/>
              </w:rPr>
              <w:t>:</w:t>
            </w:r>
          </w:p>
          <w:p>
            <w:pPr>
              <w:pStyle w:val="ListParagraph"/>
              <w:numPr>
                <w:ilvl w:val="0"/>
                <w:numId w:val="4"/>
              </w:numPr>
              <w:jc w:val="both"/>
              <w:rPr>
                <w:rFonts w:ascii="Times New Roman" w:hAnsi="Times New Roman" w:cs="Times New Roman"/>
                <w:i/>
                <w:noProof/>
                <w:sz w:val="24"/>
                <w:szCs w:val="24"/>
              </w:rPr>
            </w:pPr>
            <w:r>
              <w:rPr>
                <w:rFonts w:ascii="Times New Roman" w:hAnsi="Times New Roman" w:cs="Times New Roman"/>
                <w:i/>
                <w:noProof/>
                <w:sz w:val="24"/>
                <w:szCs w:val="24"/>
              </w:rPr>
              <w:t>Conclusions from first overview of national vaccination plans in November.</w:t>
            </w:r>
          </w:p>
          <w:p>
            <w:pPr>
              <w:pStyle w:val="ListParagraph"/>
              <w:numPr>
                <w:ilvl w:val="0"/>
                <w:numId w:val="4"/>
              </w:numPr>
              <w:jc w:val="both"/>
              <w:rPr>
                <w:rFonts w:ascii="Times New Roman" w:hAnsi="Times New Roman" w:cs="Times New Roman"/>
                <w:i/>
                <w:noProof/>
                <w:sz w:val="24"/>
                <w:szCs w:val="24"/>
              </w:rPr>
            </w:pPr>
            <w:r>
              <w:rPr>
                <w:rFonts w:ascii="Times New Roman" w:hAnsi="Times New Roman" w:cs="Times New Roman"/>
                <w:i/>
                <w:noProof/>
                <w:sz w:val="24"/>
                <w:szCs w:val="24"/>
              </w:rPr>
              <w:t>Platform to be set up as part of strategy to monitor effectiveness of vaccine strategies as they are rolled out.</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ListParagraph"/>
        <w:numPr>
          <w:ilvl w:val="1"/>
          <w:numId w:val="1"/>
        </w:numPr>
        <w:spacing w:after="0" w:line="240" w:lineRule="auto"/>
        <w:contextualSpacing w:val="0"/>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lang w:val="en-IE"/>
        </w:rPr>
        <w:t xml:space="preserve"> </w:t>
      </w:r>
      <w:r>
        <w:rPr>
          <w:rFonts w:ascii="Times New Roman" w:hAnsi="Times New Roman" w:cs="Times New Roman"/>
          <w:b/>
          <w:noProof/>
          <w:sz w:val="24"/>
          <w:szCs w:val="24"/>
          <w:lang w:val="en-IE"/>
        </w:rPr>
        <w:tab/>
      </w:r>
      <w:r>
        <w:rPr>
          <w:rFonts w:ascii="Times New Roman" w:hAnsi="Times New Roman" w:cs="Times New Roman"/>
          <w:b/>
          <w:noProof/>
          <w:sz w:val="24"/>
          <w:szCs w:val="24"/>
          <w:u w:val="single"/>
          <w:lang w:val="en-IE"/>
        </w:rPr>
        <w:t>Effective communication to citizens</w:t>
      </w:r>
    </w:p>
    <w:p>
      <w:pPr>
        <w:spacing w:after="0" w:line="240" w:lineRule="auto"/>
        <w:jc w:val="both"/>
        <w:rPr>
          <w:rFonts w:ascii="Times New Roman" w:eastAsia="Calibri" w:hAnsi="Times New Roman" w:cs="Times New Roman"/>
          <w:b/>
          <w:bCs/>
          <w:noProof/>
          <w:sz w:val="24"/>
          <w:szCs w:val="24"/>
          <w:u w:val="single"/>
          <w:lang w:val="en-IE"/>
        </w:rPr>
      </w:pP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Effective communication is a critical element of any public health crisis response. The success or failure of pandemic response largely depends on community engagement, individual behaviour and adherence to public health recommendations. It is therefore imperative that there is a sustained communication effort to keep citizens up to date on epidemiological developments as well as possible restrictive measures, which need to be consistent and clear in order to foster compliance among citizens.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is particularly important against a backdrop of the false and misleading information that continues to circulate, as well as to address the risk of “pandemic fatigue” and an increasing unwillingness to respect precautions such as physical distancing and reduced social interactions. Every effort should be made to ensure that targeted communication reaches segments of the population that are most vulnerable and those most likely to spread the disease through social interaction. It needs to be clear, consistent and up-to date. Special attention needs to be paid to social media monitoring and response. Vaccination is a specific area where public authorities need to step up their actions to tackle misinformation as a main cause of hesitancy, and coordinate on disinformation response.</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5"/>
      </w:tblGrid>
      <w:tr>
        <w:trPr>
          <w:trHeight w:val="960"/>
        </w:trPr>
        <w:tc>
          <w:tcPr>
            <w:tcW w:w="9135" w:type="dxa"/>
          </w:tcPr>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u w:val="single"/>
              </w:rPr>
              <w:t>Next Steps</w:t>
            </w:r>
            <w:r>
              <w:rPr>
                <w:rFonts w:ascii="Times New Roman" w:eastAsia="Calibri" w:hAnsi="Times New Roman" w:cs="Times New Roman"/>
                <w:noProof/>
                <w:sz w:val="24"/>
                <w:szCs w:val="24"/>
              </w:rPr>
              <w:t>:</w:t>
            </w:r>
          </w:p>
          <w:p>
            <w:pPr>
              <w:spacing w:after="0" w:line="240" w:lineRule="auto"/>
              <w:ind w:left="318" w:hanging="31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ab/>
            </w:r>
            <w:r>
              <w:rPr>
                <w:rFonts w:ascii="Times New Roman" w:eastAsia="Calibri" w:hAnsi="Times New Roman" w:cs="Times New Roman"/>
                <w:i/>
                <w:noProof/>
                <w:sz w:val="24"/>
                <w:szCs w:val="24"/>
              </w:rPr>
              <w:t>All Member States should relaunch communication campaigns adapted to the current situation.</w:t>
            </w:r>
          </w:p>
        </w:tc>
      </w:tr>
    </w:tbl>
    <w:p>
      <w:pPr>
        <w:pStyle w:val="ListParagraph"/>
        <w:keepNext/>
        <w:spacing w:after="0" w:line="240" w:lineRule="auto"/>
        <w:ind w:left="714"/>
        <w:contextualSpacing w:val="0"/>
        <w:jc w:val="both"/>
        <w:rPr>
          <w:rFonts w:ascii="Times New Roman" w:hAnsi="Times New Roman" w:cs="Times New Roman"/>
          <w:b/>
          <w:noProof/>
          <w:sz w:val="24"/>
          <w:szCs w:val="24"/>
          <w:u w:val="single"/>
          <w:lang w:val="en-IE"/>
        </w:rPr>
      </w:pPr>
    </w:p>
    <w:p>
      <w:pPr>
        <w:pStyle w:val="ListParagraph"/>
        <w:keepNext/>
        <w:numPr>
          <w:ilvl w:val="1"/>
          <w:numId w:val="1"/>
        </w:numPr>
        <w:spacing w:after="0" w:line="240" w:lineRule="auto"/>
        <w:ind w:left="1134" w:hanging="850"/>
        <w:contextualSpacing w:val="0"/>
        <w:jc w:val="both"/>
        <w:rPr>
          <w:rFonts w:ascii="Times New Roman" w:hAnsi="Times New Roman" w:cs="Times New Roman"/>
          <w:b/>
          <w:noProof/>
          <w:sz w:val="24"/>
          <w:szCs w:val="24"/>
          <w:u w:val="single"/>
          <w:lang w:val="en-IE"/>
        </w:rPr>
      </w:pPr>
      <w:r>
        <w:rPr>
          <w:rFonts w:ascii="Times New Roman" w:hAnsi="Times New Roman" w:cs="Times New Roman"/>
          <w:b/>
          <w:noProof/>
          <w:sz w:val="24"/>
          <w:szCs w:val="24"/>
          <w:u w:val="single"/>
          <w:lang w:val="en-IE"/>
        </w:rPr>
        <w:t xml:space="preserve">Securing essential supplies </w:t>
      </w:r>
    </w:p>
    <w:p>
      <w:pPr>
        <w:spacing w:before="24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Since the start of the outbreak, the EU has supported manufacturers to ensure availability of the essential medicines and medical equipment needed in the fight against COVID-19. This has included joint procurement and strategic medical stockpiling to build up key supplies. The large Joint Procurement framework contracts provide support to the preparedness work by Member States. In case of emergency needs, reflecting European solidarity, under both the rescEU reserve of medical equipment and the Emergency Support Instrument, equipment such as ventilators and masks as well as therapeutics, such as Remdesivir, have been delivered to the Member States with most acute needs. Efficient distribution inside an open Single Market makes a major contribution to the effective delivery of supplies essential to the medical response. The Commission will remain vigilant and react quickly to disproportionate unilateral restrictions on these or any other types of goods, which undermine the collective effort.</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Open Joint procurements</w:t>
      </w:r>
      <w:r>
        <w:rPr>
          <w:rFonts w:ascii="Times New Roman" w:hAnsi="Times New Roman" w:cs="Times New Roman"/>
          <w:noProof/>
          <w:sz w:val="24"/>
          <w:szCs w:val="24"/>
        </w:rPr>
        <w:t xml:space="preserve"> (where participating Member States and countries can place orders)</w:t>
      </w:r>
    </w:p>
    <w:tbl>
      <w:tblPr>
        <w:tblStyle w:val="DocumentTable1"/>
        <w:tblpPr w:leftFromText="30" w:rightFromText="30" w:vertAnchor="text"/>
        <w:tblW w:w="9026" w:type="dxa"/>
        <w:tblLook w:val="06A0" w:firstRow="1" w:lastRow="0" w:firstColumn="1" w:lastColumn="0" w:noHBand="1" w:noVBand="1"/>
      </w:tblPr>
      <w:tblGrid>
        <w:gridCol w:w="926"/>
        <w:gridCol w:w="2335"/>
        <w:gridCol w:w="1609"/>
        <w:gridCol w:w="2657"/>
        <w:gridCol w:w="1499"/>
      </w:tblGrid>
      <w:tr>
        <w:trPr>
          <w:cnfStyle w:val="100000000000" w:firstRow="1" w:lastRow="0" w:firstColumn="0" w:lastColumn="0" w:oddVBand="0" w:evenVBand="0" w:oddHBand="0" w:evenHBand="0" w:firstRowFirstColumn="0" w:firstRowLastColumn="0" w:lastRowFirstColumn="0" w:lastRowLastColumn="0"/>
          <w:trHeight w:val="535"/>
        </w:trPr>
        <w:tc>
          <w:tcPr>
            <w:tcW w:w="3261" w:type="dxa"/>
            <w:gridSpan w:val="2"/>
          </w:tcPr>
          <w:p>
            <w:pPr>
              <w:spacing w:after="100" w:afterAutospacing="1" w:line="240" w:lineRule="auto"/>
              <w:jc w:val="both"/>
              <w:rPr>
                <w:rFonts w:ascii="Times New Roman" w:eastAsia="Times New Roman" w:hAnsi="Times New Roman" w:cs="Times New Roman"/>
                <w:b w:val="0"/>
                <w:noProof/>
                <w:szCs w:val="24"/>
                <w:lang w:eastAsia="en-GB"/>
              </w:rPr>
            </w:pPr>
            <w:r>
              <w:rPr>
                <w:rFonts w:ascii="Times New Roman" w:eastAsia="Times New Roman" w:hAnsi="Times New Roman" w:cs="Times New Roman"/>
                <w:bCs/>
                <w:noProof/>
                <w:sz w:val="22"/>
                <w:szCs w:val="24"/>
                <w:lang w:eastAsia="en-GB"/>
              </w:rPr>
              <w:t>ITEMS</w:t>
            </w:r>
          </w:p>
        </w:tc>
        <w:tc>
          <w:tcPr>
            <w:tcW w:w="1609" w:type="dxa"/>
            <w:hideMark/>
          </w:tcPr>
          <w:p>
            <w:pPr>
              <w:spacing w:after="100" w:afterAutospacing="1" w:line="240" w:lineRule="auto"/>
              <w:jc w:val="both"/>
              <w:rPr>
                <w:rFonts w:ascii="Times New Roman" w:eastAsia="Times New Roman" w:hAnsi="Times New Roman" w:cs="Times New Roman"/>
                <w:noProof/>
                <w:szCs w:val="24"/>
                <w:lang w:eastAsia="en-GB"/>
              </w:rPr>
            </w:pPr>
            <w:r>
              <w:rPr>
                <w:rFonts w:ascii="Times New Roman" w:eastAsia="Times New Roman" w:hAnsi="Times New Roman" w:cs="Times New Roman"/>
                <w:bCs/>
                <w:noProof/>
                <w:sz w:val="22"/>
                <w:szCs w:val="24"/>
                <w:lang w:eastAsia="en-GB"/>
              </w:rPr>
              <w:t>AVAILABLE SINCE</w:t>
            </w:r>
          </w:p>
        </w:tc>
        <w:tc>
          <w:tcPr>
            <w:tcW w:w="2657" w:type="dxa"/>
            <w:hideMark/>
          </w:tcPr>
          <w:p>
            <w:pPr>
              <w:spacing w:after="0" w:line="240" w:lineRule="auto"/>
              <w:jc w:val="both"/>
              <w:rPr>
                <w:rFonts w:ascii="Times New Roman" w:eastAsia="Times New Roman" w:hAnsi="Times New Roman" w:cs="Times New Roman"/>
                <w:noProof/>
                <w:szCs w:val="24"/>
                <w:lang w:eastAsia="en-GB"/>
              </w:rPr>
            </w:pPr>
            <w:r>
              <w:rPr>
                <w:rFonts w:ascii="Times New Roman" w:eastAsia="Times New Roman" w:hAnsi="Times New Roman" w:cs="Times New Roman"/>
                <w:bCs/>
                <w:noProof/>
                <w:sz w:val="22"/>
                <w:szCs w:val="24"/>
                <w:lang w:eastAsia="en-GB"/>
              </w:rPr>
              <w:t>VOLUME</w:t>
            </w:r>
          </w:p>
          <w:p>
            <w:pPr>
              <w:spacing w:after="100" w:afterAutospacing="1" w:line="240" w:lineRule="auto"/>
              <w:jc w:val="both"/>
              <w:rPr>
                <w:rFonts w:ascii="Times New Roman" w:eastAsia="Times New Roman" w:hAnsi="Times New Roman" w:cs="Times New Roman"/>
                <w:noProof/>
                <w:szCs w:val="24"/>
                <w:lang w:eastAsia="en-GB"/>
              </w:rPr>
            </w:pPr>
            <w:r>
              <w:rPr>
                <w:rFonts w:ascii="Times New Roman" w:eastAsia="Times New Roman" w:hAnsi="Times New Roman" w:cs="Times New Roman"/>
                <w:bCs/>
                <w:noProof/>
                <w:sz w:val="22"/>
                <w:szCs w:val="24"/>
                <w:lang w:eastAsia="en-GB"/>
              </w:rPr>
              <w:t>(OVER 12 MONTHS)</w:t>
            </w:r>
          </w:p>
        </w:tc>
        <w:tc>
          <w:tcPr>
            <w:tcW w:w="1499" w:type="dxa"/>
            <w:hideMark/>
          </w:tcPr>
          <w:p>
            <w:pPr>
              <w:spacing w:after="100" w:afterAutospacing="1" w:line="240" w:lineRule="auto"/>
              <w:jc w:val="both"/>
              <w:rPr>
                <w:rFonts w:ascii="Times New Roman" w:eastAsia="Times New Roman" w:hAnsi="Times New Roman" w:cs="Times New Roman"/>
                <w:noProof/>
                <w:szCs w:val="24"/>
                <w:lang w:eastAsia="en-GB"/>
              </w:rPr>
            </w:pPr>
            <w:r>
              <w:rPr>
                <w:rFonts w:ascii="Times New Roman" w:eastAsia="Times New Roman" w:hAnsi="Times New Roman" w:cs="Times New Roman"/>
                <w:bCs/>
                <w:noProof/>
                <w:sz w:val="22"/>
                <w:szCs w:val="24"/>
                <w:lang w:eastAsia="en-GB"/>
              </w:rPr>
              <w:t>BUDGET CEILING</w:t>
            </w:r>
          </w:p>
        </w:tc>
      </w:tr>
      <w:tr>
        <w:trPr>
          <w:trHeight w:val="820"/>
        </w:trPr>
        <w:tc>
          <w:tcPr>
            <w:tcW w:w="926" w:type="dxa"/>
          </w:tcPr>
          <w:p>
            <w:pPr>
              <w:spacing w:after="100" w:afterAutospacing="1"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drawing>
                <wp:inline distT="0" distB="0" distL="0" distR="0">
                  <wp:extent cx="421640" cy="421640"/>
                  <wp:effectExtent l="0" t="0" r="0" b="0"/>
                  <wp:docPr id="7" name="Picture 7" descr="1_GlovesCoverall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GlovesCoveralls-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inline>
              </w:drawing>
            </w:r>
          </w:p>
        </w:tc>
        <w:tc>
          <w:tcPr>
            <w:tcW w:w="2335" w:type="dxa"/>
          </w:tcPr>
          <w:p>
            <w:pPr>
              <w:spacing w:after="100" w:afterAutospacing="1" w:line="240" w:lineRule="auto"/>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000000" w:themeColor="text1"/>
                <w:sz w:val="24"/>
                <w:szCs w:val="24"/>
                <w:lang w:eastAsia="en-GB"/>
              </w:rPr>
              <w:t>GLOVES AND COVERALLS</w:t>
            </w:r>
          </w:p>
        </w:tc>
        <w:tc>
          <w:tcPr>
            <w:tcW w:w="1609" w:type="dxa"/>
            <w:hideMark/>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April (gloves)</w:t>
            </w:r>
          </w:p>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May (coveralls)</w:t>
            </w:r>
          </w:p>
        </w:tc>
        <w:tc>
          <w:tcPr>
            <w:tcW w:w="2657" w:type="dxa"/>
            <w:hideMark/>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 xml:space="preserve">Several million </w:t>
            </w:r>
          </w:p>
        </w:tc>
        <w:tc>
          <w:tcPr>
            <w:tcW w:w="1499" w:type="dxa"/>
            <w:hideMark/>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€97 million</w:t>
            </w:r>
          </w:p>
        </w:tc>
      </w:tr>
      <w:tr>
        <w:trPr>
          <w:trHeight w:val="1429"/>
        </w:trPr>
        <w:tc>
          <w:tcPr>
            <w:tcW w:w="926" w:type="dxa"/>
          </w:tcPr>
          <w:p>
            <w:pPr>
              <w:spacing w:after="100" w:afterAutospacing="1"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drawing>
                <wp:inline distT="0" distB="0" distL="0" distR="0">
                  <wp:extent cx="421640" cy="421640"/>
                  <wp:effectExtent l="0" t="0" r="0" b="0"/>
                  <wp:docPr id="6" name="Picture 6" descr="2_RespiratoryProtecti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RespiratoryProtection-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inline>
              </w:drawing>
            </w:r>
          </w:p>
        </w:tc>
        <w:tc>
          <w:tcPr>
            <w:tcW w:w="2335" w:type="dxa"/>
          </w:tcPr>
          <w:p>
            <w:pPr>
              <w:spacing w:after="100" w:afterAutospacing="1" w:line="240" w:lineRule="auto"/>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000000" w:themeColor="text1"/>
                <w:sz w:val="24"/>
                <w:szCs w:val="24"/>
                <w:lang w:eastAsia="en-GB"/>
              </w:rPr>
              <w:t>EYE AND RESPIRATORY PROTECTION</w:t>
            </w:r>
          </w:p>
        </w:tc>
        <w:tc>
          <w:tcPr>
            <w:tcW w:w="1609" w:type="dxa"/>
            <w:hideMark/>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 xml:space="preserve"> April</w:t>
            </w:r>
          </w:p>
        </w:tc>
        <w:tc>
          <w:tcPr>
            <w:tcW w:w="2657" w:type="dxa"/>
            <w:hideMark/>
          </w:tcPr>
          <w:p>
            <w:pPr>
              <w:spacing w:after="0"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20 million</w:t>
            </w:r>
            <w:r>
              <w:rPr>
                <w:rFonts w:ascii="Times New Roman" w:hAnsi="Times New Roman" w:cs="Times New Roman"/>
                <w:noProof/>
                <w:color w:val="404040"/>
                <w:sz w:val="24"/>
                <w:szCs w:val="24"/>
              </w:rPr>
              <w:t xml:space="preserve"> goggles</w:t>
            </w:r>
          </w:p>
          <w:p>
            <w:pPr>
              <w:spacing w:after="0"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12 million</w:t>
            </w:r>
            <w:r>
              <w:rPr>
                <w:rFonts w:ascii="Times New Roman" w:hAnsi="Times New Roman" w:cs="Times New Roman"/>
                <w:noProof/>
                <w:color w:val="404040"/>
                <w:sz w:val="24"/>
                <w:szCs w:val="24"/>
              </w:rPr>
              <w:t xml:space="preserve"> face shields</w:t>
            </w:r>
          </w:p>
          <w:p>
            <w:pPr>
              <w:spacing w:after="0" w:line="240" w:lineRule="auto"/>
              <w:jc w:val="both"/>
              <w:rPr>
                <w:rFonts w:ascii="Times New Roman" w:hAnsi="Times New Roman" w:cs="Times New Roman"/>
                <w:noProof/>
                <w:color w:val="404040"/>
                <w:sz w:val="24"/>
                <w:szCs w:val="24"/>
              </w:rPr>
            </w:pPr>
            <w:r>
              <w:rPr>
                <w:rFonts w:ascii="Times New Roman" w:eastAsia="Times New Roman" w:hAnsi="Times New Roman" w:cs="Times New Roman"/>
                <w:noProof/>
                <w:color w:val="404040"/>
                <w:sz w:val="24"/>
                <w:szCs w:val="24"/>
                <w:lang w:eastAsia="en-GB"/>
              </w:rPr>
              <w:t>37 million FFP2</w:t>
            </w:r>
            <w:r>
              <w:rPr>
                <w:rFonts w:ascii="Times New Roman" w:hAnsi="Times New Roman" w:cs="Times New Roman"/>
                <w:noProof/>
                <w:color w:val="404040"/>
                <w:sz w:val="24"/>
                <w:szCs w:val="24"/>
              </w:rPr>
              <w:t xml:space="preserve"> masks</w:t>
            </w:r>
          </w:p>
          <w:p>
            <w:pPr>
              <w:spacing w:after="0"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26 million FFP3 masks</w:t>
            </w:r>
          </w:p>
          <w:p>
            <w:pPr>
              <w:spacing w:after="100" w:afterAutospacing="1" w:line="240" w:lineRule="auto"/>
              <w:jc w:val="both"/>
              <w:rPr>
                <w:rFonts w:ascii="Times New Roman" w:hAnsi="Times New Roman" w:cs="Times New Roman"/>
                <w:noProof/>
                <w:color w:val="404040"/>
                <w:sz w:val="24"/>
                <w:szCs w:val="24"/>
              </w:rPr>
            </w:pPr>
            <w:r>
              <w:rPr>
                <w:rFonts w:ascii="Times New Roman" w:eastAsia="Times New Roman" w:hAnsi="Times New Roman" w:cs="Times New Roman"/>
                <w:noProof/>
                <w:color w:val="404040"/>
                <w:sz w:val="24"/>
                <w:szCs w:val="24"/>
                <w:lang w:eastAsia="en-GB"/>
              </w:rPr>
              <w:t>301 million surgical masks</w:t>
            </w:r>
          </w:p>
        </w:tc>
        <w:tc>
          <w:tcPr>
            <w:tcW w:w="1499" w:type="dxa"/>
            <w:hideMark/>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€1,4 billion</w:t>
            </w:r>
          </w:p>
        </w:tc>
      </w:tr>
      <w:tr>
        <w:trPr>
          <w:trHeight w:val="878"/>
        </w:trPr>
        <w:tc>
          <w:tcPr>
            <w:tcW w:w="926" w:type="dxa"/>
          </w:tcPr>
          <w:p>
            <w:pPr>
              <w:spacing w:after="100" w:afterAutospacing="1"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drawing>
                <wp:inline distT="0" distB="0" distL="0" distR="0">
                  <wp:extent cx="421640" cy="421640"/>
                  <wp:effectExtent l="0" t="0" r="0" b="0"/>
                  <wp:docPr id="5" name="Picture 5" descr="3_Ventilator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Ventilators-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inline>
              </w:drawing>
            </w:r>
          </w:p>
        </w:tc>
        <w:tc>
          <w:tcPr>
            <w:tcW w:w="2335" w:type="dxa"/>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000000" w:themeColor="text1"/>
                <w:sz w:val="24"/>
                <w:szCs w:val="24"/>
                <w:lang w:eastAsia="en-GB"/>
              </w:rPr>
              <w:t>VENTILATORS</w:t>
            </w:r>
          </w:p>
        </w:tc>
        <w:tc>
          <w:tcPr>
            <w:tcW w:w="1609" w:type="dxa"/>
            <w:hideMark/>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 xml:space="preserve"> April</w:t>
            </w:r>
          </w:p>
        </w:tc>
        <w:tc>
          <w:tcPr>
            <w:tcW w:w="2657" w:type="dxa"/>
            <w:hideMark/>
          </w:tcPr>
          <w:p>
            <w:pPr>
              <w:spacing w:after="0"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110,000 units</w:t>
            </w:r>
          </w:p>
        </w:tc>
        <w:tc>
          <w:tcPr>
            <w:tcW w:w="1499" w:type="dxa"/>
            <w:hideMark/>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€1,4 billion</w:t>
            </w:r>
          </w:p>
        </w:tc>
      </w:tr>
      <w:tr>
        <w:trPr>
          <w:trHeight w:val="861"/>
        </w:trPr>
        <w:tc>
          <w:tcPr>
            <w:tcW w:w="926"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drawing>
                <wp:inline distT="0" distB="0" distL="0" distR="0">
                  <wp:extent cx="421640" cy="421640"/>
                  <wp:effectExtent l="0" t="0" r="0" b="0"/>
                  <wp:docPr id="4" name="Picture 4" descr="4_LabEquipm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_LabEquipment-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inline>
              </w:drawing>
            </w:r>
          </w:p>
        </w:tc>
        <w:tc>
          <w:tcPr>
            <w:tcW w:w="2335"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000000" w:themeColor="text1"/>
                <w:sz w:val="24"/>
                <w:szCs w:val="24"/>
                <w:lang w:eastAsia="en-GB"/>
              </w:rPr>
              <w:t>LABORATORY EQUIPMENT</w:t>
            </w:r>
          </w:p>
        </w:tc>
        <w:tc>
          <w:tcPr>
            <w:tcW w:w="1609" w:type="dxa"/>
            <w:tcBorders>
              <w:bottom w:val="single" w:sz="8" w:space="0" w:color="666666" w:themeColor="text1" w:themeTint="99"/>
            </w:tcBorders>
            <w:hideMark/>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 xml:space="preserve"> May</w:t>
            </w:r>
          </w:p>
        </w:tc>
        <w:tc>
          <w:tcPr>
            <w:tcW w:w="2657" w:type="dxa"/>
            <w:tcBorders>
              <w:bottom w:val="single" w:sz="8" w:space="0" w:color="666666" w:themeColor="text1" w:themeTint="99"/>
            </w:tcBorders>
            <w:hideMark/>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30 different lots</w:t>
            </w:r>
          </w:p>
        </w:tc>
        <w:tc>
          <w:tcPr>
            <w:tcW w:w="1499" w:type="dxa"/>
            <w:tcBorders>
              <w:bottom w:val="single" w:sz="8" w:space="0" w:color="666666" w:themeColor="text1" w:themeTint="99"/>
            </w:tcBorders>
            <w:hideMark/>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€192 million</w:t>
            </w:r>
          </w:p>
        </w:tc>
      </w:tr>
      <w:tr>
        <w:trPr>
          <w:trHeight w:val="861"/>
        </w:trPr>
        <w:tc>
          <w:tcPr>
            <w:tcW w:w="926"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drawing>
                <wp:inline distT="0" distB="0" distL="0" distR="0">
                  <wp:extent cx="433070" cy="4330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4_LabEquipment-0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33070" cy="433070"/>
                          </a:xfrm>
                          <a:prstGeom prst="rect">
                            <a:avLst/>
                          </a:prstGeom>
                        </pic:spPr>
                      </pic:pic>
                    </a:graphicData>
                  </a:graphic>
                </wp:inline>
              </w:drawing>
            </w:r>
          </w:p>
        </w:tc>
        <w:tc>
          <w:tcPr>
            <w:tcW w:w="2335" w:type="dxa"/>
            <w:tcBorders>
              <w:bottom w:val="single" w:sz="8" w:space="0" w:color="666666" w:themeColor="text1" w:themeTint="99"/>
            </w:tcBorders>
          </w:tcPr>
          <w:p>
            <w:pPr>
              <w:spacing w:after="100" w:afterAutospacing="1" w:line="240" w:lineRule="auto"/>
              <w:rPr>
                <w:rFonts w:ascii="Times New Roman" w:eastAsia="Times New Roman" w:hAnsi="Times New Roman" w:cs="Times New Roman"/>
                <w:noProof/>
                <w:color w:val="000000" w:themeColor="text1"/>
                <w:sz w:val="24"/>
                <w:szCs w:val="24"/>
                <w:lang w:val="en-GB" w:eastAsia="en-GB"/>
              </w:rPr>
            </w:pPr>
            <w:r>
              <w:rPr>
                <w:rFonts w:ascii="Times New Roman" w:hAnsi="Times New Roman" w:cs="Times New Roman"/>
                <w:noProof/>
                <w:color w:val="000000" w:themeColor="text1"/>
                <w:sz w:val="24"/>
                <w:szCs w:val="24"/>
              </w:rPr>
              <w:t>MEDICINES USED IN INTENSIVE CARE UNITS</w:t>
            </w:r>
          </w:p>
        </w:tc>
        <w:tc>
          <w:tcPr>
            <w:tcW w:w="1609" w:type="dxa"/>
            <w:tcBorders>
              <w:bottom w:val="single" w:sz="8" w:space="0" w:color="666666" w:themeColor="text1" w:themeTint="99"/>
            </w:tcBorders>
          </w:tcPr>
          <w:p>
            <w:pPr>
              <w:spacing w:after="100" w:afterAutospacing="1" w:line="240" w:lineRule="auto"/>
              <w:rPr>
                <w:rFonts w:ascii="Times New Roman" w:eastAsia="Times New Roman" w:hAnsi="Times New Roman" w:cs="Times New Roman"/>
                <w:noProof/>
                <w:color w:val="404040"/>
                <w:sz w:val="24"/>
                <w:szCs w:val="24"/>
                <w:lang w:val="en-GB" w:eastAsia="en-GB"/>
              </w:rPr>
            </w:pPr>
            <w:r>
              <w:rPr>
                <w:rFonts w:ascii="Times New Roman" w:eastAsia="Times New Roman" w:hAnsi="Times New Roman" w:cs="Times New Roman"/>
                <w:noProof/>
                <w:color w:val="404040"/>
                <w:sz w:val="24"/>
                <w:szCs w:val="24"/>
                <w:lang w:eastAsia="en-GB"/>
              </w:rPr>
              <w:t>October (contracts are being signed)</w:t>
            </w:r>
          </w:p>
        </w:tc>
        <w:tc>
          <w:tcPr>
            <w:tcW w:w="2657" w:type="dxa"/>
            <w:tcBorders>
              <w:bottom w:val="single" w:sz="8" w:space="0" w:color="666666" w:themeColor="text1" w:themeTint="99"/>
            </w:tcBorders>
          </w:tcPr>
          <w:p>
            <w:pPr>
              <w:spacing w:after="100" w:afterAutospacing="1" w:line="240" w:lineRule="auto"/>
              <w:rPr>
                <w:rFonts w:ascii="Times New Roman" w:eastAsia="Times New Roman" w:hAnsi="Times New Roman" w:cs="Times New Roman"/>
                <w:noProof/>
                <w:color w:val="404040"/>
                <w:sz w:val="24"/>
                <w:szCs w:val="24"/>
                <w:lang w:val="en-GB" w:eastAsia="en-GB"/>
              </w:rPr>
            </w:pPr>
            <w:r>
              <w:rPr>
                <w:rFonts w:ascii="Times New Roman" w:eastAsia="Times New Roman" w:hAnsi="Times New Roman" w:cs="Times New Roman"/>
                <w:noProof/>
                <w:color w:val="404040"/>
                <w:sz w:val="24"/>
                <w:szCs w:val="24"/>
                <w:lang w:eastAsia="en-GB"/>
              </w:rPr>
              <w:t xml:space="preserve">21 medicines in </w:t>
            </w:r>
            <w:r>
              <w:rPr>
                <w:rFonts w:ascii="Times New Roman" w:eastAsia="Times New Roman" w:hAnsi="Times New Roman" w:cs="Times New Roman"/>
                <w:noProof/>
                <w:color w:val="404040"/>
                <w:sz w:val="24"/>
                <w:szCs w:val="24"/>
                <w:lang w:eastAsia="en-GB"/>
              </w:rPr>
              <w:br/>
              <w:t xml:space="preserve">45 presentations, </w:t>
            </w:r>
            <w:r>
              <w:rPr>
                <w:rFonts w:ascii="Times New Roman" w:eastAsia="Times New Roman" w:hAnsi="Times New Roman" w:cs="Times New Roman"/>
                <w:noProof/>
                <w:color w:val="404040"/>
                <w:sz w:val="24"/>
                <w:szCs w:val="24"/>
                <w:lang w:eastAsia="en-GB"/>
              </w:rPr>
              <w:br/>
              <w:t>over 103 million vials</w:t>
            </w:r>
          </w:p>
        </w:tc>
        <w:tc>
          <w:tcPr>
            <w:tcW w:w="1499"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€543 million</w:t>
            </w:r>
          </w:p>
        </w:tc>
      </w:tr>
      <w:tr>
        <w:trPr>
          <w:trHeight w:val="861"/>
        </w:trPr>
        <w:tc>
          <w:tcPr>
            <w:tcW w:w="926"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drawing>
                <wp:inline distT="0" distB="0" distL="0" distR="0">
                  <wp:extent cx="433070" cy="433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4_LabEquipment-0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33070" cy="433070"/>
                          </a:xfrm>
                          <a:prstGeom prst="rect">
                            <a:avLst/>
                          </a:prstGeom>
                        </pic:spPr>
                      </pic:pic>
                    </a:graphicData>
                  </a:graphic>
                </wp:inline>
              </w:drawing>
            </w:r>
          </w:p>
        </w:tc>
        <w:tc>
          <w:tcPr>
            <w:tcW w:w="2335" w:type="dxa"/>
            <w:tcBorders>
              <w:bottom w:val="single" w:sz="8" w:space="0" w:color="666666" w:themeColor="text1" w:themeTint="99"/>
            </w:tcBorders>
          </w:tcPr>
          <w:p>
            <w:pPr>
              <w:spacing w:after="100" w:afterAutospacing="1"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lang w:eastAsia="en-GB"/>
              </w:rPr>
              <w:t>REMDESIVIR (VEKLURY)</w:t>
            </w:r>
          </w:p>
        </w:tc>
        <w:tc>
          <w:tcPr>
            <w:tcW w:w="1609"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 xml:space="preserve"> October</w:t>
            </w:r>
          </w:p>
        </w:tc>
        <w:tc>
          <w:tcPr>
            <w:tcW w:w="2657"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Over 500,000 treatment courses</w:t>
            </w:r>
          </w:p>
        </w:tc>
        <w:tc>
          <w:tcPr>
            <w:tcW w:w="1499"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color w:val="404040"/>
                <w:sz w:val="24"/>
                <w:szCs w:val="24"/>
                <w:lang w:eastAsia="en-GB"/>
              </w:rPr>
              <w:t>€3,4 billion</w:t>
            </w:r>
          </w:p>
        </w:tc>
      </w:tr>
    </w:tbl>
    <w:p>
      <w:pPr>
        <w:spacing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well as for tests (see above), a</w:t>
      </w:r>
      <w:r>
        <w:rPr>
          <w:rFonts w:ascii="Times New Roman" w:hAnsi="Times New Roman" w:cs="Times New Roman"/>
          <w:b/>
          <w:noProof/>
          <w:sz w:val="24"/>
          <w:szCs w:val="24"/>
        </w:rPr>
        <w:t xml:space="preserve"> new Joint Procurement is also under way for medical equipment</w:t>
      </w:r>
      <w:r>
        <w:rPr>
          <w:rFonts w:ascii="Times New Roman" w:hAnsi="Times New Roman" w:cs="Times New Roman"/>
          <w:noProof/>
          <w:sz w:val="24"/>
          <w:szCs w:val="24"/>
        </w:rPr>
        <w:t xml:space="preserve"> for vaccination (vaccine carriers, waste containers, injecting devices, disinfectants, personal protective equipment and anaesthetics).</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 has supported projects for the industrial repurposing of production capacities to meet urgently increased needs across Member States. Member States are invited to monitor the production capacity for essential medical supplies and map flexible production possibilities on their territory. In parallel, the EU led international efforts – in the G20 and bilaterally – to keep critical supply chains open and undisrupted. The next step will be for the EU to promote </w:t>
      </w:r>
      <w:r>
        <w:rPr>
          <w:rFonts w:ascii="Times New Roman" w:hAnsi="Times New Roman" w:cs="Times New Roman"/>
          <w:b/>
          <w:noProof/>
          <w:sz w:val="24"/>
          <w:szCs w:val="24"/>
          <w:lang w:val="en-IE"/>
        </w:rPr>
        <w:t>the</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rPr>
        <w:t>“trade and health” initiative in the World Trade Organisation</w:t>
      </w:r>
      <w:r>
        <w:rPr>
          <w:rFonts w:ascii="Times New Roman" w:hAnsi="Times New Roman" w:cs="Times New Roman"/>
          <w:noProof/>
          <w:sz w:val="24"/>
          <w:szCs w:val="24"/>
        </w:rPr>
        <w:t xml:space="preserve"> to bring new actions and commitments on keeping healthcare goods moving across borders.</w:t>
      </w:r>
    </w:p>
    <w:p>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One step taken was to support the market by </w:t>
      </w:r>
      <w:r>
        <w:rPr>
          <w:rFonts w:ascii="Times New Roman" w:hAnsi="Times New Roman" w:cs="Times New Roman"/>
          <w:b/>
          <w:noProof/>
          <w:sz w:val="24"/>
          <w:szCs w:val="24"/>
        </w:rPr>
        <w:t>reducing the burden of customs duties and value added tax (VAT)</w:t>
      </w:r>
      <w:r>
        <w:rPr>
          <w:rFonts w:ascii="Times New Roman" w:hAnsi="Times New Roman" w:cs="Times New Roman"/>
          <w:noProof/>
          <w:sz w:val="24"/>
          <w:szCs w:val="24"/>
        </w:rPr>
        <w:t xml:space="preserve">. The Commission authorised requests from Member States to suspend temporarily customs duties and VAT on the import of medical equipment from non-EU countries. It defined an indicative list of goods, such as personal protective equipment, testing kits, ventilators and key medicines. </w:t>
      </w:r>
      <w:r>
        <w:rPr>
          <w:rFonts w:ascii="Times New Roman" w:hAnsi="Times New Roman" w:cs="Times New Roman"/>
          <w:b/>
          <w:noProof/>
          <w:sz w:val="24"/>
          <w:szCs w:val="24"/>
        </w:rPr>
        <w:t>This will now be extended to April 2021.</w:t>
      </w:r>
    </w:p>
    <w:p>
      <w:pPr>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There is also room to further adapt the VAT framework to ensure that COVID-19 vaccines and tests become more affordable for health services and citizens. The Commission is therefore proposing to temporarily adapt the rules to apply </w:t>
      </w:r>
      <w:r>
        <w:rPr>
          <w:rFonts w:ascii="Times New Roman" w:hAnsi="Times New Roman" w:cs="Times New Roman"/>
          <w:b/>
          <w:noProof/>
          <w:sz w:val="24"/>
          <w:szCs w:val="24"/>
        </w:rPr>
        <w:t xml:space="preserve">a reduced rate or exemptions of VAT in respect of COVID-19 testing kits, and to allow Member States to grant a zero rate in respect of COVID-19 vaccines. </w:t>
      </w:r>
    </w:p>
    <w:p>
      <w:pPr>
        <w:spacing w:after="0" w:line="240" w:lineRule="auto"/>
        <w:jc w:val="both"/>
        <w:rPr>
          <w:rFonts w:ascii="Times New Roman" w:hAnsi="Times New Roman" w:cs="Times New Roman"/>
          <w:noProof/>
          <w:sz w:val="24"/>
          <w:szCs w:val="24"/>
          <w:highlight w:val="yellow"/>
        </w:rPr>
      </w:pPr>
    </w:p>
    <w:tbl>
      <w:tblPr>
        <w:tblStyle w:val="TableGrid"/>
        <w:tblW w:w="0" w:type="auto"/>
        <w:tblInd w:w="250" w:type="dxa"/>
        <w:tblLook w:val="04A0" w:firstRow="1" w:lastRow="0" w:firstColumn="1" w:lastColumn="0" w:noHBand="0" w:noVBand="1"/>
      </w:tblPr>
      <w:tblGrid>
        <w:gridCol w:w="9038"/>
      </w:tblGrid>
      <w:tr>
        <w:tc>
          <w:tcPr>
            <w:tcW w:w="9038" w:type="dxa"/>
          </w:tcPr>
          <w:p>
            <w:pPr>
              <w:spacing w:after="120"/>
              <w:jc w:val="both"/>
              <w:rPr>
                <w:rFonts w:ascii="Times New Roman" w:hAnsi="Times New Roman" w:cs="Times New Roman"/>
                <w:noProof/>
                <w:sz w:val="24"/>
                <w:szCs w:val="24"/>
              </w:rPr>
            </w:pPr>
            <w:r>
              <w:rPr>
                <w:rFonts w:ascii="Times New Roman" w:hAnsi="Times New Roman" w:cs="Times New Roman"/>
                <w:b/>
                <w:noProof/>
                <w:sz w:val="24"/>
                <w:szCs w:val="24"/>
                <w:u w:val="single"/>
              </w:rPr>
              <w:t xml:space="preserve">Next steps: </w:t>
            </w:r>
          </w:p>
          <w:p>
            <w:pPr>
              <w:pStyle w:val="ListParagraph"/>
              <w:numPr>
                <w:ilvl w:val="0"/>
                <w:numId w:val="6"/>
              </w:numPr>
              <w:jc w:val="both"/>
              <w:rPr>
                <w:rFonts w:ascii="Times New Roman" w:hAnsi="Times New Roman" w:cs="Times New Roman"/>
                <w:i/>
                <w:noProof/>
                <w:sz w:val="24"/>
                <w:szCs w:val="24"/>
              </w:rPr>
            </w:pPr>
            <w:r>
              <w:rPr>
                <w:rFonts w:ascii="Times New Roman" w:hAnsi="Times New Roman" w:cs="Times New Roman"/>
                <w:i/>
                <w:noProof/>
                <w:sz w:val="24"/>
                <w:szCs w:val="24"/>
              </w:rPr>
              <w:t>Take forward the new joint procurement for vaccination equipment.</w:t>
            </w:r>
          </w:p>
          <w:p>
            <w:pPr>
              <w:pStyle w:val="ListParagraph"/>
              <w:numPr>
                <w:ilvl w:val="0"/>
                <w:numId w:val="6"/>
              </w:numPr>
              <w:jc w:val="both"/>
              <w:rPr>
                <w:rFonts w:ascii="Times New Roman" w:hAnsi="Times New Roman" w:cs="Times New Roman"/>
                <w:i/>
                <w:noProof/>
                <w:sz w:val="24"/>
                <w:szCs w:val="24"/>
              </w:rPr>
            </w:pPr>
            <w:r>
              <w:rPr>
                <w:rFonts w:ascii="Times New Roman" w:hAnsi="Times New Roman" w:cs="Times New Roman"/>
                <w:i/>
                <w:noProof/>
                <w:sz w:val="24"/>
                <w:szCs w:val="24"/>
              </w:rPr>
              <w:t>Suspension of customs duties and VAT on imported medical equipment to the end of April 2021.</w:t>
            </w:r>
          </w:p>
          <w:p>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i/>
                <w:noProof/>
                <w:sz w:val="24"/>
                <w:szCs w:val="24"/>
              </w:rPr>
              <w:t>The Commission call on the Council to swiftly adopt the proposal on exemptions for testing kits and vaccines.</w:t>
            </w:r>
          </w:p>
        </w:tc>
      </w:tr>
    </w:tbl>
    <w:p>
      <w:pPr>
        <w:spacing w:line="240" w:lineRule="auto"/>
        <w:jc w:val="both"/>
        <w:rPr>
          <w:rFonts w:ascii="Times New Roman" w:hAnsi="Times New Roman" w:cs="Times New Roman"/>
          <w:b/>
          <w:i/>
          <w:noProof/>
          <w:sz w:val="24"/>
          <w:szCs w:val="24"/>
          <w:u w:val="single"/>
          <w:lang w:val="en-IE"/>
        </w:rPr>
      </w:pPr>
    </w:p>
    <w:p>
      <w:pPr>
        <w:spacing w:after="160" w:line="240" w:lineRule="auto"/>
        <w:ind w:firstLine="720"/>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2.7</w:t>
      </w:r>
      <w:r>
        <w:rPr>
          <w:rFonts w:ascii="Times New Roman" w:hAnsi="Times New Roman" w:cs="Times New Roman"/>
          <w:b/>
          <w:noProof/>
          <w:sz w:val="24"/>
          <w:szCs w:val="24"/>
          <w:lang w:val="en-IE"/>
        </w:rPr>
        <w:tab/>
      </w:r>
      <w:r>
        <w:rPr>
          <w:rFonts w:ascii="Times New Roman" w:hAnsi="Times New Roman" w:cs="Times New Roman"/>
          <w:b/>
          <w:noProof/>
          <w:sz w:val="24"/>
          <w:szCs w:val="24"/>
          <w:u w:val="single"/>
          <w:lang w:val="en-IE"/>
        </w:rPr>
        <w:t>Facilitating safe travel</w:t>
      </w:r>
    </w:p>
    <w:p>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Free movement within the EU and the border-free Schengen area are key achievements of European integration. </w:t>
      </w:r>
      <w:r>
        <w:rPr>
          <w:rFonts w:ascii="Times New Roman" w:hAnsi="Times New Roman" w:cs="Times New Roman"/>
          <w:noProof/>
          <w:sz w:val="24"/>
          <w:szCs w:val="24"/>
          <w:lang w:val="en-IE"/>
        </w:rPr>
        <w:t xml:space="preserve">At the worst periods of the first wave of the pandemic, many national governments and local authorities applied travel restrictions at the local or regional levels, and reintroduced internal borders controls inside the EU, with only essential travel permitted. As the situation improved, controls on free movement inside and between Member States were lifted and most Member States opened their borders to non-essential travel. The improved coordination since then of measures linked to people moving around the EU further reduces any need for border controls. Any remaining COVID-19 related internal border control measures should therefore also be lifted. </w:t>
      </w:r>
    </w:p>
    <w:p>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Most Member States have nevertheless required travellers from other Member States to undergo quarantine or testing before or upon entry into their territory, with requirements modulated according to the epidemiological situation. While such restrictions can be justified in the interests of public health, they </w:t>
      </w:r>
      <w:r>
        <w:rPr>
          <w:rFonts w:ascii="Times New Roman" w:hAnsi="Times New Roman" w:cs="Times New Roman"/>
          <w:b/>
          <w:noProof/>
          <w:sz w:val="24"/>
          <w:szCs w:val="24"/>
        </w:rPr>
        <w:t>must be proportionate and must not discriminate between citizens of different Member States</w:t>
      </w:r>
      <w:r>
        <w:rPr>
          <w:rFonts w:ascii="Times New Roman" w:hAnsi="Times New Roman" w:cs="Times New Roman"/>
          <w:noProof/>
          <w:sz w:val="24"/>
          <w:szCs w:val="24"/>
        </w:rPr>
        <w:t xml:space="preserve">, either </w:t>
      </w:r>
      <w:r>
        <w:rPr>
          <w:rFonts w:ascii="Times New Roman" w:hAnsi="Times New Roman" w:cs="Times New Roman"/>
          <w:i/>
          <w:noProof/>
          <w:sz w:val="24"/>
          <w:szCs w:val="24"/>
        </w:rPr>
        <w:t>de jure</w:t>
      </w:r>
      <w:r>
        <w:rPr>
          <w:rFonts w:ascii="Times New Roman" w:hAnsi="Times New Roman" w:cs="Times New Roman"/>
          <w:noProof/>
          <w:sz w:val="24"/>
          <w:szCs w:val="24"/>
        </w:rPr>
        <w:t xml:space="preserve"> or </w:t>
      </w:r>
      <w:r>
        <w:rPr>
          <w:rFonts w:ascii="Times New Roman" w:hAnsi="Times New Roman" w:cs="Times New Roman"/>
          <w:i/>
          <w:noProof/>
          <w:sz w:val="24"/>
          <w:szCs w:val="24"/>
        </w:rPr>
        <w:t>de facto</w:t>
      </w:r>
      <w:r>
        <w:rPr>
          <w:rStyle w:val="FootnoteReference"/>
          <w:rFonts w:ascii="Times New Roman" w:hAnsi="Times New Roman" w:cs="Times New Roman"/>
          <w:i/>
          <w:noProof/>
          <w:sz w:val="24"/>
          <w:szCs w:val="24"/>
        </w:rPr>
        <w:footnoteReference w:id="13"/>
      </w:r>
      <w:r>
        <w:rPr>
          <w:rFonts w:ascii="Times New Roman" w:hAnsi="Times New Roman" w:cs="Times New Roman"/>
          <w:noProof/>
          <w:sz w:val="24"/>
          <w:szCs w:val="24"/>
        </w:rPr>
        <w:t>. In addition, a patchwork of different rules developed, with restrictions varying both in terms of which regions are covered and what measures are required upon entry (such as length of quarantine or the role of testing). This confusing situation was harmful to both the European economy and to citizens’ exercise of their right to freedom of movement. For this reason, the Commission made proposals for a more coordinated approach</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The Council has adopted a Recommendation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setting out a number of important steps towards clarity and consistency in defining regions according to their risk level. The ECDC has also started publishing the common map that should serve as the basis for Member States’ risk assessments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Member States should now implement these arrangements to give citizens and businesses clarity and predictability and the EU should continue to work on bringing the nature and extent of measures closer through a common approach. </w:t>
      </w:r>
    </w:p>
    <w:p>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As the epidemiological situation deteriorates, it will be crucial to maintain safe travel for professional and imperative family reasons. It is important to ensure a consistent implementation of the list of essential travellers exempted from quarantine requirements. This has important economic as well as personal implications, and we must allow our economy to continue functioning even as restrictions on non-essential movement are tightened to slow the spread of COVID-19. The Commission will continue to monitor the situation carefully.</w:t>
      </w:r>
    </w:p>
    <w:p>
      <w:pPr>
        <w:spacing w:line="240" w:lineRule="auto"/>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A testing protocol for travellers</w:t>
      </w:r>
    </w:p>
    <w:p>
      <w:pPr>
        <w:spacing w:line="240" w:lineRule="auto"/>
        <w:jc w:val="both"/>
        <w:rPr>
          <w:rFonts w:ascii="Times New Roman" w:hAnsi="Times New Roman" w:cs="Times New Roman"/>
          <w:b/>
          <w:i/>
          <w:noProof/>
          <w:sz w:val="24"/>
          <w:szCs w:val="24"/>
          <w:lang w:val="en-IE"/>
        </w:rPr>
      </w:pPr>
      <w:r>
        <w:rPr>
          <w:rFonts w:ascii="Times New Roman" w:hAnsi="Times New Roman" w:cs="Times New Roman"/>
          <w:noProof/>
          <w:sz w:val="24"/>
          <w:szCs w:val="24"/>
        </w:rPr>
        <w:t xml:space="preserve">The European Union Aviation Safety Agency and the European Centre for Disease Prevention and Control are working together on guidelines on testing which could be used by public health authorities, airlines and airports to help the </w:t>
      </w:r>
      <w:r>
        <w:rPr>
          <w:rFonts w:ascii="Times New Roman" w:hAnsi="Times New Roman" w:cs="Times New Roman"/>
          <w:b/>
          <w:noProof/>
          <w:sz w:val="24"/>
          <w:szCs w:val="24"/>
        </w:rPr>
        <w:t>safe arrival of passengers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This work is now being brought together in an EU Health Safety testing protocol, with the full involvement of national authorities. This would mean that common rules could be applied whenever testing is used, covering areas such as the timing of tests (both ahead of departure or upon arrival), proof of tests taken in another Member State, target groups, and the resources and infrastructure needed at airports, which could be extended to other potential locations. Regard should at all times be had to the overriding criterion of proportionality</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spacing w:after="160" w:line="240" w:lineRule="auto"/>
        <w:jc w:val="both"/>
        <w:rPr>
          <w:rFonts w:ascii="Times New Roman" w:hAnsi="Times New Roman" w:cs="Times New Roman"/>
          <w:noProof/>
          <w:sz w:val="24"/>
          <w:szCs w:val="24"/>
          <w:lang w:val="en-IE"/>
        </w:rPr>
      </w:pPr>
      <w:r>
        <w:rPr>
          <w:rFonts w:ascii="Times New Roman" w:hAnsi="Times New Roman" w:cs="Times New Roman"/>
          <w:b/>
          <w:i/>
          <w:noProof/>
          <w:sz w:val="24"/>
          <w:szCs w:val="24"/>
          <w:lang w:val="en-IE"/>
        </w:rPr>
        <w:t>Consistent quarantine rules</w:t>
      </w:r>
      <w:r>
        <w:rPr>
          <w:rFonts w:ascii="Times New Roman" w:hAnsi="Times New Roman" w:cs="Times New Roman"/>
          <w:noProof/>
          <w:sz w:val="24"/>
          <w:szCs w:val="24"/>
          <w:lang w:val="en-IE"/>
        </w:rPr>
        <w:t xml:space="preserve"> </w:t>
      </w:r>
    </w:p>
    <w:p>
      <w:pPr>
        <w:spacing w:after="16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development of testing strategies, based on validated technologies and available capacities, should also inform an </w:t>
      </w:r>
      <w:r>
        <w:rPr>
          <w:rFonts w:ascii="Times New Roman" w:hAnsi="Times New Roman" w:cs="Times New Roman"/>
          <w:b/>
          <w:noProof/>
          <w:sz w:val="24"/>
          <w:szCs w:val="24"/>
          <w:lang w:val="en-IE"/>
        </w:rPr>
        <w:t>EU policy on quarantine</w:t>
      </w:r>
      <w:r>
        <w:rPr>
          <w:rFonts w:ascii="Times New Roman" w:hAnsi="Times New Roman" w:cs="Times New Roman"/>
          <w:noProof/>
          <w:sz w:val="24"/>
          <w:szCs w:val="24"/>
          <w:lang w:val="en-IE"/>
        </w:rPr>
        <w:t xml:space="preserve">. At present, there is a wide variety of measures applied, as Member States assess the different impacts on health, restrictions on freedom and likely compliance. For example, some quarantine measures are implemented on a voluntary basis, others are mandatory; some take testing into account in the process; and the duration of isolation and quarantine likewise varies from 7 to 14 days. The Commission has tasked the </w:t>
      </w:r>
      <w:r>
        <w:rPr>
          <w:rFonts w:ascii="Times New Roman" w:hAnsi="Times New Roman" w:cs="Times New Roman"/>
          <w:noProof/>
          <w:sz w:val="24"/>
          <w:szCs w:val="24"/>
        </w:rPr>
        <w:t xml:space="preserve">European Centre for Disease Prevention and Control to provide scientific guidance on quarantines, with a view to working </w:t>
      </w:r>
      <w:r>
        <w:rPr>
          <w:rFonts w:ascii="Times New Roman" w:hAnsi="Times New Roman" w:cs="Times New Roman"/>
          <w:noProof/>
          <w:sz w:val="24"/>
          <w:szCs w:val="24"/>
          <w:lang w:val="en-IE"/>
        </w:rPr>
        <w:t>with Member States on a common and proportionate European approach.</w:t>
      </w:r>
    </w:p>
    <w:p>
      <w:pPr>
        <w:spacing w:line="240" w:lineRule="auto"/>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A Common Passenger Locator Form</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Passenger Locator Forms help Member States undertake risk assessment of arrivals and enable contact tracing. The Council has agreed to work towards a </w:t>
      </w:r>
      <w:r>
        <w:rPr>
          <w:rFonts w:ascii="Times New Roman" w:hAnsi="Times New Roman" w:cs="Times New Roman"/>
          <w:b/>
          <w:noProof/>
          <w:sz w:val="24"/>
          <w:szCs w:val="24"/>
        </w:rPr>
        <w:t xml:space="preserve">common digital European Passenger Locator Form </w:t>
      </w:r>
      <w:r>
        <w:rPr>
          <w:rFonts w:ascii="Times New Roman" w:hAnsi="Times New Roman" w:cs="Times New Roman"/>
          <w:noProof/>
          <w:sz w:val="24"/>
          <w:szCs w:val="24"/>
        </w:rPr>
        <w:t>which would help both the swift processing of the information and improve data exchange between Member States. Work has been under way since July to develop this approach</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so that a common system can be put in place. Full respect for data protection requirements is needed. Each EU Member State would have access only to their national data, and personal data exchange for contact tracing would occur through existing channels. A pilot next month will allow Member States to prepare for its use and pave the way to launch the EU Passenger Locator Form in December.</w:t>
      </w:r>
    </w:p>
    <w:p>
      <w:pPr>
        <w:spacing w:before="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Re-open EU</w:t>
      </w:r>
    </w:p>
    <w:p>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Planning and making a trip in Europe is becoming more complex by the day and citizens need clear information to minimise risks and costs. To provide timely and accurate information on health measures and travel restrictions in all Member States, the Commission launched the ‘</w:t>
      </w:r>
      <w:r>
        <w:rPr>
          <w:rFonts w:ascii="Times New Roman" w:hAnsi="Times New Roman" w:cs="Times New Roman"/>
          <w:b/>
          <w:noProof/>
          <w:sz w:val="24"/>
          <w:szCs w:val="24"/>
          <w:lang w:val="en-IE"/>
        </w:rPr>
        <w:t>Re-open EU’ online tool</w:t>
      </w:r>
      <w:r>
        <w:rPr>
          <w:rFonts w:ascii="Times New Roman" w:hAnsi="Times New Roman" w:cs="Times New Roman"/>
          <w:noProof/>
          <w:sz w:val="24"/>
          <w:szCs w:val="24"/>
          <w:lang w:val="en-IE"/>
        </w:rPr>
        <w:t xml:space="preserve"> in mid-June. Nearly 7 million visitors have used the service since its launch. Once Member States provide a full information flow to the ECDC, it will become the one-stop-shop for information about the state of health measures and travel possibilities inside the EU. </w:t>
      </w:r>
    </w:p>
    <w:p>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Tools like Re-open EU are crucial in terms of helping citizens make informed decisions to travel while keeping safe and healthy, and in supporting the economy. Tourism makes up some 10% of EU GDP, and is as high as some 25% in some Member States. A mobile Re-open EU app is being developed and will be launched in the coming weeks. The impact is of course lessened when information arrives late or is incomplete, such as failing to reflect regional differences in the measures in place. In order to maximise the benefits of this tool and make sure that information is accurate and up-to-date, the Commission calls on Member States to: </w:t>
      </w:r>
    </w:p>
    <w:p>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Provide timely and frequent updates of health and travel measures, when measures change and prior to announcement. </w:t>
      </w:r>
    </w:p>
    <w:p>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Provide complete and accurate information. </w:t>
      </w:r>
    </w:p>
    <w:p>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Provide regional information, where possible and relevant. </w:t>
      </w:r>
    </w:p>
    <w:p>
      <w:pPr>
        <w:spacing w:before="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Guidance on essential travel from outside the EU</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March 2020, a temporary restriction on non-essential travel to the EU was introduced and was extended several times. The result was a list of countries for which travel restrictions on non-essential travel could be lifted, which has been regularly updated.</w:t>
      </w:r>
    </w:p>
    <w:p>
      <w:pPr>
        <w:spacing w:line="240" w:lineRule="auto"/>
        <w:jc w:val="both"/>
        <w:rPr>
          <w:rFonts w:ascii="Times New Roman" w:hAnsi="Times New Roman" w:cs="Times New Roman"/>
          <w:noProof/>
          <w:spacing w:val="-2"/>
          <w:sz w:val="24"/>
          <w:szCs w:val="24"/>
        </w:rPr>
      </w:pPr>
      <w:r>
        <w:rPr>
          <w:rFonts w:ascii="Times New Roman" w:hAnsi="Times New Roman" w:cs="Times New Roman"/>
          <w:bCs/>
          <w:noProof/>
          <w:sz w:val="24"/>
          <w:szCs w:val="24"/>
        </w:rPr>
        <w:t xml:space="preserve">One aspect of the Recommendation was to define </w:t>
      </w:r>
      <w:r>
        <w:rPr>
          <w:rFonts w:ascii="Times New Roman" w:hAnsi="Times New Roman" w:cs="Times New Roman"/>
          <w:noProof/>
          <w:sz w:val="24"/>
          <w:szCs w:val="24"/>
          <w:shd w:val="clear" w:color="auto" w:fill="FFFFFF"/>
        </w:rPr>
        <w:t xml:space="preserve">certain </w:t>
      </w:r>
      <w:r>
        <w:rPr>
          <w:rStyle w:val="Strong"/>
          <w:rFonts w:ascii="Times New Roman" w:hAnsi="Times New Roman" w:cs="Times New Roman"/>
          <w:noProof/>
          <w:sz w:val="24"/>
          <w:szCs w:val="24"/>
        </w:rPr>
        <w:t>categories of people to be considered as essential and therefore be exempted</w:t>
      </w:r>
      <w:r>
        <w:rPr>
          <w:rFonts w:ascii="Times New Roman" w:hAnsi="Times New Roman" w:cs="Times New Roman"/>
          <w:noProof/>
          <w:sz w:val="24"/>
          <w:szCs w:val="24"/>
          <w:shd w:val="clear" w:color="auto" w:fill="FFFFFF"/>
        </w:rPr>
        <w:t xml:space="preserve"> from the restrictions</w:t>
      </w:r>
      <w:r>
        <w:rPr>
          <w:rStyle w:val="Strong"/>
          <w:rFonts w:ascii="Times New Roman" w:hAnsi="Times New Roman" w:cs="Times New Roman"/>
          <w:noProof/>
          <w:sz w:val="24"/>
          <w:szCs w:val="24"/>
        </w:rPr>
        <w:t xml:space="preserve">. This needs to be further refined, and the Commission is adopting guidance to promote consistent application. </w:t>
      </w:r>
      <w:r>
        <w:rPr>
          <w:rFonts w:ascii="Times New Roman" w:hAnsi="Times New Roman" w:cs="Times New Roman"/>
          <w:noProof/>
          <w:spacing w:val="-2"/>
          <w:sz w:val="24"/>
          <w:szCs w:val="24"/>
        </w:rPr>
        <w:t>The Commission will keep the Recommendation under review in order to update the criteria used as the situation evolves.</w:t>
      </w:r>
    </w:p>
    <w:tbl>
      <w:tblPr>
        <w:tblStyle w:val="TableGrid"/>
        <w:tblW w:w="0" w:type="auto"/>
        <w:tblInd w:w="108" w:type="dxa"/>
        <w:tblLook w:val="04A0" w:firstRow="1" w:lastRow="0" w:firstColumn="1" w:lastColumn="0" w:noHBand="0" w:noVBand="1"/>
      </w:tblPr>
      <w:tblGrid>
        <w:gridCol w:w="9180"/>
      </w:tblGrid>
      <w:tr>
        <w:tc>
          <w:tcPr>
            <w:tcW w:w="9180" w:type="dxa"/>
          </w:tcPr>
          <w:p>
            <w:pPr>
              <w:jc w:val="both"/>
              <w:rPr>
                <w:rFonts w:ascii="Times New Roman" w:hAnsi="Times New Roman" w:cs="Times New Roman"/>
                <w:b/>
                <w:noProof/>
                <w:spacing w:val="-2"/>
                <w:sz w:val="24"/>
                <w:szCs w:val="24"/>
                <w:u w:val="single"/>
              </w:rPr>
            </w:pPr>
            <w:r>
              <w:rPr>
                <w:rFonts w:ascii="Times New Roman" w:hAnsi="Times New Roman" w:cs="Times New Roman"/>
                <w:b/>
                <w:noProof/>
                <w:spacing w:val="-2"/>
                <w:sz w:val="24"/>
                <w:szCs w:val="24"/>
                <w:u w:val="single"/>
              </w:rPr>
              <w:t xml:space="preserve">Next steps: </w:t>
            </w:r>
          </w:p>
          <w:p>
            <w:pPr>
              <w:jc w:val="both"/>
              <w:rPr>
                <w:rFonts w:ascii="Times New Roman" w:hAnsi="Times New Roman" w:cs="Times New Roman"/>
                <w:b/>
                <w:noProof/>
                <w:spacing w:val="-2"/>
                <w:sz w:val="24"/>
                <w:szCs w:val="24"/>
              </w:rPr>
            </w:pPr>
          </w:p>
          <w:p>
            <w:pPr>
              <w:pStyle w:val="ListParagraph"/>
              <w:numPr>
                <w:ilvl w:val="0"/>
                <w:numId w:val="4"/>
              </w:numPr>
              <w:ind w:left="454" w:hanging="283"/>
              <w:jc w:val="both"/>
              <w:rPr>
                <w:rFonts w:ascii="Times New Roman" w:hAnsi="Times New Roman" w:cs="Times New Roman"/>
                <w:i/>
                <w:noProof/>
                <w:spacing w:val="-2"/>
                <w:sz w:val="24"/>
                <w:szCs w:val="24"/>
              </w:rPr>
            </w:pPr>
            <w:r>
              <w:rPr>
                <w:rFonts w:ascii="Times New Roman" w:hAnsi="Times New Roman" w:cs="Times New Roman"/>
                <w:i/>
                <w:noProof/>
                <w:sz w:val="24"/>
                <w:szCs w:val="24"/>
                <w:lang w:val="en-IE"/>
              </w:rPr>
              <w:t xml:space="preserve">Full implementation of the </w:t>
            </w:r>
            <w:r>
              <w:rPr>
                <w:rFonts w:ascii="Times New Roman" w:hAnsi="Times New Roman" w:cs="Times New Roman"/>
                <w:i/>
                <w:noProof/>
                <w:spacing w:val="-2"/>
                <w:sz w:val="24"/>
                <w:szCs w:val="24"/>
              </w:rPr>
              <w:t>Council Recommendation of 13 October 2020 by Member States and f</w:t>
            </w:r>
            <w:r>
              <w:rPr>
                <w:rFonts w:ascii="Times New Roman" w:hAnsi="Times New Roman" w:cs="Times New Roman"/>
                <w:i/>
                <w:noProof/>
                <w:sz w:val="24"/>
                <w:szCs w:val="24"/>
                <w:lang w:val="en-IE"/>
              </w:rPr>
              <w:t>urther steps towards a common approach on restrictions to free movement.</w:t>
            </w:r>
          </w:p>
          <w:p>
            <w:pPr>
              <w:pStyle w:val="ListParagraph"/>
              <w:numPr>
                <w:ilvl w:val="0"/>
                <w:numId w:val="4"/>
              </w:numPr>
              <w:ind w:left="454" w:hanging="283"/>
              <w:jc w:val="both"/>
              <w:rPr>
                <w:rFonts w:ascii="Times New Roman" w:hAnsi="Times New Roman" w:cs="Times New Roman"/>
                <w:i/>
                <w:noProof/>
                <w:spacing w:val="-2"/>
                <w:sz w:val="24"/>
                <w:szCs w:val="24"/>
              </w:rPr>
            </w:pPr>
            <w:r>
              <w:rPr>
                <w:rFonts w:ascii="Times New Roman" w:hAnsi="Times New Roman" w:cs="Times New Roman"/>
                <w:i/>
                <w:noProof/>
                <w:spacing w:val="-2"/>
                <w:sz w:val="24"/>
                <w:szCs w:val="24"/>
              </w:rPr>
              <w:t>Commission to work with ECDC and member States on a common approach on quarantine (ECDC contribution in November 2020).</w:t>
            </w:r>
          </w:p>
          <w:p>
            <w:pPr>
              <w:pStyle w:val="ListParagraph"/>
              <w:numPr>
                <w:ilvl w:val="0"/>
                <w:numId w:val="4"/>
              </w:numPr>
              <w:ind w:left="454" w:hanging="283"/>
              <w:jc w:val="both"/>
              <w:rPr>
                <w:rFonts w:ascii="Times New Roman" w:hAnsi="Times New Roman" w:cs="Times New Roman"/>
                <w:i/>
                <w:noProof/>
                <w:spacing w:val="-2"/>
                <w:sz w:val="24"/>
                <w:szCs w:val="24"/>
              </w:rPr>
            </w:pPr>
            <w:r>
              <w:rPr>
                <w:rFonts w:ascii="Times New Roman" w:hAnsi="Times New Roman" w:cs="Times New Roman"/>
                <w:i/>
                <w:noProof/>
                <w:sz w:val="24"/>
                <w:szCs w:val="24"/>
              </w:rPr>
              <w:t>Common EU digital Passenger Locator Form to be launched in December 2020.</w:t>
            </w:r>
          </w:p>
          <w:p>
            <w:pPr>
              <w:pStyle w:val="ListParagraph"/>
              <w:numPr>
                <w:ilvl w:val="0"/>
                <w:numId w:val="4"/>
              </w:numPr>
              <w:ind w:left="454" w:hanging="283"/>
              <w:jc w:val="both"/>
              <w:rPr>
                <w:rFonts w:ascii="Times New Roman" w:hAnsi="Times New Roman" w:cs="Times New Roman"/>
                <w:i/>
                <w:noProof/>
                <w:spacing w:val="-2"/>
                <w:sz w:val="24"/>
                <w:szCs w:val="24"/>
              </w:rPr>
            </w:pPr>
            <w:r>
              <w:rPr>
                <w:rFonts w:ascii="Times New Roman" w:hAnsi="Times New Roman" w:cs="Times New Roman"/>
                <w:i/>
                <w:noProof/>
                <w:sz w:val="24"/>
                <w:szCs w:val="24"/>
              </w:rPr>
              <w:t>A mobile Re-open EU app to be launched in the coming weeks.</w:t>
            </w:r>
          </w:p>
          <w:p>
            <w:pPr>
              <w:pStyle w:val="ListParagraph"/>
              <w:numPr>
                <w:ilvl w:val="0"/>
                <w:numId w:val="4"/>
              </w:numPr>
              <w:ind w:left="454" w:hanging="283"/>
              <w:jc w:val="both"/>
              <w:rPr>
                <w:rFonts w:ascii="Times New Roman" w:hAnsi="Times New Roman" w:cs="Times New Roman"/>
                <w:i/>
                <w:noProof/>
                <w:spacing w:val="-2"/>
                <w:sz w:val="24"/>
                <w:szCs w:val="24"/>
              </w:rPr>
            </w:pPr>
            <w:r>
              <w:rPr>
                <w:rFonts w:ascii="Times New Roman" w:hAnsi="Times New Roman" w:cs="Times New Roman"/>
                <w:i/>
                <w:noProof/>
                <w:spacing w:val="-2"/>
                <w:sz w:val="24"/>
                <w:szCs w:val="24"/>
              </w:rPr>
              <w:t>Review of the criteria used for Common approach on free movement to be applied by all Member States</w:t>
            </w:r>
          </w:p>
          <w:p>
            <w:pPr>
              <w:pStyle w:val="ListParagraph"/>
              <w:jc w:val="both"/>
              <w:rPr>
                <w:rFonts w:ascii="Times New Roman" w:hAnsi="Times New Roman" w:cs="Times New Roman"/>
                <w:noProof/>
                <w:sz w:val="24"/>
                <w:szCs w:val="24"/>
                <w:highlight w:val="yellow"/>
                <w:lang w:val="en-US"/>
              </w:rPr>
            </w:pPr>
          </w:p>
        </w:tc>
      </w:tr>
    </w:tbl>
    <w:p>
      <w:pPr>
        <w:spacing w:line="240" w:lineRule="auto"/>
        <w:jc w:val="both"/>
        <w:rPr>
          <w:rFonts w:ascii="Times New Roman" w:hAnsi="Times New Roman" w:cs="Times New Roman"/>
          <w:noProof/>
          <w:spacing w:val="-2"/>
          <w:sz w:val="24"/>
          <w:szCs w:val="24"/>
        </w:rPr>
      </w:pPr>
    </w:p>
    <w:p>
      <w:pPr>
        <w:spacing w:after="0" w:line="240" w:lineRule="auto"/>
        <w:jc w:val="both"/>
        <w:rPr>
          <w:rFonts w:ascii="Times New Roman" w:hAnsi="Times New Roman" w:cs="Times New Roman"/>
          <w:b/>
          <w:noProof/>
          <w:spacing w:val="-2"/>
          <w:sz w:val="24"/>
          <w:szCs w:val="24"/>
          <w:u w:val="single"/>
          <w:lang w:val="en-US"/>
        </w:rPr>
      </w:pPr>
      <w:r>
        <w:rPr>
          <w:rFonts w:ascii="Times New Roman" w:hAnsi="Times New Roman" w:cs="Times New Roman"/>
          <w:b/>
          <w:bCs/>
          <w:i/>
          <w:iCs/>
          <w:noProof/>
          <w:spacing w:val="-2"/>
          <w:sz w:val="24"/>
          <w:szCs w:val="24"/>
          <w:lang w:val="en-US"/>
        </w:rPr>
        <w:tab/>
      </w:r>
      <w:r>
        <w:rPr>
          <w:rFonts w:ascii="Times New Roman" w:hAnsi="Times New Roman" w:cs="Times New Roman"/>
          <w:b/>
          <w:bCs/>
          <w:iCs/>
          <w:noProof/>
          <w:spacing w:val="-2"/>
          <w:sz w:val="24"/>
          <w:szCs w:val="24"/>
          <w:lang w:val="en-US"/>
        </w:rPr>
        <w:t xml:space="preserve">2.8 </w:t>
      </w:r>
      <w:r>
        <w:rPr>
          <w:rFonts w:ascii="Times New Roman" w:hAnsi="Times New Roman" w:cs="Times New Roman"/>
          <w:b/>
          <w:bCs/>
          <w:iCs/>
          <w:noProof/>
          <w:spacing w:val="-2"/>
          <w:sz w:val="24"/>
          <w:szCs w:val="24"/>
          <w:lang w:val="en-US"/>
        </w:rPr>
        <w:tab/>
      </w:r>
      <w:r>
        <w:rPr>
          <w:rFonts w:ascii="Times New Roman" w:hAnsi="Times New Roman" w:cs="Times New Roman"/>
          <w:b/>
          <w:bCs/>
          <w:iCs/>
          <w:noProof/>
          <w:spacing w:val="-2"/>
          <w:sz w:val="24"/>
          <w:szCs w:val="24"/>
          <w:u w:val="single"/>
          <w:lang w:val="en-US"/>
        </w:rPr>
        <w:t>Extending the Green Lanes</w:t>
      </w:r>
    </w:p>
    <w:p>
      <w:pPr>
        <w:spacing w:after="0" w:line="240" w:lineRule="auto"/>
        <w:jc w:val="both"/>
        <w:rPr>
          <w:rFonts w:ascii="Times New Roman" w:hAnsi="Times New Roman" w:cs="Times New Roman"/>
          <w:b/>
          <w:bCs/>
          <w:iCs/>
          <w:noProof/>
          <w:spacing w:val="-2"/>
          <w:sz w:val="24"/>
          <w:szCs w:val="24"/>
          <w:lang w:val="en-US"/>
        </w:rPr>
      </w:pPr>
    </w:p>
    <w:p>
      <w:pPr>
        <w:spacing w:after="0" w:line="240" w:lineRule="auto"/>
        <w:jc w:val="both"/>
        <w:rPr>
          <w:rFonts w:ascii="Times New Roman" w:hAnsi="Times New Roman" w:cs="Times New Roman"/>
          <w:noProof/>
          <w:spacing w:val="-2"/>
          <w:sz w:val="24"/>
          <w:szCs w:val="24"/>
        </w:rPr>
      </w:pPr>
      <w:r>
        <w:rPr>
          <w:rFonts w:ascii="Times New Roman" w:hAnsi="Times New Roman" w:cs="Times New Roman"/>
          <w:noProof/>
          <w:spacing w:val="-2"/>
          <w:sz w:val="24"/>
          <w:szCs w:val="24"/>
        </w:rPr>
        <w:t xml:space="preserve">The application of Green Lanes – most notably for road freight to cross borders in less than 15 minutes – has been instrumental in maintaining the supply of goods and the economic fabric of the EU. This has made a major contribution to limiting the damage of the pandemic to daily life. Some restrictions continue to hamper the situation, including the application of quarantine restrictions and the closure of essential services for freight drivers: these should be addressed. Closing borders leads to serious delays, affecting trucks and their goods, as well as service providers and frontier workers. </w:t>
      </w:r>
      <w:r>
        <w:rPr>
          <w:rFonts w:ascii="Times New Roman" w:hAnsi="Times New Roman" w:cs="Times New Roman"/>
          <w:b/>
          <w:noProof/>
          <w:spacing w:val="-2"/>
          <w:sz w:val="24"/>
          <w:szCs w:val="24"/>
        </w:rPr>
        <w:t>The Commission proposes to extend the Green Lane approach to ensure that multi-modal transport works</w:t>
      </w:r>
      <w:r>
        <w:rPr>
          <w:rFonts w:ascii="Times New Roman" w:hAnsi="Times New Roman" w:cs="Times New Roman"/>
          <w:b/>
          <w:noProof/>
          <w:spacing w:val="-2"/>
          <w:sz w:val="24"/>
          <w:szCs w:val="24"/>
          <w:lang w:val="en-US"/>
        </w:rPr>
        <w:t xml:space="preserve"> effectively by extension to areas including rail freight, air cargo and waterborne freight, and </w:t>
      </w:r>
      <w:r>
        <w:rPr>
          <w:rFonts w:ascii="Times New Roman" w:hAnsi="Times New Roman" w:cs="Times New Roman"/>
          <w:b/>
          <w:noProof/>
          <w:spacing w:val="-2"/>
          <w:sz w:val="24"/>
          <w:szCs w:val="24"/>
        </w:rPr>
        <w:t>to make specific arrangements for seafarers</w:t>
      </w:r>
      <w:r>
        <w:rPr>
          <w:rFonts w:ascii="Times New Roman" w:hAnsi="Times New Roman" w:cs="Times New Roman"/>
          <w:b/>
          <w:noProof/>
          <w:spacing w:val="-2"/>
          <w:sz w:val="24"/>
          <w:szCs w:val="24"/>
          <w:lang w:val="en-US"/>
        </w:rPr>
        <w:t>.</w:t>
      </w:r>
      <w:r>
        <w:rPr>
          <w:rFonts w:ascii="Times New Roman" w:hAnsi="Times New Roman" w:cs="Times New Roman"/>
          <w:noProof/>
          <w:spacing w:val="-2"/>
          <w:sz w:val="24"/>
          <w:szCs w:val="24"/>
          <w:lang w:val="en-US"/>
        </w:rPr>
        <w:t xml:space="preserve"> Extending the Green Lane approach would aim at ensuring that where Member States in fact impose temporary restrictions at borders or sanitary controls, these do not excessively hamper the Single Market, and in particular, the free movement of goods, the freedom to provide cross-border services, and the free movement of frontier workers and transport workers across borders.</w:t>
      </w:r>
    </w:p>
    <w:p>
      <w:pPr>
        <w:spacing w:after="0" w:line="240" w:lineRule="auto"/>
        <w:jc w:val="both"/>
        <w:rPr>
          <w:rFonts w:ascii="Times New Roman" w:hAnsi="Times New Roman" w:cs="Times New Roman"/>
          <w:noProof/>
          <w:spacing w:val="-2"/>
          <w:sz w:val="24"/>
          <w:szCs w:val="24"/>
          <w:lang w:val="en-US"/>
        </w:rPr>
      </w:pPr>
    </w:p>
    <w:tbl>
      <w:tblPr>
        <w:tblStyle w:val="TableGrid"/>
        <w:tblW w:w="0" w:type="auto"/>
        <w:tblInd w:w="250" w:type="dxa"/>
        <w:tblLook w:val="04A0" w:firstRow="1" w:lastRow="0" w:firstColumn="1" w:lastColumn="0" w:noHBand="0" w:noVBand="1"/>
      </w:tblPr>
      <w:tblGrid>
        <w:gridCol w:w="9038"/>
      </w:tblGrid>
      <w:tr>
        <w:tc>
          <w:tcPr>
            <w:tcW w:w="9038" w:type="dxa"/>
          </w:tcPr>
          <w:p>
            <w:pPr>
              <w:jc w:val="both"/>
              <w:rPr>
                <w:rFonts w:ascii="Times New Roman" w:hAnsi="Times New Roman" w:cs="Times New Roman"/>
                <w:b/>
                <w:noProof/>
                <w:spacing w:val="-2"/>
                <w:sz w:val="24"/>
                <w:szCs w:val="24"/>
                <w:u w:val="single"/>
              </w:rPr>
            </w:pPr>
            <w:r>
              <w:rPr>
                <w:rFonts w:ascii="Times New Roman" w:hAnsi="Times New Roman" w:cs="Times New Roman"/>
                <w:b/>
                <w:noProof/>
                <w:spacing w:val="-2"/>
                <w:sz w:val="24"/>
                <w:szCs w:val="24"/>
                <w:u w:val="single"/>
              </w:rPr>
              <w:t xml:space="preserve">Next step: </w:t>
            </w:r>
          </w:p>
          <w:p>
            <w:pPr>
              <w:jc w:val="both"/>
              <w:rPr>
                <w:rFonts w:ascii="Times New Roman" w:hAnsi="Times New Roman" w:cs="Times New Roman"/>
                <w:i/>
                <w:noProof/>
                <w:spacing w:val="-2"/>
                <w:sz w:val="24"/>
                <w:szCs w:val="24"/>
              </w:rPr>
            </w:pPr>
          </w:p>
          <w:p>
            <w:pPr>
              <w:pStyle w:val="ListParagraph"/>
              <w:numPr>
                <w:ilvl w:val="0"/>
                <w:numId w:val="11"/>
              </w:numPr>
              <w:ind w:left="454"/>
              <w:jc w:val="both"/>
              <w:rPr>
                <w:rFonts w:ascii="Times New Roman" w:hAnsi="Times New Roman" w:cs="Times New Roman"/>
                <w:noProof/>
                <w:sz w:val="24"/>
                <w:szCs w:val="24"/>
                <w:lang w:val="en-US"/>
              </w:rPr>
            </w:pPr>
            <w:r>
              <w:rPr>
                <w:rFonts w:ascii="Times New Roman" w:hAnsi="Times New Roman" w:cs="Times New Roman"/>
                <w:noProof/>
                <w:spacing w:val="-2"/>
                <w:sz w:val="24"/>
                <w:szCs w:val="24"/>
              </w:rPr>
              <w:t>The Commission will monitor to ensure that more than 90% of border crossing points continue to be permanently fluid with under 15 min crossing time.</w:t>
            </w:r>
            <w:r>
              <w:rPr>
                <w:rFonts w:ascii="Times New Roman" w:hAnsi="Times New Roman" w:cs="Times New Roman"/>
                <w:noProof/>
                <w:spacing w:val="-2"/>
                <w:sz w:val="24"/>
                <w:szCs w:val="24"/>
                <w:lang w:val="en-US"/>
              </w:rPr>
              <w:t xml:space="preserve"> </w:t>
            </w:r>
          </w:p>
        </w:tc>
      </w:tr>
    </w:tbl>
    <w:p>
      <w:pPr>
        <w:pStyle w:val="ListParagraph"/>
        <w:numPr>
          <w:ilvl w:val="0"/>
          <w:numId w:val="1"/>
        </w:numPr>
        <w:spacing w:before="480" w:after="0" w:line="240" w:lineRule="auto"/>
        <w:ind w:left="425" w:hanging="425"/>
        <w:contextualSpacing w:val="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Conclusion: Building a stronger framework for the future</w:t>
      </w:r>
    </w:p>
    <w:p>
      <w:pPr>
        <w:pStyle w:val="ListParagraph"/>
        <w:spacing w:after="0" w:line="240" w:lineRule="auto"/>
        <w:jc w:val="both"/>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working continuously on improving the global, European and national response to the resurgent pandemic, lessons must also be learned to put in place a robust system for the future. COVID-19 has revealed a number of shortcomings in the EU’s health crisis response structures and actions and ad hoc responses have meant that the potential of coordination has not been used to the full. </w:t>
      </w:r>
      <w:r>
        <w:rPr>
          <w:rFonts w:ascii="Times New Roman" w:hAnsi="Times New Roman" w:cs="Times New Roman"/>
          <w:b/>
          <w:noProof/>
          <w:sz w:val="24"/>
          <w:szCs w:val="24"/>
        </w:rPr>
        <w:t xml:space="preserve">Member States should now heed their own call for a more consistent and coordinated approach.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Commission will adopt a package of initiatives on 11 November, establishing the first building blocks of a European Health Union. </w:t>
      </w:r>
      <w:r>
        <w:rPr>
          <w:rFonts w:ascii="Times New Roman" w:hAnsi="Times New Roman" w:cs="Times New Roman"/>
          <w:noProof/>
          <w:sz w:val="24"/>
          <w:szCs w:val="24"/>
        </w:rPr>
        <w:t xml:space="preserve">It will include a proposal on tackling serious cross-border health threats, setting out a more comprehensive approach to crisis preparedness, surveillance and response. It will also include changes to the mandates of the European Centre for Disease Control and the European Medicines Agency, to improve their capacities to contribute to crisis preparedness and response. These measures will address more structural gaps and upgrades that are needed to the EU’s health security framework. Other changes for the future include the need for more built-in emergency contingencies in the transport sector.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months ahead will be challenging. The capacity of healthcare to respond will be put to the test, and governments will face difficult choices about what restrictions are needed to control the spread of the virus. The steps set out in the Communication show how the EU can and must act to bring a European dimension to the efforts to combat the resurgence of infection. Cooperation is essential to using the potential of new technologies, to ensure that scarce resources are deployed to best effect, and to ensuring that citizens and business can continue to benefit from the economic and societal benefits of the Single Market. The measures proposed should be swiftly followed up at Member State as well as EU level.</w:t>
      </w:r>
    </w:p>
    <w:p>
      <w:pPr>
        <w:spacing w:after="0" w:line="240" w:lineRule="auto"/>
        <w:jc w:val="both"/>
        <w:rPr>
          <w:rFonts w:ascii="Times New Roman" w:hAnsi="Times New Roman" w:cs="Times New Roman"/>
          <w:noProof/>
          <w:sz w:val="24"/>
          <w:szCs w:val="24"/>
          <w:lang w:val="en-IE"/>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44355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Communication on short-term EU health preparedness for COVID-19 outbreaks, COM(2020) 318, 15 July 2020.</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Council Conclusions, EUCO 15/20, 16 October 2020.</w:t>
      </w:r>
    </w:p>
  </w:footnote>
  <w:footnote w:id="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Standard Eurobarometer 93 (published October 2020) found that </w:t>
      </w:r>
      <w:r>
        <w:rPr>
          <w:rFonts w:ascii="Times New Roman" w:hAnsi="Times New Roman" w:cs="Times New Roman"/>
          <w:bCs/>
          <w:lang w:val="en-US"/>
        </w:rPr>
        <w:t>62% of people trusted the EU to make the rights decisions about the pandemic in the future</w:t>
      </w:r>
      <w:r>
        <w:rPr>
          <w:rFonts w:ascii="Times New Roman" w:hAnsi="Times New Roman" w:cs="Times New Roman"/>
        </w:rPr>
        <w:t xml:space="preserve">. </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from the Commission Guidelines on COVID-19 in vitro diagnostic tests and their performance, C(2020) 2391, 15 April 2020.</w:t>
      </w:r>
    </w:p>
  </w:footnote>
  <w:footnote w:id="6">
    <w:p>
      <w:pPr>
        <w:pStyle w:val="FootnoteText"/>
        <w:ind w:left="284" w:hanging="284"/>
      </w:pPr>
      <w:r>
        <w:rPr>
          <w:rStyle w:val="FootnoteReference"/>
        </w:rPr>
        <w:footnoteRef/>
      </w:r>
      <w:r>
        <w:t xml:space="preserve"> </w:t>
      </w:r>
      <w:r>
        <w:tab/>
      </w:r>
      <w:r>
        <w:rPr>
          <w:rFonts w:ascii="Times New Roman" w:hAnsi="Times New Roman" w:cs="Times New Roman"/>
        </w:rPr>
        <w:t>Rapid antigen tests are immunoassays that detect the presence of a viral antigen.</w:t>
      </w:r>
    </w:p>
  </w:footnote>
  <w:footnote w:id="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Point 17, Council Recommendation 2020/1475 of 13 October 2020</w:t>
      </w:r>
      <w:r>
        <w:t xml:space="preserve"> </w:t>
      </w:r>
      <w:r>
        <w:rPr>
          <w:rFonts w:ascii="Times New Roman" w:hAnsi="Times New Roman" w:cs="Times New Roman"/>
        </w:rPr>
        <w:t>on a coordinated approach to the restriction of free movement in response to the COVID-19 pandemic.</w:t>
      </w:r>
    </w:p>
  </w:footnote>
  <w:footnote w:id="8">
    <w:p>
      <w:pPr>
        <w:pStyle w:val="FootnoteText"/>
        <w:ind w:left="284" w:hanging="284"/>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Common EU Toolbox for Member States, Mobile applications to support contact tracing in the EU’s fight against COVID-19, eHealth Network, 15 April 2020. </w:t>
      </w:r>
      <w:hyperlink r:id="rId1" w:history="1">
        <w:r>
          <w:rPr>
            <w:rStyle w:val="Hyperlink"/>
            <w:rFonts w:ascii="Times New Roman" w:hAnsi="Times New Roman" w:cs="Times New Roman"/>
          </w:rPr>
          <w:t>https://ec.europa.eu/health/sites/health/files/ehealth/docs/covid-19_apps_en.pdf</w:t>
        </w:r>
      </w:hyperlink>
    </w:p>
  </w:footnote>
  <w:footnote w:id="9">
    <w:p>
      <w:pPr>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hu-HU"/>
        </w:rPr>
        <w:t xml:space="preserve"> </w:t>
      </w:r>
      <w:r>
        <w:rPr>
          <w:rFonts w:ascii="Times New Roman" w:hAnsi="Times New Roman" w:cs="Times New Roman"/>
          <w:lang w:val="hu-HU"/>
        </w:rPr>
        <w:tab/>
      </w:r>
      <w:r>
        <w:rPr>
          <w:rFonts w:ascii="Times New Roman" w:hAnsi="Times New Roman" w:cs="Times New Roman"/>
          <w:sz w:val="20"/>
          <w:szCs w:val="20"/>
        </w:rPr>
        <w:t>The Emergency Support Instrument has been triggered as a financing arm of the Joint European Roadmap towards lifting coronavirus containment measures, to help Member States mitigating the immediate consequences of the pandemic and anticipate the needs related to the exit and recovery.</w:t>
      </w:r>
    </w:p>
  </w:footnote>
  <w:footnote w:id="10">
    <w:p>
      <w:pPr>
        <w:pStyle w:val="FootnoteText"/>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To be set up and funded under Horizon 2020 before end of 2020</w:t>
      </w:r>
    </w:p>
  </w:footnote>
  <w:footnote w:id="11">
    <w:p>
      <w:pPr>
        <w:pStyle w:val="FootnoteText"/>
        <w:ind w:left="284" w:hanging="284"/>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hu-HU"/>
        </w:rPr>
        <w:t xml:space="preserve"> </w:t>
      </w:r>
      <w:r>
        <w:rPr>
          <w:rFonts w:ascii="Times New Roman" w:hAnsi="Times New Roman" w:cs="Times New Roman"/>
          <w:lang w:val="hu-HU"/>
        </w:rPr>
        <w:tab/>
      </w:r>
      <w:hyperlink r:id="rId2" w:history="1">
        <w:r>
          <w:rPr>
            <w:rStyle w:val="Hyperlink"/>
            <w:rFonts w:ascii="Times New Roman" w:hAnsi="Times New Roman" w:cs="Times New Roman"/>
            <w:lang w:val="hu-HU"/>
          </w:rPr>
          <w:t>https://ec.europa.eu/commission/presscorner/detail/en/IP_20_1694</w:t>
        </w:r>
      </w:hyperlink>
      <w:r>
        <w:rPr>
          <w:rFonts w:ascii="Times New Roman" w:hAnsi="Times New Roman" w:cs="Times New Roman"/>
          <w:lang w:val="hu-HU"/>
        </w:rPr>
        <w:t xml:space="preserve"> </w:t>
      </w:r>
    </w:p>
  </w:footnote>
  <w:footnote w:id="12">
    <w:p>
      <w:pPr>
        <w:pStyle w:val="FootnoteText"/>
        <w:ind w:left="284" w:hanging="284"/>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hu-HU"/>
        </w:rPr>
        <w:t xml:space="preserve"> </w:t>
      </w:r>
      <w:r>
        <w:rPr>
          <w:rFonts w:ascii="Times New Roman" w:hAnsi="Times New Roman" w:cs="Times New Roman"/>
          <w:lang w:val="hu-HU"/>
        </w:rPr>
        <w:tab/>
      </w:r>
      <w:r>
        <w:rPr>
          <w:rFonts w:ascii="Times New Roman" w:hAnsi="Times New Roman" w:cs="Times New Roman"/>
          <w:color w:val="000000"/>
        </w:rPr>
        <w:t>Communication on preparedness for COVID-19 vaccination strategies and vaccine deployment</w:t>
      </w:r>
      <w:r>
        <w:rPr>
          <w:rFonts w:ascii="Times New Roman" w:hAnsi="Times New Roman" w:cs="Times New Roman"/>
        </w:rPr>
        <w:t>,</w:t>
      </w:r>
      <w:r>
        <w:rPr>
          <w:rFonts w:ascii="Times New Roman" w:hAnsi="Times New Roman" w:cs="Times New Roman"/>
          <w:color w:val="000000"/>
        </w:rPr>
        <w:t xml:space="preserve"> COM(2020) 680</w:t>
      </w:r>
      <w:r>
        <w:rPr>
          <w:rFonts w:ascii="Times New Roman" w:hAnsi="Times New Roman" w:cs="Times New Roman"/>
        </w:rPr>
        <w:t>,</w:t>
      </w:r>
      <w:r>
        <w:rPr>
          <w:rFonts w:ascii="Times New Roman" w:hAnsi="Times New Roman" w:cs="Times New Roman"/>
          <w:color w:val="000000"/>
        </w:rPr>
        <w:t xml:space="preserve"> 15 October 2020.</w:t>
      </w:r>
    </w:p>
  </w:footnote>
  <w:footnote w:id="13">
    <w:p>
      <w:pPr>
        <w:pStyle w:val="FootnoteText"/>
        <w:ind w:left="284" w:hanging="284"/>
      </w:pPr>
      <w:r>
        <w:rPr>
          <w:rStyle w:val="FootnoteReference"/>
        </w:rPr>
        <w:footnoteRef/>
      </w:r>
      <w:r>
        <w:t xml:space="preserve"> </w:t>
      </w:r>
      <w:r>
        <w:tab/>
      </w:r>
      <w:r>
        <w:rPr>
          <w:rFonts w:ascii="Times New Roman" w:hAnsi="Times New Roman" w:cs="Times New Roman"/>
        </w:rPr>
        <w:t xml:space="preserve">For example, </w:t>
      </w:r>
      <w:r>
        <w:rPr>
          <w:rFonts w:ascii="Times New Roman" w:hAnsi="Times New Roman" w:cs="Times New Roman"/>
          <w:i/>
        </w:rPr>
        <w:t>de facto</w:t>
      </w:r>
      <w:r>
        <w:rPr>
          <w:rFonts w:ascii="Times New Roman" w:hAnsi="Times New Roman" w:cs="Times New Roman"/>
        </w:rPr>
        <w:t xml:space="preserve"> discrimination may result if mutual recognition of tests is not assured under a testing requirement</w:t>
      </w:r>
      <w:r>
        <w:rPr>
          <w:rFonts w:ascii="Times New Roman" w:hAnsi="Times New Roman" w:cs="Times New Roman"/>
          <w:sz w:val="24"/>
          <w:szCs w:val="24"/>
        </w:rPr>
        <w:t>.</w:t>
      </w:r>
    </w:p>
  </w:footnote>
  <w:footnote w:id="14">
    <w:p>
      <w:pPr>
        <w:pStyle w:val="FootnoteText"/>
        <w:ind w:left="284" w:hanging="284"/>
      </w:pPr>
      <w:r>
        <w:rPr>
          <w:rStyle w:val="FootnoteReference"/>
        </w:rPr>
        <w:footnoteRef/>
      </w:r>
      <w:r>
        <w:t xml:space="preserve"> </w:t>
      </w:r>
      <w:r>
        <w:tab/>
      </w:r>
      <w:r>
        <w:rPr>
          <w:rFonts w:ascii="Times New Roman" w:hAnsi="Times New Roman" w:cs="Times New Roman"/>
        </w:rPr>
        <w:t>Proposal for a Council Recommendation of 4 September 2020, COM(2020) 499</w:t>
      </w:r>
    </w:p>
  </w:footnote>
  <w:footnote w:id="15">
    <w:p>
      <w:pPr>
        <w:pStyle w:val="oj-doc-ti"/>
        <w:spacing w:before="0" w:beforeAutospacing="0" w:after="0" w:afterAutospacing="0"/>
        <w:ind w:left="284" w:hanging="284"/>
      </w:pPr>
      <w:r>
        <w:rPr>
          <w:rStyle w:val="FootnoteReference"/>
        </w:rPr>
        <w:footnoteRef/>
      </w:r>
      <w:r>
        <w:t xml:space="preserve"> </w:t>
      </w:r>
      <w:r>
        <w:tab/>
      </w:r>
      <w:r>
        <w:rPr>
          <w:rFonts w:eastAsiaTheme="minorHAnsi"/>
          <w:sz w:val="20"/>
          <w:szCs w:val="20"/>
          <w:lang w:val="en-GB"/>
        </w:rPr>
        <w:t>Council Recommendation 2020/1475 of 13 October 2020 on a coordinated approach to the restriction of free movement in response to the COVID-19 pandemic.</w:t>
      </w:r>
    </w:p>
  </w:footnote>
  <w:footnote w:id="1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3" w:history="1">
        <w:r>
          <w:rPr>
            <w:rStyle w:val="Hyperlink"/>
            <w:rFonts w:ascii="Times New Roman" w:hAnsi="Times New Roman" w:cs="Times New Roman"/>
          </w:rPr>
          <w:t>https://www.ecdc.europa.eu/en/covid-19/situation-updates/weekly-maps-coordinated-restriction-free-movement</w:t>
        </w:r>
      </w:hyperlink>
      <w:r>
        <w:rPr>
          <w:rFonts w:ascii="Times New Roman" w:hAnsi="Times New Roman" w:cs="Times New Roman"/>
        </w:rPr>
        <w:t xml:space="preserve"> </w:t>
      </w:r>
    </w:p>
  </w:footnote>
  <w:footnote w:id="1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will build on the Aviation Health Safety Protocol produced by EASA-ECDC in May 2020. The Joint Action EU Healthy Gateways has also worked on a common strategy for testing of travellers at EU international airports.</w:t>
      </w:r>
    </w:p>
  </w:footnote>
  <w:footnote w:id="18">
    <w:p>
      <w:pPr>
        <w:pStyle w:val="FootnoteText"/>
        <w:ind w:left="284" w:hanging="284"/>
      </w:pPr>
      <w:r>
        <w:rPr>
          <w:rStyle w:val="FootnoteReference"/>
        </w:rPr>
        <w:footnoteRef/>
      </w:r>
      <w:r>
        <w:t xml:space="preserve"> </w:t>
      </w:r>
      <w:r>
        <w:rPr>
          <w:rFonts w:ascii="Times New Roman" w:hAnsi="Times New Roman" w:cs="Times New Roman"/>
        </w:rPr>
        <w:t>For example, the relative costs and benefits of rapid testing during a waiting period for boarding at an airport or port are quite different to those applicable to road transport at border crossings.</w:t>
      </w:r>
    </w:p>
  </w:footnote>
  <w:footnote w:id="1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Communication on Short-term EU health preparedness for COVID-19 outbreaks, COM/2020/318 final, 15 July 2020. </w:t>
      </w:r>
      <w:hyperlink r:id="rId4" w:history="1">
        <w:r>
          <w:rPr>
            <w:rStyle w:val="Hyperlink"/>
            <w:rFonts w:ascii="Times New Roman" w:hAnsi="Times New Roman" w:cs="Times New Roman"/>
            <w:color w:val="000000"/>
          </w:rPr>
          <w:t>https://ec.europa.eu/info/sites/info/files/communication_-_short-term_eu_health_preparedness.pdf</w:t>
        </w:r>
      </w:hyperlink>
      <w:r>
        <w:rPr>
          <w:rStyle w:val="Hyperlink"/>
          <w:rFonts w:ascii="Times New Roman" w:hAnsi="Times New Roman" w:cs="Times New Roman"/>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3E4C"/>
    <w:multiLevelType w:val="hybridMultilevel"/>
    <w:tmpl w:val="8022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90B86"/>
    <w:multiLevelType w:val="multilevel"/>
    <w:tmpl w:val="3E023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023F0D"/>
    <w:multiLevelType w:val="hybridMultilevel"/>
    <w:tmpl w:val="0EA6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F7CC7"/>
    <w:multiLevelType w:val="hybridMultilevel"/>
    <w:tmpl w:val="6A862AD4"/>
    <w:lvl w:ilvl="0" w:tplc="9AF642C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69621D1"/>
    <w:multiLevelType w:val="hybridMultilevel"/>
    <w:tmpl w:val="EB1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F651E"/>
    <w:multiLevelType w:val="hybridMultilevel"/>
    <w:tmpl w:val="FD762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133AF3"/>
    <w:multiLevelType w:val="hybridMultilevel"/>
    <w:tmpl w:val="53C6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6392C"/>
    <w:multiLevelType w:val="hybridMultilevel"/>
    <w:tmpl w:val="03620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DF52618"/>
    <w:multiLevelType w:val="hybridMultilevel"/>
    <w:tmpl w:val="20D26C0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6763CD"/>
    <w:multiLevelType w:val="hybridMultilevel"/>
    <w:tmpl w:val="F060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E1735C"/>
    <w:multiLevelType w:val="hybridMultilevel"/>
    <w:tmpl w:val="AE569EF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7609B"/>
    <w:multiLevelType w:val="hybridMultilevel"/>
    <w:tmpl w:val="A33EE8CC"/>
    <w:lvl w:ilvl="0" w:tplc="86B423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503C46"/>
    <w:multiLevelType w:val="hybridMultilevel"/>
    <w:tmpl w:val="CC160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1"/>
  </w:num>
  <w:num w:numId="3">
    <w:abstractNumId w:val="0"/>
  </w:num>
  <w:num w:numId="4">
    <w:abstractNumId w:val="4"/>
  </w:num>
  <w:num w:numId="5">
    <w:abstractNumId w:val="5"/>
  </w:num>
  <w:num w:numId="6">
    <w:abstractNumId w:val="10"/>
  </w:num>
  <w:num w:numId="7">
    <w:abstractNumId w:val="8"/>
  </w:num>
  <w:num w:numId="8">
    <w:abstractNumId w:val="3"/>
  </w:num>
  <w:num w:numId="9">
    <w:abstractNumId w:val="7"/>
  </w:num>
  <w:num w:numId="10">
    <w:abstractNumId w:val="2"/>
  </w:num>
  <w:num w:numId="11">
    <w:abstractNumId w:val="9"/>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917F0A-FEBD-477A-AEB2-9335E916E05C"/>
    <w:docVar w:name="LW_COVERPAGE_TYPE" w:val="1"/>
    <w:docVar w:name="LW_CROSSREFERENCE" w:val="&lt;UNUSED&gt;"/>
    <w:docVar w:name="LW_DocType" w:val="NORMAL"/>
    <w:docVar w:name="LW_EMISSION" w:val="28.10.2020"/>
    <w:docVar w:name="LW_EMISSION_ISODATE" w:val="2020-10-28"/>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dditional COVID-19 response measures"/>
    <w:docVar w:name="LW_TYPE.DOC.CP" w:val="COMMUNICATION FROM THE COMMISSION"/>
    <w:docVar w:name="LW_TYPE.DOC.CP.USERTEXT" w:val="TO THE EUROPEAN PARLIAMENT, THE EUROPEAN COUNCIL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pPr>
      <w:spacing w:before="120" w:after="120" w:line="240" w:lineRule="auto"/>
      <w:jc w:val="both"/>
    </w:pPr>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Body">
    <w:name w:val="Body"/>
    <w:rPr>
      <w:rFonts w:ascii="Calibri" w:eastAsia="Calibri" w:hAnsi="Calibri" w:cs="Calibri"/>
      <w:color w:val="000000"/>
      <w:u w:color="000000"/>
      <w:lang w:val="en-US" w:eastAsia="fr-BE"/>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customStyle="1" w:styleId="DocumentTable1">
    <w:name w:val="Document Table1"/>
    <w:basedOn w:val="TableNormal"/>
    <w:uiPriority w:val="99"/>
    <w:pPr>
      <w:spacing w:before="80" w:after="80" w:line="259" w:lineRule="auto"/>
    </w:pPr>
    <w:rPr>
      <w:rFonts w:ascii="EC Square Sans Pro" w:eastAsia="MS Mincho" w:hAnsi="EC Square Sans Pro"/>
      <w:sz w:val="18"/>
      <w:lang w:val="nl-BE" w:eastAsia="nl-BE"/>
    </w:rPr>
    <w:tblPr>
      <w:tblStyleRowBandSize w:val="1"/>
      <w:tblBorders>
        <w:left w:val="single" w:sz="4" w:space="0" w:color="FFFFFF" w:themeColor="background1"/>
        <w:bottom w:val="single" w:sz="8" w:space="0" w:color="666666" w:themeColor="text1" w:themeTint="99"/>
        <w:right w:val="single" w:sz="4" w:space="0" w:color="FFFFFF" w:themeColor="background1"/>
        <w:insideH w:val="single" w:sz="8" w:space="0" w:color="666666" w:themeColor="text1" w:themeTint="99"/>
        <w:insideV w:val="single" w:sz="4" w:space="0" w:color="FFFFFF" w:themeColor="background1"/>
      </w:tblBorders>
    </w:tblPr>
    <w:tcPr>
      <w:shd w:val="clear" w:color="auto" w:fill="FFFFFF" w:themeFill="background1"/>
      <w:vAlign w:val="center"/>
    </w:tcPr>
    <w:tblStylePr w:type="firstRow">
      <w:pPr>
        <w:jc w:val="center"/>
      </w:pPr>
      <w:rPr>
        <w:rFonts w:ascii="EC Square Sans Pro" w:hAnsi="EC Square Sans Pro"/>
        <w:b/>
        <w:color w:val="FFFFFF" w:themeColor="background1"/>
        <w:sz w:val="24"/>
      </w:rPr>
      <w:tblPr/>
      <w:tcPr>
        <w:tcBorders>
          <w:top w:val="nil"/>
          <w:left w:val="nil"/>
          <w:bottom w:val="nil"/>
          <w:right w:val="nil"/>
          <w:insideH w:val="nil"/>
          <w:insideV w:val="single" w:sz="4" w:space="0" w:color="FFFFFF" w:themeColor="background1"/>
        </w:tcBorders>
        <w:shd w:val="clear" w:color="auto" w:fill="0E4194"/>
      </w:tcPr>
    </w:tblStylePr>
    <w:tblStylePr w:type="lastRow">
      <w:tblPr/>
      <w:tcPr>
        <w:tcBorders>
          <w:bottom w:val="nil"/>
          <w:insideH w:val="nil"/>
        </w:tcBorders>
        <w:shd w:val="clear" w:color="auto" w:fill="FFFFFF" w:themeFill="background1"/>
      </w:tcPr>
    </w:tblStylePr>
    <w:tblStylePr w:type="band1Horz">
      <w:tblPr/>
      <w:tcPr>
        <w:shd w:val="clear" w:color="auto" w:fill="E8EAF4"/>
      </w:tcPr>
    </w:tblStylePr>
  </w:style>
  <w:style w:type="table" w:customStyle="1" w:styleId="Box1">
    <w:name w:val="Box1"/>
    <w:basedOn w:val="TableNormal"/>
    <w:uiPriority w:val="99"/>
    <w:pPr>
      <w:spacing w:after="0" w:line="240" w:lineRule="auto"/>
    </w:pPr>
    <w:rPr>
      <w:rFonts w:ascii="EC Square Sans Pro" w:hAnsi="EC Square Sans Pro"/>
    </w:rPr>
    <w:tblPr>
      <w:tblBorders>
        <w:top w:val="dashSmallGap" w:sz="8" w:space="0" w:color="C0504D" w:themeColor="accent2"/>
        <w:left w:val="dashSmallGap" w:sz="8" w:space="0" w:color="C0504D" w:themeColor="accent2"/>
        <w:bottom w:val="dashSmallGap" w:sz="8" w:space="0" w:color="C0504D" w:themeColor="accent2"/>
        <w:right w:val="dashSmallGap" w:sz="8" w:space="0" w:color="C0504D" w:themeColor="accent2"/>
      </w:tblBorders>
    </w:tblPr>
  </w:style>
  <w:style w:type="paragraph" w:customStyle="1" w:styleId="oj-doc-ti">
    <w:name w:val="oj-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pPr>
      <w:spacing w:before="120" w:after="120" w:line="240" w:lineRule="auto"/>
      <w:jc w:val="both"/>
    </w:pPr>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Body">
    <w:name w:val="Body"/>
    <w:rPr>
      <w:rFonts w:ascii="Calibri" w:eastAsia="Calibri" w:hAnsi="Calibri" w:cs="Calibri"/>
      <w:color w:val="000000"/>
      <w:u w:color="000000"/>
      <w:lang w:val="en-US" w:eastAsia="fr-BE"/>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customStyle="1" w:styleId="DocumentTable1">
    <w:name w:val="Document Table1"/>
    <w:basedOn w:val="TableNormal"/>
    <w:uiPriority w:val="99"/>
    <w:pPr>
      <w:spacing w:before="80" w:after="80" w:line="259" w:lineRule="auto"/>
    </w:pPr>
    <w:rPr>
      <w:rFonts w:ascii="EC Square Sans Pro" w:eastAsia="MS Mincho" w:hAnsi="EC Square Sans Pro"/>
      <w:sz w:val="18"/>
      <w:lang w:val="nl-BE" w:eastAsia="nl-BE"/>
    </w:rPr>
    <w:tblPr>
      <w:tblStyleRowBandSize w:val="1"/>
      <w:tblBorders>
        <w:left w:val="single" w:sz="4" w:space="0" w:color="FFFFFF" w:themeColor="background1"/>
        <w:bottom w:val="single" w:sz="8" w:space="0" w:color="666666" w:themeColor="text1" w:themeTint="99"/>
        <w:right w:val="single" w:sz="4" w:space="0" w:color="FFFFFF" w:themeColor="background1"/>
        <w:insideH w:val="single" w:sz="8" w:space="0" w:color="666666" w:themeColor="text1" w:themeTint="99"/>
        <w:insideV w:val="single" w:sz="4" w:space="0" w:color="FFFFFF" w:themeColor="background1"/>
      </w:tblBorders>
    </w:tblPr>
    <w:tcPr>
      <w:shd w:val="clear" w:color="auto" w:fill="FFFFFF" w:themeFill="background1"/>
      <w:vAlign w:val="center"/>
    </w:tcPr>
    <w:tblStylePr w:type="firstRow">
      <w:pPr>
        <w:jc w:val="center"/>
      </w:pPr>
      <w:rPr>
        <w:rFonts w:ascii="EC Square Sans Pro" w:hAnsi="EC Square Sans Pro"/>
        <w:b/>
        <w:color w:val="FFFFFF" w:themeColor="background1"/>
        <w:sz w:val="24"/>
      </w:rPr>
      <w:tblPr/>
      <w:tcPr>
        <w:tcBorders>
          <w:top w:val="nil"/>
          <w:left w:val="nil"/>
          <w:bottom w:val="nil"/>
          <w:right w:val="nil"/>
          <w:insideH w:val="nil"/>
          <w:insideV w:val="single" w:sz="4" w:space="0" w:color="FFFFFF" w:themeColor="background1"/>
        </w:tcBorders>
        <w:shd w:val="clear" w:color="auto" w:fill="0E4194"/>
      </w:tcPr>
    </w:tblStylePr>
    <w:tblStylePr w:type="lastRow">
      <w:tblPr/>
      <w:tcPr>
        <w:tcBorders>
          <w:bottom w:val="nil"/>
          <w:insideH w:val="nil"/>
        </w:tcBorders>
        <w:shd w:val="clear" w:color="auto" w:fill="FFFFFF" w:themeFill="background1"/>
      </w:tcPr>
    </w:tblStylePr>
    <w:tblStylePr w:type="band1Horz">
      <w:tblPr/>
      <w:tcPr>
        <w:shd w:val="clear" w:color="auto" w:fill="E8EAF4"/>
      </w:tcPr>
    </w:tblStylePr>
  </w:style>
  <w:style w:type="table" w:customStyle="1" w:styleId="Box1">
    <w:name w:val="Box1"/>
    <w:basedOn w:val="TableNormal"/>
    <w:uiPriority w:val="99"/>
    <w:pPr>
      <w:spacing w:after="0" w:line="240" w:lineRule="auto"/>
    </w:pPr>
    <w:rPr>
      <w:rFonts w:ascii="EC Square Sans Pro" w:hAnsi="EC Square Sans Pro"/>
    </w:rPr>
    <w:tblPr>
      <w:tblBorders>
        <w:top w:val="dashSmallGap" w:sz="8" w:space="0" w:color="C0504D" w:themeColor="accent2"/>
        <w:left w:val="dashSmallGap" w:sz="8" w:space="0" w:color="C0504D" w:themeColor="accent2"/>
        <w:bottom w:val="dashSmallGap" w:sz="8" w:space="0" w:color="C0504D" w:themeColor="accent2"/>
        <w:right w:val="dashSmallGap" w:sz="8" w:space="0" w:color="C0504D" w:themeColor="accent2"/>
      </w:tblBorders>
    </w:tblPr>
  </w:style>
  <w:style w:type="paragraph" w:customStyle="1" w:styleId="oj-doc-ti">
    <w:name w:val="oj-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3143">
      <w:bodyDiv w:val="1"/>
      <w:marLeft w:val="0"/>
      <w:marRight w:val="0"/>
      <w:marTop w:val="0"/>
      <w:marBottom w:val="0"/>
      <w:divBdr>
        <w:top w:val="none" w:sz="0" w:space="0" w:color="auto"/>
        <w:left w:val="none" w:sz="0" w:space="0" w:color="auto"/>
        <w:bottom w:val="none" w:sz="0" w:space="0" w:color="auto"/>
        <w:right w:val="none" w:sz="0" w:space="0" w:color="auto"/>
      </w:divBdr>
    </w:div>
    <w:div w:id="465126702">
      <w:bodyDiv w:val="1"/>
      <w:marLeft w:val="0"/>
      <w:marRight w:val="0"/>
      <w:marTop w:val="0"/>
      <w:marBottom w:val="0"/>
      <w:divBdr>
        <w:top w:val="none" w:sz="0" w:space="0" w:color="auto"/>
        <w:left w:val="none" w:sz="0" w:space="0" w:color="auto"/>
        <w:bottom w:val="none" w:sz="0" w:space="0" w:color="auto"/>
        <w:right w:val="none" w:sz="0" w:space="0" w:color="auto"/>
      </w:divBdr>
    </w:div>
    <w:div w:id="720979457">
      <w:bodyDiv w:val="1"/>
      <w:marLeft w:val="0"/>
      <w:marRight w:val="0"/>
      <w:marTop w:val="0"/>
      <w:marBottom w:val="0"/>
      <w:divBdr>
        <w:top w:val="none" w:sz="0" w:space="0" w:color="auto"/>
        <w:left w:val="none" w:sz="0" w:space="0" w:color="auto"/>
        <w:bottom w:val="none" w:sz="0" w:space="0" w:color="auto"/>
        <w:right w:val="none" w:sz="0" w:space="0" w:color="auto"/>
      </w:divBdr>
    </w:div>
    <w:div w:id="1149520156">
      <w:bodyDiv w:val="1"/>
      <w:marLeft w:val="0"/>
      <w:marRight w:val="0"/>
      <w:marTop w:val="0"/>
      <w:marBottom w:val="0"/>
      <w:divBdr>
        <w:top w:val="none" w:sz="0" w:space="0" w:color="auto"/>
        <w:left w:val="none" w:sz="0" w:space="0" w:color="auto"/>
        <w:bottom w:val="none" w:sz="0" w:space="0" w:color="auto"/>
        <w:right w:val="none" w:sz="0" w:space="0" w:color="auto"/>
      </w:divBdr>
    </w:div>
    <w:div w:id="1554270147">
      <w:bodyDiv w:val="1"/>
      <w:marLeft w:val="0"/>
      <w:marRight w:val="0"/>
      <w:marTop w:val="0"/>
      <w:marBottom w:val="0"/>
      <w:divBdr>
        <w:top w:val="none" w:sz="0" w:space="0" w:color="auto"/>
        <w:left w:val="none" w:sz="0" w:space="0" w:color="auto"/>
        <w:bottom w:val="none" w:sz="0" w:space="0" w:color="auto"/>
        <w:right w:val="none" w:sz="0" w:space="0" w:color="auto"/>
      </w:divBdr>
    </w:div>
    <w:div w:id="1947154139">
      <w:bodyDiv w:val="1"/>
      <w:marLeft w:val="0"/>
      <w:marRight w:val="0"/>
      <w:marTop w:val="0"/>
      <w:marBottom w:val="0"/>
      <w:divBdr>
        <w:top w:val="none" w:sz="0" w:space="0" w:color="auto"/>
        <w:left w:val="none" w:sz="0" w:space="0" w:color="auto"/>
        <w:bottom w:val="none" w:sz="0" w:space="0" w:color="auto"/>
        <w:right w:val="none" w:sz="0" w:space="0" w:color="auto"/>
      </w:divBdr>
    </w:div>
    <w:div w:id="20110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c.europa.eu/health/sites/health/files/ehealth/docs/covid-19_apps_en.pdf"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dc.europa.eu/en/covid-19/situation-updates/weekly-maps-coordinated-restriction-free-movement" TargetMode="External"/><Relationship Id="rId2" Type="http://schemas.openxmlformats.org/officeDocument/2006/relationships/hyperlink" Target="https://ec.europa.eu/commission/presscorner/detail/en/IP_20_1694" TargetMode="External"/><Relationship Id="rId1" Type="http://schemas.openxmlformats.org/officeDocument/2006/relationships/hyperlink" Target="https://ec.europa.eu/health/sites/health/files/ehealth/docs/covid-19_apps_en.pdf" TargetMode="External"/><Relationship Id="rId4" Type="http://schemas.openxmlformats.org/officeDocument/2006/relationships/hyperlink" Target="https://ec.europa.eu/info/sites/info/files/communication_-_short-term_eu_health_prepared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5C03B-B19F-42EE-973B-4B1B0663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5007</Words>
  <Characters>26988</Characters>
  <Application>Microsoft Office Word</Application>
  <DocSecurity>0</DocSecurity>
  <Lines>481</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2020-10-27T12:52:00Z</dcterms:created>
  <dcterms:modified xsi:type="dcterms:W3CDTF">2020-10-27T18:20:00Z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