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5D8C8928-A1B1-450E-A6E6-43F059B99DA5" style="width:450.15pt;height:334.3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jc w:val="both"/>
        <w:rPr>
          <w:rFonts w:ascii="Times New Roman" w:hAnsi="Times New Roman" w:cs="Times New Roman"/>
          <w:b/>
          <w:noProof/>
          <w:sz w:val="24"/>
          <w:szCs w:val="24"/>
          <w:u w:val="single"/>
        </w:rPr>
      </w:pPr>
      <w:bookmarkStart w:id="1" w:name="_GoBack"/>
      <w:bookmarkEnd w:id="1"/>
      <w:r>
        <w:rPr>
          <w:rFonts w:ascii="Times New Roman" w:hAnsi="Times New Roman"/>
          <w:b/>
          <w:noProof/>
          <w:sz w:val="24"/>
          <w:szCs w:val="24"/>
          <w:u w:val="single"/>
        </w:rPr>
        <w:lastRenderedPageBreak/>
        <w:t>ВЪВЕДЕНИЕ</w:t>
      </w:r>
    </w:p>
    <w:p>
      <w:pPr>
        <w:spacing w:before="100" w:beforeAutospacing="1" w:after="240" w:line="240" w:lineRule="auto"/>
        <w:jc w:val="both"/>
        <w:rPr>
          <w:rFonts w:ascii="Times New Roman" w:hAnsi="Times New Roman" w:cs="Times New Roman"/>
          <w:noProof/>
          <w:sz w:val="24"/>
          <w:szCs w:val="24"/>
        </w:rPr>
      </w:pPr>
      <w:r>
        <w:rPr>
          <w:rFonts w:ascii="Times New Roman" w:hAnsi="Times New Roman"/>
          <w:noProof/>
          <w:sz w:val="24"/>
          <w:szCs w:val="24"/>
        </w:rPr>
        <w:t>В Директива 2014/68/ЕС</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са определени изискванията относно проектирането, производството и оценяването на съответствието на съоръжения под налягане и функционални групи с максимално допустимо налягане по-голямо от 0,5 bar. Член 45 от директивата определя на Комисията правомощието да приема делегирани актове с цел:  </w:t>
      </w:r>
    </w:p>
    <w:p>
      <w:pPr>
        <w:pStyle w:val="ListParagraph"/>
        <w:numPr>
          <w:ilvl w:val="0"/>
          <w:numId w:val="1"/>
        </w:numPr>
        <w:autoSpaceDE w:val="0"/>
        <w:autoSpaceDN w:val="0"/>
        <w:adjustRightInd w:val="0"/>
        <w:spacing w:before="100" w:beforeAutospacing="1" w:after="24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към едно или серия съоръжения под налягане, посочени в член 4, параграф 3 и проектирани и произведени в съответствие с добрата инженерна практика на държава членка, да се прилагат съществените изисквания за безопасност, съдържащи се в приложение І към директивата, както е посочено в член 4, параграф 1 от нея;  </w:t>
      </w:r>
    </w:p>
    <w:p>
      <w:pPr>
        <w:pStyle w:val="ListParagraph"/>
        <w:numPr>
          <w:ilvl w:val="0"/>
          <w:numId w:val="1"/>
        </w:numPr>
        <w:autoSpaceDE w:val="0"/>
        <w:autoSpaceDN w:val="0"/>
        <w:adjustRightInd w:val="0"/>
        <w:spacing w:before="100" w:beforeAutospacing="1" w:after="24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 xml:space="preserve">към функционална група или серия функционални групи, посочени в член 4, параграф 3 и проектирани и произведени в съответствие с добрата инженерна практика на държава членка, да се прилагат изискванията, съдържащи се в приложение I към директивата, както е посочено в член 4, параграф 2 от нея; </w:t>
      </w:r>
    </w:p>
    <w:p>
      <w:pPr>
        <w:pStyle w:val="ListParagraph"/>
        <w:numPr>
          <w:ilvl w:val="0"/>
          <w:numId w:val="1"/>
        </w:numPr>
        <w:autoSpaceDE w:val="0"/>
        <w:autoSpaceDN w:val="0"/>
        <w:adjustRightInd w:val="0"/>
        <w:spacing w:before="100" w:beforeAutospacing="1" w:after="240" w:line="240" w:lineRule="auto"/>
        <w:ind w:left="357" w:hanging="357"/>
        <w:contextualSpacing w:val="0"/>
        <w:jc w:val="both"/>
        <w:rPr>
          <w:rFonts w:ascii="Times New Roman" w:hAnsi="Times New Roman" w:cs="Times New Roman"/>
          <w:noProof/>
          <w:sz w:val="24"/>
          <w:szCs w:val="24"/>
        </w:rPr>
      </w:pPr>
      <w:r>
        <w:rPr>
          <w:rFonts w:ascii="Times New Roman" w:hAnsi="Times New Roman"/>
          <w:noProof/>
          <w:sz w:val="24"/>
          <w:szCs w:val="24"/>
        </w:rPr>
        <w:t>едно или серия от съоръжения под налягане да се класифицират в друга категория чрез дерогация от изискванията на приложение II към директивата.</w:t>
      </w:r>
    </w:p>
    <w:p>
      <w:pPr>
        <w:spacing w:before="100" w:beforeAutospacing="1" w:after="240" w:line="240" w:lineRule="auto"/>
        <w:jc w:val="both"/>
        <w:rPr>
          <w:rFonts w:ascii="Times New Roman" w:hAnsi="Times New Roman" w:cs="Times New Roman"/>
          <w:b/>
          <w:noProof/>
          <w:sz w:val="24"/>
          <w:szCs w:val="24"/>
          <w:u w:val="single"/>
        </w:rPr>
      </w:pPr>
      <w:r>
        <w:rPr>
          <w:rFonts w:ascii="Times New Roman" w:hAnsi="Times New Roman"/>
          <w:b/>
          <w:noProof/>
          <w:sz w:val="24"/>
          <w:szCs w:val="24"/>
          <w:u w:val="single"/>
        </w:rPr>
        <w:t>ПРАВНО ОСНОВАНИЕ</w:t>
      </w:r>
    </w:p>
    <w:p>
      <w:pPr>
        <w:spacing w:before="100" w:beforeAutospacing="1" w:after="240" w:line="240" w:lineRule="auto"/>
        <w:jc w:val="both"/>
        <w:rPr>
          <w:rFonts w:ascii="Times New Roman" w:hAnsi="Times New Roman" w:cs="Times New Roman"/>
          <w:noProof/>
          <w:sz w:val="24"/>
          <w:szCs w:val="24"/>
        </w:rPr>
      </w:pPr>
      <w:r>
        <w:rPr>
          <w:rFonts w:ascii="Times New Roman" w:hAnsi="Times New Roman"/>
          <w:noProof/>
          <w:sz w:val="24"/>
          <w:szCs w:val="24"/>
        </w:rPr>
        <w:t>Настоящият доклад се изисква съгласно член 46, параграф 2 от Директива (ЕС) 2014/68. Съгласно посочената разпоредба правомощието да приема делегирани актове се предоставя на Комисията за срок от пет години, считано от 1 юни 2015 г., като се изисква тя да изготви доклад относно делегирането на това правомощие.</w:t>
      </w:r>
    </w:p>
    <w:p>
      <w:pPr>
        <w:spacing w:before="100" w:beforeAutospacing="1" w:after="240" w:line="240" w:lineRule="auto"/>
        <w:jc w:val="both"/>
        <w:rPr>
          <w:rFonts w:ascii="Times New Roman" w:hAnsi="Times New Roman" w:cs="Times New Roman"/>
          <w:b/>
          <w:noProof/>
          <w:sz w:val="24"/>
          <w:szCs w:val="24"/>
          <w:u w:val="single"/>
        </w:rPr>
      </w:pPr>
      <w:r>
        <w:rPr>
          <w:rFonts w:ascii="Times New Roman" w:hAnsi="Times New Roman"/>
          <w:b/>
          <w:noProof/>
          <w:sz w:val="24"/>
          <w:szCs w:val="24"/>
          <w:u w:val="single"/>
        </w:rPr>
        <w:t>УПРАЖНЯВАНЕ НА ДЕЛЕГИРАНЕТО</w:t>
      </w:r>
    </w:p>
    <w:p>
      <w:pPr>
        <w:spacing w:before="100" w:beforeAutospacing="1" w:after="240" w:line="240" w:lineRule="auto"/>
        <w:jc w:val="both"/>
        <w:rPr>
          <w:rFonts w:ascii="Times New Roman" w:hAnsi="Times New Roman" w:cs="Times New Roman"/>
          <w:noProof/>
          <w:sz w:val="24"/>
          <w:szCs w:val="24"/>
        </w:rPr>
      </w:pPr>
      <w:r>
        <w:rPr>
          <w:rFonts w:ascii="Times New Roman" w:hAnsi="Times New Roman"/>
          <w:noProof/>
          <w:sz w:val="24"/>
          <w:szCs w:val="24"/>
        </w:rPr>
        <w:t>От влизането в сила на Директива 2014/68/ЕС Комисията не е използвала правомощието си да приема делегирани актове.</w:t>
      </w:r>
    </w:p>
    <w:p>
      <w:pPr>
        <w:spacing w:before="100" w:beforeAutospacing="1"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Същевременно основанията, мотивирали решението на съзаконодателите да делегират на Комисията правомощието да приема делегирани актове, остават в сила и в бъдеще може да се наложи Комисията действително да използва това правомощие. Така например органите за надзор на пазара на държавите членки периодично изказват опасения относно безопасността на някои нови продукти, пуснати на пазара. Поради това може да се наложи прекласифициране на тези продукти с цел към тях да се прилагат по-строги изисквания. Поради това Комисията може да използва правомощието по отношение на такива продукти. </w:t>
      </w:r>
    </w:p>
    <w:p>
      <w:pPr>
        <w:spacing w:before="100" w:beforeAutospacing="1" w:after="240" w:line="240" w:lineRule="auto"/>
        <w:jc w:val="both"/>
        <w:rPr>
          <w:rFonts w:ascii="Times New Roman" w:hAnsi="Times New Roman" w:cs="Times New Roman"/>
          <w:b/>
          <w:noProof/>
          <w:sz w:val="24"/>
          <w:szCs w:val="24"/>
          <w:u w:val="single"/>
        </w:rPr>
      </w:pPr>
      <w:r>
        <w:rPr>
          <w:rFonts w:ascii="Times New Roman" w:hAnsi="Times New Roman"/>
          <w:b/>
          <w:noProof/>
          <w:sz w:val="24"/>
          <w:szCs w:val="24"/>
          <w:u w:val="single"/>
        </w:rPr>
        <w:t>ЗАКЛЮЧЕНИЕ</w:t>
      </w:r>
    </w:p>
    <w:p>
      <w:pPr>
        <w:spacing w:before="100" w:beforeAutospacing="1" w:after="240" w:line="240" w:lineRule="auto"/>
        <w:jc w:val="both"/>
        <w:rPr>
          <w:rFonts w:ascii="Times New Roman" w:hAnsi="Times New Roman" w:cs="Times New Roman"/>
          <w:noProof/>
          <w:sz w:val="24"/>
          <w:szCs w:val="24"/>
        </w:rPr>
      </w:pPr>
      <w:r>
        <w:rPr>
          <w:rFonts w:ascii="Times New Roman" w:hAnsi="Times New Roman"/>
          <w:noProof/>
          <w:sz w:val="24"/>
          <w:szCs w:val="24"/>
        </w:rPr>
        <w:t>Комисията счита, че делегирането на правомощия за приемане на делегираните актове, описано в членове 45 и 46 от Директива 2014/68/ЕС, следва да бъде продължено. Съгласно предвиденото в член 46, параграф 2 от посочената директива делегирането на правомощия се продължава мълчаливо за срокове с еднаква продължителност, освен ако Европейският парламент или Съветът не възразят срещу подобно продължаване не по-късно от три месеца преди изтичането на всеки срок.</w:t>
      </w:r>
    </w:p>
    <w:sectPr>
      <w:headerReference w:type="even" r:id="rId15"/>
      <w:headerReference w:type="default" r:id="rId16"/>
      <w:footerReference w:type="even" r:id="rId17"/>
      <w:footerReference w:type="default" r:id="rId18"/>
      <w:headerReference w:type="first" r:id="rId19"/>
      <w:footerReference w:type="first" r:id="rId20"/>
      <w:pgSz w:w="11906" w:h="16838"/>
      <w:pgMar w:top="709"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60334"/>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Fonts w:ascii="Times New Roman" w:hAnsi="Times New Roman"/>
        </w:rPr>
        <w:footnoteRef/>
      </w:r>
      <w:r>
        <w:rPr>
          <w:rFonts w:ascii="Times New Roman" w:hAnsi="Times New Roman"/>
        </w:rPr>
        <w:t>Директива 2014/68/ЕС на Европейския парламент и на Съвета от 15 май 2014 г. за хармонизиране на законодателствата на държавите членки за предоставяне на пазара на съоръжения под налягане (ОВ L 189, 27.6.2014 г., стр. 164 – 259).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73C9C"/>
    <w:multiLevelType w:val="hybridMultilevel"/>
    <w:tmpl w:val="BF2A57A4"/>
    <w:lvl w:ilvl="0" w:tplc="18C45B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D8C8928-A1B1-450E-A6E6-43F059B99DA5"/>
    <w:docVar w:name="LW_COVERPAGE_TYPE" w:val="1"/>
    <w:docVar w:name="LW_CROSSREFERENCE" w:val="&lt;UNUSED&gt;"/>
    <w:docVar w:name="LW_DocType" w:val="NORMAL"/>
    <w:docVar w:name="LW_EMISSION" w:val="29.10.2020"/>
    <w:docVar w:name="LW_EMISSION_ISODATE" w:val="2020-10-29"/>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67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6?\u1090?\u1085?\u1086?\u1089?\u1085?\u1086? \u1091?\u1087?\u1088?\u1072?\u1078?\u1085?\u1103?\u1074?\u1072?\u1085?\u1077?\u1090?\u1086? \u1085?\u1072? \u1087?\u1088?\u1072?\u1074?\u1086?\u1084?\u1086?\u1097?\u1080?\u1077?\u1090?\u1086? \u1079?\u1072? \u1087?\u1088?\u1080?\u1077?\u1084?\u1072?\u1085?\u1077? \u1085?\u1072? \u1076?\u1077?\u1083?\u1077?\u1075?\u1080?\u1088?\u1072?\u1085?\u1080? \u1072?\u1082?\u1090?\u1086?\u1074?\u1077?, \u1087?\u1088?\u1077?\u1076?\u1086?\u1089?\u1090?\u1072?\u1074?\u1077?\u1085?\u1086? \u1085?\u1072? \u1050?\u1086?\u1084?\u1080?\u1089?\u1080?\u1103?\u1090?\u1072? \u1089?\u1098?\u1075?\u1083?\u1072?\u1089?\u1085?\u1086? \u1044?\u1080?\u1088?\u1077?\u1082?\u1090?\u1080?\u1074?\u1072? 2014/68/\u1045?\u1057? \u1085?\u1072? \u1045?\u1074?\u1088?\u1086?\u1087?\u1077?\u1081?\u1089?\u1082?\u1080?\u1103? \u1087?\u1072?\u1088?\u1083?\u1072?\u1084?\u1077?\u1085?\u1090? \u1080? \u1085?\u1072? \u1057?\u1098?\u1074?\u1077?\u1090?\u1072? \u1086?\u1090? 15 \u1084?\u1072?\u1081? 2014 \u1075?. \u1079?\u1072? \u1093?\u1072?\u1088?\u1084?\u1086?\u1085?\u1080?\u1079?\u1080?\u1088?\u1072?\u1085?\u1077? \u1085?\u1072? \u1079?\u1072?\u1082?\u1086?\u1085?\u1086?\u1076?\u1072?\u1090?\u1077?\u1083?\u1089?\u1090?\u1074?\u1072?\u1090?\u1072? \u1085?\u1072? \u1076?\u1098?\u1088?\u1078?\u1072?\u1074?\u1080?\u1090?\u1077? \u1095?\u1083?\u1077?\u1085?\u1082?\u1080? \u1079?\u1072? \u1087?\u1088?\u1077?\u1076?\u1086?\u1089?\u1090?\u1072?\u1074?\u1103?\u1085?\u1077? \u1085?\u1072? \u1087?\u1072?\u1079?\u1072?\u1088?\u1072? \u1085?\u1072? \u1089?\u1098?\u1086?\u1088?\u1098?\u1078?\u1077?\u1085?\u1080?\u1103? \u1087?\u1086?\u1076? \u1085?\u1072?\u1083?\u1103?\u1075?\u1072?\u1085?\u1077?&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otnoteReference">
    <w:name w:val="footnote reference"/>
    <w:semiHidden/>
    <w:rPr>
      <w:shd w:val="clear" w:color="auto" w:fill="auto"/>
      <w:vertAlign w:val="superscript"/>
    </w:rPr>
  </w:style>
  <w:style w:type="paragraph" w:styleId="FootnoteText">
    <w:name w:val="footnote text"/>
    <w:basedOn w:val="Normal"/>
    <w:link w:val="FootnoteTextChar"/>
    <w:uiPriority w:val="99"/>
    <w:unhideWhenUsed/>
    <w:qFormat/>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character" w:styleId="FootnoteReference">
    <w:name w:val="footnote reference"/>
    <w:semiHidden/>
    <w:rPr>
      <w:shd w:val="clear" w:color="auto" w:fill="auto"/>
      <w:vertAlign w:val="superscript"/>
    </w:rPr>
  </w:style>
  <w:style w:type="paragraph" w:styleId="FootnoteText">
    <w:name w:val="footnote text"/>
    <w:basedOn w:val="Normal"/>
    <w:link w:val="FootnoteTextChar"/>
    <w:uiPriority w:val="99"/>
    <w:unhideWhenUsed/>
    <w:qFormat/>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spacing w:before="120" w:after="120" w:line="240" w:lineRule="auto"/>
      <w:jc w:val="both"/>
    </w:pPr>
    <w:rPr>
      <w:rFonts w:ascii="Times New Roman" w:hAnsi="Times New Roman" w:cs="Times New Roman"/>
      <w:sz w:val="24"/>
    </w:rPr>
  </w:style>
  <w:style w:type="paragraph" w:customStyle="1" w:styleId="SecurityMarking">
    <w:name w:val="SecurityMarking"/>
    <w:basedOn w:val="Normal"/>
    <w:pPr>
      <w:spacing w:after="0"/>
      <w:ind w:left="5103"/>
    </w:pPr>
    <w:rPr>
      <w:rFonts w:ascii="Times New Roman" w:hAnsi="Times New Roman" w:cs="Times New Roman"/>
      <w:sz w:val="28"/>
    </w:rPr>
  </w:style>
  <w:style w:type="paragraph" w:customStyle="1" w:styleId="DateMarking">
    <w:name w:val="DateMarking"/>
    <w:basedOn w:val="Normal"/>
    <w:pPr>
      <w:spacing w:after="0"/>
      <w:ind w:left="5103"/>
    </w:pPr>
    <w:rPr>
      <w:rFonts w:ascii="Times New Roman" w:hAnsi="Times New Roman" w:cs="Times New Roman"/>
      <w:i/>
      <w:sz w:val="28"/>
    </w:rPr>
  </w:style>
  <w:style w:type="paragraph" w:customStyle="1" w:styleId="ReleasableTo">
    <w:name w:val="ReleasableTo"/>
    <w:basedOn w:val="Normal"/>
    <w:pPr>
      <w:spacing w:after="0"/>
      <w:ind w:left="5103"/>
    </w:pPr>
    <w:rPr>
      <w:rFonts w:ascii="Times New Roman" w:hAnsi="Times New Roman" w:cs="Times New Roman"/>
      <w:i/>
      <w:sz w:val="28"/>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386</Words>
  <Characters>2228</Characters>
  <Application>Microsoft Office Word</Application>
  <DocSecurity>0</DocSecurity>
  <Lines>42</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17</cp:revision>
  <dcterms:created xsi:type="dcterms:W3CDTF">2020-06-19T09:42:00Z</dcterms:created>
  <dcterms:modified xsi:type="dcterms:W3CDTF">2020-10-22T06:35:00Z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Last edited using">
    <vt:lpwstr>LW 7.0, Build 20190717</vt:lpwstr>
  </property>
  <property fmtid="{D5CDD505-2E9C-101B-9397-08002B2CF9AE}" pid="7" name="CPTemplateID">
    <vt:lpwstr>CP-006</vt:lpwstr>
  </property>
</Properties>
</file>