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25F75A7A-26D3-4D9E-BBA0-C16C9BAC723F" style="width:450.8pt;height:410.8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p>
      <w:pPr>
        <w:pStyle w:val="NormalCentered"/>
        <w:rPr>
          <w:noProof/>
        </w:rPr>
      </w:pPr>
      <w:r>
        <w:rPr>
          <w:b/>
          <w:noProof/>
          <w:u w:val="single"/>
        </w:rPr>
        <w:t>Formalités non douanières de l’Union couvertes par le système EU CSW-CERTEX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1369"/>
        <w:gridCol w:w="1185"/>
        <w:gridCol w:w="2070"/>
        <w:gridCol w:w="2070"/>
      </w:tblGrid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Formalité non douanière de l’Union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Acronyme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Système non douanier de l’Union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Législation de l’Union applicable 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Date d’application </w:t>
            </w:r>
          </w:p>
        </w:tc>
      </w:tr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Document sanitaire commun d’entrée pour les animaux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DSCE-A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TRACES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Articles 56 et 57 du règlement (UE) 2017/625 du Parlement européen et du Conseil</w:t>
            </w:r>
            <w:r>
              <w:rPr>
                <w:rStyle w:val="FootnoteReference"/>
                <w:noProof/>
              </w:rPr>
              <w:footnoteReference w:id="1"/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Règlement d’exécution (UE) 2019/1715 de la Commission</w:t>
            </w:r>
            <w:r>
              <w:rPr>
                <w:rStyle w:val="FootnoteReference"/>
                <w:noProof/>
              </w:rPr>
              <w:footnoteReference w:id="2"/>
            </w:r>
            <w:r>
              <w:rPr>
                <w:noProof/>
              </w:rPr>
              <w:t xml:space="preserve"> 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 xml:space="preserve"> mars 2023</w:t>
            </w:r>
          </w:p>
        </w:tc>
      </w:tr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Document sanitaire commun d’entrée pour les produits 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DSCE-P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TRACES 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Articles 56 et 57 du règlement (UE) 2017/625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Règlement d'exécution (UE) 2019/1715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 xml:space="preserve"> mars 2023</w:t>
            </w:r>
          </w:p>
        </w:tc>
      </w:tr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 xml:space="preserve">Document sanitaire commun d’entrée pour les aliments pour animaux et les denrées alimentaires </w:t>
            </w:r>
            <w:r>
              <w:rPr>
                <w:b/>
                <w:noProof/>
              </w:rPr>
              <w:lastRenderedPageBreak/>
              <w:t>d’origine non animale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noProof/>
              </w:rPr>
              <w:lastRenderedPageBreak/>
              <w:t>DSCE-D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TRACES 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Articles 56 et 57 du règlement (UE) 2017/625 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Règlement d'exécution (UE) 2019/1715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 xml:space="preserve"> mars 2023</w:t>
            </w:r>
          </w:p>
        </w:tc>
      </w:tr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lastRenderedPageBreak/>
              <w:t>Document sanitaire commun d’entrée pour les végétaux et les produits végétaux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DSCE-PP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TRACES 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Articles 56 et 57 du règlement (UE) 2017/625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Règlement d'exécution (UE) 2019/1715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 xml:space="preserve"> mars 2023</w:t>
            </w:r>
          </w:p>
        </w:tc>
      </w:tr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Certificat d'inspection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COI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TRACES 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33 du règlement (CE) n° 834/2007 du Conseil</w:t>
            </w:r>
            <w:r>
              <w:rPr>
                <w:rStyle w:val="FootnoteReference"/>
                <w:noProof/>
              </w:rPr>
              <w:footnoteReference w:id="3"/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Règlement (CE) n° 1235/2008 de la Commission</w:t>
            </w:r>
            <w:r>
              <w:rPr>
                <w:rStyle w:val="FootnoteReference"/>
                <w:noProof/>
              </w:rPr>
              <w:footnoteReference w:id="4"/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 xml:space="preserve"> mars 2024</w:t>
            </w:r>
          </w:p>
        </w:tc>
      </w:tr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Licence pour les substances qui appauvrissent de la couche d’ozone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ODS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Système d’octroi de licences de SAO 2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Articles 15, 16, 17 et 18 du règlement (CE) n° 1005/2009 du Parlement européen et du Conseil</w:t>
            </w:r>
            <w:r>
              <w:rPr>
                <w:rStyle w:val="FootnoteReference"/>
                <w:noProof/>
              </w:rPr>
              <w:footnoteReference w:id="5"/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Règlement (UE) n° 537/2011 de la Commission</w:t>
            </w:r>
            <w:r>
              <w:rPr>
                <w:rStyle w:val="FootnoteReference"/>
                <w:noProof/>
              </w:rPr>
              <w:footnoteReference w:id="6"/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 xml:space="preserve"> mars 2023</w:t>
            </w:r>
          </w:p>
        </w:tc>
      </w:tr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Gaz à effet de serre fluorés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F-GAS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Portail pour les gaz à effet de serre fluorés et système de licences HFC 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Articles 14, 15 et 17 du règlement (UE) n° 517/2014 du Parlement européen et du Conseil</w:t>
            </w:r>
            <w:r>
              <w:rPr>
                <w:rStyle w:val="FootnoteReference"/>
                <w:noProof/>
              </w:rPr>
              <w:footnoteReference w:id="7"/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Règlement d'exécution (UE) n° 1191/2014 de la Commission</w:t>
            </w:r>
            <w:r>
              <w:rPr>
                <w:rStyle w:val="FootnoteReference"/>
                <w:noProof/>
              </w:rPr>
              <w:footnoteReference w:id="8"/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 xml:space="preserve"> mars 2023</w:t>
            </w:r>
          </w:p>
        </w:tc>
      </w:tr>
      <w:tr>
        <w:trPr>
          <w:jc w:val="center"/>
        </w:trPr>
        <w:tc>
          <w:tcPr>
            <w:tcW w:w="1591" w:type="dxa"/>
          </w:tcPr>
          <w:p>
            <w:pPr>
              <w:rPr>
                <w:noProof/>
              </w:rPr>
            </w:pPr>
            <w:r>
              <w:rPr>
                <w:b/>
                <w:noProof/>
              </w:rPr>
              <w:t>Licence d’importation et déclaration de l’importateur pour les biens culturels</w:t>
            </w:r>
          </w:p>
        </w:tc>
        <w:tc>
          <w:tcPr>
            <w:tcW w:w="1369" w:type="dxa"/>
          </w:tcPr>
          <w:p>
            <w:pPr>
              <w:rPr>
                <w:noProof/>
              </w:rPr>
            </w:pPr>
            <w:r>
              <w:rPr>
                <w:noProof/>
              </w:rPr>
              <w:t>Biens culturels</w:t>
            </w:r>
          </w:p>
        </w:tc>
        <w:tc>
          <w:tcPr>
            <w:tcW w:w="118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TRACES 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Articles 3, 4, 5 et 7 du règlement (UE) 2019/880 du Parlement européen et du Conseil</w:t>
            </w:r>
            <w:r>
              <w:rPr>
                <w:rStyle w:val="FootnoteReference"/>
                <w:noProof/>
              </w:rPr>
              <w:footnoteReference w:id="9"/>
            </w:r>
            <w:r>
              <w:rPr>
                <w:noProof/>
              </w:rPr>
              <w:t xml:space="preserve"> </w:t>
            </w:r>
          </w:p>
        </w:tc>
        <w:tc>
          <w:tcPr>
            <w:tcW w:w="207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3 mars 2025</w:t>
            </w: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Règlement (UE) 2017/625 du Parlement européen et du Conseil du 15 mars 2017 concernant les contrôles officiels et les autres activités officielles servant à assurer le respect de la législation alimentaire et de la législation relative aux aliments pour animaux ainsi que des règles relatives à la santé et au bien-être des animaux, à la santé des végétaux et aux produits phytopharmaceutiques, modifiant les règlements du Parlement européen et du Conseil (CE) n° 999/2001, (CE) n° 396/2005, (CE) n° 1069/2009, (CE) n° 1107/2009, (UE) n° 1151/2012, (UE) n° 652/2014, (UE) 2016/429 et (UE) 2016/2031, les règlements du Conseil (CE) n° 1/2005 et (CE) n° 1099/2009 ainsi que les directives du Conseil 98/58/CE, 1999/74/CE, 2007/43/CE, 2008/119/CE et 2008/120/CE, et abrogeant les règlements du Parlement européen et du Conseil (CE) n° 854/2004 et (CE) n° 882/2004, les directives du Conseil 89/608/CEE, 89/662/CEE, 90/425/CEE, 91/496/CEE, 96/23/CE, 96/93/CE et 97/78/CE ainsi que la décision 92/438/CEE du Conseil (règlement sur les contrôles officiels) (JO L 95 du 7.4.2017, p. 1).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Règlement d’exécution (UE) 2019/1715 de la Commission du 30 septembre 2019 établissant les règles de fonctionnement du système de gestion de l’information sur les contrôles officiels et de ses composantes («règlement IMSOC») (JO L 261 du 14.10.2019, p. 37).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Règlement (CE) n° 834/2007 du Conseil du 28 juin 2007 relatif à la production biologique et à l’étiquetage des produits biologiques et abrogeant le règlement (CEE) n° 2092/91 (JO L 189 du 20.7.2007, p. 1).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Règlement (CE) n° 1235/2008 de la Commission du 8 décembre 2008 portant modalités d'application du règlement (CE) n° 834/2007 du Conseil en ce qui concerne le régime d'importation de produits biologiques en provenance des pays tiers (JO L 334 du 12.12.2008, p. 25).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Règlement (CE) n° 1005/2009 du Parlement européen et du Conseil du 16 septembre 2009 relatif à des substances qui appauvrissent la couche d'ozone (JO L 286 du 31.10.2009, p. 1).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Règlement (UE) n° 537/2011 de la Commission du 1</w:t>
      </w:r>
      <w:r>
        <w:rPr>
          <w:vertAlign w:val="superscript"/>
        </w:rPr>
        <w:t>er</w:t>
      </w:r>
      <w:r>
        <w:t> juin 2011 concernant le mécanisme pour l'attribution des quantités de substances réglementées qui sont autorisées pour les utilisations en laboratoire et à des fins d'analyse dans l'Union conformément au règlement (CE) n° 1005/2009 du Parlement européen et du Conseil relatif à des substances qui appauvrissent la couche d'ozone (JO L 147 du 2.6.2011, p. 4).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Règlement (UE) n° 517/2014 du Parlement européen et du Conseil du 16 avril 2014 relatif aux gaz à effet de serre fluorés et abrogeant le règlement (CE) n° 842/2006 (JO L 150 du 20.5.2014, p. 195).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Règlement d'exécution (UE) n  1191/2014 de la Commission du 30 octobre 2014 déterminant le format et les modalités de présentation du rapport visé à l'article 19 du règlement (UE) n  517/2014 du Parlement européen et du Conseil relatif aux gaz à effet de serre fluorés (JO L 318 du 5.11.2014, p. 5).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>Règlement (UE) 2019/880 du Parlement européen et du Conseil du 17 avril 2019 concernant l’introduction et l’importation de biens culturels (JO L 151 du 7.6.2019, p.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5FC879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4BAAF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01A06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76AB23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4DE12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4C081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31029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A6248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0-29 15:12:3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 proposition de"/>
    <w:docVar w:name="LW_ACCOMPAGNANT.CP" w:val="de la proposition d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25F75A7A-26D3-4D9E-BBA0-C16C9BAC723F"/>
    <w:docVar w:name="LW_COVERPAGE_TYPE" w:val="1"/>
    <w:docVar w:name="LW_CROSSREFERENCE" w:val="{SEC(2020) 360 final} - {SWD(2020) 237 final} - {SWD(2020) 238 final} - {SWD(2020) 239 final}"/>
    <w:docVar w:name="LW_DocType" w:val="ANNEX"/>
    <w:docVar w:name="LW_EMISSION" w:val="28.10.2020"/>
    <w:docVar w:name="LW_EMISSION_ISODATE" w:val="2020-10-28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établissant l'environnement de guichet unique de l\u8217?Union européenne pour les douanes et modifiant le règlement (UE) nº 952/2013"/>
    <w:docVar w:name="LW_OBJETACTEPRINCIPAL.CP" w:val="établissant l'environnement de guichet unique de l\u8217?Union européenne pour les douanes et modifiant le règlement (UE) nº 952/2013"/>
    <w:docVar w:name="LW_PART_NBR" w:val="1"/>
    <w:docVar w:name="LW_PART_NBR_TOTAL" w:val="1"/>
    <w:docVar w:name="LW_REF.INST.NEW" w:val="COM"/>
    <w:docVar w:name="LW_REF.INST.NEW_ADOPTED" w:val="final"/>
    <w:docVar w:name="LW_REF.INST.NEW_TEXT" w:val="(2020) 67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RÉGLEMENT DU PARLEMENT EUROPÉEN ET DU CONSEIL"/>
    <w:docVar w:name="LW_TYPEACTEPRINCIPAL.CP" w:val="RÉGLEMENT DU PARLEMENT EUROPÉEN E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92492-526E-4452-ACF4-C7EBAFC0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299</Words>
  <Characters>1612</Characters>
  <Application>Microsoft Office Word</Application>
  <DocSecurity>0</DocSecurity>
  <Lines>179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GATTEGNO Valerie (TAXUD)</dc:creator>
  <cp:keywords/>
  <dc:description/>
  <cp:lastModifiedBy>DIGIT/C6</cp:lastModifiedBy>
  <cp:revision>10</cp:revision>
  <dcterms:created xsi:type="dcterms:W3CDTF">2020-10-29T11:05:00Z</dcterms:created>
  <dcterms:modified xsi:type="dcterms:W3CDTF">2020-10-29T14:12:00Z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7.0.1, Build 20190916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