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92CD05B-EA54-4C6C-A80E-54447E07D37B" style="width:450.15pt;height:41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rPr>
          <w:noProof/>
        </w:rPr>
        <w:sectPr>
          <w:footerReference w:type="default" r:id="rId15"/>
          <w:footerReference w:type="first" r:id="rId16"/>
          <w:pgSz w:w="11907" w:h="16839"/>
          <w:pgMar w:top="1134" w:right="1417" w:bottom="1134" w:left="1417" w:header="709" w:footer="709" w:gutter="0"/>
          <w:pgNumType w:start="0"/>
          <w:cols w:space="720"/>
          <w:docGrid w:linePitch="360"/>
        </w:sectPr>
      </w:pPr>
      <w:bookmarkStart w:id="0" w:name="_GoBack"/>
      <w:bookmarkEnd w:id="0"/>
      <w:r>
        <w:rPr>
          <w:noProof/>
        </w:rPr>
        <w:lastRenderedPageBreak/>
        <w:br w:type="column"/>
      </w:r>
    </w:p>
    <w:p>
      <w:pPr>
        <w:pStyle w:val="Annexetitre"/>
        <w:rPr>
          <w:noProof/>
        </w:rPr>
      </w:pPr>
      <w:r>
        <w:rPr>
          <w:noProof/>
        </w:rPr>
        <w:t>ANNEX</w:t>
      </w:r>
    </w:p>
    <w:p>
      <w:pPr>
        <w:pStyle w:val="NormalCentered"/>
        <w:rPr>
          <w:noProof/>
        </w:rPr>
      </w:pPr>
      <w:r>
        <w:rPr>
          <w:b/>
          <w:noProof/>
          <w:u w:val="single"/>
        </w:rPr>
        <w:t>Union non-customs formalities covered by EU CSW-CERTEX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1369"/>
        <w:gridCol w:w="1185"/>
        <w:gridCol w:w="2070"/>
        <w:gridCol w:w="2070"/>
      </w:tblGrid>
      <w:tr>
        <w:trPr>
          <w:jc w:val="center"/>
        </w:trPr>
        <w:tc>
          <w:tcPr>
            <w:tcW w:w="1591" w:type="dxa"/>
          </w:tcPr>
          <w:p>
            <w:pPr>
              <w:rPr>
                <w:noProof/>
              </w:rPr>
            </w:pPr>
            <w:r>
              <w:rPr>
                <w:b/>
                <w:noProof/>
              </w:rPr>
              <w:t>Union non-customs formality</w:t>
            </w:r>
          </w:p>
        </w:tc>
        <w:tc>
          <w:tcPr>
            <w:tcW w:w="1369" w:type="dxa"/>
          </w:tcPr>
          <w:p>
            <w:pPr>
              <w:rPr>
                <w:noProof/>
              </w:rPr>
            </w:pPr>
            <w:r>
              <w:rPr>
                <w:b/>
                <w:noProof/>
              </w:rPr>
              <w:t>Acronym</w:t>
            </w:r>
          </w:p>
        </w:tc>
        <w:tc>
          <w:tcPr>
            <w:tcW w:w="1185" w:type="dxa"/>
          </w:tcPr>
          <w:p>
            <w:pPr>
              <w:rPr>
                <w:noProof/>
              </w:rPr>
            </w:pPr>
            <w:r>
              <w:rPr>
                <w:b/>
                <w:noProof/>
              </w:rPr>
              <w:t>Union non-customs system</w:t>
            </w:r>
          </w:p>
        </w:tc>
        <w:tc>
          <w:tcPr>
            <w:tcW w:w="2070" w:type="dxa"/>
          </w:tcPr>
          <w:p>
            <w:pPr>
              <w:rPr>
                <w:noProof/>
              </w:rPr>
            </w:pPr>
            <w:r>
              <w:rPr>
                <w:b/>
                <w:noProof/>
              </w:rPr>
              <w:t>Relevant Union legislation </w:t>
            </w:r>
          </w:p>
        </w:tc>
        <w:tc>
          <w:tcPr>
            <w:tcW w:w="2070" w:type="dxa"/>
          </w:tcPr>
          <w:p>
            <w:pPr>
              <w:rPr>
                <w:noProof/>
              </w:rPr>
            </w:pPr>
            <w:r>
              <w:rPr>
                <w:b/>
                <w:noProof/>
              </w:rPr>
              <w:t>Date of application </w:t>
            </w:r>
          </w:p>
        </w:tc>
      </w:tr>
      <w:tr>
        <w:trPr>
          <w:jc w:val="center"/>
        </w:trPr>
        <w:tc>
          <w:tcPr>
            <w:tcW w:w="1591" w:type="dxa"/>
          </w:tcPr>
          <w:p>
            <w:pPr>
              <w:rPr>
                <w:noProof/>
              </w:rPr>
            </w:pPr>
            <w:r>
              <w:rPr>
                <w:b/>
                <w:noProof/>
              </w:rPr>
              <w:t>Common health entry document for animals</w:t>
            </w:r>
          </w:p>
        </w:tc>
        <w:tc>
          <w:tcPr>
            <w:tcW w:w="1369" w:type="dxa"/>
          </w:tcPr>
          <w:p>
            <w:pPr>
              <w:rPr>
                <w:noProof/>
              </w:rPr>
            </w:pPr>
            <w:r>
              <w:rPr>
                <w:noProof/>
              </w:rPr>
              <w:t>CHED-A</w:t>
            </w:r>
          </w:p>
        </w:tc>
        <w:tc>
          <w:tcPr>
            <w:tcW w:w="1185" w:type="dxa"/>
          </w:tcPr>
          <w:p>
            <w:pPr>
              <w:rPr>
                <w:noProof/>
              </w:rPr>
            </w:pPr>
            <w:r>
              <w:rPr>
                <w:noProof/>
              </w:rPr>
              <w:t>TRACES</w:t>
            </w:r>
          </w:p>
        </w:tc>
        <w:tc>
          <w:tcPr>
            <w:tcW w:w="2070" w:type="dxa"/>
          </w:tcPr>
          <w:p>
            <w:pPr>
              <w:rPr>
                <w:noProof/>
              </w:rPr>
            </w:pPr>
            <w:r>
              <w:rPr>
                <w:noProof/>
              </w:rPr>
              <w:t>Articles 56 and 57 of Regulation (EU) 2017/625 of the European Parliament and of the Council</w:t>
            </w:r>
            <w:r>
              <w:rPr>
                <w:rStyle w:val="FootnoteReference"/>
                <w:noProof/>
              </w:rPr>
              <w:footnoteReference w:id="1"/>
            </w:r>
          </w:p>
          <w:p>
            <w:pPr>
              <w:rPr>
                <w:noProof/>
              </w:rPr>
            </w:pPr>
            <w:r>
              <w:rPr>
                <w:noProof/>
              </w:rPr>
              <w:t>Commission Implementing Regulation (EU) 2019/1715)</w:t>
            </w:r>
            <w:r>
              <w:rPr>
                <w:rStyle w:val="FootnoteReference"/>
                <w:noProof/>
              </w:rPr>
              <w:footnoteReference w:id="2"/>
            </w:r>
            <w:r>
              <w:rPr>
                <w:noProof/>
              </w:rPr>
              <w:t> </w:t>
            </w:r>
          </w:p>
        </w:tc>
        <w:tc>
          <w:tcPr>
            <w:tcW w:w="2070" w:type="dxa"/>
          </w:tcPr>
          <w:p>
            <w:pPr>
              <w:rPr>
                <w:noProof/>
              </w:rPr>
            </w:pPr>
            <w:r>
              <w:rPr>
                <w:noProof/>
              </w:rPr>
              <w:t>1 March 2023</w:t>
            </w:r>
          </w:p>
        </w:tc>
      </w:tr>
      <w:tr>
        <w:trPr>
          <w:jc w:val="center"/>
        </w:trPr>
        <w:tc>
          <w:tcPr>
            <w:tcW w:w="1591" w:type="dxa"/>
          </w:tcPr>
          <w:p>
            <w:pPr>
              <w:rPr>
                <w:noProof/>
              </w:rPr>
            </w:pPr>
            <w:r>
              <w:rPr>
                <w:b/>
                <w:noProof/>
              </w:rPr>
              <w:t>Common health entry document for products </w:t>
            </w:r>
          </w:p>
        </w:tc>
        <w:tc>
          <w:tcPr>
            <w:tcW w:w="1369" w:type="dxa"/>
          </w:tcPr>
          <w:p>
            <w:pPr>
              <w:rPr>
                <w:noProof/>
              </w:rPr>
            </w:pPr>
            <w:r>
              <w:rPr>
                <w:noProof/>
              </w:rPr>
              <w:t>CHED-P</w:t>
            </w:r>
          </w:p>
        </w:tc>
        <w:tc>
          <w:tcPr>
            <w:tcW w:w="1185" w:type="dxa"/>
          </w:tcPr>
          <w:p>
            <w:pPr>
              <w:rPr>
                <w:noProof/>
              </w:rPr>
            </w:pPr>
            <w:r>
              <w:rPr>
                <w:noProof/>
              </w:rPr>
              <w:t>TRACES </w:t>
            </w:r>
          </w:p>
        </w:tc>
        <w:tc>
          <w:tcPr>
            <w:tcW w:w="2070" w:type="dxa"/>
          </w:tcPr>
          <w:p>
            <w:pPr>
              <w:rPr>
                <w:noProof/>
              </w:rPr>
            </w:pPr>
            <w:r>
              <w:rPr>
                <w:noProof/>
              </w:rPr>
              <w:t>Articles 56 and 57 of Regulation (EU) 2017/625</w:t>
            </w:r>
          </w:p>
          <w:p>
            <w:pPr>
              <w:rPr>
                <w:noProof/>
              </w:rPr>
            </w:pPr>
            <w:r>
              <w:rPr>
                <w:noProof/>
              </w:rPr>
              <w:t>Implementing Regulation (EU) 2019/1715</w:t>
            </w:r>
          </w:p>
        </w:tc>
        <w:tc>
          <w:tcPr>
            <w:tcW w:w="2070" w:type="dxa"/>
          </w:tcPr>
          <w:p>
            <w:pPr>
              <w:rPr>
                <w:noProof/>
              </w:rPr>
            </w:pPr>
            <w:r>
              <w:rPr>
                <w:noProof/>
              </w:rPr>
              <w:t>1 March 2023</w:t>
            </w:r>
          </w:p>
        </w:tc>
      </w:tr>
      <w:tr>
        <w:trPr>
          <w:jc w:val="center"/>
        </w:trPr>
        <w:tc>
          <w:tcPr>
            <w:tcW w:w="1591" w:type="dxa"/>
          </w:tcPr>
          <w:p>
            <w:pPr>
              <w:rPr>
                <w:noProof/>
              </w:rPr>
            </w:pPr>
            <w:r>
              <w:rPr>
                <w:b/>
                <w:noProof/>
              </w:rPr>
              <w:t>Common health entry document for feed and food of non-animal origin</w:t>
            </w:r>
          </w:p>
        </w:tc>
        <w:tc>
          <w:tcPr>
            <w:tcW w:w="1369" w:type="dxa"/>
          </w:tcPr>
          <w:p>
            <w:pPr>
              <w:rPr>
                <w:noProof/>
              </w:rPr>
            </w:pPr>
            <w:r>
              <w:rPr>
                <w:noProof/>
              </w:rPr>
              <w:t>CHED-D</w:t>
            </w:r>
          </w:p>
        </w:tc>
        <w:tc>
          <w:tcPr>
            <w:tcW w:w="1185" w:type="dxa"/>
          </w:tcPr>
          <w:p>
            <w:pPr>
              <w:rPr>
                <w:noProof/>
              </w:rPr>
            </w:pPr>
            <w:r>
              <w:rPr>
                <w:noProof/>
              </w:rPr>
              <w:t>TRACES </w:t>
            </w:r>
          </w:p>
        </w:tc>
        <w:tc>
          <w:tcPr>
            <w:tcW w:w="2070" w:type="dxa"/>
          </w:tcPr>
          <w:p>
            <w:pPr>
              <w:rPr>
                <w:noProof/>
              </w:rPr>
            </w:pPr>
            <w:r>
              <w:rPr>
                <w:noProof/>
              </w:rPr>
              <w:t>Articles 56 and 57 of Regulation (EU) 2017/625 </w:t>
            </w:r>
          </w:p>
          <w:p>
            <w:pPr>
              <w:rPr>
                <w:noProof/>
              </w:rPr>
            </w:pPr>
            <w:r>
              <w:rPr>
                <w:noProof/>
              </w:rPr>
              <w:t>Implementing Regulation (EU) 2019/1715</w:t>
            </w:r>
          </w:p>
        </w:tc>
        <w:tc>
          <w:tcPr>
            <w:tcW w:w="2070" w:type="dxa"/>
          </w:tcPr>
          <w:p>
            <w:pPr>
              <w:rPr>
                <w:noProof/>
              </w:rPr>
            </w:pPr>
            <w:r>
              <w:rPr>
                <w:noProof/>
              </w:rPr>
              <w:t>1 March 2023</w:t>
            </w:r>
          </w:p>
        </w:tc>
      </w:tr>
      <w:tr>
        <w:trPr>
          <w:jc w:val="center"/>
        </w:trPr>
        <w:tc>
          <w:tcPr>
            <w:tcW w:w="1591" w:type="dxa"/>
          </w:tcPr>
          <w:p>
            <w:pPr>
              <w:rPr>
                <w:noProof/>
              </w:rPr>
            </w:pPr>
            <w:r>
              <w:rPr>
                <w:b/>
                <w:noProof/>
              </w:rPr>
              <w:t>Common health entry document for plants and  plant products</w:t>
            </w:r>
          </w:p>
        </w:tc>
        <w:tc>
          <w:tcPr>
            <w:tcW w:w="1369" w:type="dxa"/>
          </w:tcPr>
          <w:p>
            <w:pPr>
              <w:rPr>
                <w:noProof/>
              </w:rPr>
            </w:pPr>
            <w:r>
              <w:rPr>
                <w:noProof/>
              </w:rPr>
              <w:t>CHED-PP</w:t>
            </w:r>
          </w:p>
        </w:tc>
        <w:tc>
          <w:tcPr>
            <w:tcW w:w="1185" w:type="dxa"/>
          </w:tcPr>
          <w:p>
            <w:pPr>
              <w:rPr>
                <w:noProof/>
              </w:rPr>
            </w:pPr>
            <w:r>
              <w:rPr>
                <w:noProof/>
              </w:rPr>
              <w:t>TRACES </w:t>
            </w:r>
          </w:p>
        </w:tc>
        <w:tc>
          <w:tcPr>
            <w:tcW w:w="2070" w:type="dxa"/>
          </w:tcPr>
          <w:p>
            <w:pPr>
              <w:rPr>
                <w:noProof/>
              </w:rPr>
            </w:pPr>
            <w:r>
              <w:rPr>
                <w:noProof/>
              </w:rPr>
              <w:t>Articles 56 and 57 of Regulation (EU) 2017/625</w:t>
            </w:r>
          </w:p>
          <w:p>
            <w:pPr>
              <w:rPr>
                <w:noProof/>
              </w:rPr>
            </w:pPr>
            <w:r>
              <w:rPr>
                <w:noProof/>
              </w:rPr>
              <w:t>Implementing Regulation (EU) 2019/1715</w:t>
            </w:r>
          </w:p>
        </w:tc>
        <w:tc>
          <w:tcPr>
            <w:tcW w:w="2070" w:type="dxa"/>
          </w:tcPr>
          <w:p>
            <w:pPr>
              <w:rPr>
                <w:noProof/>
              </w:rPr>
            </w:pPr>
            <w:r>
              <w:rPr>
                <w:noProof/>
              </w:rPr>
              <w:t>1 March 2023</w:t>
            </w:r>
          </w:p>
        </w:tc>
      </w:tr>
      <w:tr>
        <w:trPr>
          <w:jc w:val="center"/>
        </w:trPr>
        <w:tc>
          <w:tcPr>
            <w:tcW w:w="1591" w:type="dxa"/>
          </w:tcPr>
          <w:p>
            <w:pPr>
              <w:rPr>
                <w:noProof/>
              </w:rPr>
            </w:pPr>
            <w:r>
              <w:rPr>
                <w:b/>
                <w:noProof/>
              </w:rPr>
              <w:t>Certificate of inspection</w:t>
            </w:r>
          </w:p>
        </w:tc>
        <w:tc>
          <w:tcPr>
            <w:tcW w:w="1369" w:type="dxa"/>
          </w:tcPr>
          <w:p>
            <w:pPr>
              <w:rPr>
                <w:noProof/>
              </w:rPr>
            </w:pPr>
            <w:r>
              <w:rPr>
                <w:noProof/>
              </w:rPr>
              <w:t>COI</w:t>
            </w:r>
          </w:p>
        </w:tc>
        <w:tc>
          <w:tcPr>
            <w:tcW w:w="1185" w:type="dxa"/>
          </w:tcPr>
          <w:p>
            <w:pPr>
              <w:rPr>
                <w:noProof/>
              </w:rPr>
            </w:pPr>
            <w:r>
              <w:rPr>
                <w:noProof/>
              </w:rPr>
              <w:t>TRACES </w:t>
            </w:r>
          </w:p>
        </w:tc>
        <w:tc>
          <w:tcPr>
            <w:tcW w:w="2070" w:type="dxa"/>
          </w:tcPr>
          <w:p>
            <w:pPr>
              <w:rPr>
                <w:noProof/>
              </w:rPr>
            </w:pPr>
            <w:r>
              <w:rPr>
                <w:noProof/>
              </w:rPr>
              <w:t>Article 33 of Council Regulation (EC) No 834/2007</w:t>
            </w:r>
            <w:r>
              <w:rPr>
                <w:rStyle w:val="FootnoteReference"/>
                <w:noProof/>
              </w:rPr>
              <w:footnoteReference w:id="3"/>
            </w:r>
          </w:p>
          <w:p>
            <w:pPr>
              <w:rPr>
                <w:noProof/>
              </w:rPr>
            </w:pPr>
            <w:r>
              <w:rPr>
                <w:noProof/>
              </w:rPr>
              <w:t>Commission Regulation (EC) No 1235/2008</w:t>
            </w:r>
            <w:r>
              <w:rPr>
                <w:rStyle w:val="FootnoteReference"/>
                <w:noProof/>
              </w:rPr>
              <w:footnoteReference w:id="4"/>
            </w:r>
          </w:p>
        </w:tc>
        <w:tc>
          <w:tcPr>
            <w:tcW w:w="2070" w:type="dxa"/>
          </w:tcPr>
          <w:p>
            <w:pPr>
              <w:rPr>
                <w:noProof/>
              </w:rPr>
            </w:pPr>
            <w:r>
              <w:rPr>
                <w:noProof/>
              </w:rPr>
              <w:t>1 March 2024</w:t>
            </w:r>
          </w:p>
        </w:tc>
      </w:tr>
      <w:tr>
        <w:trPr>
          <w:jc w:val="center"/>
        </w:trPr>
        <w:tc>
          <w:tcPr>
            <w:tcW w:w="1591" w:type="dxa"/>
          </w:tcPr>
          <w:p>
            <w:pPr>
              <w:rPr>
                <w:noProof/>
              </w:rPr>
            </w:pPr>
            <w:r>
              <w:rPr>
                <w:b/>
                <w:noProof/>
              </w:rPr>
              <w:t>Ozone depleting licence</w:t>
            </w:r>
          </w:p>
        </w:tc>
        <w:tc>
          <w:tcPr>
            <w:tcW w:w="1369" w:type="dxa"/>
          </w:tcPr>
          <w:p>
            <w:pPr>
              <w:rPr>
                <w:noProof/>
              </w:rPr>
            </w:pPr>
            <w:r>
              <w:rPr>
                <w:noProof/>
              </w:rPr>
              <w:t>ODS</w:t>
            </w:r>
          </w:p>
        </w:tc>
        <w:tc>
          <w:tcPr>
            <w:tcW w:w="1185" w:type="dxa"/>
          </w:tcPr>
          <w:p>
            <w:pPr>
              <w:rPr>
                <w:noProof/>
              </w:rPr>
            </w:pPr>
            <w:r>
              <w:rPr>
                <w:noProof/>
              </w:rPr>
              <w:t>ODS 2 Licensing System</w:t>
            </w:r>
          </w:p>
        </w:tc>
        <w:tc>
          <w:tcPr>
            <w:tcW w:w="2070" w:type="dxa"/>
          </w:tcPr>
          <w:p>
            <w:pPr>
              <w:rPr>
                <w:noProof/>
              </w:rPr>
            </w:pPr>
            <w:r>
              <w:rPr>
                <w:noProof/>
              </w:rPr>
              <w:t>Articles 15, 16, 17 and 18 of Regulation (EC) No 1005/2009 of the European Parliament and of the Council</w:t>
            </w:r>
            <w:r>
              <w:rPr>
                <w:rStyle w:val="FootnoteReference"/>
                <w:noProof/>
              </w:rPr>
              <w:footnoteReference w:id="5"/>
            </w:r>
          </w:p>
          <w:p>
            <w:pPr>
              <w:rPr>
                <w:noProof/>
              </w:rPr>
            </w:pPr>
            <w:r>
              <w:rPr>
                <w:noProof/>
              </w:rPr>
              <w:t>Commission Regulation (EU) No 537/2011</w:t>
            </w:r>
            <w:r>
              <w:rPr>
                <w:rStyle w:val="FootnoteReference"/>
                <w:noProof/>
              </w:rPr>
              <w:footnoteReference w:id="6"/>
            </w:r>
          </w:p>
        </w:tc>
        <w:tc>
          <w:tcPr>
            <w:tcW w:w="2070" w:type="dxa"/>
          </w:tcPr>
          <w:p>
            <w:pPr>
              <w:rPr>
                <w:noProof/>
              </w:rPr>
            </w:pPr>
            <w:r>
              <w:rPr>
                <w:noProof/>
              </w:rPr>
              <w:t>1 March 2023</w:t>
            </w:r>
          </w:p>
        </w:tc>
      </w:tr>
      <w:tr>
        <w:trPr>
          <w:jc w:val="center"/>
        </w:trPr>
        <w:tc>
          <w:tcPr>
            <w:tcW w:w="1591" w:type="dxa"/>
          </w:tcPr>
          <w:p>
            <w:pPr>
              <w:rPr>
                <w:noProof/>
              </w:rPr>
            </w:pPr>
            <w:r>
              <w:rPr>
                <w:b/>
                <w:noProof/>
              </w:rPr>
              <w:t>Fluorinated greenhouse gases</w:t>
            </w:r>
          </w:p>
        </w:tc>
        <w:tc>
          <w:tcPr>
            <w:tcW w:w="1369" w:type="dxa"/>
          </w:tcPr>
          <w:p>
            <w:pPr>
              <w:rPr>
                <w:noProof/>
              </w:rPr>
            </w:pPr>
            <w:r>
              <w:rPr>
                <w:noProof/>
              </w:rPr>
              <w:t>F-GAS</w:t>
            </w:r>
          </w:p>
        </w:tc>
        <w:tc>
          <w:tcPr>
            <w:tcW w:w="1185" w:type="dxa"/>
          </w:tcPr>
          <w:p>
            <w:pPr>
              <w:rPr>
                <w:noProof/>
              </w:rPr>
            </w:pPr>
            <w:r>
              <w:rPr>
                <w:noProof/>
              </w:rPr>
              <w:t>F-GAS Portal and HFC Licensing System </w:t>
            </w:r>
          </w:p>
        </w:tc>
        <w:tc>
          <w:tcPr>
            <w:tcW w:w="2070" w:type="dxa"/>
          </w:tcPr>
          <w:p>
            <w:pPr>
              <w:rPr>
                <w:noProof/>
              </w:rPr>
            </w:pPr>
            <w:r>
              <w:rPr>
                <w:noProof/>
              </w:rPr>
              <w:t>Articles 14, 15 and 17 of Regulation (EU)  No 517/2014 of the European Parliament and of the Council</w:t>
            </w:r>
            <w:r>
              <w:rPr>
                <w:rStyle w:val="FootnoteReference"/>
                <w:noProof/>
              </w:rPr>
              <w:footnoteReference w:id="7"/>
            </w:r>
          </w:p>
          <w:p>
            <w:pPr>
              <w:rPr>
                <w:noProof/>
              </w:rPr>
            </w:pPr>
            <w:r>
              <w:rPr>
                <w:noProof/>
              </w:rPr>
              <w:t>Commission Implementing Regulation (EU) No 1191/2014</w:t>
            </w:r>
            <w:r>
              <w:rPr>
                <w:rStyle w:val="FootnoteReference"/>
                <w:noProof/>
              </w:rPr>
              <w:footnoteReference w:id="8"/>
            </w:r>
          </w:p>
        </w:tc>
        <w:tc>
          <w:tcPr>
            <w:tcW w:w="2070" w:type="dxa"/>
          </w:tcPr>
          <w:p>
            <w:pPr>
              <w:rPr>
                <w:noProof/>
              </w:rPr>
            </w:pPr>
            <w:r>
              <w:rPr>
                <w:noProof/>
              </w:rPr>
              <w:t>1 March 2023</w:t>
            </w:r>
          </w:p>
        </w:tc>
      </w:tr>
      <w:tr>
        <w:trPr>
          <w:jc w:val="center"/>
        </w:trPr>
        <w:tc>
          <w:tcPr>
            <w:tcW w:w="1591" w:type="dxa"/>
          </w:tcPr>
          <w:p>
            <w:pPr>
              <w:rPr>
                <w:noProof/>
              </w:rPr>
            </w:pPr>
            <w:r>
              <w:rPr>
                <w:b/>
                <w:noProof/>
              </w:rPr>
              <w:t>Import licence and import statement for cultural goods</w:t>
            </w:r>
          </w:p>
        </w:tc>
        <w:tc>
          <w:tcPr>
            <w:tcW w:w="1369" w:type="dxa"/>
          </w:tcPr>
          <w:p>
            <w:pPr>
              <w:rPr>
                <w:noProof/>
              </w:rPr>
            </w:pPr>
            <w:r>
              <w:rPr>
                <w:noProof/>
              </w:rPr>
              <w:t>Cultural goods</w:t>
            </w:r>
          </w:p>
        </w:tc>
        <w:tc>
          <w:tcPr>
            <w:tcW w:w="1185" w:type="dxa"/>
          </w:tcPr>
          <w:p>
            <w:pPr>
              <w:rPr>
                <w:noProof/>
              </w:rPr>
            </w:pPr>
            <w:r>
              <w:rPr>
                <w:noProof/>
              </w:rPr>
              <w:t>TRACES </w:t>
            </w:r>
          </w:p>
        </w:tc>
        <w:tc>
          <w:tcPr>
            <w:tcW w:w="2070" w:type="dxa"/>
          </w:tcPr>
          <w:p>
            <w:pPr>
              <w:rPr>
                <w:noProof/>
              </w:rPr>
            </w:pPr>
            <w:r>
              <w:rPr>
                <w:noProof/>
              </w:rPr>
              <w:t>Articles 3, 4, 5 and 7 of Regulation (EU) 2019/880 of the European Parliament and of the Council</w:t>
            </w:r>
            <w:r>
              <w:rPr>
                <w:rStyle w:val="FootnoteReference"/>
                <w:noProof/>
              </w:rPr>
              <w:footnoteReference w:id="9"/>
            </w:r>
            <w:r>
              <w:rPr>
                <w:noProof/>
              </w:rPr>
              <w:t> </w:t>
            </w:r>
          </w:p>
        </w:tc>
        <w:tc>
          <w:tcPr>
            <w:tcW w:w="2070" w:type="dxa"/>
          </w:tcPr>
          <w:p>
            <w:pPr>
              <w:rPr>
                <w:noProof/>
              </w:rPr>
            </w:pPr>
            <w:r>
              <w:rPr>
                <w:noProof/>
              </w:rPr>
              <w:t>3 March 2025</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w:t>
      </w:r>
    </w:p>
  </w:footnote>
  <w:footnote w:id="2">
    <w:p>
      <w:pPr>
        <w:pStyle w:val="FootnoteText"/>
      </w:pPr>
      <w:r>
        <w:rPr>
          <w:rStyle w:val="FootnoteReference"/>
        </w:rPr>
        <w:footnoteRef/>
      </w:r>
      <w:r>
        <w:tab/>
        <w:t>Commission Implementing Regulation (EU) 2019/1715 of 30 September 2019 laying down rules for the functioning of the information management system for official controls and its system components (the IMSOC Regulation) (OJ L 261, 14.10.2019, p. 37).</w:t>
      </w:r>
    </w:p>
  </w:footnote>
  <w:footnote w:id="3">
    <w:p>
      <w:pPr>
        <w:pStyle w:val="FootnoteText"/>
      </w:pPr>
      <w:r>
        <w:rPr>
          <w:rStyle w:val="FootnoteReference"/>
        </w:rPr>
        <w:footnoteRef/>
      </w:r>
      <w:r>
        <w:tab/>
        <w:t>Council Regulation (EC) No 834/2007 of 28 June 2007 on organic production and labelling of organic products and repealing Regulation (EEC) No 2092/91 (OJ L 189, 20.7.2007, p. 1).</w:t>
      </w:r>
    </w:p>
  </w:footnote>
  <w:footnote w:id="4">
    <w:p>
      <w:pPr>
        <w:pStyle w:val="FootnoteText"/>
      </w:pPr>
      <w:r>
        <w:rPr>
          <w:rStyle w:val="FootnoteReference"/>
        </w:rPr>
        <w:footnoteRef/>
      </w:r>
      <w:r>
        <w:tab/>
        <w:t>Commission Regulation (EC) No 1235/2008 of 8 December 2008 laying down detailed rules for implementation of Council Regulation (EC) No 834/2007 as regards the arrangements for imports of organic products from third countries (OJ L 334, 12.12.2008, p. 25).</w:t>
      </w:r>
    </w:p>
  </w:footnote>
  <w:footnote w:id="5">
    <w:p>
      <w:pPr>
        <w:pStyle w:val="FootnoteText"/>
      </w:pPr>
      <w:r>
        <w:rPr>
          <w:rStyle w:val="FootnoteReference"/>
        </w:rPr>
        <w:footnoteRef/>
      </w:r>
      <w:r>
        <w:tab/>
        <w:t>Regulation (EC) No 1005/2009 of the European Parliament and of the Council of 16 September 2009 on substances that deplete the ozone layer (OJ L 286, 31.10.2009, p. 1).</w:t>
      </w:r>
    </w:p>
  </w:footnote>
  <w:footnote w:id="6">
    <w:p>
      <w:pPr>
        <w:pStyle w:val="FootnoteText"/>
      </w:pPr>
      <w:r>
        <w:rPr>
          <w:rStyle w:val="FootnoteReference"/>
        </w:rPr>
        <w:footnoteRef/>
      </w:r>
      <w:r>
        <w:tab/>
        <w:t>Commission Regulation (EU) No 537/2011 of 1 June 2011 on the mechanism for the allocation of quantities of controlled substances allowed for laboratory and analytical uses in the Union under Regulation (EC) No 1005/2009 of the European Parliament and of the Council on substances that deplete the ozone layer (OJ L 147, 2.6.2011, p. 4).</w:t>
      </w:r>
    </w:p>
  </w:footnote>
  <w:footnote w:id="7">
    <w:p>
      <w:pPr>
        <w:pStyle w:val="FootnoteText"/>
      </w:pPr>
      <w:r>
        <w:rPr>
          <w:rStyle w:val="FootnoteReference"/>
        </w:rPr>
        <w:footnoteRef/>
      </w:r>
      <w:r>
        <w:tab/>
        <w:t>Regulation (EU) No 517/2014 of the European Parliament and of the Council of 16 April 2014 on fluorinated greenhouse gases and repealing Regulation (EC) No 842/2006 (OJ L 150, 20.5.2014, p. 195).</w:t>
      </w:r>
    </w:p>
  </w:footnote>
  <w:footnote w:id="8">
    <w:p>
      <w:pPr>
        <w:pStyle w:val="FootnoteText"/>
      </w:pPr>
      <w:r>
        <w:rPr>
          <w:rStyle w:val="FootnoteReference"/>
        </w:rPr>
        <w:footnoteRef/>
      </w:r>
      <w:r>
        <w:tab/>
        <w:t>Commission Implementing Regulation (EU) No 1191/2014 of 30 October 2014 determining the format and means for submitting the report referred to in Article 19 of Regulation (EU) No 517/2014 of the European Parliament and of the Council on fluorinated greenhouse gases (OJ L 318, 5.11.2014, p. 5).</w:t>
      </w:r>
    </w:p>
  </w:footnote>
  <w:footnote w:id="9">
    <w:p>
      <w:pPr>
        <w:pStyle w:val="FootnoteText"/>
      </w:pPr>
      <w:r>
        <w:rPr>
          <w:rStyle w:val="FootnoteReference"/>
        </w:rPr>
        <w:footnoteRef/>
      </w:r>
      <w:r>
        <w:tab/>
        <w:t>Regulation (EU) 2019/880 of the European Parliament and of the Council of 17 April 2019 on the introduction and the import of cultural goods (OJ L 151, 7.6.2019,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5FC87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BAAF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01A06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6AB2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4DE12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C081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10291C"/>
    <w:lvl w:ilvl="0">
      <w:start w:val="1"/>
      <w:numFmt w:val="decimal"/>
      <w:pStyle w:val="ListNumber"/>
      <w:lvlText w:val="%1."/>
      <w:lvlJc w:val="left"/>
      <w:pPr>
        <w:tabs>
          <w:tab w:val="num" w:pos="360"/>
        </w:tabs>
        <w:ind w:left="360" w:hanging="360"/>
      </w:pPr>
    </w:lvl>
  </w:abstractNum>
  <w:abstractNum w:abstractNumId="7">
    <w:nsid w:val="FFFFFF89"/>
    <w:multiLevelType w:val="singleLevel"/>
    <w:tmpl w:val="2A6248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7 19:22: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1"/>
    <w:docVar w:name="LW_ANNEX_UNIQUE" w:val="1"/>
    <w:docVar w:name="LW_CORRIGENDUM" w:val="&lt;UNUSED&gt;"/>
    <w:docVar w:name="LW_COVERPAGE_EXISTS" w:val="True"/>
    <w:docVar w:name="LW_COVERPAGE_GUID" w:val="A92CD05B-EA54-4C6C-A80E-54447E07D37B"/>
    <w:docVar w:name="LW_COVERPAGE_TYPE" w:val="1"/>
    <w:docVar w:name="LW_CROSSREFERENCE" w:val="{SEC(2020) 360 final} - {SWD(2020) 237 final} - {SWD(2020) 238 final} - {SWD(2020) 239 final}"/>
    <w:docVar w:name="LW_DocType" w:val="ANNEX"/>
    <w:docVar w:name="LW_EMISSION" w:val="28.10.2020"/>
    <w:docVar w:name="LW_EMISSION_ISODATE" w:val="2020-10-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European Union Single Window Environment for Customs and amending Regulation (EU) No 952/2013"/>
    <w:docVar w:name="LW_OBJETACTEPRINCIPAL.CP" w:val="establishing the European Union Single Window Environment for Customs and amending Regulation (EU) No 952/2013"/>
    <w:docVar w:name="LW_PART_NBR" w:val="1"/>
    <w:docVar w:name="LW_PART_NBR_TOTAL" w:val="1"/>
    <w:docVar w:name="LW_REF.INST.NEW" w:val="COM"/>
    <w:docVar w:name="LW_REF.INST.NEW_ADOPTED" w:val="final"/>
    <w:docVar w:name="LW_REF.INST.NEW_TEXT" w:val="(2020) 6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GULATION OF THE EUROPEAN PARLIAMENT AND OF THE COUNCIL"/>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259</Words>
  <Characters>1443</Characters>
  <Application>Microsoft Office Word</Application>
  <DocSecurity>0</DocSecurity>
  <Lines>160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DIGIT/C6</cp:lastModifiedBy>
  <cp:revision>10</cp:revision>
  <dcterms:created xsi:type="dcterms:W3CDTF">2020-10-27T13:32:00Z</dcterms:created>
  <dcterms:modified xsi:type="dcterms:W3CDTF">2020-10-27T18:22:00Z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