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CEF44390-29B5-4198-B0F3-19D10F052F6C" style="width:450.4pt;height:461.1pt">
            <v:imagedata r:id="rId15" o:title=""/>
          </v:shape>
        </w:pict>
      </w:r>
    </w:p>
    <w:bookmarkEnd w:id="0"/>
    <w:p>
      <w:pPr>
        <w:rPr>
          <w:noProof/>
          <w:lang w:eastAsia="de-DE"/>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spacing w:after="120"/>
        <w:jc w:val="center"/>
        <w:outlineLvl w:val="0"/>
        <w:rPr>
          <w:b/>
          <w:noProof/>
          <w:sz w:val="28"/>
          <w:szCs w:val="28"/>
          <w:u w:val="single"/>
        </w:rPr>
      </w:pPr>
      <w:bookmarkStart w:id="1" w:name="_GoBack"/>
      <w:bookmarkEnd w:id="1"/>
      <w:r>
        <w:rPr>
          <w:b/>
          <w:bCs/>
          <w:noProof/>
          <w:sz w:val="28"/>
          <w:szCs w:val="28"/>
          <w:u w:val="single"/>
        </w:rPr>
        <w:lastRenderedPageBreak/>
        <w:t>Приложение I: Нови инициативи</w:t>
      </w:r>
      <w:r>
        <w:rPr>
          <w:rStyle w:val="FootnoteReference"/>
          <w:noProof/>
          <w:sz w:val="20"/>
        </w:rPr>
        <w:footnoteReference w:id="2"/>
      </w:r>
    </w:p>
    <w:tbl>
      <w:tblPr>
        <w:tblStyle w:val="TableGrid"/>
        <w:tblW w:w="14827" w:type="dxa"/>
        <w:tblLayout w:type="fixed"/>
        <w:tblCellMar>
          <w:top w:w="57" w:type="dxa"/>
          <w:left w:w="85" w:type="dxa"/>
          <w:bottom w:w="57" w:type="dxa"/>
          <w:right w:w="85" w:type="dxa"/>
        </w:tblCellMar>
        <w:tblLook w:val="04A0" w:firstRow="1" w:lastRow="0" w:firstColumn="1" w:lastColumn="0" w:noHBand="0" w:noVBand="1"/>
      </w:tblPr>
      <w:tblGrid>
        <w:gridCol w:w="511"/>
        <w:gridCol w:w="4252"/>
        <w:gridCol w:w="10064"/>
      </w:tblGrid>
      <w:tr>
        <w:trPr>
          <w:cantSplit/>
          <w:tblHeader/>
        </w:trPr>
        <w:tc>
          <w:tcPr>
            <w:tcW w:w="511" w:type="dxa"/>
            <w:tcBorders>
              <w:top w:val="single" w:sz="4" w:space="0" w:color="auto"/>
              <w:left w:val="single" w:sz="4" w:space="0" w:color="auto"/>
              <w:bottom w:val="single" w:sz="4" w:space="0" w:color="auto"/>
              <w:right w:val="single" w:sz="4" w:space="0" w:color="auto"/>
            </w:tcBorders>
            <w:shd w:val="clear" w:color="auto" w:fill="99CCFF"/>
            <w:vAlign w:val="center"/>
          </w:tcPr>
          <w:p>
            <w:pPr>
              <w:spacing w:after="0"/>
              <w:rPr>
                <w:b/>
                <w:bCs/>
                <w:noProof/>
                <w:sz w:val="20"/>
              </w:rPr>
            </w:pPr>
            <w:r>
              <w:rPr>
                <w:b/>
                <w:bCs/>
                <w:noProof/>
                <w:sz w:val="20"/>
              </w:rPr>
              <w:t>№</w:t>
            </w:r>
          </w:p>
        </w:tc>
        <w:tc>
          <w:tcPr>
            <w:tcW w:w="4252" w:type="dxa"/>
            <w:tcBorders>
              <w:top w:val="single" w:sz="4" w:space="0" w:color="auto"/>
              <w:left w:val="single" w:sz="4" w:space="0" w:color="auto"/>
              <w:bottom w:val="single" w:sz="4" w:space="0" w:color="auto"/>
              <w:right w:val="single" w:sz="4" w:space="0" w:color="auto"/>
            </w:tcBorders>
            <w:shd w:val="clear" w:color="auto" w:fill="99CCFF"/>
            <w:vAlign w:val="center"/>
          </w:tcPr>
          <w:p>
            <w:pPr>
              <w:spacing w:before="60" w:after="60"/>
              <w:jc w:val="center"/>
              <w:rPr>
                <w:b/>
                <w:bCs/>
                <w:noProof/>
                <w:sz w:val="20"/>
              </w:rPr>
            </w:pPr>
            <w:r>
              <w:rPr>
                <w:b/>
                <w:bCs/>
                <w:noProof/>
                <w:sz w:val="20"/>
              </w:rPr>
              <w:t>Цел на политиката</w:t>
            </w:r>
          </w:p>
        </w:tc>
        <w:tc>
          <w:tcPr>
            <w:tcW w:w="10064" w:type="dxa"/>
            <w:tcBorders>
              <w:top w:val="single" w:sz="4" w:space="0" w:color="auto"/>
              <w:left w:val="single" w:sz="4" w:space="0" w:color="auto"/>
              <w:bottom w:val="single" w:sz="4" w:space="0" w:color="auto"/>
              <w:right w:val="single" w:sz="4" w:space="0" w:color="auto"/>
            </w:tcBorders>
            <w:shd w:val="clear" w:color="auto" w:fill="99CCFF"/>
            <w:vAlign w:val="center"/>
          </w:tcPr>
          <w:p>
            <w:pPr>
              <w:spacing w:after="0"/>
              <w:jc w:val="center"/>
              <w:rPr>
                <w:b/>
                <w:bCs/>
                <w:noProof/>
                <w:sz w:val="20"/>
              </w:rPr>
            </w:pPr>
            <w:r>
              <w:rPr>
                <w:b/>
                <w:bCs/>
                <w:noProof/>
                <w:sz w:val="20"/>
              </w:rPr>
              <w:t>Инициативи</w:t>
            </w:r>
          </w:p>
        </w:tc>
      </w:tr>
      <w:tr>
        <w:trPr>
          <w:cantSplit/>
        </w:trPr>
        <w:tc>
          <w:tcPr>
            <w:tcW w:w="14827" w:type="dxa"/>
            <w:gridSpan w:val="3"/>
            <w:tcBorders>
              <w:top w:val="single" w:sz="4" w:space="0" w:color="auto"/>
              <w:left w:val="single" w:sz="4" w:space="0" w:color="auto"/>
              <w:bottom w:val="single" w:sz="4" w:space="0" w:color="auto"/>
            </w:tcBorders>
            <w:shd w:val="clear" w:color="auto" w:fill="9ACA3C" w:themeFill="accent1"/>
          </w:tcPr>
          <w:p>
            <w:pPr>
              <w:keepNext/>
              <w:spacing w:before="60" w:after="60"/>
              <w:jc w:val="left"/>
              <w:rPr>
                <w:b/>
                <w:bCs/>
                <w:noProof/>
                <w:color w:val="FFFFFF" w:themeColor="background1"/>
                <w:sz w:val="20"/>
              </w:rPr>
            </w:pPr>
            <w:r>
              <w:rPr>
                <w:b/>
                <w:bCs/>
                <w:noProof/>
                <w:color w:val="FFFFFF" w:themeColor="background1"/>
                <w:sz w:val="20"/>
              </w:rPr>
              <w:t>Европейски зелен пакт</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jc w:val="left"/>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rPr>
            </w:pPr>
            <w:r>
              <w:rPr>
                <w:b/>
                <w:bCs/>
                <w:noProof/>
                <w:color w:val="000000"/>
                <w:sz w:val="20"/>
              </w:rPr>
              <w:t>Пакет „Адаптиране към цел 55“</w:t>
            </w:r>
          </w:p>
        </w:tc>
        <w:tc>
          <w:tcPr>
            <w:tcW w:w="10064" w:type="dxa"/>
            <w:tcBorders>
              <w:left w:val="single" w:sz="4" w:space="0" w:color="auto"/>
              <w:bottom w:val="single" w:sz="4" w:space="0" w:color="auto"/>
              <w:right w:val="single" w:sz="4" w:space="0" w:color="auto"/>
            </w:tcBorders>
            <w:tcMar>
              <w:top w:w="85" w:type="dxa"/>
              <w:bottom w:w="85" w:type="dxa"/>
            </w:tcMar>
          </w:tcPr>
          <w:p>
            <w:pPr>
              <w:pStyle w:val="ListParagraph"/>
              <w:numPr>
                <w:ilvl w:val="0"/>
                <w:numId w:val="63"/>
              </w:numPr>
              <w:spacing w:after="0"/>
              <w:jc w:val="left"/>
              <w:rPr>
                <w:b/>
                <w:noProof/>
                <w:sz w:val="20"/>
              </w:rPr>
            </w:pPr>
            <w:r>
              <w:rPr>
                <w:b/>
                <w:noProof/>
                <w:sz w:val="20"/>
              </w:rPr>
              <w:t>Преразглеждане на схемата на ЕС за търговия с емисии (СТЕ), в това число в областта на морския и въздушния транспорт и CORSIA, както и предложение за СТЕ като собствен ресурс</w:t>
            </w:r>
            <w:r>
              <w:rPr>
                <w:noProof/>
                <w:sz w:val="20"/>
              </w:rPr>
              <w:t xml:space="preserve"> (законодателна инициатива, вкл. оценка на въздействието, второ тримесечие на 2021 г.)</w:t>
            </w:r>
          </w:p>
          <w:p>
            <w:pPr>
              <w:pStyle w:val="ListParagraph"/>
              <w:numPr>
                <w:ilvl w:val="0"/>
                <w:numId w:val="63"/>
              </w:numPr>
              <w:spacing w:after="0"/>
              <w:jc w:val="left"/>
              <w:rPr>
                <w:b/>
                <w:noProof/>
                <w:sz w:val="20"/>
              </w:rPr>
            </w:pPr>
            <w:r>
              <w:rPr>
                <w:b/>
                <w:noProof/>
                <w:sz w:val="20"/>
              </w:rPr>
              <w:t>Механизъм за корекция на въглеродните емисии на границите (CBAM) и предложение за CBAM като собствен ресурс</w:t>
            </w:r>
            <w:r>
              <w:rPr>
                <w:noProof/>
                <w:sz w:val="20"/>
              </w:rPr>
              <w:t xml:space="preserve"> (законодателна инициатива, вкл. оценка на въздействието,</w:t>
            </w:r>
            <w:r>
              <w:rPr>
                <w:noProof/>
              </w:rPr>
              <w:t xml:space="preserve"> </w:t>
            </w:r>
            <w:r>
              <w:rPr>
                <w:noProof/>
                <w:sz w:val="20"/>
              </w:rPr>
              <w:t>второ тримесечие на 2021 г.)</w:t>
            </w:r>
          </w:p>
          <w:p>
            <w:pPr>
              <w:pStyle w:val="ListParagraph"/>
              <w:numPr>
                <w:ilvl w:val="0"/>
                <w:numId w:val="63"/>
              </w:numPr>
              <w:spacing w:after="0"/>
              <w:jc w:val="left"/>
              <w:rPr>
                <w:b/>
                <w:noProof/>
                <w:sz w:val="20"/>
              </w:rPr>
            </w:pPr>
            <w:r>
              <w:rPr>
                <w:b/>
                <w:noProof/>
                <w:sz w:val="20"/>
              </w:rPr>
              <w:t>Регламент за разпределяне на усилията</w:t>
            </w:r>
            <w:r>
              <w:rPr>
                <w:noProof/>
                <w:sz w:val="20"/>
              </w:rPr>
              <w:t xml:space="preserve"> (законодателна инициатива, вкл. оценка на въздействието, член 192, параграф 1 от ДФЕС; второ тримесечие на 2021 г.)</w:t>
            </w:r>
          </w:p>
          <w:p>
            <w:pPr>
              <w:pStyle w:val="ListParagraph"/>
              <w:numPr>
                <w:ilvl w:val="0"/>
                <w:numId w:val="63"/>
              </w:numPr>
              <w:spacing w:after="0"/>
              <w:jc w:val="left"/>
              <w:rPr>
                <w:b/>
                <w:noProof/>
                <w:sz w:val="20"/>
              </w:rPr>
            </w:pPr>
            <w:r>
              <w:rPr>
                <w:b/>
                <w:noProof/>
                <w:sz w:val="20"/>
              </w:rPr>
              <w:t>Изменение на Директивата за енергията от възобновяеми източници с цел изпълнение на амбицията на новата цел в областта на климата за 2030 г.</w:t>
            </w:r>
            <w:r>
              <w:rPr>
                <w:noProof/>
                <w:sz w:val="20"/>
              </w:rPr>
              <w:t xml:space="preserve"> (законодателна инициатива, вкл. оценка на въздействието, член 194 от ДФЕС, второ тримесечие на 2021 г.)</w:t>
            </w:r>
          </w:p>
          <w:p>
            <w:pPr>
              <w:pStyle w:val="ListParagraph"/>
              <w:numPr>
                <w:ilvl w:val="0"/>
                <w:numId w:val="63"/>
              </w:numPr>
              <w:spacing w:after="0"/>
              <w:jc w:val="left"/>
              <w:rPr>
                <w:b/>
                <w:noProof/>
                <w:sz w:val="20"/>
              </w:rPr>
            </w:pPr>
            <w:r>
              <w:rPr>
                <w:b/>
                <w:noProof/>
                <w:sz w:val="20"/>
              </w:rPr>
              <w:t>Изменение на Директивата за енергийната ефективност с цел изпълнение на амбицията на новата цел в областта на климата до 2030 г.</w:t>
            </w:r>
            <w:r>
              <w:rPr>
                <w:noProof/>
                <w:sz w:val="20"/>
              </w:rPr>
              <w:t xml:space="preserve"> (законодателна инициатива, вкл. оценка на въздействието, член 194 от ДФЕС, второ тримесечие на 2021 г.)</w:t>
            </w:r>
          </w:p>
          <w:p>
            <w:pPr>
              <w:pStyle w:val="ListParagraph"/>
              <w:numPr>
                <w:ilvl w:val="0"/>
                <w:numId w:val="63"/>
              </w:numPr>
              <w:spacing w:after="0"/>
              <w:jc w:val="left"/>
              <w:rPr>
                <w:b/>
                <w:noProof/>
                <w:sz w:val="20"/>
              </w:rPr>
            </w:pPr>
            <w:r>
              <w:rPr>
                <w:b/>
                <w:noProof/>
                <w:sz w:val="20"/>
              </w:rPr>
              <w:t>Преразглеждане на Регламента за включване на емисиите и поглъщанията на парникови газове от земеползването, промените в земеползването и горското стопанство</w:t>
            </w:r>
            <w:r>
              <w:rPr>
                <w:noProof/>
                <w:sz w:val="20"/>
              </w:rPr>
              <w:t xml:space="preserve"> (законодателна инициатива, вкл. оценка на въздействието, член 192, параграф 1 от ДФЕС, второ тримесечие на 2021 г.)</w:t>
            </w:r>
          </w:p>
          <w:p>
            <w:pPr>
              <w:pStyle w:val="ListParagraph"/>
              <w:numPr>
                <w:ilvl w:val="0"/>
                <w:numId w:val="63"/>
              </w:numPr>
              <w:spacing w:after="0"/>
              <w:jc w:val="left"/>
              <w:rPr>
                <w:b/>
                <w:noProof/>
                <w:sz w:val="20"/>
              </w:rPr>
            </w:pPr>
            <w:r>
              <w:rPr>
                <w:b/>
                <w:noProof/>
                <w:sz w:val="20"/>
              </w:rPr>
              <w:t>Намаляване на емисиите на метан в енергийния сектор</w:t>
            </w:r>
            <w:r>
              <w:rPr>
                <w:noProof/>
                <w:sz w:val="20"/>
              </w:rPr>
              <w:t xml:space="preserve"> (законодателна инициатива, вкл. оценка на въздействието, членове 192 и 194 от ДФЕС, второ тримесечие на 2021 г.)</w:t>
            </w:r>
          </w:p>
          <w:p>
            <w:pPr>
              <w:pStyle w:val="ListParagraph"/>
              <w:numPr>
                <w:ilvl w:val="0"/>
                <w:numId w:val="63"/>
              </w:numPr>
              <w:spacing w:after="0"/>
              <w:jc w:val="left"/>
              <w:rPr>
                <w:b/>
                <w:noProof/>
                <w:sz w:val="20"/>
              </w:rPr>
            </w:pPr>
            <w:r>
              <w:rPr>
                <w:b/>
                <w:noProof/>
                <w:sz w:val="20"/>
              </w:rPr>
              <w:t>Преразглеждане на Директивата за данъчно облагане на енергийните продукти и електроенергията</w:t>
            </w:r>
            <w:r>
              <w:rPr>
                <w:noProof/>
                <w:sz w:val="20"/>
              </w:rPr>
              <w:t xml:space="preserve"> (законодателна инициатива, вкл. оценка на въздействието, второ тримесечие на 2021 г.)</w:t>
            </w:r>
          </w:p>
          <w:p>
            <w:pPr>
              <w:pStyle w:val="ListParagraph"/>
              <w:numPr>
                <w:ilvl w:val="0"/>
                <w:numId w:val="63"/>
              </w:numPr>
              <w:spacing w:after="0"/>
              <w:jc w:val="left"/>
              <w:rPr>
                <w:b/>
                <w:noProof/>
                <w:sz w:val="20"/>
              </w:rPr>
            </w:pPr>
            <w:r>
              <w:rPr>
                <w:b/>
                <w:noProof/>
                <w:sz w:val="20"/>
              </w:rPr>
              <w:t>Преразглеждане на Директивата за разгръщането на инфраструктура за алтернативни горива</w:t>
            </w:r>
            <w:r>
              <w:rPr>
                <w:noProof/>
                <w:sz w:val="20"/>
              </w:rPr>
              <w:t xml:space="preserve"> (законодателна инициатива, вкл. оценка на въздействието, член 91 от ДФЕС, второ тримесечие на 2021 г.)</w:t>
            </w:r>
          </w:p>
          <w:p>
            <w:pPr>
              <w:pStyle w:val="ListParagraph"/>
              <w:numPr>
                <w:ilvl w:val="0"/>
                <w:numId w:val="63"/>
              </w:numPr>
              <w:spacing w:after="0"/>
              <w:jc w:val="left"/>
              <w:rPr>
                <w:b/>
                <w:noProof/>
                <w:sz w:val="20"/>
              </w:rPr>
            </w:pPr>
            <w:r>
              <w:rPr>
                <w:b/>
                <w:noProof/>
                <w:sz w:val="20"/>
              </w:rPr>
              <w:t>Преразглеждане на Регламента за определяне на стандарти за емисиите на CO2 от нови леки пътнически автомобили и от нови леки търговски превозни средства</w:t>
            </w:r>
            <w:r>
              <w:rPr>
                <w:noProof/>
                <w:sz w:val="20"/>
              </w:rPr>
              <w:t xml:space="preserve"> (законодателна инициатива, вкл. оценка на въздействието, член 192, параграф 1 от ДФЕС, второ тримесечие на 2021 г.)</w:t>
            </w:r>
          </w:p>
          <w:p>
            <w:pPr>
              <w:pStyle w:val="ListParagraph"/>
              <w:numPr>
                <w:ilvl w:val="0"/>
                <w:numId w:val="63"/>
              </w:numPr>
              <w:spacing w:after="0"/>
              <w:jc w:val="left"/>
              <w:rPr>
                <w:b/>
                <w:noProof/>
                <w:sz w:val="20"/>
              </w:rPr>
            </w:pPr>
            <w:r>
              <w:rPr>
                <w:b/>
                <w:noProof/>
                <w:sz w:val="20"/>
              </w:rPr>
              <w:t>Преразглеждане на Директивата относно енергийните характеристики на сградите</w:t>
            </w:r>
            <w:r>
              <w:rPr>
                <w:noProof/>
                <w:sz w:val="20"/>
              </w:rPr>
              <w:t xml:space="preserve"> (законодателна инициатива, вкл. оценка на въздействието, член 194 от ДФЕС; четвърто тримесечие на 2021 г.)</w:t>
            </w:r>
          </w:p>
          <w:p>
            <w:pPr>
              <w:pStyle w:val="ListParagraph"/>
              <w:numPr>
                <w:ilvl w:val="0"/>
                <w:numId w:val="63"/>
              </w:numPr>
              <w:spacing w:after="0"/>
              <w:jc w:val="left"/>
              <w:rPr>
                <w:noProof/>
                <w:sz w:val="20"/>
              </w:rPr>
            </w:pPr>
            <w:r>
              <w:rPr>
                <w:b/>
                <w:bCs/>
                <w:noProof/>
                <w:sz w:val="20"/>
              </w:rPr>
              <w:t>Преразглеждане на третия енергиен пакет за газа (Директива 2009/73/ЕС и Регламент № 715/2009/ЕС) с цел регулиране на конкурентните декарбонизирани газови пазари</w:t>
            </w:r>
            <w:r>
              <w:rPr>
                <w:noProof/>
                <w:sz w:val="20"/>
              </w:rPr>
              <w:t xml:space="preserve"> (законодателна инициатива, вкл. оценка на въздействието, член 194 от ДФЕС, четвърто тримесечие на 2021 г.)</w:t>
            </w:r>
          </w:p>
        </w:tc>
      </w:tr>
      <w:tr>
        <w:trPr>
          <w:cantSplit/>
        </w:trPr>
        <w:tc>
          <w:tcPr>
            <w:tcW w:w="511" w:type="dxa"/>
            <w:tcBorders>
              <w:bottom w:val="single" w:sz="4" w:space="0" w:color="auto"/>
              <w:right w:val="single" w:sz="4" w:space="0" w:color="auto"/>
            </w:tcBorders>
            <w:shd w:val="clear" w:color="auto" w:fill="FFFFFF" w:themeFill="background1"/>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spacing w:after="0"/>
              <w:rPr>
                <w:b/>
                <w:noProof/>
                <w:sz w:val="20"/>
              </w:rPr>
            </w:pPr>
            <w:r>
              <w:rPr>
                <w:b/>
                <w:noProof/>
                <w:sz w:val="20"/>
              </w:rPr>
              <w:t>Пакет от мерки за кръговата икономика</w:t>
            </w:r>
          </w:p>
        </w:tc>
        <w:tc>
          <w:tcPr>
            <w:tcW w:w="10064"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pStyle w:val="ListParagraph"/>
              <w:numPr>
                <w:ilvl w:val="0"/>
                <w:numId w:val="26"/>
              </w:numPr>
              <w:spacing w:after="0"/>
              <w:ind w:left="334" w:hanging="334"/>
              <w:jc w:val="left"/>
              <w:rPr>
                <w:b/>
                <w:noProof/>
                <w:sz w:val="20"/>
              </w:rPr>
            </w:pPr>
            <w:r>
              <w:rPr>
                <w:b/>
                <w:noProof/>
                <w:sz w:val="20"/>
              </w:rPr>
              <w:t>Инициатива за политика за устойчиви продукти, включително преразглеждане на Директивата за екопроектирането</w:t>
            </w:r>
            <w:r>
              <w:rPr>
                <w:noProof/>
                <w:sz w:val="20"/>
              </w:rPr>
              <w:t xml:space="preserve"> (законодателна инициатива, вкл. оценка на въздействието, член 114 от ДФЕС, четвърто тримесечие на 2021 г.)</w:t>
            </w:r>
          </w:p>
          <w:p>
            <w:pPr>
              <w:pStyle w:val="ListParagraph"/>
              <w:numPr>
                <w:ilvl w:val="0"/>
                <w:numId w:val="26"/>
              </w:numPr>
              <w:spacing w:after="0"/>
              <w:ind w:left="334" w:hanging="334"/>
              <w:jc w:val="left"/>
              <w:rPr>
                <w:noProof/>
                <w:sz w:val="20"/>
              </w:rPr>
            </w:pPr>
            <w:r>
              <w:rPr>
                <w:b/>
                <w:noProof/>
                <w:sz w:val="20"/>
              </w:rPr>
              <w:t>Кръгова електроника</w:t>
            </w:r>
            <w:r>
              <w:rPr>
                <w:noProof/>
                <w:sz w:val="20"/>
              </w:rPr>
              <w:t xml:space="preserve"> (незаконодателна инициатива, четвърто тримесечие на 2021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noProof/>
                <w:sz w:val="20"/>
              </w:rPr>
            </w:pPr>
            <w:r>
              <w:rPr>
                <w:b/>
                <w:noProof/>
                <w:sz w:val="20"/>
              </w:rPr>
              <w:t>Пакет за биологичното разнообразие и нетоксичната околна среда</w:t>
            </w:r>
          </w:p>
        </w:tc>
        <w:tc>
          <w:tcPr>
            <w:tcW w:w="10064" w:type="dxa"/>
            <w:tcBorders>
              <w:left w:val="single" w:sz="4" w:space="0" w:color="auto"/>
              <w:bottom w:val="single" w:sz="4" w:space="0" w:color="auto"/>
              <w:right w:val="single" w:sz="4" w:space="0" w:color="auto"/>
            </w:tcBorders>
            <w:tcMar>
              <w:top w:w="85" w:type="dxa"/>
              <w:bottom w:w="85" w:type="dxa"/>
            </w:tcMar>
          </w:tcPr>
          <w:p>
            <w:pPr>
              <w:pStyle w:val="ListParagraph"/>
              <w:numPr>
                <w:ilvl w:val="0"/>
                <w:numId w:val="27"/>
              </w:numPr>
              <w:spacing w:after="0"/>
              <w:ind w:left="334" w:hanging="334"/>
              <w:jc w:val="left"/>
              <w:rPr>
                <w:b/>
                <w:noProof/>
                <w:sz w:val="20"/>
              </w:rPr>
            </w:pPr>
            <w:r>
              <w:rPr>
                <w:b/>
                <w:noProof/>
                <w:sz w:val="20"/>
              </w:rPr>
              <w:t>План за действие за развитие на биологичното производство: по пътя към 2030 г.</w:t>
            </w:r>
            <w:r>
              <w:rPr>
                <w:noProof/>
                <w:sz w:val="20"/>
              </w:rPr>
              <w:t xml:space="preserve"> (незаконодателна инициатива, първо тримесечие на 2021 г.)</w:t>
            </w:r>
          </w:p>
          <w:p>
            <w:pPr>
              <w:pStyle w:val="ListParagraph"/>
              <w:numPr>
                <w:ilvl w:val="0"/>
                <w:numId w:val="27"/>
              </w:numPr>
              <w:spacing w:after="0"/>
              <w:ind w:left="334" w:hanging="334"/>
              <w:jc w:val="left"/>
              <w:rPr>
                <w:b/>
                <w:noProof/>
                <w:sz w:val="20"/>
              </w:rPr>
            </w:pPr>
            <w:r>
              <w:rPr>
                <w:b/>
                <w:noProof/>
                <w:sz w:val="20"/>
              </w:rPr>
              <w:t>Свеждане до минимум на риска от обезлесяване и деградация на горите, свързан с продукти, пуснати на пазара на ЕС</w:t>
            </w:r>
            <w:r>
              <w:rPr>
                <w:noProof/>
                <w:sz w:val="20"/>
              </w:rPr>
              <w:t xml:space="preserve"> (законодателна инициатива, вкл. оценка на въздействието, второ тримесечие на 2021 г.)</w:t>
            </w:r>
          </w:p>
          <w:p>
            <w:pPr>
              <w:pStyle w:val="ListParagraph"/>
              <w:numPr>
                <w:ilvl w:val="0"/>
                <w:numId w:val="27"/>
              </w:numPr>
              <w:spacing w:after="0"/>
              <w:ind w:left="334" w:hanging="334"/>
              <w:jc w:val="left"/>
              <w:rPr>
                <w:b/>
                <w:noProof/>
                <w:sz w:val="20"/>
              </w:rPr>
            </w:pPr>
            <w:r>
              <w:rPr>
                <w:b/>
                <w:noProof/>
                <w:sz w:val="20"/>
              </w:rPr>
              <w:t>План за действие за нулево замърсяване на водите, въздуха и почвата</w:t>
            </w:r>
            <w:r>
              <w:rPr>
                <w:noProof/>
                <w:sz w:val="20"/>
              </w:rPr>
              <w:t xml:space="preserve"> (незаконодателна инициатива, второ тримесечие на 2021 г.)</w:t>
            </w:r>
          </w:p>
          <w:p>
            <w:pPr>
              <w:pStyle w:val="ListParagraph"/>
              <w:numPr>
                <w:ilvl w:val="0"/>
                <w:numId w:val="27"/>
              </w:numPr>
              <w:spacing w:after="0"/>
              <w:ind w:left="334" w:hanging="334"/>
              <w:jc w:val="left"/>
              <w:rPr>
                <w:noProof/>
                <w:sz w:val="20"/>
              </w:rPr>
            </w:pPr>
            <w:r>
              <w:rPr>
                <w:b/>
                <w:noProof/>
                <w:sz w:val="20"/>
              </w:rPr>
              <w:t>Нова правна уредба за възстановяване на здравето на екосистемите</w:t>
            </w:r>
            <w:r>
              <w:rPr>
                <w:noProof/>
                <w:sz w:val="20"/>
              </w:rPr>
              <w:t xml:space="preserve"> (законодателна инициатива, вкл. оценка на въздействието, член 192 от ДФЕС, четвърто тримесечие на 2021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b/>
                <w:noProof/>
                <w:sz w:val="20"/>
              </w:rPr>
            </w:pPr>
            <w:r>
              <w:rPr>
                <w:b/>
                <w:noProof/>
                <w:sz w:val="20"/>
              </w:rPr>
              <w:t>Устойчива и интелигентна мобилност</w:t>
            </w:r>
          </w:p>
        </w:tc>
        <w:tc>
          <w:tcPr>
            <w:tcW w:w="10064" w:type="dxa"/>
            <w:tcBorders>
              <w:bottom w:val="single" w:sz="4" w:space="0" w:color="auto"/>
            </w:tcBorders>
            <w:tcMar>
              <w:top w:w="85" w:type="dxa"/>
              <w:bottom w:w="85" w:type="dxa"/>
            </w:tcMar>
          </w:tcPr>
          <w:p>
            <w:pPr>
              <w:pStyle w:val="ListParagraph"/>
              <w:numPr>
                <w:ilvl w:val="0"/>
                <w:numId w:val="28"/>
              </w:numPr>
              <w:spacing w:after="0"/>
              <w:ind w:left="334" w:hanging="334"/>
              <w:jc w:val="left"/>
              <w:rPr>
                <w:b/>
                <w:noProof/>
                <w:sz w:val="20"/>
              </w:rPr>
            </w:pPr>
            <w:r>
              <w:rPr>
                <w:b/>
                <w:noProof/>
                <w:sz w:val="20"/>
              </w:rPr>
              <w:t>Преразглеждане на Директивата относно интелигентните транспортни системи, включително инициатива за издаване на билети за мултимодален транспорт</w:t>
            </w:r>
            <w:r>
              <w:rPr>
                <w:noProof/>
                <w:sz w:val="20"/>
              </w:rPr>
              <w:t xml:space="preserve"> (законодателна инициатива, вкл. оценка на въздействието, член 91 от ДФЕС, трето тримесечие на 2021 г.)</w:t>
            </w:r>
          </w:p>
          <w:p>
            <w:pPr>
              <w:pStyle w:val="ListParagraph"/>
              <w:numPr>
                <w:ilvl w:val="0"/>
                <w:numId w:val="28"/>
              </w:numPr>
              <w:spacing w:after="0"/>
              <w:ind w:left="334" w:hanging="334"/>
              <w:jc w:val="left"/>
              <w:rPr>
                <w:b/>
                <w:noProof/>
                <w:sz w:val="20"/>
              </w:rPr>
            </w:pPr>
            <w:r>
              <w:rPr>
                <w:b/>
                <w:noProof/>
                <w:sz w:val="20"/>
              </w:rPr>
              <w:t>Преразглеждане на Регламента за трансевропейската транспортна мрежа (TEN-T)</w:t>
            </w:r>
            <w:r>
              <w:rPr>
                <w:noProof/>
                <w:sz w:val="20"/>
              </w:rPr>
              <w:t xml:space="preserve"> (законодателна инициатива, вкл. оценка на въздействието, член 172 от ДФЕС, трето тримесечие на 2021 г.)</w:t>
            </w:r>
          </w:p>
          <w:p>
            <w:pPr>
              <w:pStyle w:val="ListParagraph"/>
              <w:numPr>
                <w:ilvl w:val="0"/>
                <w:numId w:val="28"/>
              </w:numPr>
              <w:spacing w:after="0"/>
              <w:ind w:left="334" w:hanging="334"/>
              <w:jc w:val="left"/>
              <w:rPr>
                <w:noProof/>
                <w:sz w:val="20"/>
              </w:rPr>
            </w:pPr>
            <w:r>
              <w:rPr>
                <w:b/>
                <w:noProof/>
                <w:sz w:val="20"/>
              </w:rPr>
              <w:t>Инициатива за железопътен коридор EU 2021, включително преразглеждане на Регламента относно коридорите за железопътен товарен превоз и действия за насърчаване на пътническия железопътен транспорт</w:t>
            </w:r>
            <w:r>
              <w:rPr>
                <w:noProof/>
                <w:sz w:val="20"/>
              </w:rPr>
              <w:t xml:space="preserve"> (незаконодателна и законодателна инициатива, включително оценка на въздействието, член 91 от ДФЕС, трето тримесечие на 2021 г.)</w:t>
            </w:r>
          </w:p>
          <w:p>
            <w:pPr>
              <w:pStyle w:val="ListParagraph"/>
              <w:numPr>
                <w:ilvl w:val="0"/>
                <w:numId w:val="28"/>
              </w:numPr>
              <w:spacing w:after="0"/>
              <w:ind w:left="334" w:hanging="334"/>
              <w:jc w:val="left"/>
              <w:rPr>
                <w:noProof/>
                <w:sz w:val="20"/>
              </w:rPr>
            </w:pPr>
            <w:r>
              <w:rPr>
                <w:b/>
                <w:noProof/>
                <w:sz w:val="20"/>
              </w:rPr>
              <w:t>Разработване на стандарти за емисиите от леки автомобили, микробуси, камиони и автобуси за периода след стандартите Евро 6/VI</w:t>
            </w:r>
            <w:r>
              <w:rPr>
                <w:noProof/>
                <w:sz w:val="20"/>
              </w:rPr>
              <w:t xml:space="preserve"> (законодателна инициатива, вкл. оценка на въздействието, член 114 от ДФЕС, четвърто тримесечие на 2021 г.)</w:t>
            </w:r>
          </w:p>
        </w:tc>
      </w:tr>
      <w:tr>
        <w:trPr>
          <w:cantSplit/>
        </w:trPr>
        <w:tc>
          <w:tcPr>
            <w:tcW w:w="14827" w:type="dxa"/>
            <w:gridSpan w:val="3"/>
            <w:tcBorders>
              <w:bottom w:val="single" w:sz="4" w:space="0" w:color="auto"/>
            </w:tcBorders>
            <w:shd w:val="clear" w:color="auto" w:fill="18BAA8" w:themeFill="accent2"/>
          </w:tcPr>
          <w:p>
            <w:pPr>
              <w:keepNext/>
              <w:spacing w:before="60" w:after="60"/>
              <w:rPr>
                <w:b/>
                <w:bCs/>
                <w:noProof/>
                <w:sz w:val="20"/>
              </w:rPr>
            </w:pPr>
            <w:r>
              <w:rPr>
                <w:b/>
                <w:bCs/>
                <w:noProof/>
                <w:color w:val="FFFFFF" w:themeColor="background1"/>
                <w:sz w:val="20"/>
              </w:rPr>
              <w:t>Европа, подготвена за цифровата ера</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r>
              <w:rPr>
                <w:noProof/>
                <w:color w:val="FFFFFF" w:themeColor="background1"/>
                <w:sz w:val="20"/>
              </w:rPr>
              <w:t>.</w:t>
            </w:r>
          </w:p>
        </w:tc>
        <w:tc>
          <w:tcPr>
            <w:tcW w:w="4252" w:type="dxa"/>
            <w:tcBorders>
              <w:left w:val="single" w:sz="4" w:space="0" w:color="auto"/>
              <w:bottom w:val="single" w:sz="4" w:space="0" w:color="auto"/>
            </w:tcBorders>
            <w:tcMar>
              <w:top w:w="85" w:type="dxa"/>
              <w:bottom w:w="85" w:type="dxa"/>
            </w:tcMar>
          </w:tcPr>
          <w:p>
            <w:pPr>
              <w:spacing w:after="0"/>
              <w:rPr>
                <w:b/>
                <w:bCs/>
                <w:noProof/>
                <w:color w:val="000000"/>
                <w:sz w:val="20"/>
              </w:rPr>
            </w:pPr>
            <w:r>
              <w:rPr>
                <w:b/>
                <w:bCs/>
                <w:noProof/>
                <w:color w:val="000000"/>
                <w:sz w:val="20"/>
              </w:rPr>
              <w:t>Цифровото десетилетие на Европа</w:t>
            </w:r>
          </w:p>
        </w:tc>
        <w:tc>
          <w:tcPr>
            <w:tcW w:w="10064" w:type="dxa"/>
            <w:tcBorders>
              <w:bottom w:val="single" w:sz="4" w:space="0" w:color="auto"/>
            </w:tcBorders>
            <w:tcMar>
              <w:top w:w="85" w:type="dxa"/>
              <w:bottom w:w="85" w:type="dxa"/>
            </w:tcMar>
          </w:tcPr>
          <w:p>
            <w:pPr>
              <w:spacing w:after="0"/>
              <w:jc w:val="left"/>
              <w:rPr>
                <w:noProof/>
                <w:color w:val="000000" w:themeColor="text1"/>
                <w:sz w:val="20"/>
              </w:rPr>
            </w:pPr>
            <w:r>
              <w:rPr>
                <w:b/>
                <w:noProof/>
                <w:sz w:val="20"/>
              </w:rPr>
              <w:t>Цифровото десетилетие на Европа: цели в областта на цифровите технологии до 2030 г.</w:t>
            </w:r>
            <w:r>
              <w:rPr>
                <w:noProof/>
                <w:sz w:val="20"/>
              </w:rPr>
              <w:t xml:space="preserve"> (незаконодателна инициатива, първо тримесечие на 2021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noProof/>
                <w:sz w:val="20"/>
              </w:rPr>
            </w:pPr>
            <w:r>
              <w:rPr>
                <w:b/>
                <w:noProof/>
                <w:sz w:val="20"/>
              </w:rPr>
              <w:t>Пакет за данните</w:t>
            </w:r>
          </w:p>
        </w:tc>
        <w:tc>
          <w:tcPr>
            <w:tcW w:w="10064" w:type="dxa"/>
            <w:tcBorders>
              <w:left w:val="single" w:sz="4" w:space="0" w:color="auto"/>
              <w:bottom w:val="single" w:sz="4" w:space="0" w:color="auto"/>
              <w:right w:val="single" w:sz="4" w:space="0" w:color="auto"/>
            </w:tcBorders>
            <w:tcMar>
              <w:top w:w="85" w:type="dxa"/>
              <w:bottom w:w="85" w:type="dxa"/>
            </w:tcMar>
          </w:tcPr>
          <w:p>
            <w:pPr>
              <w:pStyle w:val="ListParagraph"/>
              <w:numPr>
                <w:ilvl w:val="0"/>
                <w:numId w:val="29"/>
              </w:numPr>
              <w:spacing w:after="0"/>
              <w:ind w:left="334" w:hanging="334"/>
              <w:jc w:val="left"/>
              <w:rPr>
                <w:b/>
                <w:noProof/>
                <w:sz w:val="20"/>
              </w:rPr>
            </w:pPr>
            <w:r>
              <w:rPr>
                <w:b/>
                <w:noProof/>
                <w:sz w:val="20"/>
              </w:rPr>
              <w:t>Законодателен акт за данните</w:t>
            </w:r>
            <w:r>
              <w:rPr>
                <w:noProof/>
                <w:sz w:val="20"/>
              </w:rPr>
              <w:t xml:space="preserve"> (законодателна инициатива, вкл. оценка на въздействието, член 114 от ДФЕС, трето тримесечие на 2021 г.)</w:t>
            </w:r>
          </w:p>
          <w:p>
            <w:pPr>
              <w:pStyle w:val="ListParagraph"/>
              <w:numPr>
                <w:ilvl w:val="0"/>
                <w:numId w:val="29"/>
              </w:numPr>
              <w:spacing w:after="0"/>
              <w:ind w:left="334" w:hanging="334"/>
              <w:jc w:val="left"/>
              <w:rPr>
                <w:noProof/>
                <w:sz w:val="20"/>
              </w:rPr>
            </w:pPr>
            <w:r>
              <w:rPr>
                <w:b/>
                <w:noProof/>
                <w:sz w:val="20"/>
              </w:rPr>
              <w:t>Преглед на Директивата за базите данни</w:t>
            </w:r>
            <w:r>
              <w:rPr>
                <w:noProof/>
                <w:sz w:val="20"/>
              </w:rPr>
              <w:t xml:space="preserve"> (законодателна инициатива, вкл. оценка на въздействието, член 114 от ДФЕС, трето тримесечие на 2021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noProof/>
                <w:sz w:val="20"/>
              </w:rPr>
              <w:t xml:space="preserve">Данък върху цифровите технологии </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rPr>
                <w:noProof/>
                <w:sz w:val="20"/>
              </w:rPr>
            </w:pPr>
            <w:r>
              <w:rPr>
                <w:b/>
                <w:noProof/>
                <w:sz w:val="20"/>
              </w:rPr>
              <w:t>Данък върху цифровите технологии и предложение за данък върху цифровите технологии като собствен ресурс</w:t>
            </w:r>
            <w:r>
              <w:rPr>
                <w:noProof/>
                <w:sz w:val="20"/>
              </w:rPr>
              <w:t xml:space="preserve"> (законодателна инициатива, вкл. оценка на въздействието, второ тримесечие на 2021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noProof/>
                <w:sz w:val="20"/>
              </w:rPr>
              <w:t>Надеждна и сигурна европейска електронна идентификация</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rPr>
                <w:b/>
                <w:bCs/>
                <w:noProof/>
                <w:color w:val="000000" w:themeColor="text1"/>
                <w:sz w:val="20"/>
              </w:rPr>
            </w:pPr>
            <w:r>
              <w:rPr>
                <w:b/>
                <w:noProof/>
                <w:sz w:val="20"/>
              </w:rPr>
              <w:t>Надеждна и сигурна европейска електронна идентификация</w:t>
            </w:r>
            <w:r>
              <w:rPr>
                <w:noProof/>
                <w:sz w:val="20"/>
              </w:rPr>
              <w:t xml:space="preserve"> (законодателна инициатива, вкл. оценка на въздействието, член 114 от ДФЕС, първо тримесечие на 2021 г.)</w:t>
            </w:r>
          </w:p>
        </w:tc>
      </w:tr>
      <w:tr>
        <w:trPr>
          <w:cantSplit/>
        </w:trPr>
        <w:tc>
          <w:tcPr>
            <w:tcW w:w="511" w:type="dxa"/>
            <w:tcBorders>
              <w:right w:val="single" w:sz="4" w:space="0" w:color="auto"/>
            </w:tcBorders>
            <w:shd w:val="clear" w:color="auto" w:fill="FFFFFF" w:themeFill="background1"/>
          </w:tcPr>
          <w:p>
            <w:pPr>
              <w:pStyle w:val="ListParagraph"/>
              <w:numPr>
                <w:ilvl w:val="0"/>
                <w:numId w:val="18"/>
              </w:numPr>
              <w:spacing w:after="0"/>
              <w:ind w:left="426"/>
              <w:rPr>
                <w:noProof/>
                <w:sz w:val="20"/>
              </w:rPr>
            </w:pPr>
          </w:p>
        </w:tc>
        <w:tc>
          <w:tcPr>
            <w:tcW w:w="4252" w:type="dxa"/>
            <w:tcBorders>
              <w:left w:val="single" w:sz="4" w:space="0" w:color="auto"/>
            </w:tcBorders>
            <w:shd w:val="clear" w:color="auto" w:fill="FFFFFF" w:themeFill="background1"/>
            <w:tcMar>
              <w:top w:w="85" w:type="dxa"/>
              <w:bottom w:w="85" w:type="dxa"/>
            </w:tcMar>
          </w:tcPr>
          <w:p>
            <w:pPr>
              <w:spacing w:after="0"/>
              <w:rPr>
                <w:b/>
                <w:bCs/>
                <w:noProof/>
                <w:color w:val="000000"/>
                <w:sz w:val="20"/>
              </w:rPr>
            </w:pPr>
            <w:r>
              <w:rPr>
                <w:b/>
                <w:noProof/>
                <w:sz w:val="20"/>
              </w:rPr>
              <w:t>Работници през платформи</w:t>
            </w:r>
          </w:p>
        </w:tc>
        <w:tc>
          <w:tcPr>
            <w:tcW w:w="10064" w:type="dxa"/>
            <w:shd w:val="clear" w:color="auto" w:fill="FFFFFF" w:themeFill="background1"/>
            <w:tcMar>
              <w:top w:w="85" w:type="dxa"/>
              <w:bottom w:w="85" w:type="dxa"/>
            </w:tcMar>
          </w:tcPr>
          <w:p>
            <w:pPr>
              <w:spacing w:after="0"/>
              <w:rPr>
                <w:noProof/>
                <w:sz w:val="20"/>
              </w:rPr>
            </w:pPr>
            <w:r>
              <w:rPr>
                <w:b/>
                <w:noProof/>
                <w:sz w:val="20"/>
              </w:rPr>
              <w:t>Подобряване на условията на труд на работещите през платформи</w:t>
            </w:r>
            <w:r>
              <w:rPr>
                <w:noProof/>
                <w:sz w:val="20"/>
              </w:rPr>
              <w:t xml:space="preserve"> (законодателна инициатива, вкл. оценка на въздействието, член 153 от ДФЕС, първо/четвърто тримесечие на 2021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r>
              <w:rPr>
                <w:noProof/>
                <w:color w:val="FFFFFF" w:themeColor="background1"/>
                <w:sz w:val="20"/>
              </w:rPr>
              <w:t>.</w:t>
            </w: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noProof/>
                <w:sz w:val="20"/>
              </w:rPr>
            </w:pPr>
            <w:r>
              <w:rPr>
                <w:b/>
                <w:noProof/>
                <w:sz w:val="20"/>
              </w:rPr>
              <w:t xml:space="preserve">Промишлена стратегия за Европа </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rPr>
            </w:pPr>
            <w:r>
              <w:rPr>
                <w:b/>
                <w:noProof/>
                <w:sz w:val="20"/>
              </w:rPr>
              <w:t>Актуализиране на новата промишлена стратегия за Европа</w:t>
            </w:r>
            <w:r>
              <w:rPr>
                <w:noProof/>
                <w:sz w:val="20"/>
              </w:rPr>
              <w:t xml:space="preserve"> (незаконодателна инициатива, второ тримесечие на 2021 г.)</w:t>
            </w:r>
          </w:p>
        </w:tc>
      </w:tr>
      <w:tr>
        <w:trPr>
          <w:cantSplit/>
        </w:trPr>
        <w:tc>
          <w:tcPr>
            <w:tcW w:w="511" w:type="dxa"/>
            <w:tcBorders>
              <w:right w:val="single" w:sz="4" w:space="0" w:color="auto"/>
            </w:tcBorders>
            <w:shd w:val="clear" w:color="auto" w:fill="FFFFFF" w:themeFill="background1"/>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spacing w:after="0"/>
              <w:rPr>
                <w:b/>
                <w:bCs/>
                <w:noProof/>
                <w:sz w:val="20"/>
              </w:rPr>
            </w:pPr>
            <w:r>
              <w:rPr>
                <w:b/>
                <w:bCs/>
                <w:noProof/>
                <w:sz w:val="20"/>
              </w:rPr>
              <w:t>Чуждестранни субсидии</w:t>
            </w:r>
          </w:p>
        </w:tc>
        <w:tc>
          <w:tcPr>
            <w:tcW w:w="10064"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spacing w:after="0"/>
              <w:jc w:val="left"/>
              <w:rPr>
                <w:b/>
                <w:noProof/>
                <w:sz w:val="20"/>
              </w:rPr>
            </w:pPr>
            <w:r>
              <w:rPr>
                <w:b/>
                <w:noProof/>
                <w:sz w:val="20"/>
              </w:rPr>
              <w:t xml:space="preserve">Последващи действия във връзка с Бялата книга за чуждестранните субсидии: </w:t>
            </w:r>
          </w:p>
          <w:p>
            <w:pPr>
              <w:pStyle w:val="ListParagraph"/>
              <w:numPr>
                <w:ilvl w:val="0"/>
                <w:numId w:val="30"/>
              </w:numPr>
              <w:spacing w:after="0"/>
              <w:ind w:left="334" w:hanging="334"/>
              <w:jc w:val="left"/>
              <w:rPr>
                <w:noProof/>
                <w:sz w:val="20"/>
              </w:rPr>
            </w:pPr>
            <w:r>
              <w:rPr>
                <w:b/>
                <w:noProof/>
                <w:sz w:val="20"/>
              </w:rPr>
              <w:t>Създаване на равнопоставени условия на конкуренция</w:t>
            </w:r>
            <w:r>
              <w:rPr>
                <w:noProof/>
                <w:sz w:val="20"/>
              </w:rPr>
              <w:t xml:space="preserve"> (законодателна инициатива, вкл. оценка на въздействието, член 207 от ДФЕС, второ тримесечие на 2021 г.) </w:t>
            </w:r>
          </w:p>
          <w:p>
            <w:pPr>
              <w:pStyle w:val="ListParagraph"/>
              <w:numPr>
                <w:ilvl w:val="0"/>
                <w:numId w:val="30"/>
              </w:numPr>
              <w:spacing w:after="0"/>
              <w:ind w:left="334" w:hanging="334"/>
              <w:jc w:val="left"/>
              <w:rPr>
                <w:noProof/>
                <w:sz w:val="20"/>
              </w:rPr>
            </w:pPr>
            <w:r>
              <w:rPr>
                <w:b/>
                <w:noProof/>
                <w:sz w:val="20"/>
              </w:rPr>
              <w:t>Обществени поръчки</w:t>
            </w:r>
            <w:r>
              <w:rPr>
                <w:noProof/>
                <w:sz w:val="20"/>
              </w:rPr>
              <w:t xml:space="preserve"> (законодателна инициатива, вкл. оценка на въздействието, член 207 от ДФЕС, второ тримесечие на 2021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noProof/>
                <w:sz w:val="20"/>
              </w:rPr>
              <w:t>Гражданска, отбранителна и космическа промишленост</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rPr>
            </w:pPr>
            <w:r>
              <w:rPr>
                <w:b/>
                <w:noProof/>
                <w:sz w:val="20"/>
              </w:rPr>
              <w:t>План за действие относно полезните взаимодействия между гражданската, отбранителната и космическата промишленост</w:t>
            </w:r>
            <w:r>
              <w:rPr>
                <w:noProof/>
                <w:sz w:val="20"/>
              </w:rPr>
              <w:t xml:space="preserve"> (незаконодателна инициатива, първо тримесечие на 2021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noProof/>
                <w:sz w:val="20"/>
              </w:rPr>
              <w:t>Изисквания за проектирането и права на потребителите в областта на електрониката</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rPr>
            </w:pPr>
            <w:r>
              <w:rPr>
                <w:b/>
                <w:noProof/>
                <w:sz w:val="20"/>
              </w:rPr>
              <w:t>Нови изисквания за проектирането и права на потребителите в областта на електрониката</w:t>
            </w:r>
            <w:r>
              <w:rPr>
                <w:noProof/>
                <w:sz w:val="20"/>
              </w:rPr>
              <w:t xml:space="preserve"> (законодателна инициатива, вкл. оценка на въздействието, член 114 от ДФЕС, четвърто тримесечие на 2021 г.)</w:t>
            </w:r>
          </w:p>
        </w:tc>
      </w:tr>
      <w:tr>
        <w:trPr>
          <w:cantSplit/>
        </w:trPr>
        <w:tc>
          <w:tcPr>
            <w:tcW w:w="14827" w:type="dxa"/>
            <w:gridSpan w:val="3"/>
            <w:tcBorders>
              <w:bottom w:val="single" w:sz="4" w:space="0" w:color="auto"/>
            </w:tcBorders>
            <w:shd w:val="clear" w:color="auto" w:fill="F68A42" w:themeFill="accent3"/>
          </w:tcPr>
          <w:p>
            <w:pPr>
              <w:keepNext/>
              <w:spacing w:before="60" w:after="60"/>
              <w:rPr>
                <w:b/>
                <w:bCs/>
                <w:noProof/>
                <w:sz w:val="20"/>
              </w:rPr>
            </w:pPr>
            <w:r>
              <w:rPr>
                <w:b/>
                <w:bCs/>
                <w:noProof/>
                <w:color w:val="FFFFFF" w:themeColor="background1"/>
                <w:sz w:val="20"/>
              </w:rPr>
              <w:t>Икономика в интерес на хората</w:t>
            </w:r>
          </w:p>
        </w:tc>
      </w:tr>
      <w:tr>
        <w:trPr>
          <w:cantSplit/>
        </w:trPr>
        <w:tc>
          <w:tcPr>
            <w:tcW w:w="511" w:type="dxa"/>
            <w:tcBorders>
              <w:right w:val="single" w:sz="4" w:space="0" w:color="auto"/>
            </w:tcBorders>
          </w:tcPr>
          <w:p>
            <w:pPr>
              <w:pStyle w:val="ListParagraph"/>
              <w:numPr>
                <w:ilvl w:val="0"/>
                <w:numId w:val="18"/>
              </w:numPr>
              <w:spacing w:after="0"/>
              <w:ind w:left="426"/>
              <w:rPr>
                <w:noProof/>
                <w:color w:val="FFFFFF" w:themeColor="background1"/>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bCs/>
                <w:noProof/>
                <w:sz w:val="20"/>
              </w:rPr>
              <w:t>Задълбочаване на съюза на капиталовите пазари</w:t>
            </w:r>
          </w:p>
        </w:tc>
        <w:tc>
          <w:tcPr>
            <w:tcW w:w="10064" w:type="dxa"/>
            <w:tcBorders>
              <w:left w:val="single" w:sz="4" w:space="0" w:color="auto"/>
              <w:bottom w:val="single" w:sz="4" w:space="0" w:color="auto"/>
              <w:right w:val="single" w:sz="4" w:space="0" w:color="auto"/>
            </w:tcBorders>
            <w:tcMar>
              <w:top w:w="85" w:type="dxa"/>
              <w:bottom w:w="85" w:type="dxa"/>
            </w:tcMar>
          </w:tcPr>
          <w:p>
            <w:pPr>
              <w:pStyle w:val="ListParagraph"/>
              <w:numPr>
                <w:ilvl w:val="0"/>
                <w:numId w:val="31"/>
              </w:numPr>
              <w:spacing w:after="0"/>
              <w:ind w:left="334" w:hanging="334"/>
              <w:jc w:val="left"/>
              <w:rPr>
                <w:b/>
                <w:bCs/>
                <w:noProof/>
                <w:sz w:val="20"/>
              </w:rPr>
            </w:pPr>
            <w:r>
              <w:rPr>
                <w:b/>
                <w:bCs/>
                <w:noProof/>
                <w:sz w:val="20"/>
              </w:rPr>
              <w:t>Уредба за защита и улесняване на инвестициите</w:t>
            </w:r>
            <w:r>
              <w:rPr>
                <w:noProof/>
                <w:sz w:val="20"/>
              </w:rPr>
              <w:t xml:space="preserve"> (законодателна инициатива, вкл. оценка на въздействието, член 114 от ДФЕС, второ тримесечие на 2021 г.)</w:t>
            </w:r>
          </w:p>
          <w:p>
            <w:pPr>
              <w:pStyle w:val="ListParagraph"/>
              <w:numPr>
                <w:ilvl w:val="0"/>
                <w:numId w:val="31"/>
              </w:numPr>
              <w:spacing w:after="0"/>
              <w:ind w:left="334" w:hanging="334"/>
              <w:jc w:val="left"/>
              <w:rPr>
                <w:b/>
                <w:bCs/>
                <w:noProof/>
                <w:sz w:val="20"/>
              </w:rPr>
            </w:pPr>
            <w:r>
              <w:rPr>
                <w:b/>
                <w:bCs/>
                <w:noProof/>
                <w:sz w:val="20"/>
              </w:rPr>
              <w:t>Преразглеждане на пруденциалните правила за застрахователните и презастрахователните предприятия (Платежоспособност II)</w:t>
            </w:r>
            <w:r>
              <w:rPr>
                <w:noProof/>
                <w:sz w:val="20"/>
              </w:rPr>
              <w:t xml:space="preserve"> (законодателна инициатива, вкл. оценка на въздействието, член 53, параграф 1, член 62 и член 114 от ДФЕС, трето тримесечие на 2021 г.)</w:t>
            </w:r>
          </w:p>
          <w:p>
            <w:pPr>
              <w:pStyle w:val="ListParagraph"/>
              <w:numPr>
                <w:ilvl w:val="0"/>
                <w:numId w:val="31"/>
              </w:numPr>
              <w:spacing w:after="0"/>
              <w:ind w:left="334" w:hanging="334"/>
              <w:jc w:val="left"/>
              <w:rPr>
                <w:b/>
                <w:bCs/>
                <w:noProof/>
                <w:sz w:val="20"/>
              </w:rPr>
            </w:pPr>
            <w:r>
              <w:rPr>
                <w:b/>
                <w:bCs/>
                <w:noProof/>
                <w:sz w:val="20"/>
              </w:rPr>
              <w:t>Преразглеждане на Директивата и Регламента за пазарите на финансови инструменти</w:t>
            </w:r>
            <w:r>
              <w:rPr>
                <w:noProof/>
                <w:sz w:val="20"/>
              </w:rPr>
              <w:t xml:space="preserve"> (законодателна инициатива, вкл. оценка на въздействието, член 114 от ДФЕС, четвърто тримесечие на 2021 г.)</w:t>
            </w:r>
          </w:p>
        </w:tc>
      </w:tr>
      <w:tr>
        <w:trPr>
          <w:cantSplit/>
        </w:trPr>
        <w:tc>
          <w:tcPr>
            <w:tcW w:w="511" w:type="dxa"/>
            <w:tcBorders>
              <w:bottom w:val="single" w:sz="4" w:space="0" w:color="auto"/>
              <w:right w:val="single" w:sz="4" w:space="0" w:color="auto"/>
            </w:tcBorders>
            <w:shd w:val="clear" w:color="auto" w:fill="FFFFFF" w:themeFill="background1"/>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shd w:val="clear" w:color="auto" w:fill="FFFFFF" w:themeFill="background1"/>
            <w:tcMar>
              <w:top w:w="85" w:type="dxa"/>
              <w:bottom w:w="85" w:type="dxa"/>
            </w:tcMar>
          </w:tcPr>
          <w:p>
            <w:pPr>
              <w:spacing w:after="0"/>
              <w:rPr>
                <w:b/>
                <w:bCs/>
                <w:noProof/>
                <w:color w:val="000000"/>
                <w:sz w:val="20"/>
              </w:rPr>
            </w:pPr>
            <w:r>
              <w:rPr>
                <w:b/>
                <w:noProof/>
                <w:sz w:val="20"/>
              </w:rPr>
              <w:t>Устойчиво корпоративно управление</w:t>
            </w:r>
          </w:p>
        </w:tc>
        <w:tc>
          <w:tcPr>
            <w:tcW w:w="10064" w:type="dxa"/>
            <w:tcBorders>
              <w:bottom w:val="single" w:sz="4" w:space="0" w:color="auto"/>
            </w:tcBorders>
            <w:shd w:val="clear" w:color="auto" w:fill="auto"/>
            <w:tcMar>
              <w:top w:w="85" w:type="dxa"/>
              <w:bottom w:w="85" w:type="dxa"/>
            </w:tcMar>
          </w:tcPr>
          <w:p>
            <w:pPr>
              <w:spacing w:after="0"/>
              <w:rPr>
                <w:b/>
                <w:bCs/>
                <w:noProof/>
                <w:sz w:val="20"/>
              </w:rPr>
            </w:pPr>
            <w:r>
              <w:rPr>
                <w:b/>
                <w:noProof/>
                <w:sz w:val="20"/>
              </w:rPr>
              <w:t>Устойчиво корпоративно управление</w:t>
            </w:r>
            <w:r>
              <w:rPr>
                <w:noProof/>
                <w:sz w:val="20"/>
              </w:rPr>
              <w:t xml:space="preserve"> (законодателна инициатива, вкл. оценка на въздействието, член 50 и евентуално член 114 от ДФЕС, второ тримесечие на 2021 г.)</w:t>
            </w:r>
          </w:p>
        </w:tc>
      </w:tr>
      <w:tr>
        <w:trPr>
          <w:cantSplit/>
        </w:trPr>
        <w:tc>
          <w:tcPr>
            <w:tcW w:w="511" w:type="dxa"/>
            <w:tcBorders>
              <w:bottom w:val="single" w:sz="4" w:space="0" w:color="auto"/>
              <w:right w:val="single" w:sz="4" w:space="0" w:color="auto"/>
            </w:tcBorders>
            <w:shd w:val="clear" w:color="auto" w:fill="FFFFFF" w:themeFill="background1"/>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spacing w:after="0"/>
              <w:rPr>
                <w:b/>
                <w:bCs/>
                <w:noProof/>
                <w:sz w:val="20"/>
              </w:rPr>
            </w:pPr>
            <w:r>
              <w:rPr>
                <w:b/>
                <w:noProof/>
                <w:sz w:val="20"/>
              </w:rPr>
              <w:t>Стандарт на ЕС за „зелени“ облигации</w:t>
            </w:r>
          </w:p>
        </w:tc>
        <w:tc>
          <w:tcPr>
            <w:tcW w:w="10064" w:type="dxa"/>
            <w:tcBorders>
              <w:left w:val="single" w:sz="4" w:space="0" w:color="auto"/>
              <w:bottom w:val="single" w:sz="4" w:space="0" w:color="auto"/>
              <w:right w:val="single" w:sz="4" w:space="0" w:color="auto"/>
            </w:tcBorders>
            <w:shd w:val="clear" w:color="auto" w:fill="auto"/>
            <w:tcMar>
              <w:top w:w="85" w:type="dxa"/>
              <w:bottom w:w="85" w:type="dxa"/>
            </w:tcMar>
          </w:tcPr>
          <w:p>
            <w:pPr>
              <w:spacing w:after="0"/>
              <w:jc w:val="left"/>
              <w:rPr>
                <w:noProof/>
                <w:sz w:val="20"/>
              </w:rPr>
            </w:pPr>
            <w:r>
              <w:rPr>
                <w:b/>
                <w:noProof/>
                <w:sz w:val="20"/>
              </w:rPr>
              <w:t>Създаване на стандарт на ЕС за „зелени“ облигации</w:t>
            </w:r>
            <w:r>
              <w:rPr>
                <w:noProof/>
                <w:sz w:val="20"/>
              </w:rPr>
              <w:t xml:space="preserve"> (законодателна инициатива, вкл. оценка на въздействието, член 114 от ДФЕС, второ тримесечие на 2021 г.)</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rPr>
                <w:b/>
                <w:bCs/>
                <w:noProof/>
                <w:color w:val="000000"/>
                <w:sz w:val="20"/>
              </w:rPr>
            </w:pPr>
            <w:r>
              <w:rPr>
                <w:b/>
                <w:noProof/>
                <w:sz w:val="20"/>
              </w:rPr>
              <w:t>Пакет относно мерките за борба с изпирането на пари</w:t>
            </w:r>
          </w:p>
        </w:tc>
        <w:tc>
          <w:tcPr>
            <w:tcW w:w="10064" w:type="dxa"/>
            <w:tcMar>
              <w:top w:w="85" w:type="dxa"/>
              <w:bottom w:w="85" w:type="dxa"/>
            </w:tcMar>
          </w:tcPr>
          <w:p>
            <w:pPr>
              <w:spacing w:after="0"/>
              <w:jc w:val="left"/>
              <w:rPr>
                <w:noProof/>
                <w:sz w:val="20"/>
              </w:rPr>
            </w:pPr>
            <w:r>
              <w:rPr>
                <w:b/>
                <w:noProof/>
                <w:sz w:val="20"/>
              </w:rPr>
              <w:t>Законодателен пакет относно мерките за борба с изпирането на пари</w:t>
            </w:r>
            <w:r>
              <w:rPr>
                <w:noProof/>
                <w:sz w:val="20"/>
              </w:rPr>
              <w:t xml:space="preserve"> (законодателна инициатива, вкл. оценка на въздействието, член 114 от ДФЕС, първо тримесечие на 2021 г.)</w:t>
            </w:r>
          </w:p>
        </w:tc>
      </w:tr>
      <w:tr>
        <w:trPr>
          <w:cantSplit/>
        </w:trPr>
        <w:tc>
          <w:tcPr>
            <w:tcW w:w="511" w:type="dxa"/>
            <w:tcBorders>
              <w:right w:val="single" w:sz="4" w:space="0" w:color="auto"/>
            </w:tcBorders>
            <w:shd w:val="clear" w:color="auto" w:fill="FFFFFF" w:themeFill="background1"/>
          </w:tcPr>
          <w:p>
            <w:pPr>
              <w:pStyle w:val="ListParagraph"/>
              <w:numPr>
                <w:ilvl w:val="0"/>
                <w:numId w:val="18"/>
              </w:numPr>
              <w:spacing w:after="0"/>
              <w:ind w:left="426"/>
              <w:rPr>
                <w:noProof/>
                <w:sz w:val="20"/>
              </w:rPr>
            </w:pPr>
          </w:p>
        </w:tc>
        <w:tc>
          <w:tcPr>
            <w:tcW w:w="4252" w:type="dxa"/>
            <w:tcBorders>
              <w:left w:val="single" w:sz="4" w:space="0" w:color="auto"/>
            </w:tcBorders>
            <w:shd w:val="clear" w:color="auto" w:fill="FFFFFF" w:themeFill="background1"/>
            <w:tcMar>
              <w:top w:w="85" w:type="dxa"/>
              <w:bottom w:w="85" w:type="dxa"/>
            </w:tcMar>
          </w:tcPr>
          <w:p>
            <w:pPr>
              <w:spacing w:after="0"/>
              <w:rPr>
                <w:b/>
                <w:bCs/>
                <w:noProof/>
                <w:color w:val="000000"/>
                <w:sz w:val="20"/>
              </w:rPr>
            </w:pPr>
            <w:r>
              <w:rPr>
                <w:b/>
                <w:bCs/>
                <w:noProof/>
                <w:color w:val="000000"/>
                <w:sz w:val="20"/>
              </w:rPr>
              <w:t>Пакет от мерки за справедлива икономика</w:t>
            </w:r>
          </w:p>
        </w:tc>
        <w:tc>
          <w:tcPr>
            <w:tcW w:w="10064" w:type="dxa"/>
            <w:shd w:val="clear" w:color="auto" w:fill="FFFFFF" w:themeFill="background1"/>
            <w:tcMar>
              <w:top w:w="85" w:type="dxa"/>
              <w:bottom w:w="85" w:type="dxa"/>
            </w:tcMar>
          </w:tcPr>
          <w:p>
            <w:pPr>
              <w:pStyle w:val="Default"/>
              <w:numPr>
                <w:ilvl w:val="0"/>
                <w:numId w:val="32"/>
              </w:numPr>
              <w:ind w:left="334" w:hanging="334"/>
              <w:rPr>
                <w:b/>
                <w:noProof/>
                <w:sz w:val="20"/>
                <w:szCs w:val="20"/>
              </w:rPr>
            </w:pPr>
            <w:r>
              <w:rPr>
                <w:b/>
                <w:noProof/>
                <w:sz w:val="20"/>
                <w:szCs w:val="20"/>
              </w:rPr>
              <w:t>План за действие относно Европейския стълб на социалните права</w:t>
            </w:r>
            <w:r>
              <w:rPr>
                <w:noProof/>
                <w:sz w:val="20"/>
              </w:rPr>
              <w:t xml:space="preserve"> (незаконодателна инициатива, първо тримесечие на 2021 г.)</w:t>
            </w:r>
          </w:p>
          <w:p>
            <w:pPr>
              <w:pStyle w:val="Default"/>
              <w:numPr>
                <w:ilvl w:val="0"/>
                <w:numId w:val="32"/>
              </w:numPr>
              <w:ind w:left="334" w:hanging="334"/>
              <w:rPr>
                <w:b/>
                <w:noProof/>
                <w:sz w:val="20"/>
                <w:szCs w:val="20"/>
              </w:rPr>
            </w:pPr>
            <w:r>
              <w:rPr>
                <w:b/>
                <w:noProof/>
                <w:sz w:val="20"/>
                <w:szCs w:val="20"/>
              </w:rPr>
              <w:t>Препоръка за европейска гаранция за децата</w:t>
            </w:r>
            <w:r>
              <w:rPr>
                <w:noProof/>
                <w:sz w:val="20"/>
              </w:rPr>
              <w:t xml:space="preserve"> (незаконодателна инициатива, първо тримесечие на 2021 г.)</w:t>
            </w:r>
          </w:p>
          <w:p>
            <w:pPr>
              <w:pStyle w:val="Default"/>
              <w:numPr>
                <w:ilvl w:val="0"/>
                <w:numId w:val="32"/>
              </w:numPr>
              <w:ind w:left="334" w:hanging="334"/>
              <w:rPr>
                <w:b/>
                <w:noProof/>
                <w:sz w:val="20"/>
                <w:szCs w:val="20"/>
              </w:rPr>
            </w:pPr>
            <w:r>
              <w:rPr>
                <w:b/>
                <w:noProof/>
                <w:sz w:val="20"/>
                <w:szCs w:val="20"/>
              </w:rPr>
              <w:t>Съобщение относно нова стратегическа рамка за здравословни и безопасни условия на труд</w:t>
            </w:r>
            <w:r>
              <w:rPr>
                <w:noProof/>
                <w:sz w:val="20"/>
              </w:rPr>
              <w:t xml:space="preserve"> (незаконодателна инициатива, второ тримесечие на 2021 г.)</w:t>
            </w:r>
          </w:p>
          <w:p>
            <w:pPr>
              <w:pStyle w:val="Default"/>
              <w:numPr>
                <w:ilvl w:val="0"/>
                <w:numId w:val="32"/>
              </w:numPr>
              <w:ind w:left="334" w:hanging="334"/>
              <w:rPr>
                <w:noProof/>
                <w:sz w:val="20"/>
                <w:szCs w:val="20"/>
              </w:rPr>
            </w:pPr>
            <w:r>
              <w:rPr>
                <w:b/>
                <w:noProof/>
                <w:sz w:val="20"/>
                <w:szCs w:val="20"/>
              </w:rPr>
              <w:t>План за действие за социалната икономика</w:t>
            </w:r>
            <w:r>
              <w:rPr>
                <w:noProof/>
                <w:sz w:val="20"/>
              </w:rPr>
              <w:t xml:space="preserve"> (незаконодателна инициатива, четвърто тримесечие на 2021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tabs>
                <w:tab w:val="left" w:pos="1185"/>
              </w:tabs>
              <w:spacing w:after="0"/>
              <w:rPr>
                <w:b/>
                <w:bCs/>
                <w:noProof/>
                <w:color w:val="000000"/>
                <w:sz w:val="20"/>
              </w:rPr>
            </w:pPr>
            <w:r>
              <w:rPr>
                <w:b/>
                <w:bCs/>
                <w:noProof/>
                <w:color w:val="000000"/>
                <w:sz w:val="20"/>
              </w:rPr>
              <w:t>Обща схема от преференции</w:t>
            </w:r>
          </w:p>
        </w:tc>
        <w:tc>
          <w:tcPr>
            <w:tcW w:w="10064" w:type="dxa"/>
            <w:tcBorders>
              <w:bottom w:val="single" w:sz="4" w:space="0" w:color="auto"/>
            </w:tcBorders>
            <w:tcMar>
              <w:top w:w="85" w:type="dxa"/>
              <w:bottom w:w="85" w:type="dxa"/>
            </w:tcMar>
          </w:tcPr>
          <w:p>
            <w:pPr>
              <w:pStyle w:val="Default"/>
              <w:rPr>
                <w:noProof/>
                <w:sz w:val="20"/>
                <w:szCs w:val="20"/>
              </w:rPr>
            </w:pPr>
            <w:r>
              <w:rPr>
                <w:b/>
                <w:noProof/>
                <w:sz w:val="20"/>
              </w:rPr>
              <w:t>Към бъдещата обща схема от преференции — правна уредба за предоставяне на търговски предимства на развиващите се страни</w:t>
            </w:r>
            <w:r>
              <w:rPr>
                <w:noProof/>
                <w:sz w:val="20"/>
              </w:rPr>
              <w:t xml:space="preserve"> (законодателна, вкл. оценка на въздействието, член 207 от ДФЕС, второ тримесечие на 2021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b/>
                <w:bCs/>
                <w:noProof/>
                <w:color w:val="000000"/>
                <w:sz w:val="20"/>
              </w:rPr>
            </w:pPr>
            <w:r>
              <w:rPr>
                <w:b/>
                <w:bCs/>
                <w:noProof/>
                <w:color w:val="000000"/>
                <w:sz w:val="20"/>
              </w:rPr>
              <w:t>Възпиране и противодействие на принудителни действия от страна на трети държави</w:t>
            </w:r>
          </w:p>
        </w:tc>
        <w:tc>
          <w:tcPr>
            <w:tcW w:w="10064" w:type="dxa"/>
            <w:tcBorders>
              <w:bottom w:val="single" w:sz="4" w:space="0" w:color="auto"/>
            </w:tcBorders>
            <w:tcMar>
              <w:top w:w="85" w:type="dxa"/>
              <w:bottom w:w="85" w:type="dxa"/>
            </w:tcMar>
          </w:tcPr>
          <w:p>
            <w:pPr>
              <w:pStyle w:val="Default"/>
              <w:rPr>
                <w:noProof/>
                <w:sz w:val="20"/>
                <w:szCs w:val="20"/>
              </w:rPr>
            </w:pPr>
            <w:r>
              <w:rPr>
                <w:b/>
                <w:noProof/>
                <w:sz w:val="20"/>
              </w:rPr>
              <w:t>Инструмент за възпиране и противодействие на принудителни действия от страна на трети държави</w:t>
            </w:r>
            <w:r>
              <w:rPr>
                <w:noProof/>
                <w:sz w:val="20"/>
              </w:rPr>
              <w:t xml:space="preserve"> (законодателна инициатива, вкл. оценка на въздействието, член 207, четвърто тримесечие на 2021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b/>
                <w:bCs/>
                <w:noProof/>
                <w:color w:val="000000"/>
                <w:sz w:val="20"/>
              </w:rPr>
            </w:pPr>
            <w:r>
              <w:rPr>
                <w:b/>
                <w:bCs/>
                <w:noProof/>
                <w:color w:val="000000"/>
                <w:sz w:val="20"/>
              </w:rPr>
              <w:t>Рамка на изпълнението за периода 2021—2027 г.</w:t>
            </w:r>
          </w:p>
        </w:tc>
        <w:tc>
          <w:tcPr>
            <w:tcW w:w="10064" w:type="dxa"/>
            <w:tcBorders>
              <w:bottom w:val="single" w:sz="4" w:space="0" w:color="auto"/>
            </w:tcBorders>
            <w:tcMar>
              <w:top w:w="85" w:type="dxa"/>
              <w:bottom w:w="85" w:type="dxa"/>
            </w:tcMar>
          </w:tcPr>
          <w:p>
            <w:pPr>
              <w:pStyle w:val="Default"/>
              <w:rPr>
                <w:noProof/>
                <w:sz w:val="20"/>
                <w:szCs w:val="20"/>
              </w:rPr>
            </w:pPr>
            <w:r>
              <w:rPr>
                <w:b/>
                <w:bCs/>
                <w:noProof/>
                <w:sz w:val="20"/>
              </w:rPr>
              <w:t>Съобщение относно рамката на изпълнението за периода 2021—2027 г.</w:t>
            </w:r>
            <w:r>
              <w:rPr>
                <w:noProof/>
                <w:sz w:val="20"/>
              </w:rPr>
              <w:t xml:space="preserve"> (незаконодателна инициатива, второ тримесечие на 2021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tabs>
                <w:tab w:val="left" w:pos="975"/>
              </w:tabs>
              <w:spacing w:after="0"/>
              <w:rPr>
                <w:b/>
                <w:bCs/>
                <w:noProof/>
                <w:color w:val="000000"/>
                <w:sz w:val="20"/>
              </w:rPr>
            </w:pPr>
            <w:r>
              <w:rPr>
                <w:b/>
                <w:bCs/>
                <w:noProof/>
                <w:color w:val="000000"/>
                <w:sz w:val="20"/>
              </w:rPr>
              <w:t>Приключване изграждането на банковия съюз</w:t>
            </w:r>
          </w:p>
        </w:tc>
        <w:tc>
          <w:tcPr>
            <w:tcW w:w="10064" w:type="dxa"/>
            <w:tcBorders>
              <w:bottom w:val="single" w:sz="4" w:space="0" w:color="auto"/>
            </w:tcBorders>
            <w:tcMar>
              <w:top w:w="85" w:type="dxa"/>
              <w:bottom w:w="85" w:type="dxa"/>
            </w:tcMar>
          </w:tcPr>
          <w:p>
            <w:pPr>
              <w:pStyle w:val="Default"/>
              <w:rPr>
                <w:noProof/>
                <w:sz w:val="20"/>
                <w:szCs w:val="20"/>
              </w:rPr>
            </w:pPr>
            <w:r>
              <w:rPr>
                <w:b/>
                <w:noProof/>
              </w:rPr>
              <w:t>Преразглеждане на уредбата за управление на банкови кризи и за застраховане на депозитите</w:t>
            </w:r>
            <w:r>
              <w:rPr>
                <w:noProof/>
              </w:rPr>
              <w:t xml:space="preserve"> (законодателна инициатива, вкл. оценка на въздействието, член 114 от ДФЕС, четвърто тримесечие на 2021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b/>
                <w:bCs/>
                <w:noProof/>
                <w:color w:val="000000"/>
                <w:sz w:val="20"/>
              </w:rPr>
            </w:pPr>
            <w:r>
              <w:rPr>
                <w:b/>
                <w:bCs/>
                <w:noProof/>
                <w:color w:val="000000"/>
                <w:sz w:val="20"/>
              </w:rPr>
              <w:t>Пакет относно акцизите</w:t>
            </w:r>
          </w:p>
        </w:tc>
        <w:tc>
          <w:tcPr>
            <w:tcW w:w="10064" w:type="dxa"/>
            <w:tcBorders>
              <w:bottom w:val="single" w:sz="4" w:space="0" w:color="auto"/>
            </w:tcBorders>
            <w:tcMar>
              <w:top w:w="85" w:type="dxa"/>
              <w:bottom w:w="85" w:type="dxa"/>
            </w:tcMar>
          </w:tcPr>
          <w:p>
            <w:pPr>
              <w:pStyle w:val="Default"/>
              <w:numPr>
                <w:ilvl w:val="0"/>
                <w:numId w:val="33"/>
              </w:numPr>
              <w:ind w:left="334" w:hanging="334"/>
              <w:rPr>
                <w:b/>
                <w:noProof/>
                <w:sz w:val="20"/>
                <w:szCs w:val="20"/>
              </w:rPr>
            </w:pPr>
            <w:r>
              <w:rPr>
                <w:b/>
                <w:noProof/>
                <w:sz w:val="20"/>
                <w:szCs w:val="20"/>
              </w:rPr>
              <w:t>Преразглеждане на Директивата за данъчното облагане на тютюневите изделия</w:t>
            </w:r>
            <w:r>
              <w:rPr>
                <w:noProof/>
                <w:sz w:val="20"/>
              </w:rPr>
              <w:t xml:space="preserve"> (законодателна инициатива, вкл. оценка на въздействието, член 113 от ДФЕС, трето тримесечие на 2021 г.)</w:t>
            </w:r>
          </w:p>
          <w:p>
            <w:pPr>
              <w:pStyle w:val="Default"/>
              <w:numPr>
                <w:ilvl w:val="0"/>
                <w:numId w:val="33"/>
              </w:numPr>
              <w:ind w:left="334" w:hanging="334"/>
              <w:rPr>
                <w:b/>
                <w:noProof/>
                <w:sz w:val="20"/>
                <w:szCs w:val="20"/>
              </w:rPr>
            </w:pPr>
            <w:r>
              <w:rPr>
                <w:b/>
                <w:noProof/>
                <w:sz w:val="20"/>
                <w:szCs w:val="20"/>
              </w:rPr>
              <w:t>Изменение на Директивата относно общия режим на облагане с акцизи</w:t>
            </w:r>
            <w:r>
              <w:rPr>
                <w:noProof/>
                <w:sz w:val="20"/>
              </w:rPr>
              <w:t xml:space="preserve"> (законодателна инициатива, вкл. оценка на въздействието, член 113 от ДФЕС, четвърто тримесечие на 2021 г.)</w:t>
            </w:r>
          </w:p>
        </w:tc>
      </w:tr>
      <w:tr>
        <w:trPr>
          <w:cantSplit/>
        </w:trPr>
        <w:tc>
          <w:tcPr>
            <w:tcW w:w="14827" w:type="dxa"/>
            <w:gridSpan w:val="3"/>
            <w:tcBorders>
              <w:bottom w:val="single" w:sz="4" w:space="0" w:color="auto"/>
            </w:tcBorders>
            <w:shd w:val="clear" w:color="auto" w:fill="585EAA" w:themeFill="accent4"/>
          </w:tcPr>
          <w:p>
            <w:pPr>
              <w:keepNext/>
              <w:spacing w:before="60" w:after="60"/>
              <w:rPr>
                <w:b/>
                <w:bCs/>
                <w:noProof/>
                <w:sz w:val="20"/>
              </w:rPr>
            </w:pPr>
            <w:r>
              <w:rPr>
                <w:b/>
                <w:bCs/>
                <w:noProof/>
                <w:color w:val="FFFFFF" w:themeColor="background1"/>
                <w:sz w:val="20"/>
              </w:rPr>
              <w:t>По-силна Европа на световната сцена</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b/>
                <w:noProof/>
                <w:sz w:val="20"/>
              </w:rPr>
            </w:pPr>
            <w:r>
              <w:rPr>
                <w:b/>
                <w:noProof/>
                <w:sz w:val="20"/>
              </w:rPr>
              <w:t>Засилване на приноса на ЕС към основаното на правила многостранно сътрудничество</w:t>
            </w:r>
          </w:p>
        </w:tc>
        <w:tc>
          <w:tcPr>
            <w:tcW w:w="10064" w:type="dxa"/>
            <w:tcBorders>
              <w:bottom w:val="single" w:sz="4" w:space="0" w:color="auto"/>
            </w:tcBorders>
            <w:tcMar>
              <w:top w:w="85" w:type="dxa"/>
              <w:bottom w:w="85" w:type="dxa"/>
            </w:tcMar>
          </w:tcPr>
          <w:p>
            <w:pPr>
              <w:spacing w:after="0"/>
              <w:jc w:val="left"/>
              <w:rPr>
                <w:noProof/>
                <w:sz w:val="20"/>
              </w:rPr>
            </w:pPr>
            <w:r>
              <w:rPr>
                <w:b/>
                <w:noProof/>
                <w:sz w:val="20"/>
              </w:rPr>
              <w:t>Съвместно съобщение относно засилването на приноса на ЕС към основаното на правила многостранно сътрудничество</w:t>
            </w:r>
            <w:r>
              <w:rPr>
                <w:noProof/>
                <w:sz w:val="20"/>
              </w:rPr>
              <w:t xml:space="preserve"> (незаконодателна инициатива, второ тримесечие на 2021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b/>
                <w:noProof/>
                <w:color w:val="000000" w:themeColor="text1"/>
                <w:sz w:val="20"/>
              </w:rPr>
            </w:pPr>
            <w:r>
              <w:rPr>
                <w:b/>
                <w:noProof/>
                <w:color w:val="000000" w:themeColor="text1"/>
                <w:sz w:val="20"/>
              </w:rPr>
              <w:t>Арктическото измерение</w:t>
            </w:r>
          </w:p>
        </w:tc>
        <w:tc>
          <w:tcPr>
            <w:tcW w:w="10064" w:type="dxa"/>
            <w:tcBorders>
              <w:bottom w:val="single" w:sz="4" w:space="0" w:color="auto"/>
            </w:tcBorders>
            <w:tcMar>
              <w:top w:w="85" w:type="dxa"/>
              <w:bottom w:w="85" w:type="dxa"/>
            </w:tcMar>
          </w:tcPr>
          <w:p>
            <w:pPr>
              <w:spacing w:after="0"/>
              <w:jc w:val="left"/>
              <w:rPr>
                <w:b/>
                <w:noProof/>
                <w:sz w:val="20"/>
              </w:rPr>
            </w:pPr>
            <w:r>
              <w:rPr>
                <w:b/>
                <w:noProof/>
                <w:sz w:val="20"/>
              </w:rPr>
              <w:t>Съвместно съобщение относно Арктика</w:t>
            </w:r>
            <w:r>
              <w:rPr>
                <w:noProof/>
                <w:sz w:val="20"/>
              </w:rPr>
              <w:t xml:space="preserve"> (незаконодателна инициатива, четвърто тримесечие на 2021 г.)</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rPr>
                <w:b/>
                <w:bCs/>
                <w:noProof/>
                <w:color w:val="000000"/>
                <w:sz w:val="20"/>
              </w:rPr>
            </w:pPr>
            <w:r>
              <w:rPr>
                <w:b/>
                <w:bCs/>
                <w:noProof/>
                <w:color w:val="000000"/>
                <w:sz w:val="20"/>
              </w:rPr>
              <w:t>Южно съседство</w:t>
            </w:r>
          </w:p>
        </w:tc>
        <w:tc>
          <w:tcPr>
            <w:tcW w:w="10064" w:type="dxa"/>
            <w:tcMar>
              <w:top w:w="85" w:type="dxa"/>
              <w:bottom w:w="85" w:type="dxa"/>
            </w:tcMar>
          </w:tcPr>
          <w:p>
            <w:pPr>
              <w:spacing w:after="0"/>
              <w:jc w:val="left"/>
              <w:rPr>
                <w:noProof/>
                <w:sz w:val="20"/>
              </w:rPr>
            </w:pPr>
            <w:r>
              <w:rPr>
                <w:b/>
                <w:noProof/>
                <w:sz w:val="20"/>
              </w:rPr>
              <w:t xml:space="preserve">Съвместно съобщение относно подновено партньорство с южните съседни на ЕС държави </w:t>
            </w:r>
            <w:r>
              <w:rPr>
                <w:noProof/>
                <w:sz w:val="20"/>
              </w:rPr>
              <w:t>(незаконодателна инициатива, първо тримесечие на 2021 г.)</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rPr>
                <w:b/>
                <w:bCs/>
                <w:noProof/>
                <w:sz w:val="20"/>
              </w:rPr>
            </w:pPr>
            <w:r>
              <w:rPr>
                <w:b/>
                <w:bCs/>
                <w:noProof/>
                <w:sz w:val="20"/>
              </w:rPr>
              <w:t>Разоръжаване, демобилизация и реинтеграция на бивши бойци</w:t>
            </w:r>
          </w:p>
        </w:tc>
        <w:tc>
          <w:tcPr>
            <w:tcW w:w="10064" w:type="dxa"/>
            <w:tcMar>
              <w:top w:w="85" w:type="dxa"/>
              <w:bottom w:w="85" w:type="dxa"/>
            </w:tcMar>
          </w:tcPr>
          <w:p>
            <w:pPr>
              <w:spacing w:after="0"/>
              <w:jc w:val="left"/>
              <w:rPr>
                <w:b/>
                <w:bCs/>
                <w:noProof/>
                <w:sz w:val="20"/>
              </w:rPr>
            </w:pPr>
            <w:r>
              <w:rPr>
                <w:b/>
                <w:bCs/>
                <w:noProof/>
                <w:sz w:val="20"/>
              </w:rPr>
              <w:t>Съвместно съобщение относно стратегически подход в подкрепа на разоръжаването, демобилизацията и реинтеграцията на бивши бойци</w:t>
            </w:r>
            <w:r>
              <w:rPr>
                <w:noProof/>
                <w:sz w:val="20"/>
              </w:rPr>
              <w:t xml:space="preserve"> (незаконодателна инициатива, трето тримесечие на 2021 г.)</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rPr>
                <w:b/>
                <w:bCs/>
                <w:noProof/>
                <w:sz w:val="20"/>
              </w:rPr>
            </w:pPr>
            <w:r>
              <w:rPr>
                <w:b/>
                <w:bCs/>
                <w:noProof/>
                <w:sz w:val="20"/>
              </w:rPr>
              <w:t>Научни изследвания, иновации, образование и младеж</w:t>
            </w:r>
          </w:p>
        </w:tc>
        <w:tc>
          <w:tcPr>
            <w:tcW w:w="10064" w:type="dxa"/>
            <w:tcMar>
              <w:top w:w="85" w:type="dxa"/>
              <w:bottom w:w="85" w:type="dxa"/>
            </w:tcMar>
          </w:tcPr>
          <w:p>
            <w:pPr>
              <w:spacing w:after="0"/>
              <w:jc w:val="left"/>
              <w:rPr>
                <w:b/>
                <w:bCs/>
                <w:noProof/>
                <w:sz w:val="20"/>
              </w:rPr>
            </w:pPr>
            <w:r>
              <w:rPr>
                <w:b/>
                <w:noProof/>
                <w:sz w:val="20"/>
              </w:rPr>
              <w:t>Съобщение относно</w:t>
            </w:r>
            <w:r>
              <w:rPr>
                <w:b/>
                <w:bCs/>
                <w:noProof/>
                <w:sz w:val="20"/>
              </w:rPr>
              <w:t xml:space="preserve"> глобалния подход към научните изследвания, иновациите, образованието и младежта</w:t>
            </w:r>
            <w:r>
              <w:rPr>
                <w:noProof/>
                <w:sz w:val="20"/>
              </w:rPr>
              <w:t xml:space="preserve"> (незаконодателна инициатива, второ тримесечие на 2021 г.)</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tabs>
                <w:tab w:val="left" w:pos="1035"/>
              </w:tabs>
              <w:spacing w:after="0"/>
              <w:rPr>
                <w:b/>
                <w:bCs/>
                <w:noProof/>
                <w:sz w:val="20"/>
              </w:rPr>
            </w:pPr>
            <w:r>
              <w:rPr>
                <w:b/>
                <w:bCs/>
                <w:noProof/>
                <w:sz w:val="20"/>
              </w:rPr>
              <w:t xml:space="preserve">Хуманитарна помощ на ЕС </w:t>
            </w:r>
          </w:p>
        </w:tc>
        <w:tc>
          <w:tcPr>
            <w:tcW w:w="10064" w:type="dxa"/>
            <w:tcMar>
              <w:top w:w="85" w:type="dxa"/>
              <w:bottom w:w="85" w:type="dxa"/>
            </w:tcMar>
          </w:tcPr>
          <w:p>
            <w:pPr>
              <w:spacing w:after="0"/>
              <w:rPr>
                <w:b/>
                <w:bCs/>
                <w:noProof/>
                <w:sz w:val="20"/>
              </w:rPr>
            </w:pPr>
            <w:r>
              <w:rPr>
                <w:b/>
                <w:bCs/>
                <w:noProof/>
                <w:sz w:val="20"/>
              </w:rPr>
              <w:t>Съобщение относно хуманитарната помощ на ЕС в контекста на пандемията от COVID-19 и след това</w:t>
            </w:r>
            <w:r>
              <w:rPr>
                <w:noProof/>
                <w:sz w:val="20"/>
              </w:rPr>
              <w:t xml:space="preserve"> (незаконодателна инициатива, първо тримесечие на 2021 г.)</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tabs>
                <w:tab w:val="left" w:pos="1035"/>
              </w:tabs>
              <w:spacing w:after="0"/>
              <w:rPr>
                <w:b/>
                <w:bCs/>
                <w:noProof/>
                <w:sz w:val="20"/>
              </w:rPr>
            </w:pPr>
            <w:r>
              <w:rPr>
                <w:b/>
                <w:noProof/>
                <w:sz w:val="20"/>
              </w:rPr>
              <w:t>Консулска закрила</w:t>
            </w:r>
          </w:p>
        </w:tc>
        <w:tc>
          <w:tcPr>
            <w:tcW w:w="10064" w:type="dxa"/>
            <w:tcMar>
              <w:top w:w="85" w:type="dxa"/>
              <w:bottom w:w="85" w:type="dxa"/>
            </w:tcMar>
          </w:tcPr>
          <w:p>
            <w:pPr>
              <w:spacing w:after="0"/>
              <w:rPr>
                <w:b/>
                <w:bCs/>
                <w:noProof/>
                <w:sz w:val="20"/>
              </w:rPr>
            </w:pPr>
            <w:r>
              <w:rPr>
                <w:b/>
                <w:bCs/>
                <w:noProof/>
                <w:sz w:val="20"/>
              </w:rPr>
              <w:t>Консулска закрила — преглед на правилата на ЕС</w:t>
            </w:r>
            <w:r>
              <w:rPr>
                <w:bCs/>
                <w:noProof/>
                <w:sz w:val="20"/>
              </w:rPr>
              <w:t xml:space="preserve"> (законодателна инициатива, член 23 от ДФЕС, четвърто тримесечие на 2021 г.)</w:t>
            </w:r>
          </w:p>
        </w:tc>
      </w:tr>
      <w:tr>
        <w:trPr>
          <w:cantSplit/>
        </w:trPr>
        <w:tc>
          <w:tcPr>
            <w:tcW w:w="14827" w:type="dxa"/>
            <w:gridSpan w:val="3"/>
            <w:tcBorders>
              <w:bottom w:val="single" w:sz="4" w:space="0" w:color="auto"/>
            </w:tcBorders>
            <w:shd w:val="clear" w:color="auto" w:fill="DA5C57" w:themeFill="accent6"/>
          </w:tcPr>
          <w:p>
            <w:pPr>
              <w:keepNext/>
              <w:spacing w:before="60" w:after="60"/>
              <w:rPr>
                <w:b/>
                <w:bCs/>
                <w:noProof/>
                <w:sz w:val="20"/>
              </w:rPr>
            </w:pPr>
            <w:r>
              <w:rPr>
                <w:b/>
                <w:bCs/>
                <w:noProof/>
                <w:color w:val="FFFFFF" w:themeColor="background1"/>
                <w:sz w:val="20"/>
              </w:rPr>
              <w:t>Утвърждаване на европейския ни начин на живот</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rPr>
                <w:b/>
                <w:bCs/>
                <w:noProof/>
                <w:color w:val="000000"/>
                <w:sz w:val="20"/>
              </w:rPr>
            </w:pPr>
            <w:r>
              <w:rPr>
                <w:b/>
                <w:bCs/>
                <w:noProof/>
                <w:color w:val="000000"/>
                <w:sz w:val="20"/>
              </w:rPr>
              <w:t>Европейски биомедицински научни изследвания и развойна дейност</w:t>
            </w:r>
          </w:p>
        </w:tc>
        <w:tc>
          <w:tcPr>
            <w:tcW w:w="10064" w:type="dxa"/>
            <w:tcMar>
              <w:top w:w="85" w:type="dxa"/>
              <w:bottom w:w="85" w:type="dxa"/>
            </w:tcMar>
          </w:tcPr>
          <w:p>
            <w:pPr>
              <w:spacing w:after="0"/>
              <w:jc w:val="left"/>
              <w:rPr>
                <w:noProof/>
                <w:sz w:val="20"/>
              </w:rPr>
            </w:pPr>
            <w:r>
              <w:rPr>
                <w:b/>
                <w:bCs/>
                <w:noProof/>
                <w:color w:val="000000"/>
                <w:sz w:val="20"/>
              </w:rPr>
              <w:t>Законодателно предложение за създаване на нова Европейска агенция за биомедицински научни изследвания и развойна дейност</w:t>
            </w:r>
            <w:r>
              <w:rPr>
                <w:noProof/>
                <w:sz w:val="20"/>
              </w:rPr>
              <w:t xml:space="preserve"> (законодателна инициатива, вкл. оценка на въздействието, четвърто тримесечие на 2021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tabs>
                <w:tab w:val="left" w:pos="1005"/>
              </w:tabs>
              <w:spacing w:after="0"/>
              <w:rPr>
                <w:b/>
                <w:bCs/>
                <w:noProof/>
                <w:color w:val="000000"/>
                <w:sz w:val="20"/>
              </w:rPr>
            </w:pPr>
            <w:r>
              <w:rPr>
                <w:b/>
                <w:bCs/>
                <w:noProof/>
                <w:color w:val="000000"/>
                <w:sz w:val="20"/>
              </w:rPr>
              <w:t>Европейско пространство на здравни данни</w:t>
            </w:r>
          </w:p>
        </w:tc>
        <w:tc>
          <w:tcPr>
            <w:tcW w:w="10064" w:type="dxa"/>
            <w:tcBorders>
              <w:bottom w:val="single" w:sz="4" w:space="0" w:color="auto"/>
            </w:tcBorders>
            <w:tcMar>
              <w:top w:w="85" w:type="dxa"/>
              <w:bottom w:w="85" w:type="dxa"/>
            </w:tcMar>
          </w:tcPr>
          <w:p>
            <w:pPr>
              <w:spacing w:after="0"/>
              <w:jc w:val="left"/>
              <w:rPr>
                <w:noProof/>
                <w:sz w:val="20"/>
              </w:rPr>
            </w:pPr>
            <w:r>
              <w:rPr>
                <w:b/>
                <w:bCs/>
                <w:noProof/>
                <w:color w:val="000000"/>
                <w:sz w:val="20"/>
              </w:rPr>
              <w:t>Предложение за европейско пространство на здравни данни</w:t>
            </w:r>
            <w:r>
              <w:rPr>
                <w:noProof/>
                <w:sz w:val="20"/>
              </w:rPr>
              <w:t xml:space="preserve"> (законодателна инициатива, вкл. оценка на въздействието, членове 114 и 168 от ДФЕС, четвърто тримесечие на 2021 г.)</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rPr>
                <w:b/>
                <w:noProof/>
                <w:sz w:val="20"/>
              </w:rPr>
            </w:pPr>
            <w:r>
              <w:rPr>
                <w:b/>
                <w:noProof/>
                <w:sz w:val="20"/>
              </w:rPr>
              <w:t>Последващи инициативи в рамките на новия пакт за миграцията и убежището</w:t>
            </w:r>
          </w:p>
        </w:tc>
        <w:tc>
          <w:tcPr>
            <w:tcW w:w="10064" w:type="dxa"/>
            <w:tcMar>
              <w:top w:w="85" w:type="dxa"/>
              <w:bottom w:w="85" w:type="dxa"/>
            </w:tcMar>
          </w:tcPr>
          <w:p>
            <w:pPr>
              <w:pStyle w:val="ListParagraph"/>
              <w:numPr>
                <w:ilvl w:val="0"/>
                <w:numId w:val="34"/>
              </w:numPr>
              <w:spacing w:after="0" w:line="240" w:lineRule="atLeast"/>
              <w:ind w:left="334" w:hanging="334"/>
              <w:jc w:val="left"/>
              <w:rPr>
                <w:b/>
                <w:noProof/>
                <w:sz w:val="20"/>
              </w:rPr>
            </w:pPr>
            <w:r>
              <w:rPr>
                <w:b/>
                <w:noProof/>
                <w:sz w:val="20"/>
              </w:rPr>
              <w:t>Нов план за действие на ЕС срещу контрабандата на мигранти</w:t>
            </w:r>
            <w:r>
              <w:rPr>
                <w:noProof/>
                <w:sz w:val="20"/>
              </w:rPr>
              <w:t xml:space="preserve"> (незаконодателна инициатива, второ тримесечие на 2021 г.)</w:t>
            </w:r>
          </w:p>
          <w:p>
            <w:pPr>
              <w:pStyle w:val="ListParagraph"/>
              <w:numPr>
                <w:ilvl w:val="0"/>
                <w:numId w:val="34"/>
              </w:numPr>
              <w:spacing w:after="0" w:line="240" w:lineRule="atLeast"/>
              <w:ind w:left="334" w:hanging="334"/>
              <w:jc w:val="left"/>
              <w:rPr>
                <w:noProof/>
                <w:sz w:val="20"/>
              </w:rPr>
            </w:pPr>
            <w:r>
              <w:rPr>
                <w:b/>
                <w:noProof/>
                <w:sz w:val="20"/>
              </w:rPr>
              <w:t>Нова стратегия за доброволно връщане и реинтеграция</w:t>
            </w:r>
            <w:r>
              <w:rPr>
                <w:noProof/>
                <w:sz w:val="20"/>
              </w:rPr>
              <w:t xml:space="preserve"> (незаконодателна инициатива, второ тримесечие на 2021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noProof/>
                <w:sz w:val="20"/>
              </w:rPr>
            </w:pPr>
            <w:r>
              <w:rPr>
                <w:b/>
                <w:noProof/>
                <w:sz w:val="20"/>
              </w:rPr>
              <w:t>Пакет „Шенген“</w:t>
            </w:r>
          </w:p>
        </w:tc>
        <w:tc>
          <w:tcPr>
            <w:tcW w:w="10064" w:type="dxa"/>
            <w:tcBorders>
              <w:bottom w:val="single" w:sz="4" w:space="0" w:color="auto"/>
            </w:tcBorders>
            <w:tcMar>
              <w:top w:w="85" w:type="dxa"/>
              <w:bottom w:w="85" w:type="dxa"/>
            </w:tcMar>
          </w:tcPr>
          <w:p>
            <w:pPr>
              <w:pStyle w:val="ListParagraph"/>
              <w:numPr>
                <w:ilvl w:val="0"/>
                <w:numId w:val="35"/>
              </w:numPr>
              <w:spacing w:after="0"/>
              <w:ind w:left="334" w:hanging="334"/>
              <w:jc w:val="left"/>
              <w:rPr>
                <w:b/>
                <w:noProof/>
                <w:sz w:val="20"/>
              </w:rPr>
            </w:pPr>
            <w:r>
              <w:rPr>
                <w:b/>
                <w:noProof/>
                <w:sz w:val="20"/>
              </w:rPr>
              <w:t>Стратегия за бъдещето на Шенген</w:t>
            </w:r>
            <w:r>
              <w:rPr>
                <w:noProof/>
                <w:sz w:val="20"/>
              </w:rPr>
              <w:t xml:space="preserve"> (незаконодателна инициатива, второ тримесечие на 2021 г.)</w:t>
            </w:r>
          </w:p>
          <w:p>
            <w:pPr>
              <w:pStyle w:val="ListParagraph"/>
              <w:numPr>
                <w:ilvl w:val="0"/>
                <w:numId w:val="35"/>
              </w:numPr>
              <w:spacing w:after="0"/>
              <w:ind w:left="334" w:hanging="334"/>
              <w:jc w:val="left"/>
              <w:rPr>
                <w:b/>
                <w:noProof/>
                <w:sz w:val="20"/>
              </w:rPr>
            </w:pPr>
            <w:r>
              <w:rPr>
                <w:b/>
                <w:noProof/>
                <w:sz w:val="20"/>
              </w:rPr>
              <w:t xml:space="preserve">Изменение на Регламента за създаване на механизма за оценка по Шенген </w:t>
            </w:r>
            <w:r>
              <w:rPr>
                <w:noProof/>
                <w:sz w:val="20"/>
              </w:rPr>
              <w:t>(законодателна инициатива, вкл. оценка на въздействието, член 70 от ДФЕС, второ тримесечие на 2021 г.)</w:t>
            </w:r>
          </w:p>
          <w:p>
            <w:pPr>
              <w:pStyle w:val="ListParagraph"/>
              <w:numPr>
                <w:ilvl w:val="0"/>
                <w:numId w:val="35"/>
              </w:numPr>
              <w:spacing w:after="0"/>
              <w:ind w:left="334" w:hanging="334"/>
              <w:jc w:val="left"/>
              <w:rPr>
                <w:noProof/>
                <w:sz w:val="20"/>
              </w:rPr>
            </w:pPr>
            <w:r>
              <w:rPr>
                <w:b/>
                <w:noProof/>
                <w:sz w:val="20"/>
              </w:rPr>
              <w:t>Преразглеждане на Кодекса на шенгенските граници</w:t>
            </w:r>
            <w:r>
              <w:rPr>
                <w:noProof/>
                <w:sz w:val="20"/>
              </w:rPr>
              <w:t xml:space="preserve"> (законодателна инициатива, вкл. оценка на въздействието, член 77 от ДФЕС, второ тримесечие на 2021 г.)</w:t>
            </w:r>
          </w:p>
          <w:p>
            <w:pPr>
              <w:pStyle w:val="ListParagraph"/>
              <w:numPr>
                <w:ilvl w:val="0"/>
                <w:numId w:val="35"/>
              </w:numPr>
              <w:spacing w:after="0"/>
              <w:ind w:left="334" w:hanging="334"/>
              <w:jc w:val="left"/>
              <w:rPr>
                <w:noProof/>
                <w:sz w:val="20"/>
              </w:rPr>
            </w:pPr>
            <w:r>
              <w:rPr>
                <w:b/>
                <w:noProof/>
                <w:sz w:val="20"/>
              </w:rPr>
              <w:t>Цифровизиране на визовите процедури</w:t>
            </w:r>
            <w:r>
              <w:rPr>
                <w:noProof/>
                <w:sz w:val="20"/>
              </w:rPr>
              <w:t xml:space="preserve"> (законодателна инициатива, вкл. оценка на въздействието, член 77 от ДФЕС, четвърто тримесечие на 2021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b/>
                <w:noProof/>
                <w:sz w:val="20"/>
              </w:rPr>
            </w:pPr>
            <w:r>
              <w:rPr>
                <w:b/>
                <w:noProof/>
                <w:sz w:val="20"/>
              </w:rPr>
              <w:t>Последващи действия във връзка със стратегията на ЕС за сигурност</w:t>
            </w:r>
          </w:p>
        </w:tc>
        <w:tc>
          <w:tcPr>
            <w:tcW w:w="10064" w:type="dxa"/>
            <w:tcBorders>
              <w:bottom w:val="single" w:sz="4" w:space="0" w:color="auto"/>
            </w:tcBorders>
            <w:tcMar>
              <w:top w:w="85" w:type="dxa"/>
              <w:bottom w:w="85" w:type="dxa"/>
            </w:tcMar>
          </w:tcPr>
          <w:p>
            <w:pPr>
              <w:pStyle w:val="ListParagraph"/>
              <w:numPr>
                <w:ilvl w:val="0"/>
                <w:numId w:val="36"/>
              </w:numPr>
              <w:spacing w:after="0"/>
              <w:ind w:left="334" w:hanging="334"/>
              <w:jc w:val="left"/>
              <w:rPr>
                <w:noProof/>
                <w:sz w:val="20"/>
              </w:rPr>
            </w:pPr>
            <w:r>
              <w:rPr>
                <w:b/>
                <w:noProof/>
                <w:sz w:val="20"/>
              </w:rPr>
              <w:t>Съобщение относно програма на ЕС за борба с организираната престъпност за периода 2021—2025 г.</w:t>
            </w:r>
            <w:r>
              <w:rPr>
                <w:noProof/>
                <w:sz w:val="20"/>
              </w:rPr>
              <w:t xml:space="preserve"> (незаконодателна инициатива, първо тримесечие на 2021 г.)</w:t>
            </w:r>
          </w:p>
          <w:p>
            <w:pPr>
              <w:pStyle w:val="ListParagraph"/>
              <w:numPr>
                <w:ilvl w:val="0"/>
                <w:numId w:val="36"/>
              </w:numPr>
              <w:spacing w:after="0"/>
              <w:ind w:left="334" w:hanging="334"/>
              <w:jc w:val="left"/>
              <w:rPr>
                <w:noProof/>
                <w:sz w:val="20"/>
              </w:rPr>
            </w:pPr>
            <w:r>
              <w:rPr>
                <w:b/>
                <w:noProof/>
                <w:sz w:val="20"/>
              </w:rPr>
              <w:t>Законодателство за ефективно справяне със сексуалното насилие над деца онлайн</w:t>
            </w:r>
            <w:r>
              <w:rPr>
                <w:noProof/>
                <w:sz w:val="20"/>
              </w:rPr>
              <w:t xml:space="preserve"> (законодателна инициатива, вкл. оценка на въздействието, член 114 от ДФЕС, второ тримесечие на 2021 г.)</w:t>
            </w:r>
          </w:p>
          <w:p>
            <w:pPr>
              <w:pStyle w:val="ListParagraph"/>
              <w:numPr>
                <w:ilvl w:val="0"/>
                <w:numId w:val="36"/>
              </w:numPr>
              <w:spacing w:after="0"/>
              <w:ind w:left="334" w:hanging="334"/>
              <w:jc w:val="left"/>
              <w:rPr>
                <w:noProof/>
                <w:sz w:val="20"/>
              </w:rPr>
            </w:pPr>
            <w:r>
              <w:rPr>
                <w:b/>
                <w:noProof/>
                <w:sz w:val="20"/>
              </w:rPr>
              <w:t>Програма на ЕС за борба с тероризма: предотвратяване, защита, реагиране, предвиждане</w:t>
            </w:r>
            <w:r>
              <w:rPr>
                <w:noProof/>
                <w:sz w:val="20"/>
              </w:rPr>
              <w:t xml:space="preserve"> (незаконодателна инициатива, трето тримесечие на 2021 г.)</w:t>
            </w:r>
          </w:p>
          <w:p>
            <w:pPr>
              <w:pStyle w:val="ListParagraph"/>
              <w:numPr>
                <w:ilvl w:val="0"/>
                <w:numId w:val="36"/>
              </w:numPr>
              <w:spacing w:after="0"/>
              <w:ind w:left="334" w:hanging="334"/>
              <w:jc w:val="left"/>
              <w:rPr>
                <w:noProof/>
                <w:sz w:val="20"/>
              </w:rPr>
            </w:pPr>
            <w:r>
              <w:rPr>
                <w:b/>
                <w:noProof/>
                <w:sz w:val="20"/>
              </w:rPr>
              <w:t>Преразглеждане на Директивата за обезпечаване и конфискация на облаги от престъпна дейност</w:t>
            </w:r>
            <w:r>
              <w:rPr>
                <w:noProof/>
                <w:sz w:val="20"/>
              </w:rPr>
              <w:t xml:space="preserve"> (законодателна инициатива, вкл. оценка на въздействието, членове 82 и 83 от ДФЕС, четвърто тримесечие на 2021 г.)</w:t>
            </w:r>
          </w:p>
          <w:p>
            <w:pPr>
              <w:pStyle w:val="ListParagraph"/>
              <w:numPr>
                <w:ilvl w:val="0"/>
                <w:numId w:val="36"/>
              </w:numPr>
              <w:spacing w:after="0"/>
              <w:ind w:left="334" w:hanging="334"/>
              <w:jc w:val="left"/>
              <w:rPr>
                <w:noProof/>
                <w:sz w:val="20"/>
              </w:rPr>
            </w:pPr>
            <w:r>
              <w:rPr>
                <w:b/>
                <w:noProof/>
                <w:sz w:val="20"/>
              </w:rPr>
              <w:t>Предложение за модернизиране на съществуващото сътрудничество в областта на правоприлагането в рамките на ЕС чрез създаване на кодекс на ЕС за полицейско сътрудничество</w:t>
            </w:r>
            <w:r>
              <w:rPr>
                <w:noProof/>
                <w:sz w:val="20"/>
              </w:rPr>
              <w:t xml:space="preserve"> (законодателна инициатива, вкл. оценка на въздействието, четвърто тримесечие на 2021 г.)</w:t>
            </w:r>
          </w:p>
          <w:p>
            <w:pPr>
              <w:pStyle w:val="ListParagraph"/>
              <w:numPr>
                <w:ilvl w:val="0"/>
                <w:numId w:val="36"/>
              </w:numPr>
              <w:spacing w:after="0"/>
              <w:ind w:left="334" w:hanging="334"/>
              <w:jc w:val="left"/>
              <w:rPr>
                <w:noProof/>
                <w:sz w:val="20"/>
              </w:rPr>
            </w:pPr>
            <w:r>
              <w:rPr>
                <w:b/>
                <w:noProof/>
                <w:sz w:val="20"/>
              </w:rPr>
              <w:t>Предложение за директива относно службите за възстановяване на активи</w:t>
            </w:r>
            <w:r>
              <w:rPr>
                <w:noProof/>
                <w:sz w:val="20"/>
              </w:rPr>
              <w:t xml:space="preserve"> ( законодателна инициатива, вкл. оценка на въздействието, член 87 от ДФЕС, четвърто тримесечие на 2021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noProof/>
                <w:sz w:val="20"/>
              </w:rPr>
            </w:pPr>
            <w:r>
              <w:rPr>
                <w:b/>
                <w:bCs/>
                <w:noProof/>
                <w:sz w:val="20"/>
              </w:rPr>
              <w:t>Последващи действия във връзка с европейското пространство за образование и актуализираната програма за умения</w:t>
            </w:r>
          </w:p>
        </w:tc>
        <w:tc>
          <w:tcPr>
            <w:tcW w:w="10064" w:type="dxa"/>
            <w:tcBorders>
              <w:bottom w:val="single" w:sz="4" w:space="0" w:color="auto"/>
            </w:tcBorders>
            <w:tcMar>
              <w:top w:w="85" w:type="dxa"/>
              <w:bottom w:w="85" w:type="dxa"/>
            </w:tcMar>
          </w:tcPr>
          <w:p>
            <w:pPr>
              <w:pStyle w:val="ListParagraph"/>
              <w:numPr>
                <w:ilvl w:val="0"/>
                <w:numId w:val="37"/>
              </w:numPr>
              <w:spacing w:after="0"/>
              <w:ind w:left="334" w:hanging="334"/>
              <w:jc w:val="left"/>
              <w:rPr>
                <w:noProof/>
                <w:sz w:val="20"/>
              </w:rPr>
            </w:pPr>
            <w:r>
              <w:rPr>
                <w:b/>
                <w:noProof/>
                <w:sz w:val="20"/>
              </w:rPr>
              <w:t>Европейски подход към микроквалификациите</w:t>
            </w:r>
            <w:r>
              <w:rPr>
                <w:noProof/>
                <w:sz w:val="20"/>
              </w:rPr>
              <w:t xml:space="preserve"> (незаконодателна инициатива, четвърто тримесечие на 2021 г.)</w:t>
            </w:r>
          </w:p>
          <w:p>
            <w:pPr>
              <w:pStyle w:val="ListParagraph"/>
              <w:numPr>
                <w:ilvl w:val="0"/>
                <w:numId w:val="37"/>
              </w:numPr>
              <w:spacing w:after="0"/>
              <w:ind w:left="334" w:hanging="334"/>
              <w:jc w:val="left"/>
              <w:rPr>
                <w:noProof/>
                <w:sz w:val="20"/>
              </w:rPr>
            </w:pPr>
            <w:r>
              <w:rPr>
                <w:b/>
                <w:noProof/>
                <w:sz w:val="20"/>
              </w:rPr>
              <w:t>Индивидуални сметки за обучение</w:t>
            </w:r>
            <w:r>
              <w:rPr>
                <w:noProof/>
                <w:sz w:val="20"/>
              </w:rPr>
              <w:t xml:space="preserve"> (законодателна и незаконодателна инициатива, вкл. оценка на въздействието, четвърто тримесечие на 2021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b/>
                <w:bCs/>
                <w:noProof/>
                <w:sz w:val="20"/>
              </w:rPr>
            </w:pPr>
            <w:r>
              <w:rPr>
                <w:b/>
                <w:bCs/>
                <w:noProof/>
                <w:sz w:val="20"/>
              </w:rPr>
              <w:t>Стратегия на ЕС за борба с антисемитизма</w:t>
            </w:r>
          </w:p>
        </w:tc>
        <w:tc>
          <w:tcPr>
            <w:tcW w:w="10064" w:type="dxa"/>
            <w:tcBorders>
              <w:bottom w:val="single" w:sz="4" w:space="0" w:color="auto"/>
            </w:tcBorders>
            <w:tcMar>
              <w:top w:w="85" w:type="dxa"/>
              <w:bottom w:w="85" w:type="dxa"/>
            </w:tcMar>
          </w:tcPr>
          <w:p>
            <w:pPr>
              <w:spacing w:after="0"/>
              <w:jc w:val="left"/>
              <w:rPr>
                <w:b/>
                <w:noProof/>
                <w:sz w:val="20"/>
              </w:rPr>
            </w:pPr>
            <w:r>
              <w:rPr>
                <w:b/>
                <w:noProof/>
                <w:sz w:val="20"/>
              </w:rPr>
              <w:t>Съобщение относно стратегията на ЕС за борба с антисемитизма</w:t>
            </w:r>
            <w:r>
              <w:rPr>
                <w:noProof/>
                <w:sz w:val="20"/>
              </w:rPr>
              <w:t xml:space="preserve"> (незаконодателна инициатива, четвърто тримесечие на 2021 г.)</w:t>
            </w:r>
          </w:p>
        </w:tc>
      </w:tr>
      <w:tr>
        <w:trPr>
          <w:cantSplit/>
        </w:trPr>
        <w:tc>
          <w:tcPr>
            <w:tcW w:w="14827" w:type="dxa"/>
            <w:gridSpan w:val="3"/>
            <w:tcBorders>
              <w:bottom w:val="single" w:sz="4" w:space="0" w:color="auto"/>
            </w:tcBorders>
            <w:shd w:val="clear" w:color="auto" w:fill="00ADDC" w:themeFill="accent5"/>
          </w:tcPr>
          <w:p>
            <w:pPr>
              <w:keepNext/>
              <w:spacing w:before="60" w:after="60"/>
              <w:rPr>
                <w:b/>
                <w:bCs/>
                <w:noProof/>
                <w:sz w:val="20"/>
              </w:rPr>
            </w:pPr>
            <w:r>
              <w:rPr>
                <w:b/>
                <w:bCs/>
                <w:noProof/>
                <w:color w:val="FFFFFF" w:themeColor="background1"/>
                <w:sz w:val="20"/>
              </w:rPr>
              <w:t>Нов тласък за европейската демокрация</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b/>
                <w:noProof/>
                <w:sz w:val="20"/>
              </w:rPr>
            </w:pPr>
            <w:r>
              <w:rPr>
                <w:b/>
                <w:noProof/>
                <w:sz w:val="20"/>
              </w:rPr>
              <w:t>Права на децата</w:t>
            </w:r>
          </w:p>
        </w:tc>
        <w:tc>
          <w:tcPr>
            <w:tcW w:w="10064" w:type="dxa"/>
            <w:tcBorders>
              <w:bottom w:val="single" w:sz="4" w:space="0" w:color="auto"/>
            </w:tcBorders>
            <w:tcMar>
              <w:top w:w="85" w:type="dxa"/>
              <w:bottom w:w="85" w:type="dxa"/>
            </w:tcMar>
          </w:tcPr>
          <w:p>
            <w:pPr>
              <w:spacing w:after="0"/>
              <w:rPr>
                <w:noProof/>
                <w:sz w:val="20"/>
              </w:rPr>
            </w:pPr>
            <w:r>
              <w:rPr>
                <w:b/>
                <w:noProof/>
                <w:sz w:val="20"/>
              </w:rPr>
              <w:t>Стратегия на ЕС за правата на детето</w:t>
            </w:r>
            <w:r>
              <w:rPr>
                <w:noProof/>
                <w:sz w:val="20"/>
              </w:rPr>
              <w:t xml:space="preserve"> (незаконодателна инициатива, първо тримесечие на 2021 г.)</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rPr>
                <w:b/>
                <w:noProof/>
                <w:sz w:val="20"/>
              </w:rPr>
            </w:pPr>
            <w:r>
              <w:rPr>
                <w:b/>
                <w:noProof/>
                <w:sz w:val="20"/>
              </w:rPr>
              <w:t>Предотвратяване и борба с конкретни форми на основаното на пола насилие</w:t>
            </w:r>
          </w:p>
        </w:tc>
        <w:tc>
          <w:tcPr>
            <w:tcW w:w="10064" w:type="dxa"/>
            <w:tcMar>
              <w:top w:w="85" w:type="dxa"/>
              <w:bottom w:w="85" w:type="dxa"/>
            </w:tcMar>
          </w:tcPr>
          <w:p>
            <w:pPr>
              <w:spacing w:after="0" w:line="200" w:lineRule="exact"/>
              <w:jc w:val="left"/>
              <w:rPr>
                <w:b/>
                <w:bCs/>
                <w:noProof/>
                <w:sz w:val="20"/>
              </w:rPr>
            </w:pPr>
            <w:r>
              <w:rPr>
                <w:b/>
                <w:noProof/>
                <w:sz w:val="20"/>
              </w:rPr>
              <w:t>Предложение за предотвратяване и борба с конкретни форми на основаното на пола насилие</w:t>
            </w:r>
            <w:r>
              <w:rPr>
                <w:noProof/>
                <w:sz w:val="20"/>
              </w:rPr>
              <w:t xml:space="preserve"> (законодателна инициатива, вкл. оценка на въздействието, член 82, параграф 2, член 83 и член 84 от ДФЕС, четвърто тримесечие на 2021 г.)</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tabs>
                <w:tab w:val="left" w:pos="1245"/>
              </w:tabs>
              <w:spacing w:after="0"/>
              <w:jc w:val="left"/>
              <w:rPr>
                <w:noProof/>
                <w:sz w:val="20"/>
              </w:rPr>
            </w:pPr>
            <w:r>
              <w:rPr>
                <w:b/>
                <w:bCs/>
                <w:noProof/>
                <w:sz w:val="20"/>
              </w:rPr>
              <w:t>Борба с престъпленията от омраза и словото на омразата</w:t>
            </w:r>
          </w:p>
        </w:tc>
        <w:tc>
          <w:tcPr>
            <w:tcW w:w="10064" w:type="dxa"/>
            <w:tcMar>
              <w:top w:w="85" w:type="dxa"/>
              <w:bottom w:w="85" w:type="dxa"/>
            </w:tcMar>
          </w:tcPr>
          <w:p>
            <w:pPr>
              <w:spacing w:after="0" w:line="200" w:lineRule="exact"/>
              <w:jc w:val="left"/>
              <w:rPr>
                <w:noProof/>
                <w:sz w:val="20"/>
              </w:rPr>
            </w:pPr>
            <w:r>
              <w:rPr>
                <w:b/>
                <w:bCs/>
                <w:noProof/>
                <w:sz w:val="20"/>
              </w:rPr>
              <w:t>Инициатива за разширяване на списъка на престъпленията на ЕС, за да обхване всички форми на престъпления от омраза и словото на омразата</w:t>
            </w:r>
            <w:r>
              <w:rPr>
                <w:noProof/>
                <w:sz w:val="20"/>
              </w:rPr>
              <w:t xml:space="preserve"> (законодателна инициатива, вкл. оценка на въздействието, член 83 от ДФЕС, четвърто тримесечие на 2021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tabs>
                <w:tab w:val="left" w:pos="930"/>
              </w:tabs>
              <w:spacing w:after="0"/>
              <w:rPr>
                <w:b/>
                <w:noProof/>
                <w:sz w:val="20"/>
              </w:rPr>
            </w:pPr>
            <w:r>
              <w:rPr>
                <w:b/>
                <w:noProof/>
                <w:sz w:val="20"/>
              </w:rPr>
              <w:t>Пакет за цифрово съдебно сътрудничество</w:t>
            </w:r>
          </w:p>
        </w:tc>
        <w:tc>
          <w:tcPr>
            <w:tcW w:w="10064" w:type="dxa"/>
            <w:tcBorders>
              <w:bottom w:val="single" w:sz="4" w:space="0" w:color="auto"/>
            </w:tcBorders>
            <w:tcMar>
              <w:top w:w="85" w:type="dxa"/>
              <w:bottom w:w="85" w:type="dxa"/>
            </w:tcMar>
          </w:tcPr>
          <w:p>
            <w:pPr>
              <w:pStyle w:val="ListParagraph"/>
              <w:numPr>
                <w:ilvl w:val="0"/>
                <w:numId w:val="39"/>
              </w:numPr>
              <w:spacing w:after="0" w:line="200" w:lineRule="exact"/>
              <w:ind w:left="334" w:hanging="334"/>
              <w:jc w:val="left"/>
              <w:rPr>
                <w:noProof/>
                <w:sz w:val="20"/>
              </w:rPr>
            </w:pPr>
            <w:r>
              <w:rPr>
                <w:b/>
                <w:bCs/>
                <w:noProof/>
                <w:sz w:val="20"/>
              </w:rPr>
              <w:t>Цифров обмен на информация по трансгранични дела за тероризъм</w:t>
            </w:r>
            <w:r>
              <w:rPr>
                <w:noProof/>
                <w:sz w:val="20"/>
              </w:rPr>
              <w:t xml:space="preserve"> (законодателна инициатива, вкл. оценка на въздействието, членове 85 и 88 от ДФЕС, четвърто тримесечие на 2021 г.)</w:t>
            </w:r>
          </w:p>
          <w:p>
            <w:pPr>
              <w:pStyle w:val="ListParagraph"/>
              <w:numPr>
                <w:ilvl w:val="0"/>
                <w:numId w:val="39"/>
              </w:numPr>
              <w:spacing w:after="0" w:line="200" w:lineRule="exact"/>
              <w:ind w:left="334" w:hanging="334"/>
              <w:jc w:val="left"/>
              <w:rPr>
                <w:noProof/>
                <w:sz w:val="20"/>
              </w:rPr>
            </w:pPr>
            <w:r>
              <w:rPr>
                <w:b/>
                <w:noProof/>
                <w:sz w:val="20"/>
              </w:rPr>
              <w:t>Платформа за сътрудничество на съвместните екипи за разследване</w:t>
            </w:r>
            <w:r>
              <w:rPr>
                <w:noProof/>
                <w:sz w:val="20"/>
              </w:rPr>
              <w:t xml:space="preserve"> (законодателна инициатива, вкл. оценка на въздействието, член 82, параграф 1, буква г) от ДФЕС, четвърто тримесечие на 2021 г.);</w:t>
            </w:r>
          </w:p>
          <w:p>
            <w:pPr>
              <w:pStyle w:val="ListParagraph"/>
              <w:numPr>
                <w:ilvl w:val="0"/>
                <w:numId w:val="39"/>
              </w:numPr>
              <w:spacing w:after="0" w:line="200" w:lineRule="exact"/>
              <w:ind w:left="334" w:hanging="334"/>
              <w:jc w:val="left"/>
              <w:rPr>
                <w:noProof/>
                <w:sz w:val="20"/>
              </w:rPr>
            </w:pPr>
            <w:r>
              <w:rPr>
                <w:b/>
                <w:bCs/>
                <w:noProof/>
                <w:sz w:val="20"/>
              </w:rPr>
              <w:t>Цифровизиране на трансграничното съдебно сътрудничество</w:t>
            </w:r>
            <w:r>
              <w:rPr>
                <w:noProof/>
                <w:sz w:val="20"/>
              </w:rPr>
              <w:t xml:space="preserve"> (законодателна инициатива, вкл. оценка на въздействието, членове 81 и 82 от ДФЕС, четвърто тримесечие на 2021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tabs>
                <w:tab w:val="left" w:pos="1216"/>
              </w:tabs>
              <w:spacing w:after="0"/>
              <w:rPr>
                <w:noProof/>
                <w:sz w:val="20"/>
              </w:rPr>
            </w:pPr>
            <w:r>
              <w:rPr>
                <w:b/>
                <w:bCs/>
                <w:noProof/>
                <w:color w:val="000000"/>
                <w:sz w:val="20"/>
              </w:rPr>
              <w:t>Пакет за прозрачност и демокрация</w:t>
            </w:r>
          </w:p>
        </w:tc>
        <w:tc>
          <w:tcPr>
            <w:tcW w:w="10064" w:type="dxa"/>
            <w:tcBorders>
              <w:bottom w:val="single" w:sz="4" w:space="0" w:color="auto"/>
            </w:tcBorders>
            <w:tcMar>
              <w:top w:w="85" w:type="dxa"/>
              <w:bottom w:w="85" w:type="dxa"/>
            </w:tcMar>
          </w:tcPr>
          <w:p>
            <w:pPr>
              <w:pStyle w:val="ListParagraph"/>
              <w:numPr>
                <w:ilvl w:val="0"/>
                <w:numId w:val="40"/>
              </w:numPr>
              <w:spacing w:after="0" w:line="200" w:lineRule="exact"/>
              <w:ind w:left="334" w:hanging="334"/>
              <w:jc w:val="left"/>
              <w:rPr>
                <w:noProof/>
                <w:sz w:val="20"/>
              </w:rPr>
            </w:pPr>
            <w:r>
              <w:rPr>
                <w:b/>
                <w:noProof/>
                <w:sz w:val="20"/>
              </w:rPr>
              <w:t>Преразглеждане на статута и финансирането на европейските политически партии и европейските политически фондации</w:t>
            </w:r>
            <w:r>
              <w:rPr>
                <w:noProof/>
                <w:sz w:val="20"/>
              </w:rPr>
              <w:t xml:space="preserve"> (законодателна инициатива, вкл. оценка на въздействието, член 224 от ДФЕС, трето тримесечие на 2021 г.)</w:t>
            </w:r>
          </w:p>
          <w:p>
            <w:pPr>
              <w:pStyle w:val="ListParagraph"/>
              <w:numPr>
                <w:ilvl w:val="0"/>
                <w:numId w:val="40"/>
              </w:numPr>
              <w:spacing w:after="0" w:line="200" w:lineRule="exact"/>
              <w:ind w:left="334" w:hanging="334"/>
              <w:jc w:val="left"/>
              <w:rPr>
                <w:noProof/>
                <w:sz w:val="20"/>
              </w:rPr>
            </w:pPr>
            <w:r>
              <w:rPr>
                <w:b/>
                <w:noProof/>
                <w:sz w:val="20"/>
              </w:rPr>
              <w:t>По-голяма прозрачност на платената политическа реклама</w:t>
            </w:r>
            <w:r>
              <w:rPr>
                <w:noProof/>
                <w:sz w:val="20"/>
              </w:rPr>
              <w:t xml:space="preserve"> (законодателна инициатива, вкл. оценка на въздействието, членове 114 и 224 от ДФЕС, трето тримесечие на 2021 г.)</w:t>
            </w:r>
          </w:p>
          <w:p>
            <w:pPr>
              <w:pStyle w:val="ListParagraph"/>
              <w:numPr>
                <w:ilvl w:val="0"/>
                <w:numId w:val="40"/>
              </w:numPr>
              <w:spacing w:after="0" w:line="200" w:lineRule="exact"/>
              <w:ind w:left="334" w:hanging="334"/>
              <w:jc w:val="left"/>
              <w:rPr>
                <w:noProof/>
                <w:sz w:val="20"/>
              </w:rPr>
            </w:pPr>
            <w:r>
              <w:rPr>
                <w:b/>
                <w:bCs/>
                <w:noProof/>
                <w:sz w:val="20"/>
              </w:rPr>
              <w:t>Преразглеждане на Директивата на Съвета за определяне на условията и реда за упражняване на правото да избират и да бъдат избирани в избори за Европейски парламент от граждани на Съюза, пребиваващи в държава членка, на която не са граждани</w:t>
            </w:r>
            <w:r>
              <w:rPr>
                <w:noProof/>
                <w:sz w:val="20"/>
              </w:rPr>
              <w:t xml:space="preserve"> (законодателна инициатива, вкл. оценка на въздействието, член 22 от ДФЕС, четвърто тримесечие на 2021 г.)</w:t>
            </w:r>
          </w:p>
          <w:p>
            <w:pPr>
              <w:pStyle w:val="ListParagraph"/>
              <w:numPr>
                <w:ilvl w:val="0"/>
                <w:numId w:val="40"/>
              </w:numPr>
              <w:spacing w:after="0" w:line="200" w:lineRule="exact"/>
              <w:ind w:left="334" w:hanging="334"/>
              <w:jc w:val="left"/>
              <w:rPr>
                <w:noProof/>
                <w:sz w:val="20"/>
              </w:rPr>
            </w:pPr>
            <w:r>
              <w:rPr>
                <w:b/>
                <w:noProof/>
                <w:sz w:val="20"/>
              </w:rPr>
              <w:t>Преразглеждане на Директивата на Съвета за определяне на условията и реда за упражняване на правото да избират и да бъдат избирани в общински избори от гражданите на Съюза, пребиваващи в държава членка, на която не са граждани</w:t>
            </w:r>
            <w:r>
              <w:rPr>
                <w:noProof/>
                <w:sz w:val="20"/>
              </w:rPr>
              <w:t xml:space="preserve"> (законодателна инициатива, вкл. оценка на въздействието, член 22 от ДФЕС, четвърто тримесечие на 2021 г.)</w:t>
            </w:r>
          </w:p>
          <w:p>
            <w:pPr>
              <w:pStyle w:val="ListParagraph"/>
              <w:numPr>
                <w:ilvl w:val="0"/>
                <w:numId w:val="40"/>
              </w:numPr>
              <w:spacing w:after="0" w:line="200" w:lineRule="exact"/>
              <w:ind w:left="334" w:hanging="334"/>
              <w:jc w:val="left"/>
              <w:rPr>
                <w:noProof/>
                <w:sz w:val="20"/>
              </w:rPr>
            </w:pPr>
            <w:r>
              <w:rPr>
                <w:b/>
                <w:bCs/>
                <w:noProof/>
                <w:sz w:val="20"/>
              </w:rPr>
              <w:t>Инициатива срещу злоупотребата с воденето на съдебни дела срещу журналисти и правозащитници</w:t>
            </w:r>
            <w:r>
              <w:rPr>
                <w:noProof/>
                <w:sz w:val="20"/>
              </w:rPr>
              <w:t xml:space="preserve"> (законодателна или незаконодателна инициатива, четвърто тримесечие на 2021 г.)</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tabs>
                <w:tab w:val="left" w:pos="1216"/>
              </w:tabs>
              <w:spacing w:after="0"/>
              <w:rPr>
                <w:b/>
                <w:bCs/>
                <w:noProof/>
                <w:color w:val="000000"/>
                <w:sz w:val="20"/>
              </w:rPr>
            </w:pPr>
            <w:r>
              <w:rPr>
                <w:b/>
                <w:bCs/>
                <w:noProof/>
                <w:color w:val="000000"/>
                <w:sz w:val="20"/>
              </w:rPr>
              <w:t>Дългосрочна визия за селските райони</w:t>
            </w:r>
          </w:p>
        </w:tc>
        <w:tc>
          <w:tcPr>
            <w:tcW w:w="10064" w:type="dxa"/>
            <w:tcMar>
              <w:top w:w="85" w:type="dxa"/>
              <w:bottom w:w="85" w:type="dxa"/>
            </w:tcMar>
          </w:tcPr>
          <w:p>
            <w:pPr>
              <w:spacing w:after="0" w:line="200" w:lineRule="exact"/>
              <w:jc w:val="left"/>
              <w:rPr>
                <w:noProof/>
                <w:sz w:val="20"/>
              </w:rPr>
            </w:pPr>
            <w:r>
              <w:rPr>
                <w:b/>
                <w:noProof/>
                <w:sz w:val="20"/>
              </w:rPr>
              <w:t>Съобщение относно дългосрочната визия за селските райони</w:t>
            </w:r>
            <w:r>
              <w:rPr>
                <w:noProof/>
                <w:sz w:val="20"/>
              </w:rPr>
              <w:t xml:space="preserve"> (незаконодателна инициатива, второ тримесечие на 2021 г.)</w:t>
            </w:r>
          </w:p>
        </w:tc>
      </w:tr>
      <w:tr>
        <w:trPr>
          <w:cantSplit/>
          <w:trHeight w:val="362"/>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rPr>
                <w:b/>
                <w:noProof/>
                <w:sz w:val="20"/>
              </w:rPr>
            </w:pPr>
            <w:r>
              <w:rPr>
                <w:b/>
                <w:noProof/>
                <w:sz w:val="20"/>
              </w:rPr>
              <w:t>Стратегия на ЕС за хората с увреждания</w:t>
            </w:r>
          </w:p>
        </w:tc>
        <w:tc>
          <w:tcPr>
            <w:tcW w:w="10064" w:type="dxa"/>
            <w:tcMar>
              <w:top w:w="85" w:type="dxa"/>
              <w:bottom w:w="85" w:type="dxa"/>
            </w:tcMar>
          </w:tcPr>
          <w:p>
            <w:pPr>
              <w:spacing w:after="0"/>
              <w:rPr>
                <w:noProof/>
                <w:sz w:val="20"/>
              </w:rPr>
            </w:pPr>
            <w:r>
              <w:rPr>
                <w:b/>
                <w:bCs/>
                <w:noProof/>
                <w:sz w:val="20"/>
              </w:rPr>
              <w:t>Стратегия за правата на хората с увреждания</w:t>
            </w:r>
            <w:r>
              <w:rPr>
                <w:noProof/>
                <w:sz w:val="20"/>
              </w:rPr>
              <w:t xml:space="preserve"> (незаконодателна инициатива, първо тримесечие на 2021 г.)</w:t>
            </w:r>
          </w:p>
        </w:tc>
      </w:tr>
    </w:tbl>
    <w:p>
      <w:pPr>
        <w:rPr>
          <w:noProof/>
        </w:rPr>
      </w:pPr>
      <w:r>
        <w:rPr>
          <w:noProof/>
        </w:rPr>
        <w:br w:type="page"/>
      </w:r>
    </w:p>
    <w:p>
      <w:pPr>
        <w:keepNext/>
        <w:tabs>
          <w:tab w:val="left" w:pos="651"/>
          <w:tab w:val="left" w:pos="2054"/>
          <w:tab w:val="left" w:pos="4893"/>
        </w:tabs>
        <w:spacing w:after="600" w:line="276" w:lineRule="auto"/>
        <w:jc w:val="center"/>
        <w:rPr>
          <w:b/>
          <w:noProof/>
          <w:sz w:val="28"/>
          <w:szCs w:val="28"/>
          <w:u w:val="single"/>
        </w:rPr>
      </w:pPr>
      <w:r>
        <w:rPr>
          <w:b/>
          <w:bCs/>
          <w:noProof/>
          <w:sz w:val="28"/>
          <w:szCs w:val="28"/>
          <w:u w:val="single"/>
        </w:rPr>
        <w:t>Приложение II: Инициативи по REFIT</w:t>
      </w:r>
      <w:r>
        <w:rPr>
          <w:rStyle w:val="FootnoteReference"/>
          <w:b/>
          <w:bCs/>
          <w:noProof/>
          <w:sz w:val="28"/>
          <w:szCs w:val="28"/>
          <w:u w:val="single"/>
          <w:lang w:eastAsia="de-DE"/>
        </w:rPr>
        <w:footnoteReference w:id="3"/>
      </w:r>
    </w:p>
    <w:tbl>
      <w:tblPr>
        <w:tblW w:w="1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565"/>
        <w:gridCol w:w="4482"/>
        <w:gridCol w:w="9780"/>
      </w:tblGrid>
      <w:tr>
        <w:trPr>
          <w:cantSplit/>
          <w:tblHeader/>
        </w:trPr>
        <w:tc>
          <w:tcPr>
            <w:tcW w:w="565" w:type="dxa"/>
            <w:tcBorders>
              <w:bottom w:val="single" w:sz="4" w:space="0" w:color="auto"/>
            </w:tcBorders>
            <w:shd w:val="clear" w:color="auto" w:fill="99CCFF"/>
            <w:vAlign w:val="center"/>
          </w:tcPr>
          <w:p>
            <w:pPr>
              <w:keepNext/>
              <w:spacing w:after="0" w:line="276" w:lineRule="auto"/>
              <w:jc w:val="center"/>
              <w:rPr>
                <w:rFonts w:eastAsiaTheme="minorHAnsi" w:cstheme="minorBidi"/>
                <w:b/>
                <w:noProof/>
                <w:sz w:val="20"/>
              </w:rPr>
            </w:pPr>
            <w:r>
              <w:rPr>
                <w:b/>
                <w:bCs/>
                <w:noProof/>
                <w:sz w:val="20"/>
              </w:rPr>
              <w:t>№</w:t>
            </w:r>
          </w:p>
        </w:tc>
        <w:tc>
          <w:tcPr>
            <w:tcW w:w="4482" w:type="dxa"/>
            <w:tcBorders>
              <w:bottom w:val="single" w:sz="4" w:space="0" w:color="auto"/>
            </w:tcBorders>
            <w:shd w:val="clear" w:color="auto" w:fill="99CCFF"/>
            <w:vAlign w:val="center"/>
          </w:tcPr>
          <w:p>
            <w:pPr>
              <w:keepNext/>
              <w:spacing w:after="0" w:line="276" w:lineRule="auto"/>
              <w:jc w:val="center"/>
              <w:rPr>
                <w:rFonts w:eastAsiaTheme="minorHAnsi" w:cstheme="minorBidi"/>
                <w:b/>
                <w:noProof/>
                <w:sz w:val="20"/>
              </w:rPr>
            </w:pPr>
            <w:r>
              <w:rPr>
                <w:b/>
                <w:noProof/>
                <w:sz w:val="20"/>
              </w:rPr>
              <w:t>Заглавие</w:t>
            </w:r>
          </w:p>
        </w:tc>
        <w:tc>
          <w:tcPr>
            <w:tcW w:w="9780" w:type="dxa"/>
            <w:tcBorders>
              <w:bottom w:val="single" w:sz="4" w:space="0" w:color="auto"/>
            </w:tcBorders>
            <w:shd w:val="clear" w:color="auto" w:fill="99CCFF"/>
            <w:vAlign w:val="center"/>
          </w:tcPr>
          <w:p>
            <w:pPr>
              <w:keepNext/>
              <w:spacing w:after="0" w:line="276" w:lineRule="auto"/>
              <w:jc w:val="center"/>
              <w:rPr>
                <w:rFonts w:eastAsiaTheme="minorHAnsi" w:cstheme="minorBidi"/>
                <w:b/>
                <w:noProof/>
                <w:sz w:val="20"/>
              </w:rPr>
            </w:pPr>
            <w:r>
              <w:rPr>
                <w:b/>
                <w:noProof/>
                <w:sz w:val="20"/>
              </w:rPr>
              <w:t>Цел на опростяването/потенциал за опростяване</w:t>
            </w:r>
            <w:r>
              <w:rPr>
                <w:noProof/>
                <w:sz w:val="20"/>
              </w:rPr>
              <w:t xml:space="preserve"> (кратко обяснение на целта на REFIT, към която са насочени преразглежданията, и на потенциала за опростяване при оценките и проверките за пригодност)</w:t>
            </w:r>
          </w:p>
        </w:tc>
      </w:tr>
      <w:tr>
        <w:trPr>
          <w:cantSplit/>
        </w:trPr>
        <w:tc>
          <w:tcPr>
            <w:tcW w:w="14827" w:type="dxa"/>
            <w:gridSpan w:val="3"/>
            <w:tcBorders>
              <w:top w:val="single" w:sz="4" w:space="0" w:color="auto"/>
              <w:left w:val="single" w:sz="4" w:space="0" w:color="auto"/>
              <w:bottom w:val="single" w:sz="4" w:space="0" w:color="auto"/>
            </w:tcBorders>
            <w:shd w:val="clear" w:color="auto" w:fill="9ACA3C" w:themeFill="accent1"/>
          </w:tcPr>
          <w:p>
            <w:pPr>
              <w:keepNext/>
              <w:spacing w:before="60" w:after="60"/>
              <w:rPr>
                <w:b/>
                <w:bCs/>
                <w:noProof/>
                <w:sz w:val="20"/>
              </w:rPr>
            </w:pPr>
            <w:r>
              <w:rPr>
                <w:b/>
                <w:bCs/>
                <w:noProof/>
                <w:color w:val="FFFFFF" w:themeColor="background1"/>
                <w:sz w:val="20"/>
              </w:rPr>
              <w:t>Европейски зелен пакт</w:t>
            </w:r>
          </w:p>
        </w:tc>
      </w:tr>
      <w:tr>
        <w:trPr>
          <w:cantSplit/>
          <w:trHeight w:val="4077"/>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rPr>
                <w:rFonts w:eastAsiaTheme="minorEastAsia" w:cstheme="minorBidi"/>
                <w:b/>
                <w:bCs/>
                <w:noProof/>
                <w:sz w:val="20"/>
              </w:rPr>
            </w:pPr>
            <w:r>
              <w:rPr>
                <w:b/>
                <w:noProof/>
                <w:sz w:val="20"/>
              </w:rPr>
              <w:t>Преразглеждане на географските указания</w:t>
            </w:r>
          </w:p>
        </w:tc>
        <w:tc>
          <w:tcPr>
            <w:tcW w:w="9780" w:type="dxa"/>
            <w:tcBorders>
              <w:top w:val="single" w:sz="4" w:space="0" w:color="auto"/>
              <w:left w:val="single" w:sz="4" w:space="0" w:color="auto"/>
              <w:bottom w:val="single" w:sz="4" w:space="0" w:color="auto"/>
            </w:tcBorders>
          </w:tcPr>
          <w:p>
            <w:pPr>
              <w:spacing w:after="120"/>
              <w:rPr>
                <w:noProof/>
                <w:sz w:val="20"/>
              </w:rPr>
            </w:pPr>
            <w:r>
              <w:rPr>
                <w:noProof/>
                <w:sz w:val="20"/>
              </w:rPr>
              <w:t>Това преразглеждане ще укрепи географските указания (ГУ) за всички селскостопански сектори, като същевременно се запазят специфичните характеристики на ГУ в секторите на вината и спиртните напитки. Основната структура на системата на ГУ на ЕС е стабилна. Предложението ще: повиши приложимостта на ГУ за земеделските стопани и производителите на устойчиви продукти; повиши привлекателността на ГУ, особено за производителите в държавите членки с ниска степен на използване; поправи законодателните пропуски, включително в обхвата на покритието; подобри защитата и правоприлагането, особено в интернет; овласти групите производители с ГУ; оползотвори в по-пълна степен схемата за ГУ, по-специално чрез използване на логото за ГУ; модернизира управлението на регистрите на ГУ. Схемата за храни с традиционно специфичен характер, която вече 28 години не е донесла очакваните ползи за производителите и потребителите, ще бъде заменена от по-ефективен и гъвкав механизъм за етикетиране, управляван основно от държавите членки, като същевременно се осигури защита на равнището на ЕС, когато е необходимо, чрез подходящи инструменти.</w:t>
            </w:r>
          </w:p>
          <w:p>
            <w:pPr>
              <w:spacing w:after="120"/>
              <w:rPr>
                <w:noProof/>
                <w:sz w:val="20"/>
              </w:rPr>
            </w:pPr>
            <w:r>
              <w:rPr>
                <w:noProof/>
                <w:sz w:val="20"/>
              </w:rPr>
              <w:t>Предложената инициатива ще обедини, доколкото е възможно, техническите и процедурните правила относно географските указания и ще предостави единна процедура за регистрация на ГУ и електронно подаване на заявления от заявители от ЕС и извън ЕС с цел съкращаване на сроковете за регистрация. Една опростена система би станала по-привлекателна за производителите, по-разбираема за потребителите и по-лесна за популяризиране, като би довела до по-високи продажби, когато понятието ГУ стане по-познато. Оценката е в ход.</w:t>
            </w:r>
          </w:p>
          <w:p>
            <w:pPr>
              <w:spacing w:after="120"/>
              <w:rPr>
                <w:rFonts w:eastAsiaTheme="minorEastAsia"/>
                <w:noProof/>
                <w:sz w:val="20"/>
              </w:rPr>
            </w:pPr>
            <w:r>
              <w:rPr>
                <w:noProof/>
                <w:sz w:val="20"/>
              </w:rPr>
              <w:t>Планирана дата на приемане: четвърто тримесечие/2021 г.; законодателна инициатива; правно основание: членове 43 и 118 от ДФЕС. Предвижда се оценка на въздействието.</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rPr>
                <w:rFonts w:eastAsiaTheme="minorEastAsia" w:cstheme="minorBidi"/>
                <w:b/>
                <w:bCs/>
                <w:noProof/>
                <w:sz w:val="20"/>
              </w:rPr>
            </w:pPr>
            <w:r>
              <w:rPr>
                <w:b/>
                <w:noProof/>
                <w:sz w:val="20"/>
              </w:rPr>
              <w:t>Защита на озоновия слой — преразглеждане на правилата на ЕС</w:t>
            </w:r>
          </w:p>
        </w:tc>
        <w:tc>
          <w:tcPr>
            <w:tcW w:w="9780" w:type="dxa"/>
            <w:tcBorders>
              <w:top w:val="single" w:sz="4" w:space="0" w:color="auto"/>
              <w:left w:val="single" w:sz="4" w:space="0" w:color="auto"/>
              <w:bottom w:val="single" w:sz="4" w:space="0" w:color="auto"/>
            </w:tcBorders>
          </w:tcPr>
          <w:p>
            <w:pPr>
              <w:keepNext/>
              <w:spacing w:after="120"/>
              <w:rPr>
                <w:rFonts w:eastAsiaTheme="minorEastAsia"/>
                <w:noProof/>
                <w:sz w:val="20"/>
              </w:rPr>
            </w:pPr>
            <w:r>
              <w:rPr>
                <w:noProof/>
                <w:sz w:val="20"/>
              </w:rPr>
              <w:t>Оценката на Регламента за озоновия слой заключи, че има възможност за опростяване и постигане на по-голяма яснота и по-добра съгласуваност. Регламентът би могъл също така да бъде актуализиран, като се отчита развитието в областта на технологиите.</w:t>
            </w:r>
          </w:p>
          <w:p>
            <w:pPr>
              <w:keepNext/>
              <w:spacing w:after="120"/>
              <w:rPr>
                <w:rFonts w:eastAsiaTheme="minorEastAsia"/>
                <w:noProof/>
                <w:sz w:val="20"/>
              </w:rPr>
            </w:pPr>
            <w:r>
              <w:rPr>
                <w:noProof/>
                <w:sz w:val="20"/>
              </w:rPr>
              <w:t>Планирана дата на приемане: четвърто тримесечие/2021 г.; законодателна инициатива; правно основание: член 192 от ДФЕС. Предвижда се оценка на въздействието.</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rPr>
                <w:b/>
                <w:noProof/>
                <w:sz w:val="20"/>
              </w:rPr>
            </w:pPr>
            <w:r>
              <w:rPr>
                <w:b/>
                <w:noProof/>
                <w:sz w:val="20"/>
              </w:rPr>
              <w:t>Преразглеждане на Регламент (ЕО) № 1013/2006 относно превози на отпадъци</w:t>
            </w:r>
          </w:p>
        </w:tc>
        <w:tc>
          <w:tcPr>
            <w:tcW w:w="9780" w:type="dxa"/>
            <w:tcBorders>
              <w:top w:val="single" w:sz="4" w:space="0" w:color="auto"/>
              <w:left w:val="single" w:sz="4" w:space="0" w:color="auto"/>
              <w:bottom w:val="single" w:sz="4" w:space="0" w:color="auto"/>
            </w:tcBorders>
          </w:tcPr>
          <w:p>
            <w:pPr>
              <w:keepNext/>
              <w:spacing w:after="120"/>
              <w:rPr>
                <w:rFonts w:eastAsiaTheme="minorEastAsia"/>
                <w:noProof/>
                <w:sz w:val="20"/>
              </w:rPr>
            </w:pPr>
            <w:r>
              <w:rPr>
                <w:noProof/>
                <w:sz w:val="20"/>
              </w:rPr>
              <w:t>Тази инициатива е в отговор на приоритетите, обявени в Европейския зелен пакт — новия план за действие за кръговата икономика. Въз основа на оценката на Регламента относно превози на отпадъци Комисията ще предложи преразглеждането му, за да се намалят превозите на проблемни отпадъци извън ЕС, да се актуализират процедурите за превоз с цел да се отразят целите на кръговата икономика, както и да се подобри правоприлагането.</w:t>
            </w:r>
          </w:p>
          <w:p>
            <w:pPr>
              <w:keepNext/>
              <w:spacing w:after="120"/>
              <w:rPr>
                <w:rFonts w:eastAsiaTheme="minorEastAsia"/>
                <w:noProof/>
                <w:sz w:val="20"/>
              </w:rPr>
            </w:pPr>
            <w:r>
              <w:rPr>
                <w:noProof/>
                <w:sz w:val="20"/>
              </w:rPr>
              <w:t>Планирана дата на приемане: второ тримесечие/2021 г.; законодателна инициатива; правно основание: член 192 от ДФЕС. Предвижда се оценка на въздействието.</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rPr>
                <w:rFonts w:eastAsiaTheme="minorEastAsia" w:cstheme="minorBidi"/>
                <w:b/>
                <w:bCs/>
                <w:noProof/>
                <w:sz w:val="20"/>
              </w:rPr>
            </w:pPr>
            <w:r>
              <w:rPr>
                <w:b/>
                <w:noProof/>
                <w:sz w:val="20"/>
              </w:rPr>
              <w:t>Преразглеждане — Актуализиране на пределно допустимите концентрации на устойчиви органични замърсители в отпадъците — Изменения на приложения IV и V относно отпадъците към Регламента относно устойчивите органични замърсители в отпадъците</w:t>
            </w:r>
          </w:p>
        </w:tc>
        <w:tc>
          <w:tcPr>
            <w:tcW w:w="9780" w:type="dxa"/>
            <w:tcBorders>
              <w:top w:val="single" w:sz="4" w:space="0" w:color="auto"/>
              <w:left w:val="single" w:sz="4" w:space="0" w:color="auto"/>
              <w:bottom w:val="single" w:sz="4" w:space="0" w:color="auto"/>
            </w:tcBorders>
          </w:tcPr>
          <w:p>
            <w:pPr>
              <w:keepNext/>
              <w:spacing w:after="120"/>
              <w:rPr>
                <w:rFonts w:eastAsiaTheme="minorEastAsia"/>
                <w:noProof/>
                <w:sz w:val="20"/>
              </w:rPr>
            </w:pPr>
            <w:r>
              <w:rPr>
                <w:noProof/>
                <w:sz w:val="20"/>
              </w:rPr>
              <w:t>Тази инициатива е в отговор на приоритетите, обявени в новия план за действие за кръговата икономика. Комисията ще предложи преразглеждане на приложения IV и V относно отпадъците към Регламента относно устойчивите органични замърсители, за да се гарантира, че тези отпадъци се управляват по екологосъобразен начин и се постига по-безопасно рециклиране.</w:t>
            </w:r>
          </w:p>
          <w:p>
            <w:pPr>
              <w:keepNext/>
              <w:spacing w:after="120"/>
              <w:rPr>
                <w:rFonts w:eastAsiaTheme="minorEastAsia"/>
                <w:noProof/>
                <w:sz w:val="20"/>
              </w:rPr>
            </w:pPr>
            <w:r>
              <w:rPr>
                <w:noProof/>
                <w:sz w:val="20"/>
              </w:rPr>
              <w:t>Планирана дата на приемане: второ тримесечие/2021 г.; законодателна инициатива; правно основание: член 192 от ДФЕС. Предвижда се оценка на въздействието.</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rPr>
                <w:rFonts w:eastAsiaTheme="minorEastAsia" w:cstheme="minorBidi"/>
                <w:b/>
                <w:bCs/>
                <w:noProof/>
                <w:sz w:val="20"/>
              </w:rPr>
            </w:pPr>
            <w:r>
              <w:rPr>
                <w:b/>
                <w:noProof/>
                <w:sz w:val="20"/>
              </w:rPr>
              <w:t>Преразглеждане на Директива 94/62/ЕО относно опаковките и отпадъците от опаковки с цел засилване на основните изисквания към опаковките, които се пускат на пазара на ЕС</w:t>
            </w:r>
          </w:p>
        </w:tc>
        <w:tc>
          <w:tcPr>
            <w:tcW w:w="9780" w:type="dxa"/>
            <w:tcBorders>
              <w:top w:val="single" w:sz="4" w:space="0" w:color="auto"/>
              <w:left w:val="single" w:sz="4" w:space="0" w:color="auto"/>
              <w:bottom w:val="single" w:sz="4" w:space="0" w:color="auto"/>
            </w:tcBorders>
          </w:tcPr>
          <w:p>
            <w:pPr>
              <w:keepNext/>
              <w:spacing w:after="120"/>
              <w:rPr>
                <w:rFonts w:eastAsiaTheme="minorEastAsia"/>
                <w:noProof/>
                <w:sz w:val="20"/>
              </w:rPr>
            </w:pPr>
            <w:r>
              <w:rPr>
                <w:noProof/>
                <w:sz w:val="20"/>
              </w:rPr>
              <w:t>Тази инициатива е в отговор на приоритетите, заложени в Европейския зелен пакт и в новия план за действие за кръговата икономика, както и на конкретен правен мандат съгласно Директивата относно опаковките и отпадъците от опаковки. Комисията ще предложи преразглеждане на съществените изисквания за опаковките, за да се гарантира повторната употреба и рециклирането на опаковките, както и използването на рециклирано съдържание, и за да се подобри изпълняемостта на тези изисквания. Инициативата ще предвижда също така мерки за справяне с прекомерното опаковане и за намаляване на отпадъците от опаковки.</w:t>
            </w:r>
          </w:p>
          <w:p>
            <w:pPr>
              <w:keepNext/>
              <w:spacing w:after="120"/>
              <w:rPr>
                <w:rFonts w:eastAsiaTheme="minorEastAsia"/>
                <w:noProof/>
                <w:sz w:val="20"/>
              </w:rPr>
            </w:pPr>
            <w:r>
              <w:rPr>
                <w:noProof/>
                <w:sz w:val="20"/>
              </w:rPr>
              <w:t>Планирана дата на приемане: четвърто тримесечие/2021 г.; законодателна инициатива; правно основание: член 114 от ДФЕС. Предвижда се оценка на въздействието.</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rPr>
                <w:rFonts w:eastAsiaTheme="minorEastAsia" w:cstheme="minorBidi"/>
                <w:b/>
                <w:bCs/>
                <w:noProof/>
                <w:sz w:val="20"/>
              </w:rPr>
            </w:pPr>
            <w:r>
              <w:rPr>
                <w:b/>
                <w:noProof/>
                <w:sz w:val="20"/>
              </w:rPr>
              <w:t>Преразглеждане на Директива 2010/75/ЕС относно емисиите от промишлеността</w:t>
            </w:r>
          </w:p>
        </w:tc>
        <w:tc>
          <w:tcPr>
            <w:tcW w:w="9780" w:type="dxa"/>
            <w:tcBorders>
              <w:top w:val="single" w:sz="4" w:space="0" w:color="auto"/>
              <w:left w:val="single" w:sz="4" w:space="0" w:color="auto"/>
              <w:bottom w:val="single" w:sz="4" w:space="0" w:color="auto"/>
            </w:tcBorders>
            <w:vAlign w:val="center"/>
          </w:tcPr>
          <w:p>
            <w:pPr>
              <w:keepNext/>
              <w:spacing w:after="120"/>
              <w:rPr>
                <w:rFonts w:eastAsiaTheme="minorEastAsia"/>
                <w:noProof/>
                <w:sz w:val="20"/>
              </w:rPr>
            </w:pPr>
            <w:r>
              <w:rPr>
                <w:noProof/>
                <w:sz w:val="20"/>
              </w:rPr>
              <w:t>Преразглеждането на Директивата относно емисиите от промишлеността е част от преразглеждането на мерките на ЕС относно замърсяването от големи промишлени инсталации, обявено в Европейския зелен пакт. Преразглеждането има за цел да засили приноса на директивата за целта за нулево замърсяване и нейната съгласуваност с политиките в областта на климата, енергетиката и кръговата икономика. То ще гарантира, че директивата е пригодна за целта да съпътства предстоящата промишлена трансформация.</w:t>
            </w:r>
          </w:p>
          <w:p>
            <w:pPr>
              <w:keepNext/>
              <w:spacing w:after="120"/>
              <w:rPr>
                <w:rFonts w:eastAsiaTheme="minorEastAsia"/>
                <w:noProof/>
                <w:sz w:val="20"/>
              </w:rPr>
            </w:pPr>
            <w:r>
              <w:rPr>
                <w:noProof/>
                <w:sz w:val="20"/>
              </w:rPr>
              <w:t>Планирана дата на приемане: четвърто тримесечие/2021 г.; законодателна инициатива; правно основание: член 192 от ДФЕС; Предвижда се оценка на въздействието.</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spacing w:after="120"/>
              <w:rPr>
                <w:rFonts w:eastAsiaTheme="minorEastAsia" w:cstheme="minorBidi"/>
                <w:b/>
                <w:bCs/>
                <w:noProof/>
                <w:sz w:val="20"/>
              </w:rPr>
            </w:pPr>
            <w:r>
              <w:rPr>
                <w:b/>
                <w:bCs/>
                <w:noProof/>
                <w:sz w:val="20"/>
              </w:rPr>
              <w:t>Преразглеждане на Регламента на Европейския парламент и на Съвета относно статистика за селскостопанските суровини и крайни продукти (СССКП)</w:t>
            </w:r>
          </w:p>
        </w:tc>
        <w:tc>
          <w:tcPr>
            <w:tcW w:w="9780" w:type="dxa"/>
            <w:tcBorders>
              <w:top w:val="single" w:sz="4" w:space="0" w:color="auto"/>
              <w:left w:val="single" w:sz="4" w:space="0" w:color="auto"/>
              <w:bottom w:val="single" w:sz="4" w:space="0" w:color="auto"/>
            </w:tcBorders>
          </w:tcPr>
          <w:p>
            <w:pPr>
              <w:keepNext/>
              <w:spacing w:after="0"/>
              <w:rPr>
                <w:rFonts w:eastAsiaTheme="minorEastAsia"/>
                <w:noProof/>
                <w:sz w:val="20"/>
              </w:rPr>
            </w:pPr>
            <w:r>
              <w:rPr>
                <w:noProof/>
                <w:sz w:val="20"/>
              </w:rPr>
              <w:t>СССКП е предназначен да отговори на нуждите, произтичащи от общата селскостопанска политика след 2020 г. и Европейския зелен пакт, по-специално стратегията „От фермата до трапезата“. Целта е да се актуализира законодателството в областта на земеделската статистика, да се намали тежестта на предоставянето на данни, да се вземат предвид новите потребности от данни и да се осигури по-добра съпоставимост на събраните данни. Тя обединява в обща интегрирана правна уредба:</w:t>
            </w:r>
          </w:p>
          <w:p>
            <w:pPr>
              <w:keepNext/>
              <w:spacing w:after="0"/>
              <w:rPr>
                <w:rFonts w:eastAsiaTheme="minorEastAsia"/>
                <w:noProof/>
                <w:sz w:val="20"/>
              </w:rPr>
            </w:pPr>
            <w:r>
              <w:rPr>
                <w:noProof/>
                <w:sz w:val="20"/>
              </w:rPr>
              <w:t>o</w:t>
            </w:r>
            <w:r>
              <w:rPr>
                <w:noProof/>
              </w:rPr>
              <w:tab/>
            </w:r>
            <w:r>
              <w:rPr>
                <w:noProof/>
                <w:sz w:val="20"/>
              </w:rPr>
              <w:t>статистиката за селскостопанското производство, включително статистиката за биологичното земеделие,</w:t>
            </w:r>
          </w:p>
          <w:p>
            <w:pPr>
              <w:keepNext/>
              <w:spacing w:after="0"/>
              <w:rPr>
                <w:rFonts w:eastAsiaTheme="minorEastAsia"/>
                <w:noProof/>
                <w:sz w:val="20"/>
              </w:rPr>
            </w:pPr>
            <w:r>
              <w:rPr>
                <w:noProof/>
                <w:sz w:val="20"/>
              </w:rPr>
              <w:t>o</w:t>
            </w:r>
            <w:r>
              <w:rPr>
                <w:noProof/>
              </w:rPr>
              <w:tab/>
            </w:r>
            <w:r>
              <w:rPr>
                <w:noProof/>
                <w:sz w:val="20"/>
              </w:rPr>
              <w:t>статистиката за цените на селскостопанските продукти, и</w:t>
            </w:r>
          </w:p>
          <w:p>
            <w:pPr>
              <w:keepNext/>
              <w:spacing w:after="0"/>
              <w:rPr>
                <w:rFonts w:eastAsiaTheme="minorEastAsia"/>
                <w:noProof/>
                <w:sz w:val="20"/>
              </w:rPr>
            </w:pPr>
            <w:r>
              <w:rPr>
                <w:noProof/>
                <w:sz w:val="20"/>
              </w:rPr>
              <w:t>o</w:t>
            </w:r>
            <w:r>
              <w:rPr>
                <w:noProof/>
              </w:rPr>
              <w:tab/>
            </w:r>
            <w:r>
              <w:rPr>
                <w:noProof/>
                <w:sz w:val="20"/>
              </w:rPr>
              <w:t>статистиката за продуктите за растителна защита и за хранителните вещества.</w:t>
            </w:r>
          </w:p>
          <w:p>
            <w:pPr>
              <w:keepNext/>
              <w:spacing w:after="0"/>
              <w:rPr>
                <w:rFonts w:eastAsiaTheme="minorEastAsia"/>
                <w:noProof/>
                <w:sz w:val="20"/>
                <w:lang w:eastAsia="en-US"/>
              </w:rPr>
            </w:pPr>
          </w:p>
          <w:p>
            <w:pPr>
              <w:keepNext/>
              <w:spacing w:after="120"/>
              <w:rPr>
                <w:rFonts w:eastAsiaTheme="minorEastAsia"/>
                <w:noProof/>
                <w:sz w:val="20"/>
              </w:rPr>
            </w:pPr>
            <w:r>
              <w:rPr>
                <w:noProof/>
                <w:sz w:val="20"/>
              </w:rPr>
              <w:t>Планирана дата на приемане: първо тримесечие /2021 г.; законодателна инициатива; правно основание: член 338, параграф 1 от ДФЕС. Не се предвижда оценка на въздействието.</w:t>
            </w:r>
          </w:p>
        </w:tc>
      </w:tr>
      <w:tr>
        <w:trPr>
          <w:cantSplit/>
        </w:trPr>
        <w:tc>
          <w:tcPr>
            <w:tcW w:w="565" w:type="dxa"/>
            <w:tcBorders>
              <w:bottom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bottom w:val="single" w:sz="4" w:space="0" w:color="auto"/>
            </w:tcBorders>
          </w:tcPr>
          <w:p>
            <w:pPr>
              <w:keepNext/>
              <w:spacing w:after="120"/>
              <w:rPr>
                <w:rFonts w:eastAsiaTheme="minorEastAsia" w:cstheme="minorBidi"/>
                <w:b/>
                <w:bCs/>
                <w:noProof/>
                <w:sz w:val="20"/>
              </w:rPr>
            </w:pPr>
            <w:r>
              <w:rPr>
                <w:b/>
                <w:bCs/>
                <w:noProof/>
                <w:sz w:val="20"/>
              </w:rPr>
              <w:t>Преразглеждане на Регламента на Европейския парламент и на Съвета относно европейската статистика в областта на рибарството и за отмяна на Регламент (ЕО) № 1921/2006, Регламент (ЕО) № 762/2008, Регламент (ЕО) № 216/2009, Регламент (ЕО) № 217/2009 и Регламент (ЕО) № 218/2009</w:t>
            </w:r>
          </w:p>
        </w:tc>
        <w:tc>
          <w:tcPr>
            <w:tcW w:w="9780" w:type="dxa"/>
            <w:tcBorders>
              <w:bottom w:val="single" w:sz="4" w:space="0" w:color="auto"/>
            </w:tcBorders>
          </w:tcPr>
          <w:p>
            <w:pPr>
              <w:keepNext/>
              <w:spacing w:after="120"/>
              <w:rPr>
                <w:rFonts w:eastAsiaTheme="minorEastAsia"/>
                <w:noProof/>
                <w:sz w:val="20"/>
              </w:rPr>
            </w:pPr>
            <w:r>
              <w:rPr>
                <w:noProof/>
                <w:sz w:val="20"/>
              </w:rPr>
              <w:t>Целта на преразглеждането е да се рационализира и опрости събирането на данните, необходими за европейската статистика в областта на рибарството. То също така ще приведе европейската статистика в областта на рибарството в съответствие с нуждите на реформираната обща политика в областта на рибарството от данни и информация. Преразглеждането обхваща статистиката за улова, за разтоварванията на рибни продукти и за аквакултурите. Основните цели са да се използват във възможно най-голяма степен административните данни, събирани за общата политика в областта на рибарството, и да се намали тежестта за държавите членки.</w:t>
            </w:r>
          </w:p>
          <w:p>
            <w:pPr>
              <w:keepNext/>
              <w:spacing w:after="120"/>
              <w:rPr>
                <w:rFonts w:eastAsiaTheme="minorEastAsia"/>
                <w:noProof/>
                <w:sz w:val="20"/>
              </w:rPr>
            </w:pPr>
            <w:r>
              <w:rPr>
                <w:noProof/>
                <w:sz w:val="20"/>
              </w:rPr>
              <w:t>Планирана дата на приемане: четвърто тримесечие /2021 г.; законодателна инициатива; правно основание: член 338 от ДФЕС. Предвижда се оценка на въздействието.</w:t>
            </w:r>
          </w:p>
        </w:tc>
      </w:tr>
      <w:tr>
        <w:trPr>
          <w:cantSplit/>
        </w:trPr>
        <w:tc>
          <w:tcPr>
            <w:tcW w:w="565" w:type="dxa"/>
            <w:tcBorders>
              <w:bottom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bottom w:val="single" w:sz="4" w:space="0" w:color="auto"/>
            </w:tcBorders>
          </w:tcPr>
          <w:p>
            <w:pPr>
              <w:spacing w:after="120"/>
              <w:rPr>
                <w:rFonts w:eastAsiaTheme="minorEastAsia" w:cstheme="minorBidi"/>
                <w:b/>
                <w:bCs/>
                <w:noProof/>
                <w:sz w:val="20"/>
              </w:rPr>
            </w:pPr>
            <w:r>
              <w:rPr>
                <w:b/>
                <w:bCs/>
                <w:noProof/>
                <w:sz w:val="20"/>
              </w:rPr>
              <w:t xml:space="preserve">Преразглеждане на Регламент (ЕС) № 305/2011 за строителните продукти </w:t>
            </w:r>
          </w:p>
        </w:tc>
        <w:tc>
          <w:tcPr>
            <w:tcW w:w="9780" w:type="dxa"/>
            <w:tcBorders>
              <w:bottom w:val="single" w:sz="4" w:space="0" w:color="auto"/>
            </w:tcBorders>
          </w:tcPr>
          <w:p>
            <w:pPr>
              <w:keepNext/>
              <w:spacing w:after="120"/>
              <w:jc w:val="left"/>
              <w:rPr>
                <w:rFonts w:eastAsiaTheme="minorEastAsia"/>
                <w:noProof/>
                <w:sz w:val="20"/>
              </w:rPr>
            </w:pPr>
            <w:r>
              <w:rPr>
                <w:noProof/>
                <w:sz w:val="20"/>
              </w:rPr>
              <w:t>Строителството е една от 14-те водещи промишлени екосистеми, които са в центъра на плана за възстановяване. Преразглеждането, посочено в Европейския зелен пакт и в плана за действие за кръговата икономика, ще добави рамка за екологичните изисквания и изискванията за кръговост за строителните продукти, което ще допринесе за по-голяма енергийна и материална ефективност на сградите.</w:t>
            </w:r>
          </w:p>
          <w:p>
            <w:pPr>
              <w:keepNext/>
              <w:spacing w:after="120"/>
              <w:jc w:val="left"/>
              <w:rPr>
                <w:rFonts w:eastAsiaTheme="minorEastAsia"/>
                <w:noProof/>
                <w:sz w:val="20"/>
              </w:rPr>
            </w:pPr>
            <w:r>
              <w:rPr>
                <w:noProof/>
                <w:sz w:val="20"/>
              </w:rPr>
              <w:t>Инициативата ще разгледа основните проблеми, установени в оценката, по-специално проблемите, свързани с разработването на хармонизирани технически спецификации, и особено блокирането на стандартизацията, с цел подобряване на надзора на пазара и справяне с все още съществуващите проблеми с националните маркировки или националните допълнителни изисквания/изпитвания. В резултат на това ще се подобри функционирането на вътрешния пазар на строителни продукти. Освен това преразглеждането ще осигури рамка за разработване и прилагане на екологични критерии и критерии за устойчивост на строителните продукти. Оценката на РСП показа, че разходите за съответствие с РСП представляват между 0,6 % и 1,1 % от оборота на сектора, основно за сметка на производителите. Анализът потвърждава наличието на икономии от мащаба в дейностите по привеждане в съответствие и показва, че разходите могат да бъдат значителни за МСП, и особено за микропредприятията. Въпреки липсата на убедителни доказателства относно въздействието на РСП върху вътрешния пазар, заинтересованите страни като цяло са с възприятие за положително въздействие на РСП върху трансграничната търговия.</w:t>
            </w:r>
          </w:p>
          <w:p>
            <w:pPr>
              <w:keepNext/>
              <w:spacing w:after="120"/>
              <w:jc w:val="left"/>
              <w:rPr>
                <w:rFonts w:eastAsiaTheme="minorEastAsia"/>
                <w:noProof/>
                <w:sz w:val="20"/>
              </w:rPr>
            </w:pPr>
            <w:r>
              <w:rPr>
                <w:noProof/>
                <w:sz w:val="20"/>
              </w:rPr>
              <w:t>Планирана дата на приемане: трето тримесечие/2021 г.; Законодателна инициатива; правно основание: член 114 от ДФЕС. Предвижда се оценка на въздействието.</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b/>
                <w:noProof/>
                <w:color w:val="000000" w:themeColor="text1"/>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jc w:val="left"/>
              <w:rPr>
                <w:rFonts w:eastAsiaTheme="minorEastAsia" w:cstheme="minorBidi"/>
                <w:b/>
                <w:bCs/>
                <w:noProof/>
                <w:sz w:val="20"/>
              </w:rPr>
            </w:pPr>
            <w:r>
              <w:rPr>
                <w:b/>
                <w:bCs/>
                <w:noProof/>
                <w:sz w:val="20"/>
              </w:rPr>
              <w:t>Преразглеждане на Регламент (ЕО) № 1831/2003 относно добавки за използване при храненето на животните</w:t>
            </w:r>
          </w:p>
        </w:tc>
        <w:tc>
          <w:tcPr>
            <w:tcW w:w="9780" w:type="dxa"/>
            <w:tcBorders>
              <w:top w:val="single" w:sz="4" w:space="0" w:color="auto"/>
              <w:left w:val="single" w:sz="4" w:space="0" w:color="auto"/>
              <w:bottom w:val="single" w:sz="4" w:space="0" w:color="auto"/>
            </w:tcBorders>
          </w:tcPr>
          <w:p>
            <w:pPr>
              <w:keepNext/>
              <w:spacing w:after="120"/>
              <w:rPr>
                <w:rFonts w:eastAsiaTheme="minorEastAsia" w:cstheme="minorBidi"/>
                <w:noProof/>
                <w:sz w:val="20"/>
              </w:rPr>
            </w:pPr>
            <w:r>
              <w:rPr>
                <w:noProof/>
                <w:sz w:val="20"/>
              </w:rPr>
              <w:t>В Регламента относно добавки за използване при храненето на животните, приет през 2003 г., са определени правилата за разрешаване на фуражни добавки и пускането им на пазара. В резултат на извършената оценка бяха установени фактори, които са възпрепятствали постигането на някои цели, поради което е необходимо преразглеждане. В съответствие с плана за действие на стратегията „От фермата до трапезата“ основната цел на предложението е да допринесе за по-устойчива система за производство на храни чрез установяване на нови критерии за насърчаване на разрешаването на фуражни добавки с положително въздействие върху доброто състояние на животните и върху околната среда. В предложението също така ще бъдат предвидени механизми за насърчаване на иновациите в областта на фуражните добавки, особено тези, които допринасят за намаляване на употребата на антибиотици, подобряване на хуманното отношение към животните и смекчаване на последиците от изменението на климата. То също така има за цел да рационализира процесите, за да се повиши ефективността на оценката на риска, така че иновативните фуражни добавки да бъдат пускани на пазара по-рано и да се намали административната тежест за притежателите на разрешения.</w:t>
            </w:r>
          </w:p>
          <w:p>
            <w:pPr>
              <w:keepNext/>
              <w:spacing w:after="120"/>
              <w:rPr>
                <w:rFonts w:eastAsiaTheme="minorEastAsia" w:cstheme="minorBidi"/>
                <w:noProof/>
                <w:sz w:val="20"/>
              </w:rPr>
            </w:pPr>
            <w:r>
              <w:rPr>
                <w:noProof/>
                <w:sz w:val="20"/>
              </w:rPr>
              <w:t>Планирана дата на приемане: четвърто тримесечие /2021 г.; Законодателна инициатива; правно основание: Член 43 и член 168, параграф 4, буква б) от ДФЕС. Предвижда се оценка на въздействието.</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b/>
                <w:noProof/>
                <w:color w:val="000000" w:themeColor="text1"/>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spacing w:after="120"/>
              <w:rPr>
                <w:rFonts w:eastAsiaTheme="minorEastAsia" w:cstheme="minorBidi"/>
                <w:b/>
                <w:bCs/>
                <w:noProof/>
                <w:sz w:val="20"/>
              </w:rPr>
            </w:pPr>
            <w:r>
              <w:rPr>
                <w:b/>
                <w:bCs/>
                <w:noProof/>
                <w:sz w:val="20"/>
              </w:rPr>
              <w:t xml:space="preserve">Оценка на Директива 86/278/ЕИО за утайките от отпадъчни води </w:t>
            </w:r>
          </w:p>
        </w:tc>
        <w:tc>
          <w:tcPr>
            <w:tcW w:w="9780" w:type="dxa"/>
            <w:tcBorders>
              <w:top w:val="single" w:sz="4" w:space="0" w:color="auto"/>
              <w:left w:val="single" w:sz="4" w:space="0" w:color="auto"/>
              <w:bottom w:val="single" w:sz="4" w:space="0" w:color="auto"/>
            </w:tcBorders>
          </w:tcPr>
          <w:p>
            <w:pPr>
              <w:keepNext/>
              <w:spacing w:after="120"/>
              <w:rPr>
                <w:rFonts w:eastAsiaTheme="minorEastAsia" w:cstheme="minorBidi"/>
                <w:noProof/>
                <w:sz w:val="20"/>
              </w:rPr>
            </w:pPr>
            <w:r>
              <w:rPr>
                <w:noProof/>
                <w:sz w:val="20"/>
              </w:rPr>
              <w:t>Директива 86/278/ЕИО за утайките от отпадъчни води има за цел да насърчи правилното използване на утайките от отпадъчни води в селското стопанство, както и да регулира тяхното използване, за да се предотврати вредното въздействие върху почвата, растителността, животните и хората. Приета преди 30 години, директивата не съответства напълно на настоящите нужди и очаквания, например регулирането на нови замърсители, като фармацевтичните продукти и пластмасовите микрочастици. С тази оценка ще се прецени ефективността на директивата и ще се анализират рисковете и възможностите, свързани с управлението на утайките от отпадъчни води. Тя ще обхваща стандартните критерии за оценка на ефективността, ефикасността, съгласуваността, целесъобразността и добавената стойност от ЕС. Ще бъдат оценени административните разходи, като особено внимание ще бъде отделено на въздействието върху МСП и микропредприятията.</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b/>
                <w:noProof/>
                <w:color w:val="000000" w:themeColor="text1"/>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jc w:val="left"/>
              <w:rPr>
                <w:rFonts w:eastAsiaTheme="minorEastAsia" w:cstheme="minorBidi"/>
                <w:b/>
                <w:bCs/>
                <w:noProof/>
                <w:sz w:val="20"/>
              </w:rPr>
            </w:pPr>
            <w:r>
              <w:rPr>
                <w:b/>
                <w:noProof/>
                <w:sz w:val="20"/>
              </w:rPr>
              <w:t>Оценка на Директива 2007/2/EО за създаване на инфраструктура за пространствена информация в Европейската общност (INSPIRE)</w:t>
            </w:r>
          </w:p>
        </w:tc>
        <w:tc>
          <w:tcPr>
            <w:tcW w:w="9780" w:type="dxa"/>
            <w:tcBorders>
              <w:top w:val="single" w:sz="4" w:space="0" w:color="auto"/>
              <w:left w:val="single" w:sz="4" w:space="0" w:color="auto"/>
              <w:bottom w:val="single" w:sz="4" w:space="0" w:color="auto"/>
            </w:tcBorders>
          </w:tcPr>
          <w:p>
            <w:pPr>
              <w:keepNext/>
              <w:spacing w:after="120"/>
              <w:rPr>
                <w:rFonts w:eastAsiaTheme="minorEastAsia" w:cstheme="minorBidi"/>
                <w:noProof/>
                <w:sz w:val="20"/>
              </w:rPr>
            </w:pPr>
            <w:r>
              <w:rPr>
                <w:iCs/>
                <w:noProof/>
                <w:sz w:val="20"/>
              </w:rPr>
              <w:t>Директивата INSPIRE създаде цифрово пространство в целия ЕС за обмен на пространствени данни с цел опазване на околната среда. С тази оценка ще се прецени дали тя е допринесла за подобряване на ефективността и ефикасността на мерките за опазване на околната среда. Ще се направи преценка също така дали директивата все още е от значение за заинтересованите страни и дали е съгласувана с други законодателни актове, по-специално в контекста на новата инициатива за пространство на данни в контекста на Зеления пакт.</w:t>
            </w:r>
          </w:p>
        </w:tc>
      </w:tr>
      <w:tr>
        <w:trPr>
          <w:cantSplit/>
        </w:trPr>
        <w:tc>
          <w:tcPr>
            <w:tcW w:w="14827" w:type="dxa"/>
            <w:gridSpan w:val="3"/>
            <w:shd w:val="clear" w:color="auto" w:fill="18BAA8" w:themeFill="accent2"/>
          </w:tcPr>
          <w:p>
            <w:pPr>
              <w:keepNext/>
              <w:spacing w:before="60" w:after="120"/>
              <w:rPr>
                <w:b/>
                <w:bCs/>
                <w:noProof/>
                <w:sz w:val="20"/>
              </w:rPr>
            </w:pPr>
            <w:r>
              <w:rPr>
                <w:b/>
                <w:bCs/>
                <w:noProof/>
                <w:color w:val="FFFFFF" w:themeColor="background1"/>
                <w:sz w:val="20"/>
              </w:rPr>
              <w:t>Европа, подготвена за цифровата ера</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spacing w:after="120"/>
              <w:rPr>
                <w:rFonts w:eastAsiaTheme="minorEastAsia" w:cstheme="minorBidi"/>
                <w:b/>
                <w:bCs/>
                <w:noProof/>
                <w:color w:val="000000" w:themeColor="text1"/>
                <w:sz w:val="20"/>
              </w:rPr>
            </w:pPr>
            <w:r>
              <w:rPr>
                <w:b/>
                <w:bCs/>
                <w:noProof/>
                <w:color w:val="000000" w:themeColor="text1"/>
                <w:sz w:val="20"/>
              </w:rPr>
              <w:t>Преразглеждане на Насоките за регионална помощ</w:t>
            </w:r>
          </w:p>
        </w:tc>
        <w:tc>
          <w:tcPr>
            <w:tcW w:w="9780" w:type="dxa"/>
          </w:tcPr>
          <w:p>
            <w:pPr>
              <w:spacing w:after="120"/>
              <w:rPr>
                <w:rFonts w:eastAsiaTheme="minorEastAsia" w:cstheme="minorBidi"/>
                <w:noProof/>
                <w:color w:val="000000" w:themeColor="text1"/>
                <w:sz w:val="20"/>
              </w:rPr>
            </w:pPr>
            <w:r>
              <w:rPr>
                <w:noProof/>
                <w:color w:val="000000" w:themeColor="text1"/>
                <w:sz w:val="20"/>
              </w:rPr>
              <w:t>Целта на инициативата е да се преразгледат Насоките за регионалните държавни помощи, чийто срок на действие трябваше да изтече в края на 2020 г. и беше продължен до 31 декември 2021 г., за да се насърчи икономическото развитие на някои региони в неравностойно положение в рамките на Европейския съюз, както е посочено в член 107, параграф 3, букви а) и в) от Договора за функционирането на Европейския съюз. Насоките за регионалната помощ представляват един от инструментите за държавна помощ, които ще насърчат изпълнението на целите на Европейския зелен пакт и стратегията в областта на цифровите технологии. Необходимо е ограничено изменение на настоящите насоки за регионална помощ, за да се смекчат последиците от прехода към зелена икономика.</w:t>
            </w:r>
          </w:p>
          <w:p>
            <w:pPr>
              <w:spacing w:after="120"/>
              <w:rPr>
                <w:rFonts w:eastAsiaTheme="minorEastAsia" w:cstheme="minorBidi"/>
                <w:noProof/>
                <w:color w:val="000000" w:themeColor="text1"/>
                <w:sz w:val="20"/>
              </w:rPr>
            </w:pPr>
            <w:r>
              <w:rPr>
                <w:noProof/>
                <w:color w:val="000000" w:themeColor="text1"/>
                <w:sz w:val="20"/>
              </w:rPr>
              <w:t>Планирана дата на приемане: първо тримесечие/2021 г.; незаконодателна инициатива, правно основание: членове 107 и 108 от ДФЕС. Не се предвижда оценка на въздействието.</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spacing w:after="120"/>
              <w:rPr>
                <w:rFonts w:eastAsiaTheme="minorEastAsia" w:cstheme="minorBidi"/>
                <w:b/>
                <w:bCs/>
                <w:noProof/>
                <w:color w:val="000000" w:themeColor="text1"/>
                <w:sz w:val="20"/>
              </w:rPr>
            </w:pPr>
            <w:r>
              <w:rPr>
                <w:b/>
                <w:bCs/>
                <w:noProof/>
                <w:color w:val="000000" w:themeColor="text1"/>
                <w:sz w:val="20"/>
              </w:rPr>
              <w:t>Преразглеждане на Насоките за помощ в областта на енергетиката и околната среда</w:t>
            </w:r>
          </w:p>
        </w:tc>
        <w:tc>
          <w:tcPr>
            <w:tcW w:w="9780" w:type="dxa"/>
          </w:tcPr>
          <w:p>
            <w:pPr>
              <w:spacing w:after="120"/>
              <w:rPr>
                <w:rFonts w:eastAsiaTheme="minorEastAsia" w:cstheme="minorBidi"/>
                <w:noProof/>
                <w:color w:val="000000" w:themeColor="text1"/>
                <w:sz w:val="20"/>
              </w:rPr>
            </w:pPr>
            <w:r>
              <w:rPr>
                <w:noProof/>
                <w:color w:val="000000" w:themeColor="text1"/>
                <w:sz w:val="20"/>
              </w:rPr>
              <w:t>Настоящите правила са приложими до 31 декември 2020 г. (и ще бъдат продължени до 31 декември 2021 г.). Текущата проверка за пригодност показа, че настоящите правила са функционирали добре, но следва да бъдат актуализирани, за да отразяват регулаторното, технологичното и пазарното развитие и да съпътстват по съответен начин двустранната цифрова и екологична трансформация на икономиката. В съобщенията си относно Европейския зелен пакт и Плана за инвестиции за устойчива Европа/Плана за инвестиции във връзка с Европейския зелен пакт Комисията пое ангажимент до 2021 г. да преразгледа НПОСЕ в подкрепа на разходно ефективен преход на икономиката и промишлеността към неутралност по отношение на климата до 2050 г.</w:t>
            </w:r>
          </w:p>
          <w:p>
            <w:pPr>
              <w:spacing w:after="120"/>
              <w:rPr>
                <w:rFonts w:eastAsiaTheme="minorEastAsia" w:cstheme="minorBidi"/>
                <w:noProof/>
                <w:color w:val="000000" w:themeColor="text1"/>
                <w:sz w:val="20"/>
              </w:rPr>
            </w:pPr>
            <w:r>
              <w:rPr>
                <w:noProof/>
                <w:color w:val="000000" w:themeColor="text1"/>
                <w:sz w:val="20"/>
              </w:rPr>
              <w:t>Преразглеждането следва да осигури модернизирана и опростена рамка, която да позволи на публичните органи да постигнат целите на ЕС по икономически ефективен начин при минимални нарушения в областта на конкуренцията и търговията в Съюза. По-специално преразглеждането ще трябва да способства за съответни мерки за по-нататъшно насърчаване на модерна декарбонизирана и кръгова икономика, като същевременно се гарантират ограничени нарушения на конкуренцията и адекватни предпазни мерки за целостта на единния пазар. Преразглеждането следва да гарантира, че преразгледаните правила са съобразени с новите технологични и пазарни тенденции и гарантират справедлива и неизкривена трансформация на икономиката през следващите години на икономическо възстановяване.</w:t>
            </w:r>
          </w:p>
          <w:p>
            <w:pPr>
              <w:spacing w:after="120"/>
              <w:rPr>
                <w:rFonts w:eastAsiaTheme="minorEastAsia" w:cstheme="minorBidi"/>
                <w:noProof/>
                <w:color w:val="000000" w:themeColor="text1"/>
                <w:sz w:val="20"/>
              </w:rPr>
            </w:pPr>
            <w:r>
              <w:rPr>
                <w:noProof/>
                <w:color w:val="000000" w:themeColor="text1"/>
                <w:sz w:val="20"/>
              </w:rPr>
              <w:t>Планирана дата на приемане: четвърто тримесечие/2021 г.; незаконодателна инициатива; правно основание: членове 107 и 108 от ДФЕС. Предвижда се оценка на въздействието.</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spacing w:after="120"/>
              <w:rPr>
                <w:rFonts w:eastAsiaTheme="minorEastAsia" w:cstheme="minorBidi"/>
                <w:b/>
                <w:bCs/>
                <w:noProof/>
                <w:color w:val="000000" w:themeColor="text1"/>
                <w:sz w:val="20"/>
              </w:rPr>
            </w:pPr>
            <w:r>
              <w:rPr>
                <w:b/>
                <w:bCs/>
                <w:noProof/>
                <w:color w:val="000000" w:themeColor="text1"/>
                <w:sz w:val="20"/>
              </w:rPr>
              <w:t>Преразглеждане на Насоките за рисково финансиране</w:t>
            </w:r>
          </w:p>
          <w:p>
            <w:pPr>
              <w:spacing w:after="120"/>
              <w:rPr>
                <w:rFonts w:eastAsiaTheme="minorEastAsia" w:cstheme="minorBidi"/>
                <w:b/>
                <w:bCs/>
                <w:noProof/>
                <w:color w:val="000000" w:themeColor="text1"/>
                <w:sz w:val="20"/>
                <w:lang w:eastAsia="en-US"/>
              </w:rPr>
            </w:pPr>
          </w:p>
        </w:tc>
        <w:tc>
          <w:tcPr>
            <w:tcW w:w="9780" w:type="dxa"/>
          </w:tcPr>
          <w:p>
            <w:pPr>
              <w:spacing w:after="120"/>
              <w:rPr>
                <w:rFonts w:eastAsiaTheme="minorEastAsia" w:cstheme="minorBidi"/>
                <w:noProof/>
                <w:color w:val="000000" w:themeColor="text1"/>
                <w:sz w:val="20"/>
              </w:rPr>
            </w:pPr>
            <w:r>
              <w:rPr>
                <w:noProof/>
                <w:color w:val="000000" w:themeColor="text1"/>
                <w:sz w:val="20"/>
              </w:rPr>
              <w:t>Настоящите правила са приложими до 31 декември 2020 г. (и ще бъдат продължени до 31 декември 2021 г.). Текущата проверка за пригодност показа, че настоящите правила са функционирали добре, но следва да бъдат актуализирани, за да отразяват регулаторното, технологичното и пазарното развитие и да съпътстват по съответен начин настоящите приоритети на Комисията и икономическото възстановяване.</w:t>
            </w:r>
          </w:p>
          <w:p>
            <w:pPr>
              <w:spacing w:after="120"/>
              <w:rPr>
                <w:rFonts w:eastAsiaTheme="minorEastAsia" w:cstheme="minorBidi"/>
                <w:noProof/>
                <w:color w:val="000000" w:themeColor="text1"/>
                <w:sz w:val="20"/>
              </w:rPr>
            </w:pPr>
            <w:r>
              <w:rPr>
                <w:noProof/>
                <w:color w:val="000000" w:themeColor="text1"/>
                <w:sz w:val="20"/>
              </w:rPr>
              <w:t>Планирана дата на приемане: четвърто тримесечие/2021 г.; незаконодателна инициатива; правно основание: членове 107 и 108 от ДФЕС. Не се предвижда оценка на въздействието.</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spacing w:after="120"/>
              <w:rPr>
                <w:rFonts w:eastAsiaTheme="minorEastAsia" w:cstheme="minorBidi"/>
                <w:b/>
                <w:bCs/>
                <w:noProof/>
                <w:color w:val="000000" w:themeColor="text1"/>
                <w:sz w:val="20"/>
              </w:rPr>
            </w:pPr>
            <w:r>
              <w:rPr>
                <w:b/>
                <w:bCs/>
                <w:noProof/>
                <w:color w:val="000000" w:themeColor="text1"/>
                <w:sz w:val="20"/>
              </w:rPr>
              <w:t>Преразглеждане на рамката за държавна помощ за научни изследвания, развитие и иновации</w:t>
            </w:r>
          </w:p>
          <w:p>
            <w:pPr>
              <w:spacing w:after="120"/>
              <w:rPr>
                <w:rFonts w:eastAsiaTheme="minorEastAsia" w:cstheme="minorBidi"/>
                <w:b/>
                <w:bCs/>
                <w:noProof/>
                <w:color w:val="000000" w:themeColor="text1"/>
                <w:sz w:val="20"/>
                <w:lang w:eastAsia="en-US"/>
              </w:rPr>
            </w:pPr>
          </w:p>
          <w:p>
            <w:pPr>
              <w:spacing w:after="120"/>
              <w:rPr>
                <w:rFonts w:eastAsiaTheme="minorEastAsia" w:cstheme="minorBidi"/>
                <w:b/>
                <w:bCs/>
                <w:noProof/>
                <w:color w:val="000000" w:themeColor="text1"/>
                <w:sz w:val="20"/>
                <w:lang w:eastAsia="en-US"/>
              </w:rPr>
            </w:pPr>
          </w:p>
        </w:tc>
        <w:tc>
          <w:tcPr>
            <w:tcW w:w="9780" w:type="dxa"/>
          </w:tcPr>
          <w:p>
            <w:pPr>
              <w:spacing w:after="120"/>
              <w:rPr>
                <w:rFonts w:eastAsiaTheme="minorEastAsia" w:cstheme="minorBidi"/>
                <w:noProof/>
                <w:color w:val="000000" w:themeColor="text1"/>
                <w:sz w:val="20"/>
              </w:rPr>
            </w:pPr>
            <w:r>
              <w:rPr>
                <w:noProof/>
                <w:color w:val="000000" w:themeColor="text1"/>
                <w:sz w:val="20"/>
              </w:rPr>
              <w:t>Настоящите правила са безсрочни. При текущата проверка за пригодност обаче бе установено, че настоящите правила са функционирали добре, но следва да бъдат актуализирани целево, за да отразяват регулаторното, технологичното и пазарното развитие и да съпътстват по съответен начин настоящите приоритети на Комисията и икономическото възстановяване.</w:t>
            </w:r>
          </w:p>
          <w:p>
            <w:pPr>
              <w:spacing w:after="120"/>
              <w:rPr>
                <w:rFonts w:eastAsiaTheme="minorEastAsia" w:cstheme="minorBidi"/>
                <w:noProof/>
                <w:color w:val="000000" w:themeColor="text1"/>
                <w:sz w:val="20"/>
              </w:rPr>
            </w:pPr>
            <w:r>
              <w:rPr>
                <w:noProof/>
                <w:color w:val="000000" w:themeColor="text1"/>
                <w:sz w:val="20"/>
              </w:rPr>
              <w:t>Планирана дата на приемане: четвърто тримесечие/2021 г.; незаконодателна инициатива; правно основание: членове 107 и 108 от ДФЕС. Не се предвижда оценка на въздействието.</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spacing w:after="120"/>
              <w:rPr>
                <w:rFonts w:eastAsiaTheme="minorEastAsia" w:cstheme="minorBidi"/>
                <w:b/>
                <w:bCs/>
                <w:noProof/>
                <w:sz w:val="20"/>
              </w:rPr>
            </w:pPr>
            <w:r>
              <w:rPr>
                <w:b/>
                <w:bCs/>
                <w:noProof/>
                <w:sz w:val="20"/>
              </w:rPr>
              <w:t>Преразглеждане на Съобщението относно важни проекти от общоевропейски интерес</w:t>
            </w:r>
          </w:p>
        </w:tc>
        <w:tc>
          <w:tcPr>
            <w:tcW w:w="9780" w:type="dxa"/>
          </w:tcPr>
          <w:p>
            <w:pPr>
              <w:spacing w:after="120"/>
              <w:rPr>
                <w:rFonts w:eastAsiaTheme="minorEastAsia" w:cstheme="minorBidi"/>
                <w:noProof/>
                <w:spacing w:val="-2"/>
                <w:sz w:val="20"/>
              </w:rPr>
            </w:pPr>
            <w:r>
              <w:rPr>
                <w:noProof/>
                <w:sz w:val="20"/>
              </w:rPr>
              <w:t>Настоящите правила са приложими до 31 декември 2020 г. (и ще бъдат продължени до 31 декември 2021 г.). Текущата проверка за пригодност показа, че настоящите правила са функционирали добре, но следва да бъдат актуализирани целево, за да отразяват регулаторното, технологичното и пазарното развитие и да съпътстват по съответен начин настоящите стратегически приоритети на Комисията и икономическото възстановяване.</w:t>
            </w:r>
          </w:p>
          <w:p>
            <w:pPr>
              <w:spacing w:after="120"/>
              <w:rPr>
                <w:rFonts w:eastAsiaTheme="minorEastAsia" w:cstheme="minorBidi"/>
                <w:noProof/>
                <w:spacing w:val="-2"/>
                <w:sz w:val="20"/>
              </w:rPr>
            </w:pPr>
            <w:r>
              <w:rPr>
                <w:noProof/>
                <w:sz w:val="20"/>
              </w:rPr>
              <w:t>Планирана дата на приемане: четвърто тримесечие/2021 г.; незаконодателна инициатива; правно основание: членове 107 и 108 от ДФЕС. Не се предвижда оценка на въздействието.</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spacing w:after="120"/>
              <w:rPr>
                <w:rFonts w:eastAsiaTheme="minorEastAsia" w:cstheme="minorBidi"/>
                <w:b/>
                <w:bCs/>
                <w:noProof/>
                <w:sz w:val="20"/>
              </w:rPr>
            </w:pPr>
            <w:r>
              <w:rPr>
                <w:b/>
                <w:bCs/>
                <w:noProof/>
                <w:sz w:val="20"/>
              </w:rPr>
              <w:t>Преразглеждане на Общия регламент за групово освобождаване относно държавната помощ (ОРГО) в контекста на Зеления пакт</w:t>
            </w:r>
          </w:p>
          <w:p>
            <w:pPr>
              <w:spacing w:after="120"/>
              <w:rPr>
                <w:rFonts w:eastAsiaTheme="minorEastAsia" w:cstheme="minorBidi"/>
                <w:b/>
                <w:bCs/>
                <w:noProof/>
                <w:sz w:val="20"/>
                <w:lang w:eastAsia="en-US"/>
              </w:rPr>
            </w:pPr>
          </w:p>
        </w:tc>
        <w:tc>
          <w:tcPr>
            <w:tcW w:w="9780" w:type="dxa"/>
          </w:tcPr>
          <w:p>
            <w:pPr>
              <w:spacing w:after="120"/>
              <w:rPr>
                <w:rFonts w:eastAsiaTheme="minorEastAsia" w:cstheme="minorBidi"/>
                <w:noProof/>
                <w:spacing w:val="-2"/>
                <w:sz w:val="20"/>
              </w:rPr>
            </w:pPr>
            <w:r>
              <w:rPr>
                <w:noProof/>
                <w:sz w:val="20"/>
              </w:rPr>
              <w:t>Настоящите правила са приложими до 31 декември 2020 г. (и ще бъдат продължени до 31 декември 2023 г.). Текущата проверка за пригодност показа, че настоящите правила са функционирали добре, но следва да бъдат актуализирани, за да отразяват регулаторното, технологичното и пазарното развитие и да съпътстват по съответен начин двустранната цифрова и екологична трансформация на икономиката. Преразглеждането следва да осигури модернизирана и опростена рамка, която да позволи на публичните органи да постигнат целите на ЕС по икономически ефективен начин при минимални нарушения в областта на конкуренцията и търговията в Съюза.</w:t>
            </w:r>
          </w:p>
          <w:p>
            <w:pPr>
              <w:spacing w:after="120"/>
              <w:rPr>
                <w:rFonts w:eastAsiaTheme="minorEastAsia" w:cstheme="minorBidi"/>
                <w:noProof/>
                <w:spacing w:val="-2"/>
                <w:sz w:val="20"/>
              </w:rPr>
            </w:pPr>
            <w:r>
              <w:rPr>
                <w:noProof/>
                <w:sz w:val="20"/>
              </w:rPr>
              <w:t>Планирана дата на приемане: четвърто тримесечие/2021 г.; законодателна инициатива; правно основание: членове 107 и 108 от ДФЕС. Не се предвижда оценка на въздействието.</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spacing w:after="120"/>
              <w:rPr>
                <w:rFonts w:eastAsiaTheme="minorEastAsia" w:cstheme="minorBidi"/>
                <w:b/>
                <w:bCs/>
                <w:noProof/>
                <w:sz w:val="20"/>
              </w:rPr>
            </w:pPr>
            <w:r>
              <w:rPr>
                <w:b/>
                <w:noProof/>
                <w:sz w:val="20"/>
              </w:rPr>
              <w:t>Преразглеждане на Насоките относно държавните помощи в сектора на земеделието и горското стопанство и в селските райони, както и Регламента за групово освобождаване в селското стопанство (РГОСС)</w:t>
            </w:r>
          </w:p>
        </w:tc>
        <w:tc>
          <w:tcPr>
            <w:tcW w:w="9780" w:type="dxa"/>
            <w:shd w:val="clear" w:color="auto" w:fill="auto"/>
          </w:tcPr>
          <w:p>
            <w:pPr>
              <w:spacing w:after="120"/>
              <w:rPr>
                <w:noProof/>
                <w:sz w:val="20"/>
              </w:rPr>
            </w:pPr>
            <w:r>
              <w:rPr>
                <w:noProof/>
                <w:sz w:val="20"/>
              </w:rPr>
              <w:t>Настоящите правила са приложими до 31 декември 2020 г. (и ще бъдат продължени до 31 декември 2021 г.). Текущата оценка показа, че действащите правила са функционирали добре, но има възможност за процедурно опростяване, както и за корекции с цел повишаване на ефективността на някои мерки за помощ. Уредбата за държавната помощ трябва да продължи да бъде тясно свързана със законодателството в рамките на общата селскостопанска политика, по-специално с бъдещия регламент относно подкрепата за националните стратегически планове.</w:t>
            </w:r>
          </w:p>
          <w:p>
            <w:pPr>
              <w:spacing w:after="120"/>
              <w:rPr>
                <w:rFonts w:eastAsiaTheme="minorEastAsia" w:cstheme="minorBidi"/>
                <w:noProof/>
                <w:spacing w:val="-2"/>
                <w:sz w:val="20"/>
              </w:rPr>
            </w:pPr>
            <w:r>
              <w:rPr>
                <w:noProof/>
                <w:sz w:val="20"/>
              </w:rPr>
              <w:t>Планирана дата на приемане: четвърто тримесечие/2021 г.; законодателна инициатива; правно основание: членове 107 и 108 от ДФЕС. Предвижда се оценка на въздействието.</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autoSpaceDE w:val="0"/>
              <w:autoSpaceDN w:val="0"/>
              <w:adjustRightInd w:val="0"/>
              <w:spacing w:after="120"/>
              <w:rPr>
                <w:rFonts w:eastAsiaTheme="minorEastAsia"/>
                <w:b/>
                <w:bCs/>
                <w:noProof/>
                <w:color w:val="000000"/>
                <w:sz w:val="20"/>
              </w:rPr>
            </w:pPr>
            <w:r>
              <w:rPr>
                <w:b/>
                <w:noProof/>
                <w:sz w:val="20"/>
              </w:rPr>
              <w:t>Преразглеждане на Насоките за държавната помощ за рибарството и аквакултурите, Регламента за групово освобождаване (FIBER) и Регламента относно помощта de minimis</w:t>
            </w:r>
          </w:p>
        </w:tc>
        <w:tc>
          <w:tcPr>
            <w:tcW w:w="9780" w:type="dxa"/>
            <w:shd w:val="clear" w:color="auto" w:fill="auto"/>
          </w:tcPr>
          <w:p>
            <w:pPr>
              <w:rPr>
                <w:noProof/>
                <w:sz w:val="20"/>
              </w:rPr>
            </w:pPr>
            <w:r>
              <w:rPr>
                <w:noProof/>
                <w:sz w:val="20"/>
              </w:rPr>
              <w:t>Настоящите правила са приложими до 31 декември 2020 г. (и ще бъдат продължени до 31 декември 2021 г.). Текущата оценка показа, че действащите правила са функционирали добре, но има възможност за процедурно опростяване. Уредбата за държавната помощ трябва да продължи да бъде тясно свързана със законодателството в рамките на общата политика в областта на рибарството, по-специално с бъдещия регламент относно Европейския фонд за морско дело и рибарство.</w:t>
            </w:r>
          </w:p>
          <w:p>
            <w:pPr>
              <w:spacing w:after="120"/>
              <w:rPr>
                <w:rFonts w:eastAsiaTheme="minorEastAsia" w:cstheme="minorBidi"/>
                <w:noProof/>
                <w:spacing w:val="-2"/>
                <w:sz w:val="20"/>
              </w:rPr>
            </w:pPr>
            <w:r>
              <w:rPr>
                <w:noProof/>
                <w:sz w:val="20"/>
              </w:rPr>
              <w:t>Планирана дата на приемане: четвърто тримесечие/2021 г.; законодателна инициатива; правно основание: членове 107 и 108 от ДФЕС. Предвижда се оценка на въздействието.</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spacing w:after="120"/>
              <w:jc w:val="left"/>
              <w:rPr>
                <w:rFonts w:eastAsiaTheme="minorEastAsia" w:cstheme="minorBidi"/>
                <w:b/>
                <w:bCs/>
                <w:noProof/>
                <w:sz w:val="20"/>
              </w:rPr>
            </w:pPr>
            <w:r>
              <w:rPr>
                <w:b/>
                <w:noProof/>
                <w:sz w:val="20"/>
              </w:rPr>
              <w:t>Преразглеждане на Директива 2006/42/ЕО относно машините</w:t>
            </w:r>
          </w:p>
        </w:tc>
        <w:tc>
          <w:tcPr>
            <w:tcW w:w="9780" w:type="dxa"/>
            <w:shd w:val="clear" w:color="auto" w:fill="auto"/>
          </w:tcPr>
          <w:p>
            <w:pPr>
              <w:rPr>
                <w:noProof/>
                <w:sz w:val="20"/>
              </w:rPr>
            </w:pPr>
            <w:r>
              <w:rPr>
                <w:noProof/>
                <w:sz w:val="20"/>
              </w:rPr>
              <w:t>Инициативата има за цел:</w:t>
            </w:r>
          </w:p>
          <w:p>
            <w:pPr>
              <w:pStyle w:val="ListParagraph"/>
              <w:numPr>
                <w:ilvl w:val="0"/>
                <w:numId w:val="44"/>
              </w:numPr>
              <w:spacing w:after="0"/>
              <w:rPr>
                <w:noProof/>
                <w:sz w:val="20"/>
              </w:rPr>
            </w:pPr>
            <w:r>
              <w:rPr>
                <w:noProof/>
                <w:sz w:val="20"/>
              </w:rPr>
              <w:t>справяне с рисковете, произтичащи от новите технологии, като същевременно се отчита техническият прогрес;</w:t>
            </w:r>
          </w:p>
          <w:p>
            <w:pPr>
              <w:pStyle w:val="ListParagraph"/>
              <w:numPr>
                <w:ilvl w:val="0"/>
                <w:numId w:val="44"/>
              </w:numPr>
              <w:spacing w:after="0"/>
              <w:rPr>
                <w:noProof/>
                <w:sz w:val="20"/>
              </w:rPr>
            </w:pPr>
            <w:r>
              <w:rPr>
                <w:noProof/>
                <w:sz w:val="20"/>
              </w:rPr>
              <w:t>опростяване на изискванията за документация, като се позволи използването на цифрови формати, което води до намаляване на административната тежест за икономическите оператори с допълнително положително въздействие върху разходите за околната среда;</w:t>
            </w:r>
          </w:p>
          <w:p>
            <w:pPr>
              <w:pStyle w:val="ListParagraph"/>
              <w:numPr>
                <w:ilvl w:val="0"/>
                <w:numId w:val="44"/>
              </w:numPr>
              <w:spacing w:after="0"/>
              <w:rPr>
                <w:noProof/>
                <w:sz w:val="20"/>
              </w:rPr>
            </w:pPr>
            <w:r>
              <w:rPr>
                <w:noProof/>
                <w:sz w:val="20"/>
              </w:rPr>
              <w:t>подобряване на правната яснота на някои основни понятия и определения в настоящия текст на директивата;</w:t>
            </w:r>
          </w:p>
          <w:p>
            <w:pPr>
              <w:pStyle w:val="ListParagraph"/>
              <w:numPr>
                <w:ilvl w:val="0"/>
                <w:numId w:val="44"/>
              </w:numPr>
              <w:spacing w:after="0"/>
              <w:rPr>
                <w:noProof/>
                <w:sz w:val="20"/>
              </w:rPr>
            </w:pPr>
            <w:r>
              <w:rPr>
                <w:noProof/>
                <w:sz w:val="20"/>
              </w:rPr>
              <w:t>гарантиране на съгласуваност с други директиви и регламенти за продуктите и подобряване на прилагането на законодателството чрез привеждане в съответствие с новата законодателна рамка;</w:t>
            </w:r>
          </w:p>
          <w:p>
            <w:pPr>
              <w:pStyle w:val="ListParagraph"/>
              <w:numPr>
                <w:ilvl w:val="0"/>
                <w:numId w:val="44"/>
              </w:numPr>
              <w:spacing w:after="0"/>
              <w:rPr>
                <w:noProof/>
                <w:sz w:val="20"/>
              </w:rPr>
            </w:pPr>
            <w:r>
              <w:rPr>
                <w:noProof/>
                <w:sz w:val="20"/>
              </w:rPr>
              <w:t>намаляване на разходите за транспониране чрез превръщане на директивата в регламент.</w:t>
            </w:r>
          </w:p>
          <w:p>
            <w:pPr>
              <w:spacing w:after="0"/>
              <w:rPr>
                <w:noProof/>
              </w:rPr>
            </w:pPr>
          </w:p>
          <w:p>
            <w:pPr>
              <w:spacing w:after="120"/>
              <w:rPr>
                <w:rFonts w:eastAsiaTheme="minorEastAsia" w:cstheme="minorBidi"/>
                <w:noProof/>
                <w:sz w:val="20"/>
              </w:rPr>
            </w:pPr>
            <w:r>
              <w:rPr>
                <w:noProof/>
                <w:sz w:val="20"/>
              </w:rPr>
              <w:t>Планирана дата на приемане: второ тримесечие/2021 г.; законодателна инициатива; правно основание: член 114 от ДФЕС. Предвижда се оценка на въздействието.</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tcBorders>
              <w:bottom w:val="single" w:sz="4" w:space="0" w:color="auto"/>
            </w:tcBorders>
            <w:shd w:val="clear" w:color="auto" w:fill="auto"/>
          </w:tcPr>
          <w:p>
            <w:pPr>
              <w:spacing w:after="120"/>
              <w:jc w:val="left"/>
              <w:rPr>
                <w:rFonts w:eastAsiaTheme="minorEastAsia" w:cstheme="minorBidi"/>
                <w:b/>
                <w:bCs/>
                <w:noProof/>
                <w:sz w:val="20"/>
              </w:rPr>
            </w:pPr>
            <w:r>
              <w:rPr>
                <w:b/>
                <w:noProof/>
                <w:sz w:val="20"/>
              </w:rPr>
              <w:t>Преразглеждане — компютризирани системи за резервация</w:t>
            </w:r>
          </w:p>
        </w:tc>
        <w:tc>
          <w:tcPr>
            <w:tcW w:w="9780" w:type="dxa"/>
            <w:tcBorders>
              <w:bottom w:val="single" w:sz="4" w:space="0" w:color="auto"/>
            </w:tcBorders>
          </w:tcPr>
          <w:p>
            <w:pPr>
              <w:spacing w:after="120"/>
              <w:rPr>
                <w:rFonts w:eastAsiaTheme="minorEastAsia" w:cstheme="minorBidi"/>
                <w:noProof/>
                <w:sz w:val="20"/>
              </w:rPr>
            </w:pPr>
            <w:r>
              <w:rPr>
                <w:noProof/>
                <w:sz w:val="20"/>
              </w:rPr>
              <w:t>С Регламента относно кодекс за поведение при КСР се създава регулаторна рамка за компютризирани системи за резервация (КСР) за продукти на въздушния транспорт. Като цяло общите цели на регламента бяха да се предотврати злоупотребата с пазарна мощ и да се гарантира ефективността на пазара и защитата на интересите на потребителите.</w:t>
            </w:r>
          </w:p>
          <w:p>
            <w:pPr>
              <w:spacing w:after="120"/>
              <w:rPr>
                <w:rFonts w:eastAsiaTheme="minorEastAsia" w:cstheme="minorBidi"/>
                <w:noProof/>
                <w:sz w:val="20"/>
              </w:rPr>
            </w:pPr>
            <w:r>
              <w:rPr>
                <w:noProof/>
                <w:sz w:val="20"/>
              </w:rPr>
              <w:t>Планирана дата на приемане: четвърто тримесечие/2021 г.; законодателна инициатива; правно основание: член 91 и член 100, параграф 2 от ДФЕС. Предвижда се оценка на въздействието.</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tcBorders>
              <w:bottom w:val="single" w:sz="4" w:space="0" w:color="auto"/>
            </w:tcBorders>
            <w:shd w:val="clear" w:color="auto" w:fill="auto"/>
          </w:tcPr>
          <w:p>
            <w:pPr>
              <w:spacing w:after="120"/>
              <w:jc w:val="left"/>
              <w:rPr>
                <w:b/>
                <w:noProof/>
                <w:sz w:val="20"/>
              </w:rPr>
            </w:pPr>
            <w:r>
              <w:rPr>
                <w:b/>
                <w:noProof/>
                <w:sz w:val="20"/>
              </w:rPr>
              <w:t>Оценка на Известието на Комисията относно определянето на пазара в правото на ЕС в областта на конкуренцията</w:t>
            </w:r>
          </w:p>
        </w:tc>
        <w:tc>
          <w:tcPr>
            <w:tcW w:w="9780" w:type="dxa"/>
            <w:tcBorders>
              <w:bottom w:val="single" w:sz="4" w:space="0" w:color="auto"/>
            </w:tcBorders>
          </w:tcPr>
          <w:p>
            <w:pPr>
              <w:spacing w:after="120"/>
              <w:rPr>
                <w:noProof/>
                <w:sz w:val="20"/>
              </w:rPr>
            </w:pPr>
            <w:r>
              <w:rPr>
                <w:noProof/>
                <w:sz w:val="20"/>
              </w:rPr>
              <w:t>През последните няколко години промените се извършват с все по-бързи темпове и светът става все по-цифровизиран и взаимосвързан.</w:t>
            </w:r>
          </w:p>
          <w:p>
            <w:pPr>
              <w:spacing w:after="120"/>
              <w:rPr>
                <w:noProof/>
                <w:sz w:val="20"/>
              </w:rPr>
            </w:pPr>
            <w:r>
              <w:rPr>
                <w:noProof/>
                <w:sz w:val="20"/>
              </w:rPr>
              <w:t>Настоящото известие за определяне на пазара датира от 1997 г. и поради това може да не разглежда всички уместни въпроси, възникващи днес при определянето на съответния продуктов и географски пазар. Комисията също така натрупа голям опит в определянето на пазара през всичките тези години, техниките в това отношение се развиха и съдилищата на ЕС предоставиха допълнителни насоки.</w:t>
            </w:r>
          </w:p>
          <w:p>
            <w:pPr>
              <w:spacing w:after="120"/>
              <w:rPr>
                <w:noProof/>
                <w:sz w:val="20"/>
              </w:rPr>
            </w:pPr>
            <w:r>
              <w:rPr>
                <w:noProof/>
                <w:sz w:val="20"/>
              </w:rPr>
              <w:t>Комисията ще оцени дали нейното Известие от 1997 г. относно определянето на пазара се нуждае от актуализиране, за да се гарантира, че то е точно и актуално и че в него се установява ясен и последователен подход към определянето на пазара, както по дела, свързани с антитръстовото законодателство, така и по дела за сливания в различни отрасли, по леснодостъпен начин. Комисията трябва да гарантира, че нейните насоки относно прилагането на антитръстовото законодателство и законодателството относно сливанията продължават да отчитат изцяло цифровизацията и технологичното развитие в настоящия глобален контекст.</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tcBorders>
              <w:bottom w:val="single" w:sz="4" w:space="0" w:color="auto"/>
            </w:tcBorders>
            <w:shd w:val="clear" w:color="auto" w:fill="auto"/>
          </w:tcPr>
          <w:p>
            <w:pPr>
              <w:spacing w:after="120"/>
              <w:jc w:val="left"/>
              <w:rPr>
                <w:b/>
                <w:noProof/>
                <w:sz w:val="20"/>
              </w:rPr>
            </w:pPr>
            <w:r>
              <w:rPr>
                <w:b/>
                <w:noProof/>
                <w:sz w:val="20"/>
              </w:rPr>
              <w:t>Оценка на правилата за държавна помощ за изграждане на широколентова инфраструктура</w:t>
            </w:r>
          </w:p>
        </w:tc>
        <w:tc>
          <w:tcPr>
            <w:tcW w:w="9780" w:type="dxa"/>
            <w:tcBorders>
              <w:bottom w:val="single" w:sz="4" w:space="0" w:color="auto"/>
            </w:tcBorders>
          </w:tcPr>
          <w:p>
            <w:pPr>
              <w:spacing w:after="120"/>
              <w:rPr>
                <w:noProof/>
                <w:sz w:val="20"/>
              </w:rPr>
            </w:pPr>
            <w:r>
              <w:rPr>
                <w:noProof/>
                <w:sz w:val="20"/>
              </w:rPr>
              <w:t>Правилата за държавна помощ, приложими за сектора на широколентовия достъп до интернет, имат за цел изграждането на стимулиращи конкуренцията широколентови мрежи, като се гарантира, че публичните средства се насочват към районите, които най-много се нуждаят от тях (предимно селски райони), и същевременно се предотвратява изтласкването на частните инвестиции. Оценката на тези правила има за цел да провери как те са функционирали, дали отговарят на технологичното и социално-икономическото развитие и дали са подходящи за постигане на новите цели на ЕС.</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tcBorders>
              <w:bottom w:val="single" w:sz="4" w:space="0" w:color="auto"/>
            </w:tcBorders>
            <w:shd w:val="clear" w:color="auto" w:fill="auto"/>
          </w:tcPr>
          <w:p>
            <w:pPr>
              <w:spacing w:after="120"/>
              <w:jc w:val="left"/>
              <w:rPr>
                <w:b/>
                <w:noProof/>
                <w:sz w:val="20"/>
              </w:rPr>
            </w:pPr>
            <w:r>
              <w:rPr>
                <w:b/>
                <w:noProof/>
                <w:sz w:val="20"/>
              </w:rPr>
              <w:t>Оценка на правилата за държавна помощ за здравни и социални услуги от общ икономически интерес</w:t>
            </w:r>
          </w:p>
        </w:tc>
        <w:tc>
          <w:tcPr>
            <w:tcW w:w="9780" w:type="dxa"/>
            <w:tcBorders>
              <w:bottom w:val="single" w:sz="4" w:space="0" w:color="auto"/>
            </w:tcBorders>
          </w:tcPr>
          <w:p>
            <w:pPr>
              <w:spacing w:after="120"/>
              <w:rPr>
                <w:noProof/>
                <w:sz w:val="20"/>
              </w:rPr>
            </w:pPr>
            <w:r>
              <w:rPr>
                <w:noProof/>
                <w:sz w:val="20"/>
              </w:rPr>
              <w:t>Целта на оценката е да се провери до каква степен правилата за здравните и социалните услуги от общ икономически интерес (УОИИ) са постигнали целите, предвидени в пакета за УОИИ от 2012 г., а именно да се подпомогнат държавите членки при финансирането на услуги от общ икономически интерес, които са от ключово значение за гражданите и обществото като цяло, като същевременно се запазят основните аспекти на контрола върху държавните помощи.</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tcBorders>
              <w:bottom w:val="single" w:sz="4" w:space="0" w:color="auto"/>
            </w:tcBorders>
            <w:shd w:val="clear" w:color="auto" w:fill="auto"/>
          </w:tcPr>
          <w:p>
            <w:pPr>
              <w:spacing w:after="120"/>
              <w:jc w:val="left"/>
              <w:rPr>
                <w:b/>
                <w:noProof/>
                <w:sz w:val="20"/>
              </w:rPr>
            </w:pPr>
            <w:r>
              <w:rPr>
                <w:b/>
                <w:noProof/>
                <w:sz w:val="20"/>
              </w:rPr>
              <w:t>Оценка на „Новата законодателна рамка за продуктите“ (Решение № 768/2008/ЕО относно обща рамка за предлагането на пазара на продукти и разпоредбите за акредитация и маркировка „СЕ“ от Регламент (ЕО) № 765/2008)</w:t>
            </w:r>
          </w:p>
        </w:tc>
        <w:tc>
          <w:tcPr>
            <w:tcW w:w="9780" w:type="dxa"/>
            <w:tcBorders>
              <w:bottom w:val="single" w:sz="4" w:space="0" w:color="auto"/>
            </w:tcBorders>
          </w:tcPr>
          <w:p>
            <w:pPr>
              <w:spacing w:after="120"/>
              <w:rPr>
                <w:noProof/>
                <w:sz w:val="20"/>
              </w:rPr>
            </w:pPr>
            <w:r>
              <w:rPr>
                <w:noProof/>
                <w:sz w:val="20"/>
              </w:rPr>
              <w:t>Целта на тази оценка е да се преценят ефективността, ефикасността, целесъобразността, съгласуваността и добавената стойност от ЕС на Решение № 768/2008/ЕО относно обща рамка за предлагането на пазара на продукти и разпоредбите за акредитация и маркировка „СЕ“ от Регламент (ЕО) № 765/2008. Следва също така да се прецени дали тези инструменти са пригодни за цифровата ера и за по-екологична икономика и дали ускоряват нашия екологичен и цифров преход и нашата икономическа устойчивост.</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tcBorders>
              <w:bottom w:val="single" w:sz="4" w:space="0" w:color="auto"/>
            </w:tcBorders>
            <w:shd w:val="clear" w:color="auto" w:fill="auto"/>
          </w:tcPr>
          <w:p>
            <w:pPr>
              <w:spacing w:after="120"/>
              <w:jc w:val="left"/>
              <w:rPr>
                <w:b/>
                <w:noProof/>
                <w:sz w:val="20"/>
              </w:rPr>
            </w:pPr>
            <w:r>
              <w:rPr>
                <w:b/>
                <w:noProof/>
                <w:sz w:val="20"/>
              </w:rPr>
              <w:t>Оценка на Директива 2014/30/ЕС за електромагнитната съвместимост</w:t>
            </w:r>
          </w:p>
        </w:tc>
        <w:tc>
          <w:tcPr>
            <w:tcW w:w="9780" w:type="dxa"/>
            <w:tcBorders>
              <w:bottom w:val="single" w:sz="4" w:space="0" w:color="auto"/>
            </w:tcBorders>
          </w:tcPr>
          <w:p>
            <w:pPr>
              <w:spacing w:after="120"/>
              <w:rPr>
                <w:noProof/>
                <w:sz w:val="20"/>
              </w:rPr>
            </w:pPr>
            <w:r>
              <w:rPr>
                <w:noProof/>
                <w:sz w:val="20"/>
              </w:rPr>
              <w:t>Директива 2014/30/ЕС за електромагнитната съвместимост (ДЕМС) се отнася до електрическото оборудване, пуснато на пазара на ЕС. В нейния обхват са включени голям и нарастващ брой продукти както за потребителска, така и за професионална употреба.</w:t>
            </w:r>
          </w:p>
          <w:p>
            <w:pPr>
              <w:rPr>
                <w:noProof/>
                <w:sz w:val="20"/>
              </w:rPr>
            </w:pPr>
            <w:r>
              <w:rPr>
                <w:noProof/>
                <w:sz w:val="20"/>
              </w:rPr>
              <w:t>Целите на ДЕМС са да се гарантира функционирането на вътрешния пазар, като се изисква оборудването да отговаря на адекватно ниво на електромагнитна съвместимост. По-конкретно директивата се стреми да гарантира, че електромагнитните смущения, предизвикани от оборудването, не засягат правилното функциониране на друго такова оборудване и че това оборудване има подходящо ниво на устойчивост на електромагнитни смущения, така че да може да функционира по предназначение.</w:t>
            </w:r>
          </w:p>
          <w:p>
            <w:pPr>
              <w:spacing w:after="120"/>
              <w:rPr>
                <w:noProof/>
                <w:sz w:val="20"/>
              </w:rPr>
            </w:pPr>
            <w:r>
              <w:rPr>
                <w:noProof/>
                <w:sz w:val="20"/>
              </w:rPr>
              <w:t>Целта на оценката е да се прецени дали ДЕМС все още е пригодна за целта по отношение на ефективността, ефикасността, целесъобразността, съгласуваността и добавената стойност от ЕС.</w:t>
            </w:r>
          </w:p>
        </w:tc>
      </w:tr>
      <w:tr>
        <w:trPr>
          <w:cantSplit/>
        </w:trPr>
        <w:tc>
          <w:tcPr>
            <w:tcW w:w="14827" w:type="dxa"/>
            <w:gridSpan w:val="3"/>
            <w:shd w:val="clear" w:color="auto" w:fill="F68A42" w:themeFill="accent3"/>
          </w:tcPr>
          <w:p>
            <w:pPr>
              <w:keepNext/>
              <w:spacing w:before="60" w:after="120"/>
              <w:rPr>
                <w:rFonts w:eastAsiaTheme="minorEastAsia" w:cstheme="minorBidi"/>
                <w:noProof/>
                <w:sz w:val="20"/>
              </w:rPr>
            </w:pPr>
            <w:r>
              <w:rPr>
                <w:b/>
                <w:bCs/>
                <w:noProof/>
                <w:color w:val="FFFFFF" w:themeColor="background1"/>
                <w:sz w:val="20"/>
              </w:rPr>
              <w:t>Икономика в интерес на хората</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tcPr>
          <w:p>
            <w:pPr>
              <w:spacing w:after="120" w:line="276" w:lineRule="auto"/>
              <w:jc w:val="left"/>
              <w:rPr>
                <w:rFonts w:eastAsiaTheme="minorEastAsia" w:cstheme="minorBidi"/>
                <w:b/>
                <w:bCs/>
                <w:noProof/>
                <w:sz w:val="20"/>
              </w:rPr>
            </w:pPr>
            <w:r>
              <w:rPr>
                <w:b/>
                <w:noProof/>
                <w:sz w:val="20"/>
              </w:rPr>
              <w:t>Преразглеждане на Регламент (ЕС) № 909/2014 на Европейския парламент и на Съвета от 23 юли 2014 г. относно подобряването на сетълмента на ценни книжа в Европейския съюз и относно централните депозитари на ценни книжа и за изменение на директиви 98/26/ЕО и 2014/65/ЕС и Регламент (ЕС) № 236/2012 (Регламент за ЦДЦК)</w:t>
            </w:r>
          </w:p>
        </w:tc>
        <w:tc>
          <w:tcPr>
            <w:tcW w:w="9780" w:type="dxa"/>
          </w:tcPr>
          <w:p>
            <w:pPr>
              <w:spacing w:after="120"/>
              <w:rPr>
                <w:rFonts w:eastAsiaTheme="minorEastAsia" w:cstheme="minorBidi"/>
                <w:noProof/>
                <w:sz w:val="20"/>
              </w:rPr>
            </w:pPr>
            <w:r>
              <w:rPr>
                <w:noProof/>
                <w:sz w:val="20"/>
              </w:rPr>
              <w:t>Инициативата се основава на опита, натрупан шест години след влизането в сила на Регламента за ЦДЦК, като в ограничен брой области възникнаха практически въпроси, свързани с прилагането на новата рамка. Поради това в предстоящото предложение ще бъдат определени редица целеви изменения на Регламента за ЦДЦК, насочени към опростяване на правилата, както и към това, да бъдат направени по-пропорционални и по-малко обременяващи за заинтересованите страни.</w:t>
            </w:r>
          </w:p>
          <w:p>
            <w:pPr>
              <w:spacing w:after="0"/>
              <w:rPr>
                <w:rFonts w:eastAsiaTheme="minorEastAsia" w:cstheme="minorBidi"/>
                <w:noProof/>
                <w:sz w:val="20"/>
              </w:rPr>
            </w:pPr>
            <w:r>
              <w:rPr>
                <w:noProof/>
                <w:sz w:val="20"/>
              </w:rPr>
              <w:t>Тези области могат да включват:</w:t>
            </w:r>
          </w:p>
          <w:p>
            <w:pPr>
              <w:spacing w:after="0"/>
              <w:rPr>
                <w:rFonts w:eastAsiaTheme="minorEastAsia" w:cstheme="minorBidi"/>
                <w:noProof/>
                <w:sz w:val="20"/>
              </w:rPr>
            </w:pPr>
            <w:r>
              <w:rPr>
                <w:noProof/>
                <w:sz w:val="20"/>
              </w:rPr>
              <w:t>а) трансгранично предоставяне на услуги от ЦДЦК от Съюза и обработване на съответните заявления;</w:t>
            </w:r>
          </w:p>
          <w:p>
            <w:pPr>
              <w:spacing w:after="0"/>
              <w:rPr>
                <w:rFonts w:eastAsiaTheme="minorEastAsia" w:cstheme="minorBidi"/>
                <w:noProof/>
                <w:sz w:val="20"/>
              </w:rPr>
            </w:pPr>
            <w:r>
              <w:rPr>
                <w:noProof/>
                <w:sz w:val="20"/>
              </w:rPr>
              <w:t>б) процедурите и условията, при които ЦДЦК са оправомощени да определят кредитни институции или сами да предоставят спомагателни услуги от банков тип;</w:t>
            </w:r>
          </w:p>
          <w:p>
            <w:pPr>
              <w:spacing w:after="0"/>
              <w:rPr>
                <w:rFonts w:eastAsiaTheme="minorEastAsia" w:cstheme="minorBidi"/>
                <w:noProof/>
                <w:sz w:val="20"/>
              </w:rPr>
            </w:pPr>
            <w:r>
              <w:rPr>
                <w:noProof/>
                <w:sz w:val="20"/>
              </w:rPr>
              <w:t>в) правила относно интернализирания сетълмент;</w:t>
            </w:r>
          </w:p>
          <w:p>
            <w:pPr>
              <w:spacing w:after="120"/>
              <w:rPr>
                <w:rFonts w:eastAsiaTheme="minorEastAsia" w:cstheme="minorBidi"/>
                <w:noProof/>
                <w:sz w:val="20"/>
              </w:rPr>
            </w:pPr>
            <w:r>
              <w:rPr>
                <w:noProof/>
                <w:sz w:val="20"/>
              </w:rPr>
              <w:t>г) финансови технологии/използване на технологични иновации.</w:t>
            </w:r>
          </w:p>
          <w:p>
            <w:pPr>
              <w:spacing w:after="120"/>
              <w:rPr>
                <w:rFonts w:eastAsiaTheme="minorEastAsia" w:cstheme="minorBidi"/>
                <w:noProof/>
                <w:sz w:val="20"/>
              </w:rPr>
            </w:pPr>
            <w:r>
              <w:rPr>
                <w:noProof/>
                <w:sz w:val="20"/>
              </w:rPr>
              <w:t>Планирана дата на приемане: второ тримесечие /2021 г.; законодателна инициатива; правно основание: член 114 от ДФЕС. Предвижда се оценка на въздействието.</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tcPr>
          <w:p>
            <w:pPr>
              <w:spacing w:after="120"/>
              <w:jc w:val="left"/>
              <w:rPr>
                <w:rFonts w:eastAsiaTheme="minorEastAsia" w:cstheme="minorBidi"/>
                <w:b/>
                <w:bCs/>
                <w:noProof/>
                <w:sz w:val="20"/>
              </w:rPr>
            </w:pPr>
            <w:r>
              <w:rPr>
                <w:b/>
                <w:noProof/>
                <w:sz w:val="20"/>
              </w:rPr>
              <w:t>Оценка на три регламента за правата на пътниците относно: правата на хората с увреждания и на хората с намалена подвижност при пътувания с въздушен транспорт (Регламент № 1107/2006), правата на пътниците, пътуващи по море или по вътрешни водни пътища (Регламент (ЕС) № 1177/2010), както и правата на пътниците в автобусния транспорт (Регламент (ЕС) № 181/2011)</w:t>
            </w:r>
          </w:p>
        </w:tc>
        <w:tc>
          <w:tcPr>
            <w:tcW w:w="9780" w:type="dxa"/>
          </w:tcPr>
          <w:p>
            <w:pPr>
              <w:spacing w:after="120"/>
              <w:rPr>
                <w:rFonts w:eastAsiaTheme="minorEastAsia" w:cstheme="minorBidi"/>
                <w:bCs/>
                <w:noProof/>
                <w:sz w:val="20"/>
              </w:rPr>
            </w:pPr>
            <w:r>
              <w:rPr>
                <w:bCs/>
                <w:noProof/>
                <w:sz w:val="20"/>
              </w:rPr>
              <w:t>Въз основа на заключенията от оценката, проучване за сравнителен анализ на добрите практики в областта на правата на пътниците във всички видове транспорт, резултатите от текущите законодателни процедури за правата на пътниците във въздушния и железопътния транспорт, както и отчитане на поуките от пандемията от COVID-19 в областта на правата на пътниците.</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tcPr>
          <w:p>
            <w:pPr>
              <w:spacing w:after="120"/>
              <w:jc w:val="left"/>
              <w:rPr>
                <w:rFonts w:eastAsiaTheme="minorEastAsia" w:cstheme="minorBidi"/>
                <w:b/>
                <w:bCs/>
                <w:noProof/>
                <w:sz w:val="20"/>
              </w:rPr>
            </w:pPr>
            <w:r>
              <w:rPr>
                <w:b/>
                <w:noProof/>
                <w:sz w:val="20"/>
              </w:rPr>
              <w:t xml:space="preserve">Междинна оценка на прилагането на Митническия кодекс на Съюза </w:t>
            </w:r>
          </w:p>
        </w:tc>
        <w:tc>
          <w:tcPr>
            <w:tcW w:w="9780" w:type="dxa"/>
          </w:tcPr>
          <w:p>
            <w:pPr>
              <w:spacing w:after="120"/>
              <w:rPr>
                <w:rFonts w:eastAsiaTheme="minorEastAsia" w:cstheme="minorBidi"/>
                <w:noProof/>
                <w:color w:val="000000" w:themeColor="text1"/>
                <w:sz w:val="20"/>
              </w:rPr>
            </w:pPr>
            <w:r>
              <w:rPr>
                <w:noProof/>
                <w:color w:val="000000" w:themeColor="text1"/>
                <w:sz w:val="20"/>
              </w:rPr>
              <w:t>Оценката ще предостави цялостна преценка на прилагането и въздействието на правната и информационно-технологична рамка на МКС, както на равнището на ЕС, така и на равнището на държавите членки, от влизането му в сила през 2016 г. МКС има за цел, наред с другото, да рационализира митническите правила, процедури и процеси, да постигне среда изцяло без документи на хартиен носител и да укрепи правната сигурност и предвидимостта на митническите правила. Предмет на оценката ще бъде балансът между митническия контрол и улесняването на търговията, както и степента, в която настоящите правила подпомагат законната икономическа дейност и предотвратяват нелоялната или незаконната търговия. Що се отнася до информационните системи, проучването следва да оцени дали автоматизираните процеси, определени в пакета за МКС, са дали възможност за засилено сътрудничество между митническите органи и за оперативна съвместимост между различните електронни системи. При оценката ще се направи опит да се преценят всички разходи по прилагането на МКС, заедно с неговите електронни системи, както и ползите от по-безопасна, по-съобразена с изискванията търговия и по-бързи процедури. След това двата критерия следва да се съпоставят помежду си, за да се оцени съотношението и да се прецени цялостната изгода. Тази оценка следва да включва регулаторните разходи и ползи, свързани с изпълнението и прилагането на МКС за всички съответни заинтересовани страни (разходи за привеждане в съответствие, административни разходи, административна тежест, ползи, икономии), както и потенциала за по-нататъшно опростяване и намаляване на тежестта, без обаче да бъдат застрашени митническите цели.</w:t>
            </w:r>
          </w:p>
        </w:tc>
      </w:tr>
      <w:tr>
        <w:trPr>
          <w:cantSplit/>
        </w:trPr>
        <w:tc>
          <w:tcPr>
            <w:tcW w:w="14827" w:type="dxa"/>
            <w:gridSpan w:val="3"/>
            <w:shd w:val="clear" w:color="auto" w:fill="DA5C57" w:themeFill="accent6"/>
          </w:tcPr>
          <w:p>
            <w:pPr>
              <w:keepNext/>
              <w:spacing w:before="60" w:after="120"/>
              <w:rPr>
                <w:b/>
                <w:bCs/>
                <w:noProof/>
                <w:sz w:val="20"/>
              </w:rPr>
            </w:pPr>
            <w:r>
              <w:rPr>
                <w:b/>
                <w:bCs/>
                <w:noProof/>
                <w:color w:val="FFFFFF" w:themeColor="background1"/>
                <w:sz w:val="20"/>
              </w:rPr>
              <w:t>Утвърждаване на европейския ни начин на живот</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spacing w:after="120"/>
              <w:jc w:val="left"/>
              <w:rPr>
                <w:rFonts w:eastAsiaTheme="minorEastAsia" w:cstheme="minorBidi"/>
                <w:b/>
                <w:bCs/>
                <w:noProof/>
                <w:sz w:val="20"/>
              </w:rPr>
            </w:pPr>
            <w:r>
              <w:rPr>
                <w:b/>
                <w:noProof/>
                <w:sz w:val="20"/>
              </w:rPr>
              <w:t>Преразглеждане на Директива 2003/109/EО за дългосрочно пребиваващите лица</w:t>
            </w:r>
          </w:p>
        </w:tc>
        <w:tc>
          <w:tcPr>
            <w:tcW w:w="9780" w:type="dxa"/>
            <w:tcBorders>
              <w:bottom w:val="single" w:sz="4" w:space="0" w:color="auto"/>
            </w:tcBorders>
          </w:tcPr>
          <w:p>
            <w:pPr>
              <w:spacing w:after="120"/>
              <w:rPr>
                <w:rFonts w:eastAsiaTheme="minorEastAsia" w:cstheme="minorBidi"/>
                <w:noProof/>
                <w:sz w:val="20"/>
              </w:rPr>
            </w:pPr>
            <w:r>
              <w:rPr>
                <w:noProof/>
                <w:sz w:val="20"/>
              </w:rPr>
              <w:t>Като последващо действие във връзка с проверката за пригодност от 2019 г. по отношение на законната миграция, преразглеждането на Директивата за дългосрочно пребиваващите лица ще има за цел да подобри нейната ефективност, по-специално правата на мобилност в рамките на ЕС.</w:t>
            </w:r>
          </w:p>
          <w:p>
            <w:pPr>
              <w:spacing w:after="120"/>
              <w:rPr>
                <w:rFonts w:eastAsiaTheme="minorEastAsia" w:cstheme="minorBidi"/>
                <w:noProof/>
                <w:sz w:val="20"/>
              </w:rPr>
            </w:pPr>
            <w:r>
              <w:rPr>
                <w:noProof/>
                <w:sz w:val="20"/>
              </w:rPr>
              <w:t>Планирана дата на приемане: трето тримесечие/2021 г.; законодателна инициатива; правно основание: член 79, параграф 2 от ДФЕС. Предвижда се оценка на въздействието.</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spacing w:after="120"/>
              <w:jc w:val="left"/>
              <w:rPr>
                <w:rFonts w:eastAsiaTheme="minorEastAsia" w:cstheme="minorBidi"/>
                <w:b/>
                <w:bCs/>
                <w:noProof/>
                <w:sz w:val="20"/>
              </w:rPr>
            </w:pPr>
            <w:r>
              <w:rPr>
                <w:b/>
                <w:noProof/>
                <w:sz w:val="20"/>
              </w:rPr>
              <w:t>Преразглеждане на Директива 2011/98/EО относно единното разрешение</w:t>
            </w:r>
          </w:p>
        </w:tc>
        <w:tc>
          <w:tcPr>
            <w:tcW w:w="9780" w:type="dxa"/>
            <w:tcBorders>
              <w:bottom w:val="single" w:sz="4" w:space="0" w:color="auto"/>
            </w:tcBorders>
          </w:tcPr>
          <w:p>
            <w:pPr>
              <w:spacing w:after="120"/>
              <w:rPr>
                <w:rFonts w:eastAsiaTheme="minorEastAsia" w:cstheme="minorBidi"/>
                <w:noProof/>
                <w:sz w:val="20"/>
              </w:rPr>
            </w:pPr>
            <w:r>
              <w:rPr>
                <w:noProof/>
                <w:sz w:val="20"/>
              </w:rPr>
              <w:t>Като последващо действие във връзка с проверката за пригодност от 2019 г. по отношение на законната миграция, преразглеждането на Директивата относно единното разрешение ще има за цел да опрости и изясни нейния обхват и да гарантира минимална хармонизация на условията за прием и пребиваване за нискоквалифицираните и средноквалифицираните работници.</w:t>
            </w:r>
          </w:p>
          <w:p>
            <w:pPr>
              <w:spacing w:after="120"/>
              <w:rPr>
                <w:rFonts w:eastAsiaTheme="minorEastAsia" w:cstheme="minorBidi"/>
                <w:noProof/>
                <w:sz w:val="20"/>
              </w:rPr>
            </w:pPr>
            <w:r>
              <w:rPr>
                <w:noProof/>
                <w:sz w:val="20"/>
              </w:rPr>
              <w:t>Планирана дата на приемане: четвърто тримесечие/2021 г.; законодателна инициатива; правно основание: член 79, параграф 2 от ДФЕС. Предвижда се оценка на въздействието.</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spacing w:after="120"/>
              <w:jc w:val="left"/>
              <w:rPr>
                <w:b/>
                <w:noProof/>
                <w:sz w:val="20"/>
              </w:rPr>
            </w:pPr>
            <w:r>
              <w:rPr>
                <w:b/>
                <w:noProof/>
                <w:sz w:val="20"/>
              </w:rPr>
              <w:t>Преразглеждане на Регламент (ЕО) № 258/2012 относно разрешенията за износ и мерките за внос и транзит на огнестрелни оръжия</w:t>
            </w:r>
          </w:p>
        </w:tc>
        <w:tc>
          <w:tcPr>
            <w:tcW w:w="9780" w:type="dxa"/>
            <w:tcBorders>
              <w:bottom w:val="single" w:sz="4" w:space="0" w:color="auto"/>
            </w:tcBorders>
          </w:tcPr>
          <w:p>
            <w:pPr>
              <w:spacing w:after="120"/>
              <w:rPr>
                <w:rFonts w:eastAsiaTheme="minorEastAsia" w:cstheme="minorBidi"/>
                <w:noProof/>
                <w:sz w:val="20"/>
              </w:rPr>
            </w:pPr>
            <w:r>
              <w:rPr>
                <w:noProof/>
                <w:sz w:val="20"/>
              </w:rPr>
              <w:t>Цели се следното: подобряване на проследимостта на огнестрелните оръжия (хармонизирани маркировки за внос), подобряване на обмена на информация между националните органи, повишаване на сигурността на процедурите за контрол на износа и вноса, усъвършенстван подход към вноса на лесно видоизменяеми предупредителни и сигнални оръжия, прилагане на режима за защита на лицата, сигнализиращи за нередности, въведен с Директива (EС) 2019/1937, спрямо лицата, които докладват за нарушения на изменения регламент.</w:t>
            </w:r>
          </w:p>
          <w:p>
            <w:pPr>
              <w:spacing w:after="120"/>
              <w:rPr>
                <w:rFonts w:eastAsiaTheme="minorEastAsia" w:cstheme="minorBidi"/>
                <w:noProof/>
                <w:sz w:val="20"/>
              </w:rPr>
            </w:pPr>
            <w:r>
              <w:rPr>
                <w:noProof/>
                <w:sz w:val="20"/>
              </w:rPr>
              <w:t xml:space="preserve">Планирана дата на приемане: четвърто тримесечие/2021 г.; законодателна инициатива; правно основание: член 207 от ДФЕС. Предвижда се оценка на въздействието. </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spacing w:after="120"/>
              <w:jc w:val="left"/>
              <w:rPr>
                <w:rFonts w:eastAsiaTheme="minorEastAsia" w:cstheme="minorBidi"/>
                <w:b/>
                <w:bCs/>
                <w:noProof/>
                <w:sz w:val="20"/>
              </w:rPr>
            </w:pPr>
            <w:r>
              <w:rPr>
                <w:b/>
                <w:bCs/>
                <w:noProof/>
                <w:sz w:val="20"/>
              </w:rPr>
              <w:t>Преразглеждане — разследване на морски произшествия</w:t>
            </w:r>
          </w:p>
        </w:tc>
        <w:tc>
          <w:tcPr>
            <w:tcW w:w="9780" w:type="dxa"/>
            <w:tcBorders>
              <w:bottom w:val="single" w:sz="4" w:space="0" w:color="auto"/>
            </w:tcBorders>
          </w:tcPr>
          <w:p>
            <w:pPr>
              <w:spacing w:after="120"/>
              <w:rPr>
                <w:rFonts w:eastAsiaTheme="minorEastAsia" w:cstheme="minorBidi"/>
                <w:noProof/>
                <w:sz w:val="20"/>
              </w:rPr>
            </w:pPr>
            <w:r>
              <w:rPr>
                <w:noProof/>
                <w:sz w:val="20"/>
              </w:rPr>
              <w:t>Създаването на постоянен орган за разследване на произшествия, разполагащ с адекватни ресурси и експертен опит, който да е в състояние да реагира в кратки срокове, се смята за голяма ресурсна тежест и времеемка задача за по-малките държави членки и държавите с малки флотове. В резултат на това произшествията не се докладват или разследванията не се извършват своевременно, експертно и независимо, с възможни последици по отношение на безопасността и възникването на произшествия. Поради това преразглеждането би могло да спомогне за по-целенасочено използване на ресурсите и за преодоляване на недостига на експертен опит.</w:t>
            </w:r>
          </w:p>
          <w:p>
            <w:pPr>
              <w:spacing w:after="120"/>
              <w:rPr>
                <w:rFonts w:eastAsiaTheme="minorEastAsia" w:cstheme="minorBidi"/>
                <w:noProof/>
                <w:sz w:val="20"/>
              </w:rPr>
            </w:pPr>
            <w:r>
              <w:rPr>
                <w:noProof/>
                <w:sz w:val="20"/>
              </w:rPr>
              <w:t>Планирана дата на приемане: четвърто тримесечие/2021 г.; законодателна инициатива; правно основание: член 100, параграф 2 от ДФЕС. Предвижда се оценка на въздействието.</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tabs>
                <w:tab w:val="left" w:pos="1260"/>
              </w:tabs>
              <w:spacing w:after="120"/>
              <w:jc w:val="left"/>
              <w:rPr>
                <w:rFonts w:eastAsiaTheme="minorEastAsia" w:cstheme="minorBidi"/>
                <w:b/>
                <w:bCs/>
                <w:noProof/>
                <w:sz w:val="20"/>
              </w:rPr>
            </w:pPr>
            <w:r>
              <w:rPr>
                <w:b/>
                <w:bCs/>
                <w:noProof/>
                <w:sz w:val="20"/>
              </w:rPr>
              <w:t>Преразглеждане — държавен пристанищен контрол</w:t>
            </w:r>
          </w:p>
        </w:tc>
        <w:tc>
          <w:tcPr>
            <w:tcW w:w="9780" w:type="dxa"/>
            <w:tcBorders>
              <w:bottom w:val="single" w:sz="4" w:space="0" w:color="auto"/>
            </w:tcBorders>
          </w:tcPr>
          <w:p>
            <w:pPr>
              <w:spacing w:after="120"/>
              <w:rPr>
                <w:rFonts w:eastAsiaTheme="minorEastAsia" w:cstheme="minorBidi"/>
                <w:noProof/>
                <w:sz w:val="20"/>
              </w:rPr>
            </w:pPr>
            <w:r>
              <w:rPr>
                <w:noProof/>
                <w:sz w:val="20"/>
              </w:rPr>
              <w:t>При преразглеждането ще се проучи възможността за по-широко използване на електронна информация, за да се способства за по-целенасочени инспекции. Това би позволило инспекциите да се съсредоточат върху оперативни въпроси, а не само върху проверка на документацията. Също така ще се даде възможност за по-голямо съсредоточаване върху въпросите, свързани с околната среда, и за разработване на механизъм за стимулиране на по-ново/по-екологосъобразно и качествено корабоплаване. Това ще помогне на държавите членки при задържането на работа и обучението на инспектори с подходяща квалификация и използването на базата данни за инспекциите, за да се даде възможност за по-добро споделяне на тежестта между държавите членки. При преразглеждането ще се проучи възможността за разширяване на обхвата на инспекциите, така че да се включат и чуждестранните риболовни кораби, за които е доказано, че са особено опасни.</w:t>
            </w:r>
          </w:p>
          <w:p>
            <w:pPr>
              <w:spacing w:after="120"/>
              <w:rPr>
                <w:rFonts w:eastAsiaTheme="minorEastAsia" w:cstheme="minorBidi"/>
                <w:noProof/>
                <w:sz w:val="20"/>
              </w:rPr>
            </w:pPr>
            <w:r>
              <w:rPr>
                <w:noProof/>
                <w:sz w:val="20"/>
              </w:rPr>
              <w:t>Планирана дата на приемане: четвърто тримесечие/2021 г.; законодателна инициатива; правно основание: член 100, параграф 2 от ДФЕС. Предвижда се оценка на въздействието.</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spacing w:after="120"/>
              <w:rPr>
                <w:rFonts w:eastAsiaTheme="minorEastAsia" w:cstheme="minorBidi"/>
                <w:b/>
                <w:bCs/>
                <w:noProof/>
                <w:sz w:val="20"/>
              </w:rPr>
            </w:pPr>
            <w:r>
              <w:rPr>
                <w:b/>
                <w:bCs/>
                <w:noProof/>
                <w:sz w:val="20"/>
              </w:rPr>
              <w:t>Преразглеждане — контрол от страна на държавата на знамето</w:t>
            </w:r>
          </w:p>
          <w:p>
            <w:pPr>
              <w:tabs>
                <w:tab w:val="left" w:pos="1260"/>
              </w:tabs>
              <w:spacing w:after="120"/>
              <w:jc w:val="left"/>
              <w:rPr>
                <w:rFonts w:eastAsiaTheme="minorEastAsia" w:cstheme="minorBidi"/>
                <w:b/>
                <w:bCs/>
                <w:noProof/>
                <w:sz w:val="20"/>
                <w:lang w:eastAsia="en-US"/>
              </w:rPr>
            </w:pPr>
          </w:p>
        </w:tc>
        <w:tc>
          <w:tcPr>
            <w:tcW w:w="9780" w:type="dxa"/>
            <w:tcBorders>
              <w:bottom w:val="single" w:sz="4" w:space="0" w:color="auto"/>
            </w:tcBorders>
          </w:tcPr>
          <w:p>
            <w:pPr>
              <w:spacing w:after="120"/>
              <w:rPr>
                <w:rFonts w:eastAsiaTheme="minorEastAsia" w:cstheme="minorBidi"/>
                <w:noProof/>
                <w:sz w:val="20"/>
              </w:rPr>
            </w:pPr>
            <w:r>
              <w:rPr>
                <w:noProof/>
                <w:sz w:val="20"/>
              </w:rPr>
              <w:t>На първо място, преразглеждането ще представлява привеждане в съответствие с вече договорените правила в контекста на Международната морска организация (ММО). От гледна точка на възможното опростяване обаче то ще разгледа възможността за модернизиране на корабните регистри на държавите членки в посока на електронни регистри за съхраняването и обмена на електронни удостоверения (свързани с корабите). Това следва да подпомогне по-ефективните услуги, както и контрола и наблюдението на плавателните съдове, плаващи под техен флаг. То също така е свързано с целта за опростяване и намаляването на административната тежест на държавния пристанищен контрол както за администрациите, така и за промишлеността (по-кратко време на обработка на корабите в пристанищата). В допълнение това би дало възможност за по-голямо съсредоточаване върху въпросите, свързани с околната среда, що се отнася до разработването на стимули (възнаграждение за спазване на изискванията, а не само санкции за неспазване) за качествените и екологосъобразни оператори. Посредством подобрената програма за изграждане на капацитет на Европейската агенция за морска безопасност тя ще подкрепя държавите членки при непрестанното актуализиране и обмен на най-добри практики (като се избягва „преоткриване на колелото“ на национално равнище). Същевременно при преразглеждането ще се работи за по-голяма хармонизация и общо разбиране в полза на хармонизиран подход на ЕС както за администрациите, така и за промишлеността; за цялостно подобряване на привлекателността и конкурентоспособността, като същевременно се поддържат високи нива на безопасност, сигурност и предотвратяване на замърсяване.</w:t>
            </w:r>
          </w:p>
          <w:p>
            <w:pPr>
              <w:spacing w:after="120"/>
              <w:rPr>
                <w:rFonts w:eastAsiaTheme="minorEastAsia" w:cstheme="minorBidi"/>
                <w:noProof/>
                <w:sz w:val="20"/>
              </w:rPr>
            </w:pPr>
            <w:r>
              <w:rPr>
                <w:noProof/>
                <w:sz w:val="20"/>
              </w:rPr>
              <w:t>Планирана дата на приемане: четвърто тримесечие/2021 г.; законодателна инициатива; правно основание: член 100, параграф 2 от ДФЕС. Предвижда се оценка на въздействието.</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spacing w:after="120"/>
              <w:rPr>
                <w:rFonts w:eastAsiaTheme="minorEastAsia" w:cstheme="minorBidi"/>
                <w:b/>
                <w:bCs/>
                <w:noProof/>
                <w:sz w:val="20"/>
              </w:rPr>
            </w:pPr>
            <w:r>
              <w:rPr>
                <w:b/>
                <w:bCs/>
                <w:noProof/>
                <w:sz w:val="20"/>
              </w:rPr>
              <w:t>Преразглеждане на законодателството в областта на кръвта, тъканите и клетките</w:t>
            </w:r>
          </w:p>
        </w:tc>
        <w:tc>
          <w:tcPr>
            <w:tcW w:w="9780" w:type="dxa"/>
            <w:tcBorders>
              <w:bottom w:val="single" w:sz="4" w:space="0" w:color="auto"/>
            </w:tcBorders>
          </w:tcPr>
          <w:p>
            <w:pPr>
              <w:spacing w:after="120"/>
              <w:rPr>
                <w:rFonts w:eastAsiaTheme="minorEastAsia" w:cstheme="minorBidi"/>
                <w:noProof/>
                <w:sz w:val="20"/>
              </w:rPr>
            </w:pPr>
            <w:r>
              <w:rPr>
                <w:noProof/>
                <w:sz w:val="20"/>
              </w:rPr>
              <w:t>Преразглеждането на Директива 2002/98/EО относно безопасността и качеството на човешката кръв и кръвните съставки и на Директива 2004/23/ЕО относно безопасността и качеството на човешките тъкани и клетки и актовете за тяхното прилагане има за цел да актуализира правната уредба в областта на кръвта, тъканите и клетките. Законодателството на ЕС предвижда високи стандарти за безопасност и качество на кръвта, тъканите и клетките (КТК). Те бяха приети в отговор на предаването на болести чрез КТК през 80-те и 90-те години. Целта на инициативата е да се актуализира действащото законодателство, за да се даде възможност за по-гъвкаво привеждане в съответствие с научното и технологичното развитие. Тя има за цел да се отчете (повторната) поява на заразни болести, включително поуките от пандемията от COVID-19. Инициативата ще вземе под внимание и нарастващата комерсиализация и глобализация на сектора. Преразглеждането има за цел премахването от законодателството на много технически разпоредби, което ще позволи по-бързо актуализиране на стандартите. Освен това преразглеждането ще даде възможност за сливане на основните актове в един инструмент.</w:t>
            </w:r>
          </w:p>
          <w:p>
            <w:pPr>
              <w:spacing w:after="120"/>
              <w:rPr>
                <w:rFonts w:eastAsiaTheme="minorEastAsia" w:cstheme="minorBidi"/>
                <w:noProof/>
                <w:sz w:val="20"/>
              </w:rPr>
            </w:pPr>
            <w:r>
              <w:rPr>
                <w:noProof/>
                <w:sz w:val="20"/>
              </w:rPr>
              <w:t>Планирана дата на приемане: четвърто тримесечие/2021 г.; законодателна инициатива; правно основание: член 168, параграф 4, буква а) от ДФЕС. Предвижда се оценка на въздействието.</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spacing w:after="120"/>
              <w:rPr>
                <w:rFonts w:eastAsiaTheme="minorEastAsia" w:cstheme="minorBidi"/>
                <w:b/>
                <w:bCs/>
                <w:noProof/>
                <w:sz w:val="20"/>
              </w:rPr>
            </w:pPr>
            <w:r>
              <w:rPr>
                <w:b/>
                <w:bCs/>
                <w:noProof/>
                <w:sz w:val="20"/>
              </w:rPr>
              <w:t>Оценка на безопасността на риболовните кораби</w:t>
            </w:r>
          </w:p>
        </w:tc>
        <w:tc>
          <w:tcPr>
            <w:tcW w:w="9780" w:type="dxa"/>
            <w:tcBorders>
              <w:bottom w:val="single" w:sz="4" w:space="0" w:color="auto"/>
            </w:tcBorders>
          </w:tcPr>
          <w:p>
            <w:pPr>
              <w:spacing w:after="0"/>
              <w:rPr>
                <w:rFonts w:eastAsiaTheme="minorEastAsia" w:cstheme="minorBidi"/>
                <w:noProof/>
                <w:spacing w:val="4"/>
                <w:sz w:val="20"/>
              </w:rPr>
            </w:pPr>
            <w:r>
              <w:rPr>
                <w:noProof/>
                <w:spacing w:val="4"/>
                <w:sz w:val="20"/>
              </w:rPr>
              <w:t>Секторът на рибарството е широко признат като спадащ към най-опасните професии. С настоящата Директива 97/70/EО се прилагат техническите разпоредби на Протокола от Торемолинос (ПТ) на ММО от 1993 г. — международно споразумение, което никога не е влязло в сила, за кораби с дължина 24 метра и повече. Последвалото го споразумение, Споразумението от Кейптаун (СК) от 2012 г., което запазва по-голямата част от разпоредбите на ПТ, също все още не е влязло в сила и само шест държави — членки на ЕС, са го ратифицирали. При оценката на Директива 97/70/EО ще бъде разгледан въпросът за нератифицирането на CК и ще бъдат установени регулаторните пропуски в безопасността, както и евентуалните актуализации, които да отразяват технологичното развитие от 1993 г. насам, като се черпи вдъхновение от подобренията, предприети в сектора на международното търговско корабоплаване, а също и в законодателството на ЕС в областта на морския транспорт. Тя също така ще разгледа осъществимостта на въвеждането на разпоредби на равнището на ЕС за по-малките риболовни кораби (с дължина под 24 метра) — сектора, в който се случва голяма част от произшествията.</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spacing w:after="120"/>
              <w:rPr>
                <w:rFonts w:eastAsiaTheme="minorEastAsia" w:cstheme="minorBidi"/>
                <w:b/>
                <w:bCs/>
                <w:noProof/>
                <w:sz w:val="20"/>
              </w:rPr>
            </w:pPr>
            <w:r>
              <w:rPr>
                <w:b/>
                <w:bCs/>
                <w:noProof/>
                <w:sz w:val="20"/>
              </w:rPr>
              <w:t>Оценка на Директива 2011/24/ЕС за упражняване на правата на пациентите при трансгранично здравно обслужване</w:t>
            </w:r>
          </w:p>
        </w:tc>
        <w:tc>
          <w:tcPr>
            <w:tcW w:w="9780" w:type="dxa"/>
            <w:tcBorders>
              <w:bottom w:val="single" w:sz="4" w:space="0" w:color="auto"/>
            </w:tcBorders>
          </w:tcPr>
          <w:p>
            <w:pPr>
              <w:spacing w:after="0"/>
              <w:rPr>
                <w:rFonts w:eastAsiaTheme="minorEastAsia" w:cstheme="minorBidi"/>
                <w:noProof/>
                <w:sz w:val="20"/>
              </w:rPr>
            </w:pPr>
            <w:r>
              <w:rPr>
                <w:noProof/>
                <w:sz w:val="20"/>
              </w:rPr>
              <w:t>Десет години след приемането на директивата предмет на оценката ще бъде как е постигната целта на директивата за улесняване на достъпа до безопасно и висококачествено трансгранично здравно обслужване в друга държава членка и как директивата е насърчила правата на пациентите и трансграничното сътрудничество между държавите членки в полза на гражданите на ЕС. В оценката ще бъдат разгледани подходите, прилагани от държавите членки на практика, доколко те функционират ефективно и кои области все още действат като препятствия пред пациентите, търсещи трансгранично здравно обслужване.</w:t>
            </w:r>
          </w:p>
        </w:tc>
      </w:tr>
      <w:tr>
        <w:trPr>
          <w:cantSplit/>
        </w:trPr>
        <w:tc>
          <w:tcPr>
            <w:tcW w:w="14827" w:type="dxa"/>
            <w:gridSpan w:val="3"/>
            <w:tcBorders>
              <w:top w:val="single" w:sz="4" w:space="0" w:color="auto"/>
              <w:left w:val="single" w:sz="4" w:space="0" w:color="auto"/>
              <w:bottom w:val="single" w:sz="4" w:space="0" w:color="auto"/>
              <w:right w:val="single" w:sz="4" w:space="0" w:color="auto"/>
            </w:tcBorders>
            <w:shd w:val="clear" w:color="auto" w:fill="00ADDC" w:themeFill="accent5"/>
          </w:tcPr>
          <w:p>
            <w:pPr>
              <w:keepNext/>
              <w:spacing w:before="60" w:after="120"/>
              <w:rPr>
                <w:b/>
                <w:bCs/>
                <w:noProof/>
                <w:sz w:val="20"/>
              </w:rPr>
            </w:pPr>
            <w:r>
              <w:rPr>
                <w:b/>
                <w:bCs/>
                <w:noProof/>
                <w:color w:val="FFFFFF" w:themeColor="background1"/>
                <w:sz w:val="20"/>
              </w:rPr>
              <w:t>Нов тласък за европейската демокрация</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spacing w:after="120"/>
              <w:rPr>
                <w:rFonts w:eastAsiaTheme="minorEastAsia" w:cstheme="minorBidi"/>
                <w:b/>
                <w:bCs/>
                <w:noProof/>
                <w:sz w:val="20"/>
              </w:rPr>
            </w:pPr>
            <w:r>
              <w:rPr>
                <w:b/>
                <w:bCs/>
                <w:noProof/>
                <w:sz w:val="20"/>
              </w:rPr>
              <w:t>Преразглеждане на Директива 2008/99/ЕО относно защитата на околната среда чрез наказателно право</w:t>
            </w:r>
          </w:p>
        </w:tc>
        <w:tc>
          <w:tcPr>
            <w:tcW w:w="9780" w:type="dxa"/>
            <w:tcBorders>
              <w:top w:val="single" w:sz="4" w:space="0" w:color="auto"/>
              <w:left w:val="single" w:sz="4" w:space="0" w:color="auto"/>
              <w:bottom w:val="single" w:sz="4" w:space="0" w:color="auto"/>
              <w:right w:val="single" w:sz="4" w:space="0" w:color="auto"/>
            </w:tcBorders>
          </w:tcPr>
          <w:p>
            <w:pPr>
              <w:spacing w:after="120"/>
              <w:jc w:val="left"/>
              <w:rPr>
                <w:rFonts w:eastAsiaTheme="minorEastAsia" w:cstheme="minorBidi"/>
                <w:noProof/>
                <w:sz w:val="20"/>
              </w:rPr>
            </w:pPr>
            <w:r>
              <w:rPr>
                <w:noProof/>
                <w:sz w:val="20"/>
              </w:rPr>
              <w:t>Въз основа на резултатите от оценката преразглеждането на директивата ще осигури подобрени и по-целенасочени инструменти за постигане на целите, както и по-последователно взаимодействие с други законодателни инструменти за опазване на околната среда. При преразглеждането ще се използва и засилената компетентност в областта на наказателното право съгласно Договора от Лисабон. То ще има за цел да осигури по-добра защита на околната среда чрез наказателно право съгласувано с други законодателни мерки и мерки за прилагане.</w:t>
            </w:r>
          </w:p>
          <w:p>
            <w:pPr>
              <w:spacing w:after="0"/>
              <w:jc w:val="left"/>
              <w:rPr>
                <w:rFonts w:eastAsiaTheme="minorEastAsia" w:cstheme="minorBidi"/>
                <w:noProof/>
                <w:sz w:val="20"/>
              </w:rPr>
            </w:pPr>
            <w:r>
              <w:rPr>
                <w:noProof/>
                <w:sz w:val="20"/>
              </w:rPr>
              <w:t>Планирана дата на приемане: четвърто тримесечие/2021 г.; законодателна инициатива; правно основание: член 83, параграф 2 от ДФЕС. Предвижда се оценка на въздействието.</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spacing w:after="120"/>
              <w:rPr>
                <w:rFonts w:eastAsiaTheme="minorEastAsia" w:cstheme="minorBidi"/>
                <w:b/>
                <w:bCs/>
                <w:noProof/>
                <w:sz w:val="20"/>
              </w:rPr>
            </w:pPr>
            <w:r>
              <w:rPr>
                <w:b/>
                <w:bCs/>
                <w:noProof/>
                <w:sz w:val="20"/>
              </w:rPr>
              <w:t>Проверка за пригодност на законодателството на ЕС относно насилието срещу жени и домашното насилие</w:t>
            </w:r>
          </w:p>
        </w:tc>
        <w:tc>
          <w:tcPr>
            <w:tcW w:w="9780" w:type="dxa"/>
            <w:tcBorders>
              <w:top w:val="single" w:sz="4" w:space="0" w:color="auto"/>
              <w:left w:val="single" w:sz="4" w:space="0" w:color="auto"/>
              <w:bottom w:val="single" w:sz="4" w:space="0" w:color="auto"/>
              <w:right w:val="single" w:sz="4" w:space="0" w:color="auto"/>
            </w:tcBorders>
          </w:tcPr>
          <w:p>
            <w:pPr>
              <w:spacing w:after="120"/>
              <w:jc w:val="left"/>
              <w:rPr>
                <w:rFonts w:eastAsiaTheme="minorEastAsia" w:cstheme="minorBidi"/>
                <w:noProof/>
                <w:sz w:val="20"/>
              </w:rPr>
            </w:pPr>
            <w:r>
              <w:rPr>
                <w:noProof/>
                <w:sz w:val="20"/>
              </w:rPr>
              <w:t>Проверката за пригодност ще оцени каква роля е изиграло действащото законодателство на ЕС за предотвратяването и борбата с насилието срещу жени и домашното насилие и ще анализира съгласуваността на тези мерки на ЕС с международните източници. Тя ще установи пропуските в законодателството и ще анализира необходимостта от евентуални по-нататъшни стъпки за подобряване и координиране на защитата срещу този траен вид дискриминация, основана на пола. Проверката за пригодност ще обхване периода от приемането на съответния правен акт до 2020 г. Тя ще обхване всички държави — членки на ЕС.</w:t>
            </w:r>
          </w:p>
        </w:tc>
      </w:tr>
    </w:tbl>
    <w:p>
      <w:pPr>
        <w:spacing w:after="0"/>
        <w:jc w:val="center"/>
        <w:rPr>
          <w:noProof/>
          <w:sz w:val="20"/>
        </w:rPr>
      </w:pPr>
    </w:p>
    <w:p>
      <w:pPr>
        <w:spacing w:after="0"/>
        <w:jc w:val="left"/>
        <w:rPr>
          <w:noProof/>
          <w:sz w:val="20"/>
        </w:rPr>
      </w:pPr>
      <w:r>
        <w:rPr>
          <w:noProof/>
        </w:rPr>
        <w:br w:type="page"/>
      </w:r>
    </w:p>
    <w:p>
      <w:pPr>
        <w:spacing w:after="600"/>
        <w:jc w:val="center"/>
        <w:rPr>
          <w:b/>
          <w:noProof/>
          <w:sz w:val="28"/>
          <w:szCs w:val="28"/>
          <w:u w:val="single"/>
        </w:rPr>
      </w:pPr>
      <w:r>
        <w:rPr>
          <w:b/>
          <w:bCs/>
          <w:noProof/>
          <w:sz w:val="28"/>
          <w:szCs w:val="28"/>
          <w:u w:val="single"/>
        </w:rPr>
        <w:t>Приложение III: Приоритетни внесени предложения</w:t>
      </w:r>
    </w:p>
    <w:tbl>
      <w:tblPr>
        <w:tblStyle w:val="TableGrid"/>
        <w:tblW w:w="14850" w:type="dxa"/>
        <w:tblLayout w:type="fixed"/>
        <w:tblLook w:val="04A0" w:firstRow="1" w:lastRow="0" w:firstColumn="1" w:lastColumn="0" w:noHBand="0" w:noVBand="1"/>
      </w:tblPr>
      <w:tblGrid>
        <w:gridCol w:w="652"/>
        <w:gridCol w:w="12072"/>
        <w:gridCol w:w="2126"/>
      </w:tblGrid>
      <w:tr>
        <w:trPr>
          <w:cantSplit/>
          <w:tblHeader/>
        </w:trPr>
        <w:tc>
          <w:tcPr>
            <w:tcW w:w="652" w:type="dxa"/>
            <w:tcBorders>
              <w:bottom w:val="single" w:sz="4" w:space="0" w:color="auto"/>
            </w:tcBorders>
            <w:shd w:val="clear" w:color="auto" w:fill="99CCFF"/>
            <w:tcMar>
              <w:top w:w="85" w:type="dxa"/>
              <w:left w:w="85" w:type="dxa"/>
              <w:bottom w:w="85" w:type="dxa"/>
              <w:right w:w="85" w:type="dxa"/>
            </w:tcMar>
          </w:tcPr>
          <w:p>
            <w:pPr>
              <w:spacing w:before="60" w:after="60"/>
              <w:rPr>
                <w:b/>
                <w:bCs/>
                <w:noProof/>
                <w:sz w:val="20"/>
              </w:rPr>
            </w:pPr>
            <w:r>
              <w:rPr>
                <w:b/>
                <w:bCs/>
                <w:noProof/>
                <w:sz w:val="20"/>
              </w:rPr>
              <w:t>№</w:t>
            </w:r>
          </w:p>
        </w:tc>
        <w:tc>
          <w:tcPr>
            <w:tcW w:w="12072" w:type="dxa"/>
            <w:tcBorders>
              <w:bottom w:val="single" w:sz="4" w:space="0" w:color="auto"/>
            </w:tcBorders>
            <w:shd w:val="clear" w:color="auto" w:fill="99CCFF"/>
            <w:tcMar>
              <w:top w:w="85" w:type="dxa"/>
              <w:left w:w="85" w:type="dxa"/>
              <w:bottom w:w="85" w:type="dxa"/>
              <w:right w:w="85" w:type="dxa"/>
            </w:tcMar>
          </w:tcPr>
          <w:p>
            <w:pPr>
              <w:spacing w:before="60" w:after="60"/>
              <w:jc w:val="center"/>
              <w:rPr>
                <w:b/>
                <w:bCs/>
                <w:noProof/>
                <w:sz w:val="20"/>
              </w:rPr>
            </w:pPr>
            <w:r>
              <w:rPr>
                <w:b/>
                <w:bCs/>
                <w:noProof/>
                <w:sz w:val="20"/>
              </w:rPr>
              <w:t>Пълно наименование</w:t>
            </w:r>
          </w:p>
        </w:tc>
        <w:tc>
          <w:tcPr>
            <w:tcW w:w="2126" w:type="dxa"/>
            <w:tcBorders>
              <w:bottom w:val="single" w:sz="4" w:space="0" w:color="auto"/>
            </w:tcBorders>
            <w:shd w:val="clear" w:color="auto" w:fill="99CCFF"/>
            <w:tcMar>
              <w:top w:w="85" w:type="dxa"/>
              <w:left w:w="85" w:type="dxa"/>
              <w:bottom w:w="85" w:type="dxa"/>
              <w:right w:w="85" w:type="dxa"/>
            </w:tcMar>
          </w:tcPr>
          <w:p>
            <w:pPr>
              <w:spacing w:before="60" w:after="60"/>
              <w:jc w:val="center"/>
              <w:rPr>
                <w:b/>
                <w:bCs/>
                <w:noProof/>
                <w:sz w:val="20"/>
              </w:rPr>
            </w:pPr>
            <w:r>
              <w:rPr>
                <w:b/>
                <w:bCs/>
                <w:noProof/>
                <w:sz w:val="20"/>
              </w:rPr>
              <w:t>Референтен номер</w:t>
            </w:r>
          </w:p>
        </w:tc>
      </w:tr>
      <w:tr>
        <w:trPr>
          <w:cantSplit/>
        </w:trPr>
        <w:tc>
          <w:tcPr>
            <w:tcW w:w="14850" w:type="dxa"/>
            <w:gridSpan w:val="3"/>
            <w:shd w:val="clear" w:color="auto" w:fill="9ACA3C" w:themeFill="accent1"/>
            <w:tcMar>
              <w:top w:w="85" w:type="dxa"/>
              <w:left w:w="85" w:type="dxa"/>
              <w:bottom w:w="85" w:type="dxa"/>
              <w:right w:w="85" w:type="dxa"/>
            </w:tcMar>
          </w:tcPr>
          <w:p>
            <w:pPr>
              <w:keepNext/>
              <w:spacing w:before="60" w:after="60"/>
              <w:rPr>
                <w:b/>
                <w:bCs/>
                <w:noProof/>
                <w:sz w:val="20"/>
              </w:rPr>
            </w:pPr>
            <w:r>
              <w:rPr>
                <w:b/>
                <w:bCs/>
                <w:noProof/>
                <w:color w:val="FFFFFF" w:themeColor="background1"/>
                <w:sz w:val="20"/>
              </w:rPr>
              <w:t>Европейски зелен пакт</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5" w:hanging="357"/>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Изменено предложение за РЕГЛАМЕНТ НА ЕВРОПЕЙСКИЯ ПАРЛАМЕНТ И НА СЪВЕТА за установяване на рамката за постигане на неутралност по отношение на климата и за изменение на Регламент (ЕС) 2018/1999 (Европейски законодателен акт за климата)</w:t>
            </w:r>
          </w:p>
        </w:tc>
        <w:tc>
          <w:tcPr>
            <w:tcW w:w="2126" w:type="dxa"/>
            <w:tcMar>
              <w:top w:w="85" w:type="dxa"/>
              <w:left w:w="85" w:type="dxa"/>
              <w:bottom w:w="85" w:type="dxa"/>
            </w:tcMar>
          </w:tcPr>
          <w:p>
            <w:pPr>
              <w:spacing w:after="0"/>
              <w:jc w:val="left"/>
              <w:rPr>
                <w:bCs/>
                <w:noProof/>
                <w:sz w:val="20"/>
              </w:rPr>
            </w:pPr>
            <w:r>
              <w:rPr>
                <w:bCs/>
                <w:noProof/>
                <w:sz w:val="20"/>
              </w:rPr>
              <w:t>COM(2020)80 final</w:t>
            </w:r>
            <w:r>
              <w:rPr>
                <w:noProof/>
              </w:rPr>
              <w:br/>
            </w:r>
            <w:r>
              <w:rPr>
                <w:bCs/>
                <w:noProof/>
                <w:sz w:val="20"/>
              </w:rPr>
              <w:t>2020/0036 (COD)</w:t>
            </w:r>
            <w:r>
              <w:rPr>
                <w:noProof/>
              </w:rPr>
              <w:br/>
            </w:r>
            <w:r>
              <w:rPr>
                <w:bCs/>
                <w:noProof/>
                <w:sz w:val="20"/>
              </w:rPr>
              <w:t>4.3.2020 г.</w:t>
            </w:r>
            <w:r>
              <w:rPr>
                <w:noProof/>
              </w:rPr>
              <w:br/>
            </w:r>
          </w:p>
          <w:p>
            <w:pPr>
              <w:spacing w:after="0"/>
              <w:jc w:val="left"/>
              <w:rPr>
                <w:bCs/>
                <w:noProof/>
                <w:sz w:val="20"/>
              </w:rPr>
            </w:pPr>
            <w:r>
              <w:rPr>
                <w:noProof/>
                <w:sz w:val="20"/>
              </w:rPr>
              <w:t>COM (2020)563 final</w:t>
            </w:r>
          </w:p>
          <w:p>
            <w:pPr>
              <w:spacing w:after="0"/>
              <w:jc w:val="left"/>
              <w:rPr>
                <w:noProof/>
                <w:sz w:val="20"/>
              </w:rPr>
            </w:pPr>
            <w:r>
              <w:rPr>
                <w:bCs/>
                <w:noProof/>
                <w:sz w:val="20"/>
              </w:rPr>
              <w:t>17.9.2020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shd w:val="clear" w:color="auto" w:fill="FFFFFF"/>
              </w:rPr>
              <w:t>Предложение за РЕГЛАМЕНТ НА ЕВРОПЕЙСКИЯ ПАРЛАМЕНТ И НА СЪВЕТА относно Европейска година на железопътния транспорт (2021 г.)</w:t>
            </w:r>
          </w:p>
        </w:tc>
        <w:tc>
          <w:tcPr>
            <w:tcW w:w="2126" w:type="dxa"/>
            <w:tcMar>
              <w:top w:w="85" w:type="dxa"/>
              <w:left w:w="85" w:type="dxa"/>
              <w:bottom w:w="85" w:type="dxa"/>
            </w:tcMar>
          </w:tcPr>
          <w:p>
            <w:pPr>
              <w:spacing w:after="0"/>
              <w:jc w:val="left"/>
              <w:rPr>
                <w:noProof/>
                <w:sz w:val="20"/>
              </w:rPr>
            </w:pPr>
            <w:r>
              <w:rPr>
                <w:noProof/>
                <w:sz w:val="20"/>
                <w:shd w:val="clear" w:color="auto" w:fill="FFFFFF"/>
              </w:rPr>
              <w:t>COM (2020)78 final</w:t>
            </w:r>
            <w:r>
              <w:rPr>
                <w:noProof/>
              </w:rPr>
              <w:br/>
            </w:r>
            <w:r>
              <w:rPr>
                <w:noProof/>
                <w:sz w:val="20"/>
                <w:shd w:val="clear" w:color="auto" w:fill="FFFFFF"/>
              </w:rPr>
              <w:t>2020/0035 (COD)</w:t>
            </w:r>
            <w:r>
              <w:rPr>
                <w:noProof/>
              </w:rPr>
              <w:br/>
            </w:r>
            <w:r>
              <w:rPr>
                <w:noProof/>
                <w:sz w:val="20"/>
                <w:shd w:val="clear" w:color="auto" w:fill="FFFFFF"/>
              </w:rPr>
              <w:t>4.3.2020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pt-PT"/>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(ЕО) № 1224/2009 на Съвета и за изменение на регламенти (ЕО) № 768/2005, (ЕО) № 1967/2006, (ЕО) № 1005/2008 на Съвета и Регламент (ЕС) 2016/1139 на Европейския парламент и на Съвета по отношение на контрола на рибарството</w:t>
            </w:r>
          </w:p>
        </w:tc>
        <w:tc>
          <w:tcPr>
            <w:tcW w:w="2126" w:type="dxa"/>
            <w:tcMar>
              <w:top w:w="85" w:type="dxa"/>
              <w:left w:w="85" w:type="dxa"/>
              <w:bottom w:w="85" w:type="dxa"/>
            </w:tcMar>
          </w:tcPr>
          <w:p>
            <w:pPr>
              <w:spacing w:after="0"/>
              <w:jc w:val="left"/>
              <w:rPr>
                <w:noProof/>
                <w:sz w:val="20"/>
              </w:rPr>
            </w:pPr>
            <w:r>
              <w:rPr>
                <w:noProof/>
                <w:sz w:val="20"/>
              </w:rPr>
              <w:t>COM (2018)368 final</w:t>
            </w:r>
            <w:r>
              <w:rPr>
                <w:noProof/>
              </w:rPr>
              <w:br/>
            </w:r>
            <w:r>
              <w:rPr>
                <w:noProof/>
                <w:sz w:val="20"/>
              </w:rPr>
              <w:t>2018/0193 (COD)</w:t>
            </w:r>
            <w:r>
              <w:rPr>
                <w:noProof/>
              </w:rPr>
              <w:br/>
            </w:r>
            <w:r>
              <w:rPr>
                <w:noProof/>
                <w:sz w:val="20"/>
              </w:rPr>
              <w:t>30.5.2018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прилагането на Единното европейско небе (преработен текст)</w:t>
            </w:r>
          </w:p>
        </w:tc>
        <w:tc>
          <w:tcPr>
            <w:tcW w:w="2126" w:type="dxa"/>
            <w:tcMar>
              <w:top w:w="85" w:type="dxa"/>
              <w:left w:w="85" w:type="dxa"/>
              <w:bottom w:w="85" w:type="dxa"/>
            </w:tcMar>
          </w:tcPr>
          <w:p>
            <w:pPr>
              <w:spacing w:after="0"/>
              <w:jc w:val="left"/>
              <w:rPr>
                <w:noProof/>
                <w:sz w:val="20"/>
              </w:rPr>
            </w:pPr>
            <w:r>
              <w:rPr>
                <w:noProof/>
                <w:sz w:val="20"/>
              </w:rPr>
              <w:t>COM (2013)410 final</w:t>
            </w:r>
            <w:r>
              <w:rPr>
                <w:noProof/>
              </w:rPr>
              <w:br/>
            </w:r>
            <w:r>
              <w:rPr>
                <w:noProof/>
                <w:sz w:val="20"/>
              </w:rPr>
              <w:t>2013/0186 (COD)</w:t>
            </w:r>
            <w:r>
              <w:rPr>
                <w:noProof/>
              </w:rPr>
              <w:br/>
            </w:r>
            <w:r>
              <w:rPr>
                <w:noProof/>
                <w:sz w:val="20"/>
              </w:rPr>
              <w:t>11.6.2013 г.</w:t>
            </w:r>
            <w:r>
              <w:rPr>
                <w:noProof/>
              </w:rPr>
              <w:br/>
            </w:r>
          </w:p>
          <w:p>
            <w:pPr>
              <w:spacing w:after="0"/>
              <w:jc w:val="left"/>
              <w:rPr>
                <w:noProof/>
                <w:sz w:val="20"/>
              </w:rPr>
            </w:pPr>
            <w:r>
              <w:rPr>
                <w:noProof/>
                <w:sz w:val="20"/>
              </w:rPr>
              <w:t>COM (2020)579 final</w:t>
            </w:r>
            <w:r>
              <w:rPr>
                <w:noProof/>
              </w:rPr>
              <w:br/>
            </w:r>
            <w:r>
              <w:rPr>
                <w:noProof/>
                <w:sz w:val="20"/>
              </w:rPr>
              <w:t>22.9.2020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(ЕО) № 261/2004 относно създаване на общи правила за обезщетяване и помощ на пътниците при отказан достъп на борда и отмяна или голямо закъснение на полети и на Регламент (ЕО) № 2027/97 относно отговорността на въздушните превозвачи при въздушния превоз на пътници и техния багаж</w:t>
            </w:r>
          </w:p>
        </w:tc>
        <w:tc>
          <w:tcPr>
            <w:tcW w:w="2126" w:type="dxa"/>
            <w:shd w:val="clear" w:color="auto" w:fill="auto"/>
            <w:tcMar>
              <w:top w:w="85" w:type="dxa"/>
              <w:left w:w="85" w:type="dxa"/>
              <w:bottom w:w="85" w:type="dxa"/>
            </w:tcMar>
          </w:tcPr>
          <w:p>
            <w:pPr>
              <w:spacing w:after="0"/>
              <w:jc w:val="left"/>
              <w:rPr>
                <w:noProof/>
                <w:sz w:val="20"/>
              </w:rPr>
            </w:pPr>
            <w:r>
              <w:rPr>
                <w:noProof/>
                <w:sz w:val="20"/>
              </w:rPr>
              <w:t>COM (2013)130 final</w:t>
            </w:r>
            <w:r>
              <w:rPr>
                <w:noProof/>
              </w:rPr>
              <w:br/>
            </w:r>
            <w:r>
              <w:rPr>
                <w:noProof/>
                <w:sz w:val="20"/>
              </w:rPr>
              <w:t>2013/0072 (COD)</w:t>
            </w:r>
            <w:r>
              <w:rPr>
                <w:noProof/>
              </w:rPr>
              <w:br/>
            </w:r>
            <w:r>
              <w:rPr>
                <w:noProof/>
                <w:sz w:val="20"/>
              </w:rPr>
              <w:t>13.3.2013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pt-PT"/>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общите правила за разпределяне на слотовете на летищата в Европейския съюз</w:t>
            </w:r>
          </w:p>
        </w:tc>
        <w:tc>
          <w:tcPr>
            <w:tcW w:w="2126" w:type="dxa"/>
            <w:tcMar>
              <w:top w:w="85" w:type="dxa"/>
              <w:left w:w="85" w:type="dxa"/>
              <w:bottom w:w="85" w:type="dxa"/>
            </w:tcMar>
          </w:tcPr>
          <w:p>
            <w:pPr>
              <w:spacing w:after="0"/>
              <w:jc w:val="left"/>
              <w:rPr>
                <w:noProof/>
                <w:sz w:val="20"/>
              </w:rPr>
            </w:pPr>
            <w:r>
              <w:rPr>
                <w:noProof/>
                <w:sz w:val="20"/>
              </w:rPr>
              <w:t>COM (2011)827 final</w:t>
            </w:r>
            <w:r>
              <w:rPr>
                <w:noProof/>
              </w:rPr>
              <w:br/>
            </w:r>
            <w:r>
              <w:rPr>
                <w:noProof/>
                <w:sz w:val="20"/>
              </w:rPr>
              <w:t>2011/0391 (COD)</w:t>
            </w:r>
            <w:r>
              <w:rPr>
                <w:noProof/>
              </w:rPr>
              <w:br/>
            </w:r>
            <w:r>
              <w:rPr>
                <w:noProof/>
                <w:sz w:val="20"/>
              </w:rPr>
              <w:t>1.12.2011 г.</w:t>
            </w:r>
            <w:r>
              <w:rPr>
                <w:noProof/>
              </w:rPr>
              <w:br/>
            </w:r>
          </w:p>
        </w:tc>
      </w:tr>
      <w:tr>
        <w:trPr>
          <w:cantSplit/>
        </w:trPr>
        <w:tc>
          <w:tcPr>
            <w:tcW w:w="14850" w:type="dxa"/>
            <w:gridSpan w:val="3"/>
            <w:shd w:val="clear" w:color="auto" w:fill="18BAA8" w:themeFill="accent2"/>
            <w:tcMar>
              <w:top w:w="85" w:type="dxa"/>
              <w:left w:w="85" w:type="dxa"/>
              <w:bottom w:w="85" w:type="dxa"/>
              <w:right w:w="85" w:type="dxa"/>
            </w:tcMar>
          </w:tcPr>
          <w:p>
            <w:pPr>
              <w:keepNext/>
              <w:keepLines/>
              <w:spacing w:before="60" w:after="60"/>
              <w:rPr>
                <w:noProof/>
                <w:sz w:val="20"/>
              </w:rPr>
            </w:pPr>
            <w:r>
              <w:rPr>
                <w:b/>
                <w:bCs/>
                <w:noProof/>
                <w:sz w:val="20"/>
              </w:rPr>
              <w:t>Европа, подготвена за цифровата ера</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bCs/>
                <w:noProof/>
                <w:sz w:val="20"/>
              </w:rPr>
              <w:t>Предложение за ДИРЕКТИВА НА ЕВРОПЕЙСКИЯ ПАРЛАМЕНТ И НА СЪВЕТА за изменение на директиви 2006/43/ЕО, 2009/65/ЕО, 2009/138/ЕС, 2011/61/ЕС, EС/2013/36, 2014/65/ЕС, (ЕС) 2015/2366 и EС/2016/2341</w:t>
            </w:r>
          </w:p>
        </w:tc>
        <w:tc>
          <w:tcPr>
            <w:tcW w:w="2126" w:type="dxa"/>
            <w:tcMar>
              <w:top w:w="85" w:type="dxa"/>
              <w:left w:w="85" w:type="dxa"/>
              <w:bottom w:w="85" w:type="dxa"/>
            </w:tcMar>
          </w:tcPr>
          <w:p>
            <w:pPr>
              <w:spacing w:after="0"/>
              <w:jc w:val="left"/>
              <w:rPr>
                <w:noProof/>
                <w:sz w:val="20"/>
              </w:rPr>
            </w:pPr>
            <w:r>
              <w:rPr>
                <w:noProof/>
                <w:sz w:val="20"/>
              </w:rPr>
              <w:t>COM (2020)596 final</w:t>
            </w:r>
            <w:r>
              <w:rPr>
                <w:noProof/>
              </w:rPr>
              <w:br/>
            </w:r>
            <w:r>
              <w:rPr>
                <w:noProof/>
                <w:sz w:val="20"/>
                <w:shd w:val="clear" w:color="auto" w:fill="FFFFFF"/>
              </w:rPr>
              <w:t>2020/0268 (COD)</w:t>
            </w:r>
            <w:r>
              <w:rPr>
                <w:noProof/>
              </w:rPr>
              <w:br/>
            </w:r>
            <w:r>
              <w:rPr>
                <w:noProof/>
                <w:sz w:val="20"/>
                <w:shd w:val="clear" w:color="auto" w:fill="FFFFFF"/>
              </w:rPr>
              <w:t>24.9.2020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shd w:val="clear" w:color="auto" w:fill="FFFFFF"/>
              </w:rPr>
              <w:t>Предложение за РЕГЛАМЕНТ НА ЕВРОПЕЙСКИЯ ПАРЛАМЕНТ И НА СЪВЕТА относно цифровата оперативна устойчивост на финансовия сектор и за изменение на регламенти (ЕО) № 1060/2009, (ЕС) № 648/2012, (ЕС) № 600/2014 и (ЕС) № 909/2014 (DORA)</w:t>
            </w:r>
          </w:p>
        </w:tc>
        <w:tc>
          <w:tcPr>
            <w:tcW w:w="2126" w:type="dxa"/>
            <w:tcMar>
              <w:top w:w="85" w:type="dxa"/>
              <w:left w:w="85" w:type="dxa"/>
              <w:bottom w:w="85" w:type="dxa"/>
            </w:tcMar>
          </w:tcPr>
          <w:p>
            <w:pPr>
              <w:spacing w:after="0"/>
              <w:jc w:val="left"/>
              <w:rPr>
                <w:noProof/>
                <w:sz w:val="20"/>
              </w:rPr>
            </w:pPr>
            <w:r>
              <w:rPr>
                <w:noProof/>
                <w:sz w:val="20"/>
                <w:shd w:val="clear" w:color="auto" w:fill="FFFFFF"/>
              </w:rPr>
              <w:t>COM (2020)595 final</w:t>
            </w:r>
            <w:r>
              <w:rPr>
                <w:noProof/>
              </w:rPr>
              <w:br/>
            </w:r>
            <w:r>
              <w:rPr>
                <w:noProof/>
                <w:sz w:val="20"/>
                <w:shd w:val="clear" w:color="auto" w:fill="FFFFFF"/>
              </w:rPr>
              <w:t>2020/0266 (COD)</w:t>
            </w:r>
            <w:r>
              <w:rPr>
                <w:noProof/>
              </w:rPr>
              <w:br/>
            </w:r>
            <w:r>
              <w:rPr>
                <w:noProof/>
                <w:sz w:val="20"/>
                <w:shd w:val="clear" w:color="auto" w:fill="FFFFFF"/>
              </w:rPr>
              <w:t>24.9.2020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bCs/>
                <w:noProof/>
                <w:sz w:val="20"/>
              </w:rPr>
              <w:t>Предложение за РЕГЛАМЕНТ НА ЕВРОПЕЙСКИЯ ПАРЛАМЕНТ И НА СЪВЕТА относно пилотна уредба на пазарните инфраструктури, при които се използва технологията на децентрализираните регистри</w:t>
            </w:r>
          </w:p>
        </w:tc>
        <w:tc>
          <w:tcPr>
            <w:tcW w:w="2126" w:type="dxa"/>
            <w:tcMar>
              <w:top w:w="85" w:type="dxa"/>
              <w:left w:w="85" w:type="dxa"/>
              <w:bottom w:w="85" w:type="dxa"/>
            </w:tcMar>
          </w:tcPr>
          <w:p>
            <w:pPr>
              <w:spacing w:after="0"/>
              <w:jc w:val="left"/>
              <w:rPr>
                <w:noProof/>
                <w:sz w:val="20"/>
              </w:rPr>
            </w:pPr>
            <w:r>
              <w:rPr>
                <w:noProof/>
                <w:sz w:val="20"/>
                <w:shd w:val="clear" w:color="auto" w:fill="FFFFFF"/>
              </w:rPr>
              <w:t>COM (2020)594 final</w:t>
            </w:r>
            <w:r>
              <w:rPr>
                <w:noProof/>
              </w:rPr>
              <w:br/>
            </w:r>
            <w:r>
              <w:rPr>
                <w:noProof/>
                <w:sz w:val="20"/>
                <w:shd w:val="clear" w:color="auto" w:fill="FFFFFF"/>
              </w:rPr>
              <w:t>2020/0267 (COD)</w:t>
            </w:r>
            <w:r>
              <w:rPr>
                <w:noProof/>
              </w:rPr>
              <w:br/>
            </w:r>
            <w:r>
              <w:rPr>
                <w:noProof/>
                <w:sz w:val="20"/>
                <w:shd w:val="clear" w:color="auto" w:fill="FFFFFF"/>
              </w:rPr>
              <w:t>24.9.2020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bCs/>
                <w:noProof/>
                <w:sz w:val="20"/>
              </w:rPr>
            </w:pPr>
            <w:r>
              <w:rPr>
                <w:bCs/>
                <w:noProof/>
                <w:sz w:val="20"/>
              </w:rPr>
              <w:t>Предложение за РЕГЛАМЕНТ НА ЕВРОПЕЙСКИЯ ПАРЛАМЕНТ И НА СЪВЕТА относно пазарите на криптоактиви и за изменение на Директива (ЕС) 2019/1937 (MICA)</w:t>
            </w:r>
          </w:p>
        </w:tc>
        <w:tc>
          <w:tcPr>
            <w:tcW w:w="2126" w:type="dxa"/>
            <w:tcMar>
              <w:top w:w="85" w:type="dxa"/>
              <w:left w:w="85" w:type="dxa"/>
              <w:bottom w:w="85" w:type="dxa"/>
            </w:tcMar>
          </w:tcPr>
          <w:p>
            <w:pPr>
              <w:spacing w:after="0"/>
              <w:jc w:val="left"/>
              <w:rPr>
                <w:noProof/>
                <w:sz w:val="20"/>
                <w:shd w:val="clear" w:color="auto" w:fill="FFFFFF"/>
              </w:rPr>
            </w:pPr>
            <w:r>
              <w:rPr>
                <w:noProof/>
                <w:sz w:val="20"/>
                <w:shd w:val="clear" w:color="auto" w:fill="FFFFFF"/>
              </w:rPr>
              <w:t>COM (2020)593 final</w:t>
            </w:r>
            <w:r>
              <w:rPr>
                <w:noProof/>
              </w:rPr>
              <w:br/>
            </w:r>
            <w:r>
              <w:rPr>
                <w:noProof/>
                <w:sz w:val="20"/>
                <w:shd w:val="clear" w:color="auto" w:fill="FFFFFF"/>
              </w:rPr>
              <w:t>2020/0265 (COD)</w:t>
            </w:r>
            <w:r>
              <w:rPr>
                <w:noProof/>
              </w:rPr>
              <w:br/>
            </w:r>
            <w:r>
              <w:rPr>
                <w:noProof/>
                <w:sz w:val="20"/>
                <w:shd w:val="clear" w:color="auto" w:fill="FFFFFF"/>
              </w:rPr>
              <w:t>24.9.2020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bCs/>
                <w:noProof/>
                <w:sz w:val="20"/>
              </w:rPr>
            </w:pPr>
            <w:r>
              <w:rPr>
                <w:noProof/>
                <w:sz w:val="20"/>
              </w:rPr>
              <w:t>Предложение за РЕГЛАМЕНТ НА ЕВРОПЕЙСКИЯ ПАРЛАМЕНТ И НА СЪВЕТА за изменение на Регламент (ЕО) № 715/2007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w:t>
            </w:r>
          </w:p>
        </w:tc>
        <w:tc>
          <w:tcPr>
            <w:tcW w:w="2126" w:type="dxa"/>
            <w:tcMar>
              <w:top w:w="85" w:type="dxa"/>
              <w:left w:w="85" w:type="dxa"/>
              <w:bottom w:w="85" w:type="dxa"/>
            </w:tcMar>
          </w:tcPr>
          <w:p>
            <w:pPr>
              <w:spacing w:after="0"/>
              <w:jc w:val="left"/>
              <w:rPr>
                <w:noProof/>
                <w:sz w:val="20"/>
                <w:shd w:val="clear" w:color="auto" w:fill="FFFFFF"/>
              </w:rPr>
            </w:pPr>
            <w:r>
              <w:rPr>
                <w:noProof/>
                <w:sz w:val="20"/>
              </w:rPr>
              <w:t>COM (2019)208 final</w:t>
            </w:r>
            <w:r>
              <w:rPr>
                <w:noProof/>
              </w:rPr>
              <w:br/>
            </w:r>
            <w:r>
              <w:rPr>
                <w:noProof/>
                <w:sz w:val="20"/>
              </w:rPr>
              <w:t>2019/0101 (COD)</w:t>
            </w:r>
            <w:r>
              <w:rPr>
                <w:noProof/>
              </w:rPr>
              <w:br/>
            </w:r>
            <w:r>
              <w:rPr>
                <w:noProof/>
                <w:sz w:val="20"/>
              </w:rPr>
              <w:t>14.6.2019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bCs/>
                <w:noProof/>
                <w:sz w:val="20"/>
              </w:rPr>
            </w:pPr>
            <w:r>
              <w:rPr>
                <w:noProof/>
                <w:sz w:val="20"/>
              </w:rPr>
              <w:t>Предложение за РЕГЛАМЕНТ НА ЕВРОПЕЙСКИЯ ПАРЛАМЕНТ И НА СЪВЕТА за създаване на Европейски център за промишлени, технологични и изследователски експертни познания в областта на киберсигурността и Мрежа от национални координационни центрове</w:t>
            </w:r>
          </w:p>
        </w:tc>
        <w:tc>
          <w:tcPr>
            <w:tcW w:w="2126" w:type="dxa"/>
            <w:tcMar>
              <w:top w:w="85" w:type="dxa"/>
              <w:left w:w="85" w:type="dxa"/>
              <w:bottom w:w="85" w:type="dxa"/>
            </w:tcMar>
          </w:tcPr>
          <w:p>
            <w:pPr>
              <w:spacing w:after="0"/>
              <w:jc w:val="left"/>
              <w:rPr>
                <w:noProof/>
                <w:sz w:val="20"/>
                <w:shd w:val="clear" w:color="auto" w:fill="FFFFFF"/>
              </w:rPr>
            </w:pPr>
            <w:r>
              <w:rPr>
                <w:noProof/>
                <w:sz w:val="20"/>
              </w:rPr>
              <w:t>COM (2018)630 final</w:t>
            </w:r>
            <w:r>
              <w:rPr>
                <w:noProof/>
              </w:rPr>
              <w:br/>
            </w:r>
            <w:r>
              <w:rPr>
                <w:noProof/>
                <w:sz w:val="20"/>
              </w:rPr>
              <w:t>2018/0328 (COD)</w:t>
            </w:r>
            <w:r>
              <w:rPr>
                <w:noProof/>
              </w:rPr>
              <w:br/>
            </w:r>
            <w:r>
              <w:rPr>
                <w:noProof/>
                <w:sz w:val="20"/>
              </w:rPr>
              <w:t>12.9.2019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bCs/>
                <w:noProof/>
                <w:sz w:val="20"/>
              </w:rPr>
            </w:pPr>
            <w:r>
              <w:rPr>
                <w:noProof/>
                <w:sz w:val="20"/>
              </w:rPr>
              <w:t>Предложение за РЕГЛАМЕНТ НА ЕВРОПЕЙСКИЯ ПАРЛАМЕНТ И НА СЪВЕТА относно зачитането на личния живот и защитата на личните данни в електронните съобщения и за отмяна на Директива 2002/58/ЕО (Регламент за неприкосновеността на личния живот и електронните съобщения)</w:t>
            </w:r>
          </w:p>
        </w:tc>
        <w:tc>
          <w:tcPr>
            <w:tcW w:w="2126" w:type="dxa"/>
            <w:tcMar>
              <w:top w:w="85" w:type="dxa"/>
              <w:left w:w="85" w:type="dxa"/>
              <w:bottom w:w="85" w:type="dxa"/>
            </w:tcMar>
          </w:tcPr>
          <w:p>
            <w:pPr>
              <w:spacing w:after="0"/>
              <w:jc w:val="left"/>
              <w:rPr>
                <w:noProof/>
                <w:sz w:val="20"/>
                <w:shd w:val="clear" w:color="auto" w:fill="FFFFFF"/>
              </w:rPr>
            </w:pPr>
            <w:r>
              <w:rPr>
                <w:noProof/>
                <w:sz w:val="20"/>
              </w:rPr>
              <w:t>COM (2017)10 final</w:t>
            </w:r>
            <w:r>
              <w:rPr>
                <w:noProof/>
              </w:rPr>
              <w:br/>
            </w:r>
            <w:r>
              <w:rPr>
                <w:noProof/>
                <w:sz w:val="20"/>
              </w:rPr>
              <w:t>2017/0003 (COD)</w:t>
            </w:r>
            <w:r>
              <w:rPr>
                <w:noProof/>
              </w:rPr>
              <w:br/>
            </w:r>
            <w:r>
              <w:rPr>
                <w:noProof/>
                <w:sz w:val="20"/>
              </w:rPr>
              <w:t>10.1.2017 г.</w:t>
            </w:r>
          </w:p>
        </w:tc>
      </w:tr>
      <w:tr>
        <w:trPr>
          <w:cantSplit/>
        </w:trPr>
        <w:tc>
          <w:tcPr>
            <w:tcW w:w="14850" w:type="dxa"/>
            <w:gridSpan w:val="3"/>
            <w:shd w:val="clear" w:color="auto" w:fill="F68A42" w:themeFill="accent3"/>
            <w:tcMar>
              <w:top w:w="85" w:type="dxa"/>
              <w:left w:w="85" w:type="dxa"/>
              <w:bottom w:w="85" w:type="dxa"/>
              <w:right w:w="85" w:type="dxa"/>
            </w:tcMar>
          </w:tcPr>
          <w:p>
            <w:pPr>
              <w:spacing w:before="60" w:after="60"/>
              <w:rPr>
                <w:noProof/>
                <w:sz w:val="20"/>
              </w:rPr>
            </w:pPr>
            <w:r>
              <w:rPr>
                <w:b/>
                <w:bCs/>
                <w:noProof/>
                <w:color w:val="FFFFFF" w:themeColor="background1"/>
                <w:sz w:val="20"/>
              </w:rPr>
              <w:t>Икономика в интерес на хората</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shd w:val="clear" w:color="auto" w:fill="FFFFFF"/>
              </w:rPr>
              <w:t>Предложение за РЕГЛАМЕНТ НА ЕВРОПЕЙСКИЯ ПАРЛАМЕНТ И НА СЪВЕТА за изменение на Регламент (ЕС) 2016/1011 по отношение на изключването на някои валутни бенчмаркове за валути на трети държави и определянето на заместващи бенчмаркове за някои бенчмаркове в процес на прекратяване</w:t>
            </w:r>
          </w:p>
        </w:tc>
        <w:tc>
          <w:tcPr>
            <w:tcW w:w="2126" w:type="dxa"/>
            <w:tcMar>
              <w:top w:w="85" w:type="dxa"/>
              <w:left w:w="85" w:type="dxa"/>
              <w:bottom w:w="85" w:type="dxa"/>
            </w:tcMar>
          </w:tcPr>
          <w:p>
            <w:pPr>
              <w:spacing w:after="0"/>
              <w:jc w:val="left"/>
              <w:rPr>
                <w:noProof/>
                <w:sz w:val="20"/>
              </w:rPr>
            </w:pPr>
            <w:r>
              <w:rPr>
                <w:noProof/>
                <w:sz w:val="20"/>
                <w:shd w:val="clear" w:color="auto" w:fill="FFFFFF"/>
              </w:rPr>
              <w:t>COM (2020)337 final</w:t>
            </w:r>
            <w:r>
              <w:rPr>
                <w:noProof/>
              </w:rPr>
              <w:br/>
            </w:r>
            <w:r>
              <w:rPr>
                <w:noProof/>
                <w:sz w:val="20"/>
                <w:shd w:val="clear" w:color="auto" w:fill="FFFFFF"/>
              </w:rPr>
              <w:t>2020/0154 (COD)</w:t>
            </w:r>
            <w:r>
              <w:rPr>
                <w:noProof/>
              </w:rPr>
              <w:br/>
            </w:r>
            <w:r>
              <w:rPr>
                <w:noProof/>
                <w:sz w:val="20"/>
                <w:shd w:val="clear" w:color="auto" w:fill="FFFFFF"/>
              </w:rPr>
              <w:t>24.7.2020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shd w:val="clear" w:color="auto" w:fill="FFFFFF"/>
              </w:rPr>
              <w:t>Предложение за ДИРЕКТИВА НА СЪВЕТА</w:t>
            </w:r>
            <w:r>
              <w:rPr>
                <w:noProof/>
                <w:sz w:val="20"/>
              </w:rPr>
              <w:t xml:space="preserve"> за изменение на Директива 2011/16/ЕС относно административното сътрудничество в областта на данъчното облагане</w:t>
            </w:r>
          </w:p>
        </w:tc>
        <w:tc>
          <w:tcPr>
            <w:tcW w:w="2126" w:type="dxa"/>
            <w:tcMar>
              <w:top w:w="85" w:type="dxa"/>
              <w:left w:w="85" w:type="dxa"/>
              <w:bottom w:w="85" w:type="dxa"/>
            </w:tcMar>
          </w:tcPr>
          <w:p>
            <w:pPr>
              <w:spacing w:after="0"/>
              <w:jc w:val="left"/>
              <w:rPr>
                <w:noProof/>
                <w:sz w:val="20"/>
              </w:rPr>
            </w:pPr>
            <w:r>
              <w:rPr>
                <w:noProof/>
                <w:sz w:val="20"/>
              </w:rPr>
              <w:t>COM (2020)314 final</w:t>
            </w:r>
            <w:r>
              <w:rPr>
                <w:noProof/>
              </w:rPr>
              <w:br/>
            </w:r>
            <w:r>
              <w:rPr>
                <w:noProof/>
                <w:sz w:val="20"/>
              </w:rPr>
              <w:t>2020/0148 (CNS)</w:t>
            </w:r>
            <w:r>
              <w:rPr>
                <w:noProof/>
              </w:rPr>
              <w:br/>
            </w:r>
            <w:r>
              <w:rPr>
                <w:noProof/>
                <w:sz w:val="20"/>
              </w:rPr>
              <w:t>15.7.2020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shd w:val="clear" w:color="auto" w:fill="FFFFFF"/>
              </w:rPr>
              <w:t>Предложение за РЕГЛАМЕНТ НА ЕВРОПЕЙСКИЯ ПАРЛАМЕНТ И НА СЪВЕТА</w:t>
            </w:r>
            <w:r>
              <w:rPr>
                <w:noProof/>
                <w:sz w:val="20"/>
              </w:rPr>
              <w:t xml:space="preserve"> за изменение на Регламент (ЕС) № 575/2013 чрез адаптиране на уредбата на секюритизaциите с цел подпомагане на икономическото възстановяване в отговор на пандемията от COVID-19</w:t>
            </w:r>
          </w:p>
        </w:tc>
        <w:tc>
          <w:tcPr>
            <w:tcW w:w="2126" w:type="dxa"/>
            <w:tcMar>
              <w:top w:w="85" w:type="dxa"/>
              <w:left w:w="85" w:type="dxa"/>
              <w:bottom w:w="85" w:type="dxa"/>
            </w:tcMar>
          </w:tcPr>
          <w:p>
            <w:pPr>
              <w:spacing w:after="0"/>
              <w:jc w:val="left"/>
              <w:rPr>
                <w:noProof/>
                <w:sz w:val="20"/>
              </w:rPr>
            </w:pPr>
            <w:r>
              <w:rPr>
                <w:noProof/>
                <w:sz w:val="20"/>
              </w:rPr>
              <w:t>COM (2020)283 final</w:t>
            </w:r>
            <w:r>
              <w:rPr>
                <w:noProof/>
              </w:rPr>
              <w:br/>
            </w:r>
            <w:r>
              <w:rPr>
                <w:noProof/>
                <w:sz w:val="20"/>
              </w:rPr>
              <w:t>2020/0156 (COD)</w:t>
            </w:r>
            <w:r>
              <w:rPr>
                <w:noProof/>
              </w:rPr>
              <w:br/>
            </w:r>
            <w:r>
              <w:rPr>
                <w:noProof/>
                <w:sz w:val="20"/>
              </w:rPr>
              <w:t>24.7.2020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shd w:val="clear" w:color="auto" w:fill="FFFFFF"/>
              </w:rPr>
            </w:pPr>
            <w:r>
              <w:rPr>
                <w:noProof/>
                <w:sz w:val="20"/>
                <w:shd w:val="clear" w:color="auto" w:fill="FFFFFF"/>
              </w:rPr>
              <w:t>Предложение за РЕГЛАМЕНТ НА ЕВРОПЕЙСКИЯ ПАРЛАМЕНТ И НА СЪВЕТА за изменение на Регламент (ЕС) 2017/2402 за определяне на обща рамка за секюритизациите и за създаване на специфична рамка за опростени, прозрачни и стандартизирани секюритизации, с цел да се подпомогне възстановяването от пандемията от COVID-19</w:t>
            </w:r>
          </w:p>
        </w:tc>
        <w:tc>
          <w:tcPr>
            <w:tcW w:w="2126" w:type="dxa"/>
            <w:tcMar>
              <w:top w:w="85" w:type="dxa"/>
              <w:left w:w="85" w:type="dxa"/>
              <w:bottom w:w="85" w:type="dxa"/>
            </w:tcMar>
          </w:tcPr>
          <w:p>
            <w:pPr>
              <w:spacing w:after="0"/>
              <w:jc w:val="left"/>
              <w:rPr>
                <w:noProof/>
                <w:sz w:val="20"/>
              </w:rPr>
            </w:pPr>
            <w:r>
              <w:rPr>
                <w:noProof/>
                <w:sz w:val="20"/>
                <w:shd w:val="clear" w:color="auto" w:fill="FFFFFF"/>
              </w:rPr>
              <w:t>COM (2020)282 final</w:t>
            </w:r>
            <w:r>
              <w:rPr>
                <w:noProof/>
              </w:rPr>
              <w:br/>
            </w:r>
            <w:r>
              <w:rPr>
                <w:noProof/>
                <w:sz w:val="20"/>
                <w:shd w:val="clear" w:color="auto" w:fill="FFFFFF"/>
              </w:rPr>
              <w:t>2020/0151 (COD)</w:t>
            </w:r>
            <w:r>
              <w:rPr>
                <w:noProof/>
              </w:rPr>
              <w:br/>
            </w:r>
            <w:r>
              <w:rPr>
                <w:noProof/>
                <w:sz w:val="20"/>
              </w:rPr>
              <w:t>24.7.2020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shd w:val="clear" w:color="auto" w:fill="FFFFFF"/>
              </w:rPr>
              <w:t>Предложение за РЕГЛАМЕНТ НА ЕВРОПЕЙСКИЯ ПАРЛАМЕНТ И НА СЪВЕТА за изменение на Регламент (ЕС) 2017/1129 по отношение на проспекта на ЕС за възстановяване и целенасочени корекции за финансовите посредници с цел подпомагане на възстановяването от пандемията от COVID-19</w:t>
            </w:r>
          </w:p>
        </w:tc>
        <w:tc>
          <w:tcPr>
            <w:tcW w:w="2126" w:type="dxa"/>
            <w:tcMar>
              <w:top w:w="85" w:type="dxa"/>
              <w:left w:w="85" w:type="dxa"/>
              <w:bottom w:w="85" w:type="dxa"/>
            </w:tcMar>
          </w:tcPr>
          <w:p>
            <w:pPr>
              <w:spacing w:after="0"/>
              <w:jc w:val="left"/>
              <w:rPr>
                <w:noProof/>
                <w:sz w:val="20"/>
              </w:rPr>
            </w:pPr>
            <w:r>
              <w:rPr>
                <w:noProof/>
                <w:sz w:val="20"/>
                <w:shd w:val="clear" w:color="auto" w:fill="FFFFFF"/>
              </w:rPr>
              <w:t>COM (2020)281 final</w:t>
            </w:r>
            <w:r>
              <w:rPr>
                <w:noProof/>
              </w:rPr>
              <w:br/>
            </w:r>
            <w:r>
              <w:rPr>
                <w:noProof/>
                <w:sz w:val="20"/>
                <w:shd w:val="clear" w:color="auto" w:fill="FFFFFF"/>
              </w:rPr>
              <w:t>2020/0155 (COD)</w:t>
            </w:r>
            <w:r>
              <w:rPr>
                <w:noProof/>
              </w:rPr>
              <w:br/>
            </w:r>
            <w:r>
              <w:rPr>
                <w:noProof/>
                <w:sz w:val="20"/>
                <w:shd w:val="clear" w:color="auto" w:fill="FFFFFF"/>
              </w:rPr>
              <w:t>24.7.2020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shd w:val="clear" w:color="auto" w:fill="FFFFFF"/>
              </w:rPr>
            </w:pPr>
            <w:r>
              <w:rPr>
                <w:noProof/>
                <w:sz w:val="20"/>
                <w:shd w:val="clear" w:color="auto" w:fill="FFFFFF"/>
              </w:rPr>
              <w:t>Предложение за ДИРЕКТИВА НА ЕВРОПЕЙСКИЯ ПАРЛАМЕНТ И НА СЪВЕТА за изменение на Директива 2014/65/ЕС по отношение на изискванията за предоставяне на информация, управлението на продуктите и ограниченията на позициите с цел да се подпомогне възстановяването от пандемията от COVID-19</w:t>
            </w:r>
          </w:p>
        </w:tc>
        <w:tc>
          <w:tcPr>
            <w:tcW w:w="2126" w:type="dxa"/>
            <w:tcMar>
              <w:top w:w="85" w:type="dxa"/>
              <w:left w:w="85" w:type="dxa"/>
              <w:bottom w:w="85" w:type="dxa"/>
            </w:tcMar>
          </w:tcPr>
          <w:p>
            <w:pPr>
              <w:spacing w:after="0"/>
              <w:jc w:val="left"/>
              <w:rPr>
                <w:noProof/>
                <w:sz w:val="20"/>
                <w:shd w:val="clear" w:color="auto" w:fill="FFFFFF"/>
              </w:rPr>
            </w:pPr>
            <w:r>
              <w:rPr>
                <w:noProof/>
                <w:sz w:val="20"/>
                <w:shd w:val="clear" w:color="auto" w:fill="FFFFFF"/>
              </w:rPr>
              <w:t>COM (2020)280 final</w:t>
            </w:r>
            <w:r>
              <w:rPr>
                <w:noProof/>
              </w:rPr>
              <w:br/>
            </w:r>
            <w:r>
              <w:rPr>
                <w:noProof/>
                <w:sz w:val="20"/>
                <w:shd w:val="clear" w:color="auto" w:fill="FFFFFF"/>
              </w:rPr>
              <w:t>2020/0152 (COD)</w:t>
            </w:r>
            <w:r>
              <w:rPr>
                <w:noProof/>
              </w:rPr>
              <w:br/>
            </w:r>
            <w:r>
              <w:rPr>
                <w:noProof/>
                <w:sz w:val="20"/>
                <w:shd w:val="clear" w:color="auto" w:fill="FFFFFF"/>
              </w:rPr>
              <w:t>24.7.2020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shd w:val="clear" w:color="auto" w:fill="FFFFFF"/>
              </w:rPr>
            </w:pPr>
            <w:r>
              <w:rPr>
                <w:noProof/>
                <w:sz w:val="20"/>
                <w:shd w:val="clear" w:color="auto" w:fill="FFFFFF"/>
              </w:rPr>
              <w:t>Предложение за ДИРЕКТИВА НА ЕВРОПЕЙСКИЯ ПАРЛАМЕНТ И НА СЪВЕТА за изменение на Директива 2009/103/ЕО на Европейския парламент и на Съвета от 16 септември 2009 г. относно застраховката „Гражданска отговорност“ при използването на моторни превозни средства и за контрол върху задължението за сключване на такава застраховка</w:t>
            </w:r>
          </w:p>
        </w:tc>
        <w:tc>
          <w:tcPr>
            <w:tcW w:w="2126" w:type="dxa"/>
            <w:tcMar>
              <w:top w:w="85" w:type="dxa"/>
              <w:left w:w="85" w:type="dxa"/>
              <w:bottom w:w="85" w:type="dxa"/>
            </w:tcMar>
          </w:tcPr>
          <w:p>
            <w:pPr>
              <w:spacing w:after="0"/>
              <w:jc w:val="left"/>
              <w:rPr>
                <w:noProof/>
                <w:sz w:val="20"/>
                <w:shd w:val="clear" w:color="auto" w:fill="FFFFFF"/>
              </w:rPr>
            </w:pPr>
            <w:r>
              <w:rPr>
                <w:noProof/>
                <w:sz w:val="20"/>
                <w:shd w:val="clear" w:color="auto" w:fill="FFFFFF"/>
              </w:rPr>
              <w:t>COM (2018)336 final</w:t>
            </w:r>
            <w:r>
              <w:rPr>
                <w:noProof/>
              </w:rPr>
              <w:br/>
            </w:r>
            <w:r>
              <w:rPr>
                <w:noProof/>
                <w:sz w:val="20"/>
                <w:shd w:val="clear" w:color="auto" w:fill="FFFFFF"/>
              </w:rPr>
              <w:t>2018/0168 (COD)</w:t>
            </w:r>
            <w:r>
              <w:rPr>
                <w:noProof/>
              </w:rPr>
              <w:br/>
            </w:r>
            <w:r>
              <w:rPr>
                <w:noProof/>
                <w:sz w:val="20"/>
              </w:rPr>
              <w:t>24.5.2018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shd w:val="clear" w:color="auto" w:fill="FFFFFF"/>
              </w:rPr>
            </w:pPr>
            <w:r>
              <w:rPr>
                <w:noProof/>
                <w:sz w:val="20"/>
              </w:rPr>
              <w:t>Предложение за ДИРЕКТИВА НА ЕВРОПЕЙСКИЯ ПАРЛАМЕНТ И НА СЪВЕТА относно лицата, обслужващи кредити, купувачите на кредити и събирането на обезпечения</w:t>
            </w:r>
          </w:p>
        </w:tc>
        <w:tc>
          <w:tcPr>
            <w:tcW w:w="2126" w:type="dxa"/>
            <w:tcMar>
              <w:top w:w="85" w:type="dxa"/>
              <w:left w:w="85" w:type="dxa"/>
              <w:bottom w:w="85" w:type="dxa"/>
            </w:tcMar>
          </w:tcPr>
          <w:p>
            <w:pPr>
              <w:spacing w:after="0"/>
              <w:jc w:val="left"/>
              <w:rPr>
                <w:noProof/>
                <w:sz w:val="20"/>
                <w:shd w:val="clear" w:color="auto" w:fill="FFFFFF"/>
              </w:rPr>
            </w:pPr>
            <w:r>
              <w:rPr>
                <w:noProof/>
                <w:sz w:val="20"/>
              </w:rPr>
              <w:t>COM (2018)135 final</w:t>
            </w:r>
            <w:r>
              <w:rPr>
                <w:noProof/>
              </w:rPr>
              <w:br/>
            </w:r>
            <w:r>
              <w:rPr>
                <w:noProof/>
                <w:sz w:val="20"/>
              </w:rPr>
              <w:t>2018/0063A (COD)</w:t>
            </w:r>
            <w:r>
              <w:rPr>
                <w:noProof/>
              </w:rPr>
              <w:br/>
            </w:r>
            <w:r>
              <w:rPr>
                <w:noProof/>
                <w:sz w:val="20"/>
              </w:rPr>
              <w:t>2018/0063B (COD)</w:t>
            </w:r>
            <w:r>
              <w:rPr>
                <w:noProof/>
              </w:rPr>
              <w:br/>
            </w:r>
            <w:r>
              <w:rPr>
                <w:noProof/>
                <w:sz w:val="20"/>
              </w:rPr>
              <w:t>14.3.2018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(ЕО) № 883/2004 за координация на системите за социална сигурност и на Регламент (ЕО) № 987/2009 за установяване процедурата за прилагане на Регламент (ЕО) № 883/2004 (текст от значение за ЕИП и за Швейцария)</w:t>
            </w:r>
          </w:p>
        </w:tc>
        <w:tc>
          <w:tcPr>
            <w:tcW w:w="2126" w:type="dxa"/>
            <w:tcMar>
              <w:top w:w="85" w:type="dxa"/>
              <w:left w:w="85" w:type="dxa"/>
              <w:bottom w:w="85" w:type="dxa"/>
            </w:tcMar>
          </w:tcPr>
          <w:p>
            <w:pPr>
              <w:spacing w:after="0"/>
              <w:jc w:val="left"/>
              <w:rPr>
                <w:noProof/>
                <w:sz w:val="20"/>
              </w:rPr>
            </w:pPr>
            <w:r>
              <w:rPr>
                <w:noProof/>
                <w:sz w:val="20"/>
              </w:rPr>
              <w:t>COM (2016)815 final</w:t>
            </w:r>
            <w:r>
              <w:rPr>
                <w:noProof/>
              </w:rPr>
              <w:br/>
            </w:r>
            <w:r>
              <w:rPr>
                <w:noProof/>
                <w:sz w:val="20"/>
              </w:rPr>
              <w:t>2016/0397 (COD)</w:t>
            </w:r>
            <w:r>
              <w:rPr>
                <w:noProof/>
              </w:rPr>
              <w:br/>
            </w:r>
            <w:r>
              <w:rPr>
                <w:noProof/>
                <w:sz w:val="20"/>
              </w:rPr>
              <w:t>14.12.2016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ДИРЕКТИВА НА СЪВЕТА относно обща консолидирана основа за облагане с корпоративен данък (ОКООКД)</w:t>
            </w:r>
          </w:p>
        </w:tc>
        <w:tc>
          <w:tcPr>
            <w:tcW w:w="2126" w:type="dxa"/>
            <w:tcMar>
              <w:top w:w="85" w:type="dxa"/>
              <w:left w:w="85" w:type="dxa"/>
              <w:bottom w:w="85" w:type="dxa"/>
            </w:tcMar>
          </w:tcPr>
          <w:p>
            <w:pPr>
              <w:spacing w:after="0"/>
              <w:jc w:val="left"/>
              <w:rPr>
                <w:noProof/>
                <w:sz w:val="20"/>
              </w:rPr>
            </w:pPr>
            <w:r>
              <w:rPr>
                <w:noProof/>
                <w:sz w:val="20"/>
              </w:rPr>
              <w:t>COM (2016)683 final</w:t>
            </w:r>
            <w:r>
              <w:rPr>
                <w:noProof/>
              </w:rPr>
              <w:br/>
            </w:r>
            <w:r>
              <w:rPr>
                <w:noProof/>
                <w:sz w:val="20"/>
              </w:rPr>
              <w:t>2016/0336 (CNS)</w:t>
            </w:r>
            <w:r>
              <w:rPr>
                <w:noProof/>
              </w:rPr>
              <w:br/>
            </w:r>
            <w:r>
              <w:rPr>
                <w:noProof/>
                <w:sz w:val="20"/>
              </w:rPr>
              <w:t>26.10.2016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ДИРЕКТИВА НА ЕВРОПЕЙСКИЯ ПАРЛАМЕНТ И НА СЪВЕТА за изменение на Директива 2013/34/ЕС по отношение на оповестяването на информация за корпоративния данък от страна на някои предприятия и клонове</w:t>
            </w:r>
          </w:p>
        </w:tc>
        <w:tc>
          <w:tcPr>
            <w:tcW w:w="2126" w:type="dxa"/>
            <w:tcMar>
              <w:top w:w="85" w:type="dxa"/>
              <w:left w:w="85" w:type="dxa"/>
              <w:bottom w:w="85" w:type="dxa"/>
            </w:tcMar>
          </w:tcPr>
          <w:p>
            <w:pPr>
              <w:spacing w:after="0"/>
              <w:jc w:val="left"/>
              <w:rPr>
                <w:noProof/>
                <w:sz w:val="20"/>
              </w:rPr>
            </w:pPr>
            <w:r>
              <w:rPr>
                <w:noProof/>
                <w:sz w:val="20"/>
              </w:rPr>
              <w:t>COM (2016)198 final</w:t>
            </w:r>
            <w:r>
              <w:rPr>
                <w:noProof/>
              </w:rPr>
              <w:br/>
            </w:r>
            <w:r>
              <w:rPr>
                <w:noProof/>
                <w:sz w:val="20"/>
              </w:rPr>
              <w:t>2016/0107 (COD)</w:t>
            </w:r>
            <w:r>
              <w:rPr>
                <w:noProof/>
              </w:rPr>
              <w:br/>
            </w:r>
            <w:r>
              <w:rPr>
                <w:noProof/>
                <w:sz w:val="20"/>
              </w:rPr>
              <w:t>13.4.2016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(ЕС) № 806/2014 с цел създаване на Европейска схема за застраховане на депозитите</w:t>
            </w:r>
          </w:p>
        </w:tc>
        <w:tc>
          <w:tcPr>
            <w:tcW w:w="2126" w:type="dxa"/>
            <w:tcMar>
              <w:top w:w="85" w:type="dxa"/>
              <w:left w:w="85" w:type="dxa"/>
              <w:bottom w:w="85" w:type="dxa"/>
            </w:tcMar>
          </w:tcPr>
          <w:p>
            <w:pPr>
              <w:spacing w:after="0"/>
              <w:jc w:val="left"/>
              <w:rPr>
                <w:noProof/>
                <w:sz w:val="20"/>
              </w:rPr>
            </w:pPr>
            <w:r>
              <w:rPr>
                <w:noProof/>
                <w:sz w:val="20"/>
              </w:rPr>
              <w:t>COM (2015)586 final</w:t>
            </w:r>
            <w:r>
              <w:rPr>
                <w:noProof/>
              </w:rPr>
              <w:br/>
            </w:r>
            <w:r>
              <w:rPr>
                <w:noProof/>
                <w:sz w:val="20"/>
              </w:rPr>
              <w:t>2015/0270 (COD)</w:t>
            </w:r>
            <w:r>
              <w:rPr>
                <w:noProof/>
              </w:rPr>
              <w:br/>
            </w:r>
            <w:r>
              <w:rPr>
                <w:noProof/>
                <w:sz w:val="20"/>
              </w:rPr>
              <w:t>24.11.2015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shd w:val="clear" w:color="auto" w:fill="FFFFFF"/>
              </w:rPr>
            </w:pPr>
            <w:r>
              <w:rPr>
                <w:noProof/>
                <w:sz w:val="20"/>
              </w:rPr>
              <w:t>Предложение за ДИРЕКТИВА НА СЪВЕТА за въвеждане на засилено сътрудничество в областта на данъка върху финансовите сделки</w:t>
            </w:r>
          </w:p>
        </w:tc>
        <w:tc>
          <w:tcPr>
            <w:tcW w:w="2126" w:type="dxa"/>
            <w:tcMar>
              <w:top w:w="85" w:type="dxa"/>
              <w:left w:w="85" w:type="dxa"/>
              <w:bottom w:w="85" w:type="dxa"/>
            </w:tcMar>
          </w:tcPr>
          <w:p>
            <w:pPr>
              <w:spacing w:after="0"/>
              <w:jc w:val="left"/>
              <w:rPr>
                <w:noProof/>
                <w:sz w:val="20"/>
                <w:shd w:val="clear" w:color="auto" w:fill="FFFFFF"/>
              </w:rPr>
            </w:pPr>
            <w:r>
              <w:rPr>
                <w:noProof/>
                <w:sz w:val="20"/>
              </w:rPr>
              <w:t>COM (2013)71 final</w:t>
            </w:r>
            <w:r>
              <w:rPr>
                <w:noProof/>
              </w:rPr>
              <w:br/>
            </w:r>
            <w:r>
              <w:rPr>
                <w:noProof/>
                <w:sz w:val="20"/>
              </w:rPr>
              <w:t>2013/0045 (CNS)</w:t>
            </w:r>
            <w:r>
              <w:rPr>
                <w:noProof/>
              </w:rPr>
              <w:br/>
            </w:r>
            <w:r>
              <w:rPr>
                <w:noProof/>
                <w:sz w:val="20"/>
              </w:rPr>
              <w:t>14.2.2013 г.</w:t>
            </w:r>
          </w:p>
        </w:tc>
      </w:tr>
      <w:tr>
        <w:trPr>
          <w:cantSplit/>
        </w:trPr>
        <w:tc>
          <w:tcPr>
            <w:tcW w:w="14850" w:type="dxa"/>
            <w:gridSpan w:val="3"/>
            <w:shd w:val="clear" w:color="auto" w:fill="585EAA" w:themeFill="accent4"/>
            <w:tcMar>
              <w:top w:w="85" w:type="dxa"/>
              <w:left w:w="85" w:type="dxa"/>
              <w:bottom w:w="85" w:type="dxa"/>
              <w:right w:w="85" w:type="dxa"/>
            </w:tcMar>
          </w:tcPr>
          <w:p>
            <w:pPr>
              <w:keepNext/>
              <w:spacing w:before="60" w:after="60"/>
              <w:rPr>
                <w:noProof/>
                <w:sz w:val="20"/>
              </w:rPr>
            </w:pPr>
            <w:r>
              <w:rPr>
                <w:b/>
                <w:bCs/>
                <w:noProof/>
                <w:sz w:val="20"/>
              </w:rPr>
              <w:t>По-силна Европа на световната сцена</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(ЕО) № 1215/2009 на Съвета за въвеждане на изключителни търговски мерки за страни и територии, участващи или свързани с процеса на стабилизиране и асоцииране, осъществяван от Европейския съюз</w:t>
            </w:r>
          </w:p>
        </w:tc>
        <w:tc>
          <w:tcPr>
            <w:tcW w:w="2126" w:type="dxa"/>
            <w:tcMar>
              <w:top w:w="85" w:type="dxa"/>
              <w:left w:w="85" w:type="dxa"/>
              <w:bottom w:w="85" w:type="dxa"/>
            </w:tcMar>
          </w:tcPr>
          <w:p>
            <w:pPr>
              <w:spacing w:after="0"/>
              <w:jc w:val="left"/>
              <w:rPr>
                <w:noProof/>
                <w:sz w:val="20"/>
              </w:rPr>
            </w:pPr>
            <w:r>
              <w:rPr>
                <w:noProof/>
                <w:sz w:val="20"/>
              </w:rPr>
              <w:t>COM (2020)135 final</w:t>
            </w:r>
            <w:r>
              <w:rPr>
                <w:noProof/>
              </w:rPr>
              <w:br/>
            </w:r>
            <w:r>
              <w:rPr>
                <w:noProof/>
                <w:sz w:val="20"/>
              </w:rPr>
              <w:t>2020/0051 (COD)</w:t>
            </w:r>
            <w:r>
              <w:rPr>
                <w:noProof/>
              </w:rPr>
              <w:br/>
            </w:r>
            <w:r>
              <w:rPr>
                <w:noProof/>
                <w:sz w:val="20"/>
              </w:rPr>
              <w:t>3.4.2020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shd w:val="clear" w:color="auto" w:fill="FFFFFF"/>
              </w:rPr>
            </w:pPr>
            <w:r>
              <w:rPr>
                <w:noProof/>
                <w:sz w:val="20"/>
              </w:rPr>
              <w:t>Предложение за РЕГЛАМЕНТ НА ЕВРОПЕЙСКИЯ ПАРЛАМЕНТ И НА СЪВЕТА за изменение на Регламент (ЕС) № 654/2014 на Европейския парламент и на Съвета относно упражняването на правата на Съюза за прилагане и осигуряване на съблюдаването на международните търговски правила</w:t>
            </w:r>
          </w:p>
        </w:tc>
        <w:tc>
          <w:tcPr>
            <w:tcW w:w="2126" w:type="dxa"/>
            <w:tcMar>
              <w:top w:w="85" w:type="dxa"/>
              <w:left w:w="85" w:type="dxa"/>
              <w:bottom w:w="85" w:type="dxa"/>
            </w:tcMar>
          </w:tcPr>
          <w:p>
            <w:pPr>
              <w:spacing w:after="0"/>
              <w:jc w:val="left"/>
              <w:rPr>
                <w:noProof/>
                <w:sz w:val="20"/>
                <w:shd w:val="clear" w:color="auto" w:fill="FFFFFF"/>
              </w:rPr>
            </w:pPr>
            <w:r>
              <w:rPr>
                <w:noProof/>
                <w:sz w:val="20"/>
              </w:rPr>
              <w:t>COM (2019)623 final</w:t>
            </w:r>
            <w:r>
              <w:rPr>
                <w:noProof/>
              </w:rPr>
              <w:t xml:space="preserve"> </w:t>
            </w:r>
            <w:r>
              <w:rPr>
                <w:noProof/>
              </w:rPr>
              <w:br/>
            </w:r>
            <w:r>
              <w:rPr>
                <w:noProof/>
                <w:sz w:val="20"/>
              </w:rPr>
              <w:t>2019/0273 (COD)</w:t>
            </w:r>
            <w:r>
              <w:rPr>
                <w:noProof/>
              </w:rPr>
              <w:t xml:space="preserve"> </w:t>
            </w:r>
            <w:r>
              <w:rPr>
                <w:noProof/>
              </w:rPr>
              <w:br/>
            </w:r>
            <w:r>
              <w:rPr>
                <w:noProof/>
                <w:sz w:val="20"/>
              </w:rPr>
              <w:t>12.12.2019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въвеждане на режим на Съюза за контрол на износа, трансфера, брокерската дейност, техническата помощ и транзита на изделия с двойна употреба (преработен)</w:t>
            </w:r>
          </w:p>
        </w:tc>
        <w:tc>
          <w:tcPr>
            <w:tcW w:w="2126" w:type="dxa"/>
            <w:tcMar>
              <w:top w:w="85" w:type="dxa"/>
              <w:left w:w="85" w:type="dxa"/>
              <w:bottom w:w="85" w:type="dxa"/>
            </w:tcMar>
          </w:tcPr>
          <w:p>
            <w:pPr>
              <w:spacing w:after="0"/>
              <w:jc w:val="left"/>
              <w:rPr>
                <w:noProof/>
                <w:sz w:val="20"/>
              </w:rPr>
            </w:pPr>
            <w:r>
              <w:rPr>
                <w:noProof/>
                <w:sz w:val="20"/>
              </w:rPr>
              <w:t>COM (2016)616 final</w:t>
            </w:r>
            <w:r>
              <w:rPr>
                <w:noProof/>
              </w:rPr>
              <w:br/>
            </w:r>
            <w:r>
              <w:rPr>
                <w:noProof/>
                <w:sz w:val="20"/>
              </w:rPr>
              <w:t>2016/0295 (COD)</w:t>
            </w:r>
            <w:r>
              <w:rPr>
                <w:noProof/>
              </w:rPr>
              <w:br/>
            </w:r>
            <w:r>
              <w:rPr>
                <w:noProof/>
                <w:sz w:val="20"/>
              </w:rPr>
              <w:t>28.9.2016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достъпа на стоки и услуги от трети държави до вътрешния пазар на обществени поръчки на Съюза и за определяне на процедури за подпомагане на преговорите относно достъпа на съюзни стоки и услуги до пазарите на обществени поръчки на трети държави</w:t>
            </w:r>
          </w:p>
        </w:tc>
        <w:tc>
          <w:tcPr>
            <w:tcW w:w="2126" w:type="dxa"/>
            <w:tcMar>
              <w:top w:w="85" w:type="dxa"/>
              <w:left w:w="85" w:type="dxa"/>
              <w:bottom w:w="85" w:type="dxa"/>
            </w:tcMar>
          </w:tcPr>
          <w:p>
            <w:pPr>
              <w:spacing w:after="0"/>
              <w:jc w:val="left"/>
              <w:rPr>
                <w:noProof/>
                <w:sz w:val="20"/>
              </w:rPr>
            </w:pPr>
            <w:r>
              <w:rPr>
                <w:noProof/>
                <w:sz w:val="20"/>
              </w:rPr>
              <w:t>COM (2012)124 final</w:t>
            </w:r>
            <w:r>
              <w:rPr>
                <w:noProof/>
              </w:rPr>
              <w:br/>
            </w:r>
            <w:r>
              <w:rPr>
                <w:noProof/>
                <w:sz w:val="20"/>
              </w:rPr>
              <w:t>2012/0060 (COD)</w:t>
            </w:r>
            <w:r>
              <w:rPr>
                <w:noProof/>
              </w:rPr>
              <w:br/>
            </w:r>
            <w:r>
              <w:rPr>
                <w:noProof/>
                <w:sz w:val="20"/>
              </w:rPr>
              <w:t>21.3.2012 г.</w:t>
            </w:r>
          </w:p>
        </w:tc>
      </w:tr>
      <w:tr>
        <w:trPr>
          <w:cantSplit/>
        </w:trPr>
        <w:tc>
          <w:tcPr>
            <w:tcW w:w="14850" w:type="dxa"/>
            <w:gridSpan w:val="3"/>
            <w:shd w:val="clear" w:color="auto" w:fill="DA5C57" w:themeFill="accent6"/>
            <w:tcMar>
              <w:top w:w="85" w:type="dxa"/>
              <w:left w:w="85" w:type="dxa"/>
              <w:bottom w:w="85" w:type="dxa"/>
              <w:right w:w="85" w:type="dxa"/>
            </w:tcMar>
          </w:tcPr>
          <w:p>
            <w:pPr>
              <w:spacing w:before="60" w:after="60"/>
              <w:rPr>
                <w:noProof/>
                <w:color w:val="FFFFFF" w:themeColor="background1"/>
                <w:sz w:val="20"/>
              </w:rPr>
            </w:pPr>
            <w:r>
              <w:rPr>
                <w:b/>
                <w:bCs/>
                <w:noProof/>
                <w:color w:val="FFFFFF" w:themeColor="background1"/>
                <w:sz w:val="20"/>
              </w:rPr>
              <w:t>Утвърждаване на европейския ни начин на живот</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shd w:val="clear" w:color="auto" w:fill="FFFFFF"/>
              </w:rPr>
              <w:t>Предложение за РЕГЛАМЕНТ НА ЕВРОПЕЙСКИЯ ПАРЛАМЕНТ И НА СЪВЕТА за справяне със ситуации на криза и форсмажорни обстоятелства в областта на миграцията и убежището</w:t>
            </w:r>
          </w:p>
        </w:tc>
        <w:tc>
          <w:tcPr>
            <w:tcW w:w="2126" w:type="dxa"/>
            <w:tcMar>
              <w:top w:w="85" w:type="dxa"/>
              <w:left w:w="85" w:type="dxa"/>
              <w:bottom w:w="85" w:type="dxa"/>
            </w:tcMar>
          </w:tcPr>
          <w:p>
            <w:pPr>
              <w:spacing w:after="0"/>
              <w:jc w:val="left"/>
              <w:rPr>
                <w:noProof/>
                <w:sz w:val="20"/>
              </w:rPr>
            </w:pPr>
            <w:r>
              <w:rPr>
                <w:noProof/>
                <w:sz w:val="20"/>
                <w:shd w:val="clear" w:color="auto" w:fill="FFFFFF"/>
              </w:rPr>
              <w:t>COM (2020)613 final</w:t>
            </w:r>
            <w:r>
              <w:rPr>
                <w:noProof/>
              </w:rPr>
              <w:br/>
            </w:r>
            <w:r>
              <w:rPr>
                <w:noProof/>
                <w:sz w:val="20"/>
                <w:shd w:val="clear" w:color="auto" w:fill="FFFFFF"/>
              </w:rPr>
              <w:t>2020/0277 (COD)</w:t>
            </w:r>
            <w:r>
              <w:rPr>
                <w:noProof/>
              </w:rPr>
              <w:br/>
            </w:r>
            <w:r>
              <w:rPr>
                <w:noProof/>
                <w:sz w:val="20"/>
                <w:shd w:val="clear" w:color="auto" w:fill="FFFFFF"/>
              </w:rPr>
              <w:t>23.9.2020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shd w:val="clear" w:color="auto" w:fill="FFFFFF"/>
              </w:rPr>
              <w:t>Предложение за РЕГЛАМЕНТ НА ЕВРОПЕЙСКИЯ ПАРЛАМЕНТ И НА СЪВЕТА</w:t>
            </w:r>
            <w:r>
              <w:rPr>
                <w:noProof/>
                <w:sz w:val="20"/>
              </w:rPr>
              <w:t xml:space="preserve"> за въвеждане на скрининг на граждани на трети държави по външните граници и за изменение на регламенти (ЕО) № 767/2008, (ЕС) 2017/2226, (ЕС) 2018/1240 и (ЕС) 2019/817</w:t>
            </w:r>
          </w:p>
        </w:tc>
        <w:tc>
          <w:tcPr>
            <w:tcW w:w="2126" w:type="dxa"/>
            <w:tcMar>
              <w:top w:w="85" w:type="dxa"/>
              <w:left w:w="85" w:type="dxa"/>
              <w:bottom w:w="85" w:type="dxa"/>
            </w:tcMar>
          </w:tcPr>
          <w:p>
            <w:pPr>
              <w:spacing w:after="0"/>
              <w:jc w:val="left"/>
              <w:rPr>
                <w:noProof/>
                <w:sz w:val="20"/>
              </w:rPr>
            </w:pPr>
            <w:r>
              <w:rPr>
                <w:noProof/>
                <w:sz w:val="20"/>
              </w:rPr>
              <w:t>COM (2020)612 final</w:t>
            </w:r>
            <w:r>
              <w:rPr>
                <w:noProof/>
              </w:rPr>
              <w:br/>
            </w:r>
            <w:r>
              <w:rPr>
                <w:noProof/>
                <w:sz w:val="20"/>
              </w:rPr>
              <w:t>2020/0278 (COD)</w:t>
            </w:r>
            <w:r>
              <w:rPr>
                <w:noProof/>
              </w:rPr>
              <w:br/>
            </w:r>
            <w:r>
              <w:rPr>
                <w:noProof/>
                <w:sz w:val="20"/>
              </w:rPr>
              <w:t>23.9.2020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shd w:val="clear" w:color="auto" w:fill="FFFFFF"/>
              </w:rPr>
              <w:t>Предложение за РЕГЛАМЕНТ НА ЕВРОПЕЙСКИЯ ПАРЛАМЕНТ И НА СЪВЕТА относно управлението на убежището и миграцията и за изменение на Директива на Съвета (ЕК) 2003/10 и на предложението за Регламент (ЕС) XXX/XXX [фонд „Убежище и миграция“]</w:t>
            </w:r>
          </w:p>
        </w:tc>
        <w:tc>
          <w:tcPr>
            <w:tcW w:w="2126" w:type="dxa"/>
            <w:tcMar>
              <w:top w:w="85" w:type="dxa"/>
              <w:left w:w="85" w:type="dxa"/>
              <w:bottom w:w="85" w:type="dxa"/>
            </w:tcMar>
          </w:tcPr>
          <w:p>
            <w:pPr>
              <w:spacing w:after="0"/>
              <w:jc w:val="left"/>
              <w:rPr>
                <w:noProof/>
                <w:sz w:val="20"/>
              </w:rPr>
            </w:pPr>
            <w:r>
              <w:rPr>
                <w:noProof/>
                <w:sz w:val="20"/>
                <w:shd w:val="clear" w:color="auto" w:fill="FFFFFF"/>
              </w:rPr>
              <w:t>COM (2020)610 final</w:t>
            </w:r>
            <w:r>
              <w:rPr>
                <w:noProof/>
              </w:rPr>
              <w:br/>
            </w:r>
            <w:r>
              <w:rPr>
                <w:noProof/>
                <w:sz w:val="20"/>
                <w:shd w:val="clear" w:color="auto" w:fill="FFFFFF"/>
              </w:rPr>
              <w:t>2020/0279 (COD)</w:t>
            </w:r>
            <w:r>
              <w:rPr>
                <w:noProof/>
              </w:rPr>
              <w:br/>
            </w:r>
            <w:r>
              <w:rPr>
                <w:noProof/>
                <w:sz w:val="20"/>
                <w:shd w:val="clear" w:color="auto" w:fill="FFFFFF"/>
              </w:rPr>
              <w:t>23.9.2020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shd w:val="clear" w:color="auto" w:fill="FFFFFF"/>
              </w:rPr>
              <w:t>Предложение за РЕШЕНИЕ НА ЕВРОПЕЙСКИЯ ПАРЛАМЕНТ И НА СЪВЕТА за изменение на Решение № 445/2014/ЕС за установяване на действие на Съюза „Европейски столици на културата“ за годините 2020 — 2033</w:t>
            </w:r>
          </w:p>
        </w:tc>
        <w:tc>
          <w:tcPr>
            <w:tcW w:w="2126" w:type="dxa"/>
            <w:tcMar>
              <w:top w:w="85" w:type="dxa"/>
              <w:left w:w="85" w:type="dxa"/>
              <w:bottom w:w="85" w:type="dxa"/>
            </w:tcMar>
          </w:tcPr>
          <w:p>
            <w:pPr>
              <w:spacing w:after="0"/>
              <w:jc w:val="left"/>
              <w:rPr>
                <w:noProof/>
                <w:sz w:val="20"/>
              </w:rPr>
            </w:pPr>
            <w:r>
              <w:rPr>
                <w:noProof/>
                <w:sz w:val="20"/>
                <w:shd w:val="clear" w:color="auto" w:fill="FFFFFF"/>
              </w:rPr>
              <w:t>COM (2020)384 final</w:t>
            </w:r>
            <w:r>
              <w:rPr>
                <w:noProof/>
              </w:rPr>
              <w:br/>
            </w:r>
            <w:r>
              <w:rPr>
                <w:noProof/>
                <w:sz w:val="20"/>
                <w:shd w:val="clear" w:color="auto" w:fill="FFFFFF"/>
              </w:rPr>
              <w:t>2020/0179 (COD)</w:t>
            </w:r>
            <w:r>
              <w:rPr>
                <w:noProof/>
              </w:rPr>
              <w:br/>
            </w:r>
            <w:r>
              <w:rPr>
                <w:noProof/>
                <w:sz w:val="20"/>
                <w:shd w:val="clear" w:color="auto" w:fill="FFFFFF"/>
              </w:rPr>
              <w:t>18.8.2020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определяне на условията за достъп до други информационни системи на ЕС за целите на ETIAS и за изменение на Регламент (EС) 2018/1240, Регламент (EО) № 767/2008, Регламент (ЕС) 2017/2226 и Регламент (ЕС) 2018/1861</w:t>
            </w:r>
          </w:p>
        </w:tc>
        <w:tc>
          <w:tcPr>
            <w:tcW w:w="2126" w:type="dxa"/>
            <w:tcMar>
              <w:top w:w="85" w:type="dxa"/>
              <w:left w:w="85" w:type="dxa"/>
              <w:bottom w:w="85" w:type="dxa"/>
            </w:tcMar>
          </w:tcPr>
          <w:p>
            <w:pPr>
              <w:spacing w:after="0"/>
              <w:jc w:val="left"/>
              <w:rPr>
                <w:noProof/>
                <w:sz w:val="20"/>
              </w:rPr>
            </w:pPr>
            <w:r>
              <w:rPr>
                <w:noProof/>
                <w:sz w:val="20"/>
              </w:rPr>
              <w:t>COM (2019)4 final</w:t>
            </w:r>
            <w:r>
              <w:rPr>
                <w:noProof/>
              </w:rPr>
              <w:br/>
            </w:r>
            <w:r>
              <w:rPr>
                <w:noProof/>
                <w:sz w:val="20"/>
              </w:rPr>
              <w:t>2019/0002 (COD)</w:t>
            </w:r>
            <w:r>
              <w:rPr>
                <w:noProof/>
              </w:rPr>
              <w:br/>
            </w:r>
            <w:r>
              <w:rPr>
                <w:noProof/>
                <w:sz w:val="20"/>
              </w:rPr>
              <w:t>7.1.2019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shd w:val="clear" w:color="auto" w:fill="FFFFFF"/>
              </w:rPr>
              <w:t>Предложение за РЕГЛАМЕНТ НА ЕВРОПЕЙСКИЯ ПАРЛАМЕНТ И НА СЪВЕТА за определяне на условията за достъп до другите информационни системи на ЕС и за изменение на Регламент (ЕС) 2018/1862 и Регламент (ЕС) yyyy/xxx [ECRIS-TCN]</w:t>
            </w:r>
          </w:p>
        </w:tc>
        <w:tc>
          <w:tcPr>
            <w:tcW w:w="2126" w:type="dxa"/>
            <w:tcMar>
              <w:top w:w="85" w:type="dxa"/>
              <w:left w:w="85" w:type="dxa"/>
              <w:bottom w:w="85" w:type="dxa"/>
            </w:tcMar>
          </w:tcPr>
          <w:p>
            <w:pPr>
              <w:spacing w:after="0"/>
              <w:jc w:val="left"/>
              <w:rPr>
                <w:noProof/>
                <w:sz w:val="20"/>
              </w:rPr>
            </w:pPr>
            <w:r>
              <w:rPr>
                <w:noProof/>
                <w:sz w:val="20"/>
                <w:shd w:val="clear" w:color="auto" w:fill="FFFFFF"/>
              </w:rPr>
              <w:t>COM (2019)3 final</w:t>
            </w:r>
            <w:r>
              <w:rPr>
                <w:noProof/>
              </w:rPr>
              <w:br/>
            </w:r>
            <w:r>
              <w:rPr>
                <w:noProof/>
                <w:sz w:val="20"/>
                <w:shd w:val="clear" w:color="auto" w:fill="FFFFFF"/>
              </w:rPr>
              <w:t>2019/0001 (COD)</w:t>
            </w:r>
            <w:r>
              <w:rPr>
                <w:noProof/>
              </w:rPr>
              <w:br/>
            </w:r>
            <w:r>
              <w:rPr>
                <w:noProof/>
                <w:sz w:val="20"/>
                <w:shd w:val="clear" w:color="auto" w:fill="FFFFFF"/>
              </w:rPr>
              <w:t>7.1.2020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предотвратяване на разпространението на терористично съдържание онлайн</w:t>
            </w:r>
          </w:p>
        </w:tc>
        <w:tc>
          <w:tcPr>
            <w:tcW w:w="2126" w:type="dxa"/>
            <w:tcMar>
              <w:top w:w="85" w:type="dxa"/>
              <w:left w:w="85" w:type="dxa"/>
              <w:bottom w:w="85" w:type="dxa"/>
            </w:tcMar>
          </w:tcPr>
          <w:p>
            <w:pPr>
              <w:spacing w:after="0"/>
              <w:jc w:val="left"/>
              <w:rPr>
                <w:noProof/>
                <w:sz w:val="20"/>
              </w:rPr>
            </w:pPr>
            <w:r>
              <w:rPr>
                <w:noProof/>
                <w:sz w:val="20"/>
              </w:rPr>
              <w:t>COM (2018)640 final</w:t>
            </w:r>
            <w:r>
              <w:rPr>
                <w:noProof/>
              </w:rPr>
              <w:br/>
            </w:r>
            <w:r>
              <w:rPr>
                <w:noProof/>
                <w:sz w:val="20"/>
              </w:rPr>
              <w:t>2018/0331 (COD)</w:t>
            </w:r>
            <w:r>
              <w:rPr>
                <w:noProof/>
              </w:rPr>
              <w:br/>
            </w:r>
            <w:r>
              <w:rPr>
                <w:noProof/>
                <w:sz w:val="20"/>
              </w:rPr>
              <w:t>12.9.2018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ДИРЕКТИВА НА ЕВРОПЕЙСКИЯ ПАРЛАМЕНТ И НА СЪВЕТА относно общите стандарти и процедури, приложими в държавите членки за връщане на незаконно пребиваващи граждани на трети страни (преработен текст)</w:t>
            </w:r>
          </w:p>
        </w:tc>
        <w:tc>
          <w:tcPr>
            <w:tcW w:w="2126" w:type="dxa"/>
            <w:tcMar>
              <w:top w:w="85" w:type="dxa"/>
              <w:left w:w="85" w:type="dxa"/>
              <w:bottom w:w="85" w:type="dxa"/>
            </w:tcMar>
          </w:tcPr>
          <w:p>
            <w:pPr>
              <w:spacing w:after="0"/>
              <w:jc w:val="left"/>
              <w:rPr>
                <w:noProof/>
                <w:sz w:val="20"/>
              </w:rPr>
            </w:pPr>
            <w:r>
              <w:rPr>
                <w:noProof/>
                <w:sz w:val="20"/>
              </w:rPr>
              <w:t>COM (2018)634 final</w:t>
            </w:r>
            <w:r>
              <w:rPr>
                <w:noProof/>
              </w:rPr>
              <w:br/>
            </w:r>
            <w:r>
              <w:rPr>
                <w:noProof/>
                <w:sz w:val="20"/>
              </w:rPr>
              <w:t>2018/0329 (COD)</w:t>
            </w:r>
            <w:r>
              <w:rPr>
                <w:noProof/>
              </w:rPr>
              <w:br/>
            </w:r>
            <w:r>
              <w:rPr>
                <w:noProof/>
                <w:sz w:val="20"/>
              </w:rPr>
              <w:t>12.9.2018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(ЕО) № 767/2008, Регламент (ЕО) № 810/2009, Регламент (ЕС) 2017/2226, Регламент (ЕС) 2016/399, Регламент XX/2018 [Регламент за оперативната съвместимост] и Решение 2004/512/ЕО и за отмяна на Решение 2008/633/ПВР на Съвета</w:t>
            </w:r>
          </w:p>
        </w:tc>
        <w:tc>
          <w:tcPr>
            <w:tcW w:w="2126" w:type="dxa"/>
            <w:tcMar>
              <w:top w:w="85" w:type="dxa"/>
              <w:left w:w="85" w:type="dxa"/>
              <w:bottom w:w="85" w:type="dxa"/>
            </w:tcMar>
          </w:tcPr>
          <w:p>
            <w:pPr>
              <w:spacing w:after="0"/>
              <w:jc w:val="left"/>
              <w:rPr>
                <w:noProof/>
                <w:sz w:val="20"/>
              </w:rPr>
            </w:pPr>
            <w:r>
              <w:rPr>
                <w:noProof/>
                <w:sz w:val="20"/>
              </w:rPr>
              <w:t>COM (2018)302 final</w:t>
            </w:r>
            <w:r>
              <w:rPr>
                <w:noProof/>
              </w:rPr>
              <w:br/>
            </w:r>
            <w:r>
              <w:rPr>
                <w:noProof/>
                <w:sz w:val="20"/>
              </w:rPr>
              <w:t>2018/0152 (COD)</w:t>
            </w:r>
            <w:r>
              <w:rPr>
                <w:noProof/>
              </w:rPr>
              <w:br/>
            </w:r>
            <w:r>
              <w:rPr>
                <w:noProof/>
                <w:sz w:val="20"/>
              </w:rPr>
              <w:t>17.5.2018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pt-PT"/>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рамка на Съюза за презаселване и за изменение на Регламент (ЕС) № 516/2014 на Европейския парламент и на Съвета</w:t>
            </w:r>
          </w:p>
        </w:tc>
        <w:tc>
          <w:tcPr>
            <w:tcW w:w="2126" w:type="dxa"/>
            <w:tcMar>
              <w:top w:w="85" w:type="dxa"/>
              <w:left w:w="85" w:type="dxa"/>
              <w:bottom w:w="85" w:type="dxa"/>
            </w:tcMar>
          </w:tcPr>
          <w:p>
            <w:pPr>
              <w:spacing w:after="0"/>
              <w:jc w:val="left"/>
              <w:rPr>
                <w:noProof/>
                <w:sz w:val="20"/>
              </w:rPr>
            </w:pPr>
            <w:r>
              <w:rPr>
                <w:noProof/>
                <w:sz w:val="20"/>
              </w:rPr>
              <w:t>COM (2016)468 final</w:t>
            </w:r>
            <w:r>
              <w:rPr>
                <w:noProof/>
              </w:rPr>
              <w:br/>
            </w:r>
            <w:r>
              <w:rPr>
                <w:noProof/>
                <w:sz w:val="20"/>
              </w:rPr>
              <w:t>2016/0225 (COD)</w:t>
            </w:r>
            <w:r>
              <w:rPr>
                <w:noProof/>
              </w:rPr>
              <w:br/>
            </w:r>
            <w:r>
              <w:rPr>
                <w:noProof/>
                <w:sz w:val="20"/>
              </w:rPr>
              <w:t>13.7.2016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установяване на обща процедура за международна закрила в Съюза и за отмяна на Директива 2013/32/ЕС</w:t>
            </w:r>
          </w:p>
        </w:tc>
        <w:tc>
          <w:tcPr>
            <w:tcW w:w="2126" w:type="dxa"/>
            <w:tcMar>
              <w:top w:w="85" w:type="dxa"/>
              <w:left w:w="85" w:type="dxa"/>
              <w:bottom w:w="85" w:type="dxa"/>
            </w:tcMar>
          </w:tcPr>
          <w:p>
            <w:pPr>
              <w:spacing w:after="0"/>
              <w:jc w:val="left"/>
              <w:rPr>
                <w:noProof/>
                <w:sz w:val="20"/>
              </w:rPr>
            </w:pPr>
            <w:r>
              <w:rPr>
                <w:noProof/>
                <w:sz w:val="20"/>
              </w:rPr>
              <w:t>COM (2016)467 final</w:t>
            </w:r>
            <w:r>
              <w:rPr>
                <w:noProof/>
              </w:rPr>
              <w:br/>
            </w:r>
            <w:r>
              <w:rPr>
                <w:noProof/>
                <w:sz w:val="20"/>
              </w:rPr>
              <w:t>2016/0224 (COD)</w:t>
            </w:r>
            <w:r>
              <w:rPr>
                <w:noProof/>
              </w:rPr>
              <w:br/>
            </w:r>
            <w:r>
              <w:rPr>
                <w:noProof/>
                <w:sz w:val="20"/>
              </w:rPr>
              <w:t>13.7.2016 г.</w:t>
            </w:r>
            <w:r>
              <w:rPr>
                <w:noProof/>
              </w:rPr>
              <w:br/>
            </w:r>
          </w:p>
          <w:p>
            <w:pPr>
              <w:spacing w:after="0"/>
              <w:jc w:val="left"/>
              <w:rPr>
                <w:noProof/>
                <w:sz w:val="20"/>
              </w:rPr>
            </w:pPr>
            <w:r>
              <w:rPr>
                <w:noProof/>
                <w:sz w:val="20"/>
              </w:rPr>
              <w:t>COM (2020)611 final</w:t>
            </w:r>
            <w:r>
              <w:rPr>
                <w:noProof/>
              </w:rPr>
              <w:br/>
            </w:r>
            <w:r>
              <w:rPr>
                <w:noProof/>
                <w:sz w:val="20"/>
              </w:rPr>
              <w:t>23.9.2020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стандартите за условията, на които трябва да отговарят гражданите на трети държави или лицата без гражданство, за да може да им бъде предоставена международна закрила, за единен статут на бежанците или на лицата, които отговарят на условията за субсидиарна закрила, и за съдържанието на предоставената закрила и за изменение на Директива 2003/109/ЕО на Съвета от 25 ноември 2003 г. относно статута на дългосрочно пребиваващи граждани от трети страни</w:t>
            </w:r>
          </w:p>
        </w:tc>
        <w:tc>
          <w:tcPr>
            <w:tcW w:w="2126" w:type="dxa"/>
            <w:tcMar>
              <w:top w:w="85" w:type="dxa"/>
              <w:left w:w="85" w:type="dxa"/>
              <w:bottom w:w="85" w:type="dxa"/>
            </w:tcMar>
          </w:tcPr>
          <w:p>
            <w:pPr>
              <w:spacing w:after="0"/>
              <w:jc w:val="left"/>
              <w:rPr>
                <w:noProof/>
                <w:sz w:val="20"/>
              </w:rPr>
            </w:pPr>
            <w:r>
              <w:rPr>
                <w:noProof/>
                <w:sz w:val="20"/>
              </w:rPr>
              <w:t>COM (2016)466 final</w:t>
            </w:r>
            <w:r>
              <w:rPr>
                <w:noProof/>
              </w:rPr>
              <w:br/>
            </w:r>
            <w:r>
              <w:rPr>
                <w:noProof/>
                <w:sz w:val="20"/>
              </w:rPr>
              <w:t>2016/0223 (COD)</w:t>
            </w:r>
            <w:r>
              <w:rPr>
                <w:noProof/>
              </w:rPr>
              <w:br/>
            </w:r>
            <w:r>
              <w:rPr>
                <w:noProof/>
                <w:sz w:val="20"/>
              </w:rPr>
              <w:t>13.7.2016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pt-PT"/>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ДИРЕКТИВА НА ЕВРОПЕЙСКИЯ ПАРЛАМЕНТ И НА СЪВЕТА за определяне на стандарти относно приемането на кандидати за международна закрила (преработен текст)</w:t>
            </w:r>
          </w:p>
        </w:tc>
        <w:tc>
          <w:tcPr>
            <w:tcW w:w="2126" w:type="dxa"/>
            <w:tcMar>
              <w:top w:w="85" w:type="dxa"/>
              <w:left w:w="85" w:type="dxa"/>
              <w:bottom w:w="85" w:type="dxa"/>
            </w:tcMar>
          </w:tcPr>
          <w:p>
            <w:pPr>
              <w:spacing w:after="0"/>
              <w:jc w:val="left"/>
              <w:rPr>
                <w:noProof/>
                <w:sz w:val="20"/>
              </w:rPr>
            </w:pPr>
            <w:r>
              <w:rPr>
                <w:noProof/>
                <w:sz w:val="20"/>
              </w:rPr>
              <w:t>COM (2016)465 final</w:t>
            </w:r>
            <w:r>
              <w:rPr>
                <w:noProof/>
              </w:rPr>
              <w:br/>
            </w:r>
            <w:r>
              <w:rPr>
                <w:noProof/>
                <w:sz w:val="20"/>
              </w:rPr>
              <w:t>2016/0222 (COD)</w:t>
            </w:r>
            <w:r>
              <w:rPr>
                <w:noProof/>
              </w:rPr>
              <w:br/>
            </w:r>
            <w:r>
              <w:rPr>
                <w:noProof/>
                <w:sz w:val="20"/>
              </w:rPr>
              <w:t>13.7.2016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rPr>
              <w:t>Предложение за ДИРЕКТИВА НА ЕВРОПЕЙСКИЯ ПАРЛАМЕНТ И НА СЪВЕТА относно условията за влизане и пребиваване на граждани на трети държави за целите на трудова заетост, изискваща висока степен на умения</w:t>
            </w:r>
          </w:p>
        </w:tc>
        <w:tc>
          <w:tcPr>
            <w:tcW w:w="2126" w:type="dxa"/>
            <w:tcMar>
              <w:top w:w="85" w:type="dxa"/>
              <w:left w:w="85" w:type="dxa"/>
              <w:bottom w:w="85" w:type="dxa"/>
            </w:tcMar>
          </w:tcPr>
          <w:p>
            <w:pPr>
              <w:spacing w:after="0"/>
              <w:jc w:val="left"/>
              <w:rPr>
                <w:noProof/>
                <w:sz w:val="20"/>
              </w:rPr>
            </w:pPr>
            <w:r>
              <w:rPr>
                <w:noProof/>
                <w:sz w:val="20"/>
              </w:rPr>
              <w:t>COM(2016)378 final 2016/0176 (COD) 7.6.2016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pt-PT"/>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(преработен текст)</w:t>
            </w:r>
          </w:p>
        </w:tc>
        <w:tc>
          <w:tcPr>
            <w:tcW w:w="2126" w:type="dxa"/>
            <w:tcMar>
              <w:top w:w="85" w:type="dxa"/>
              <w:left w:w="85" w:type="dxa"/>
              <w:bottom w:w="85" w:type="dxa"/>
            </w:tcMar>
          </w:tcPr>
          <w:p>
            <w:pPr>
              <w:spacing w:after="0"/>
              <w:jc w:val="left"/>
              <w:rPr>
                <w:noProof/>
                <w:sz w:val="20"/>
              </w:rPr>
            </w:pPr>
            <w:r>
              <w:rPr>
                <w:noProof/>
                <w:sz w:val="20"/>
              </w:rPr>
              <w:t>COM (2016)272 final</w:t>
            </w:r>
            <w:r>
              <w:rPr>
                <w:noProof/>
              </w:rPr>
              <w:br/>
            </w:r>
            <w:r>
              <w:rPr>
                <w:noProof/>
                <w:sz w:val="20"/>
              </w:rPr>
              <w:t>2016/0132 (COD)</w:t>
            </w:r>
            <w:r>
              <w:rPr>
                <w:noProof/>
              </w:rPr>
              <w:br/>
            </w:r>
            <w:r>
              <w:rPr>
                <w:noProof/>
                <w:sz w:val="20"/>
              </w:rPr>
              <w:t>4.5.2016 г.</w:t>
            </w:r>
            <w:r>
              <w:rPr>
                <w:noProof/>
              </w:rPr>
              <w:br/>
            </w:r>
          </w:p>
          <w:p>
            <w:pPr>
              <w:spacing w:after="0"/>
              <w:jc w:val="left"/>
              <w:rPr>
                <w:noProof/>
                <w:sz w:val="20"/>
              </w:rPr>
            </w:pPr>
            <w:r>
              <w:rPr>
                <w:noProof/>
                <w:sz w:val="20"/>
              </w:rPr>
              <w:t>COM (2020)614 final</w:t>
            </w:r>
          </w:p>
          <w:p>
            <w:pPr>
              <w:spacing w:after="0"/>
              <w:jc w:val="left"/>
              <w:rPr>
                <w:noProof/>
                <w:sz w:val="20"/>
              </w:rPr>
            </w:pPr>
            <w:r>
              <w:rPr>
                <w:noProof/>
                <w:sz w:val="20"/>
              </w:rPr>
              <w:t>23.9.2020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Агенцията на Европейския съюз в областта на убежището и за отмяна на Регламент (ЕС) № 439/2010</w:t>
            </w:r>
          </w:p>
        </w:tc>
        <w:tc>
          <w:tcPr>
            <w:tcW w:w="2126" w:type="dxa"/>
            <w:tcMar>
              <w:top w:w="85" w:type="dxa"/>
              <w:left w:w="85" w:type="dxa"/>
              <w:bottom w:w="85" w:type="dxa"/>
            </w:tcMar>
          </w:tcPr>
          <w:p>
            <w:pPr>
              <w:spacing w:after="0"/>
              <w:jc w:val="left"/>
              <w:rPr>
                <w:noProof/>
                <w:sz w:val="20"/>
                <w:highlight w:val="yellow"/>
              </w:rPr>
            </w:pPr>
            <w:r>
              <w:rPr>
                <w:noProof/>
                <w:sz w:val="20"/>
              </w:rPr>
              <w:t>COM (2016)271 final</w:t>
            </w:r>
            <w:r>
              <w:rPr>
                <w:noProof/>
              </w:rPr>
              <w:br/>
            </w:r>
            <w:r>
              <w:rPr>
                <w:noProof/>
                <w:sz w:val="20"/>
              </w:rPr>
              <w:t>2016/0131 (COD)</w:t>
            </w:r>
            <w:r>
              <w:rPr>
                <w:noProof/>
              </w:rPr>
              <w:br/>
            </w:r>
            <w:r>
              <w:rPr>
                <w:noProof/>
                <w:sz w:val="20"/>
              </w:rPr>
              <w:t>4.5.2016 г.</w:t>
            </w:r>
            <w:r>
              <w:rPr>
                <w:noProof/>
              </w:rPr>
              <w:br/>
            </w:r>
            <w:r>
              <w:rPr>
                <w:noProof/>
              </w:rPr>
              <w:br/>
            </w:r>
            <w:r>
              <w:rPr>
                <w:noProof/>
                <w:sz w:val="20"/>
              </w:rPr>
              <w:t>COM (2018)633 final</w:t>
            </w:r>
            <w:r>
              <w:rPr>
                <w:noProof/>
              </w:rPr>
              <w:br/>
            </w:r>
            <w:r>
              <w:rPr>
                <w:noProof/>
                <w:sz w:val="20"/>
              </w:rPr>
              <w:t>12.9.2018 г.</w:t>
            </w:r>
          </w:p>
        </w:tc>
      </w:tr>
      <w:tr>
        <w:trPr>
          <w:cantSplit/>
        </w:trPr>
        <w:tc>
          <w:tcPr>
            <w:tcW w:w="14850" w:type="dxa"/>
            <w:gridSpan w:val="3"/>
            <w:shd w:val="clear" w:color="auto" w:fill="00ADDC" w:themeFill="accent5"/>
            <w:tcMar>
              <w:top w:w="85" w:type="dxa"/>
              <w:left w:w="85" w:type="dxa"/>
              <w:bottom w:w="85" w:type="dxa"/>
              <w:right w:w="85" w:type="dxa"/>
            </w:tcMar>
          </w:tcPr>
          <w:p>
            <w:pPr>
              <w:spacing w:before="60" w:after="60"/>
              <w:rPr>
                <w:noProof/>
                <w:sz w:val="20"/>
              </w:rPr>
            </w:pPr>
            <w:r>
              <w:rPr>
                <w:b/>
                <w:bCs/>
                <w:noProof/>
                <w:sz w:val="20"/>
              </w:rPr>
              <w:t>Нов тласък за европейската демокрация</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rPr>
              <w:t>Предложение за ДИРЕКТИВА НА ЕВРОПЕЙСКИЯ ПАРЛАМЕНТ И НА СЪВЕТА за установяване на хармонизирани правила относно определянето на юридически представители за целите на събирането на доказателства по наказателни производства</w:t>
            </w:r>
          </w:p>
        </w:tc>
        <w:tc>
          <w:tcPr>
            <w:tcW w:w="2126" w:type="dxa"/>
            <w:tcMar>
              <w:top w:w="85" w:type="dxa"/>
              <w:left w:w="85" w:type="dxa"/>
              <w:bottom w:w="85" w:type="dxa"/>
            </w:tcMar>
          </w:tcPr>
          <w:p>
            <w:pPr>
              <w:spacing w:after="0"/>
              <w:jc w:val="left"/>
              <w:rPr>
                <w:noProof/>
                <w:sz w:val="20"/>
              </w:rPr>
            </w:pPr>
            <w:r>
              <w:rPr>
                <w:noProof/>
                <w:sz w:val="20"/>
              </w:rPr>
              <w:t>COM (2018)226 final</w:t>
            </w:r>
            <w:r>
              <w:rPr>
                <w:noProof/>
              </w:rPr>
              <w:br/>
            </w:r>
            <w:r>
              <w:rPr>
                <w:noProof/>
                <w:sz w:val="20"/>
              </w:rPr>
              <w:t>2018/0107 (COD) 18.4.2018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европейските заповеди за предоставяне и за запазване на електронни доказателства по наказателноправни въпроси</w:t>
            </w:r>
          </w:p>
        </w:tc>
        <w:tc>
          <w:tcPr>
            <w:tcW w:w="2126" w:type="dxa"/>
            <w:tcMar>
              <w:top w:w="85" w:type="dxa"/>
              <w:left w:w="85" w:type="dxa"/>
              <w:bottom w:w="85" w:type="dxa"/>
            </w:tcMar>
          </w:tcPr>
          <w:p>
            <w:pPr>
              <w:spacing w:after="0"/>
              <w:jc w:val="left"/>
              <w:rPr>
                <w:noProof/>
                <w:sz w:val="20"/>
              </w:rPr>
            </w:pPr>
            <w:r>
              <w:rPr>
                <w:noProof/>
                <w:sz w:val="20"/>
              </w:rPr>
              <w:t>COM (2018)225 final</w:t>
            </w:r>
            <w:r>
              <w:rPr>
                <w:noProof/>
              </w:rPr>
              <w:br/>
            </w:r>
            <w:r>
              <w:rPr>
                <w:noProof/>
                <w:sz w:val="20"/>
              </w:rPr>
              <w:t>2018/0108 (COD) 18.4.2018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ДИРЕКТИВА НА ЕВРОПЕЙСКИЯ ПАРЛАМЕНТ И НА СЪВЕТА за подобряване на баланса между половете сред директорите без изпълнителни функции на дружествата, допуснати до борсова търговия, и свързани с това мерки</w:t>
            </w:r>
          </w:p>
        </w:tc>
        <w:tc>
          <w:tcPr>
            <w:tcW w:w="2126" w:type="dxa"/>
            <w:tcMar>
              <w:top w:w="85" w:type="dxa"/>
              <w:left w:w="85" w:type="dxa"/>
              <w:bottom w:w="85" w:type="dxa"/>
            </w:tcMar>
          </w:tcPr>
          <w:p>
            <w:pPr>
              <w:spacing w:after="0"/>
              <w:jc w:val="left"/>
              <w:rPr>
                <w:noProof/>
                <w:sz w:val="20"/>
              </w:rPr>
            </w:pPr>
            <w:r>
              <w:rPr>
                <w:noProof/>
                <w:sz w:val="20"/>
              </w:rPr>
              <w:t>COM (2012)614 final</w:t>
            </w:r>
            <w:r>
              <w:rPr>
                <w:noProof/>
              </w:rPr>
              <w:br/>
            </w:r>
            <w:r>
              <w:rPr>
                <w:noProof/>
                <w:sz w:val="20"/>
              </w:rPr>
              <w:t>2012/0299 (COD)</w:t>
            </w:r>
            <w:r>
              <w:rPr>
                <w:noProof/>
              </w:rPr>
              <w:br/>
            </w:r>
            <w:r>
              <w:rPr>
                <w:noProof/>
                <w:sz w:val="20"/>
              </w:rPr>
              <w:t>14.11.2012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rPr>
              <w:t>Предложение за Директива на Съвета за прилагане на принципа на равно третиране на лицата без оглед на религиозна принадлежност или убеждения, увреждане, възраст или сексуална ориентация</w:t>
            </w:r>
          </w:p>
        </w:tc>
        <w:tc>
          <w:tcPr>
            <w:tcW w:w="2126" w:type="dxa"/>
            <w:tcMar>
              <w:top w:w="85" w:type="dxa"/>
              <w:left w:w="85" w:type="dxa"/>
              <w:bottom w:w="85" w:type="dxa"/>
            </w:tcMar>
          </w:tcPr>
          <w:p>
            <w:pPr>
              <w:spacing w:after="0"/>
              <w:jc w:val="left"/>
              <w:rPr>
                <w:noProof/>
                <w:sz w:val="20"/>
              </w:rPr>
            </w:pPr>
            <w:r>
              <w:rPr>
                <w:noProof/>
                <w:sz w:val="20"/>
              </w:rPr>
              <w:t>COM (2008)426 final</w:t>
            </w:r>
            <w:r>
              <w:rPr>
                <w:noProof/>
              </w:rPr>
              <w:br/>
            </w:r>
            <w:r>
              <w:rPr>
                <w:noProof/>
                <w:sz w:val="20"/>
              </w:rPr>
              <w:t>2008/0140 (CNS)</w:t>
            </w:r>
            <w:r>
              <w:rPr>
                <w:noProof/>
              </w:rPr>
              <w:br/>
            </w:r>
            <w:r>
              <w:rPr>
                <w:noProof/>
                <w:sz w:val="20"/>
              </w:rPr>
              <w:t>2.7.2008 г.</w:t>
            </w:r>
          </w:p>
        </w:tc>
      </w:tr>
    </w:tbl>
    <w:p>
      <w:pPr>
        <w:spacing w:after="0"/>
        <w:jc w:val="center"/>
        <w:rPr>
          <w:noProof/>
          <w:sz w:val="20"/>
        </w:rPr>
      </w:pPr>
    </w:p>
    <w:p>
      <w:pPr>
        <w:spacing w:after="0"/>
        <w:jc w:val="left"/>
        <w:rPr>
          <w:noProof/>
          <w:sz w:val="20"/>
        </w:rPr>
      </w:pPr>
      <w:r>
        <w:rPr>
          <w:noProof/>
        </w:rPr>
        <w:br w:type="page"/>
      </w:r>
    </w:p>
    <w:p>
      <w:pPr>
        <w:spacing w:after="600"/>
        <w:jc w:val="center"/>
        <w:rPr>
          <w:b/>
          <w:noProof/>
          <w:sz w:val="28"/>
          <w:szCs w:val="28"/>
          <w:u w:val="single"/>
        </w:rPr>
      </w:pPr>
      <w:r>
        <w:rPr>
          <w:b/>
          <w:bCs/>
          <w:noProof/>
          <w:sz w:val="28"/>
          <w:szCs w:val="28"/>
          <w:u w:val="single"/>
        </w:rPr>
        <w:t>Приложение IV: Оттегляния</w:t>
      </w:r>
      <w:r>
        <w:rPr>
          <w:rStyle w:val="FootnoteReference"/>
          <w:b/>
          <w:bCs/>
          <w:noProof/>
          <w:sz w:val="28"/>
          <w:szCs w:val="28"/>
          <w:u w:val="single"/>
        </w:rPr>
        <w:footnoteReference w:id="4"/>
      </w:r>
    </w:p>
    <w:tbl>
      <w:tblPr>
        <w:tblStyle w:val="TableGrid"/>
        <w:tblW w:w="14827" w:type="dxa"/>
        <w:tblLayout w:type="fixed"/>
        <w:tblCellMar>
          <w:top w:w="57" w:type="dxa"/>
          <w:left w:w="85" w:type="dxa"/>
          <w:bottom w:w="57" w:type="dxa"/>
          <w:right w:w="85" w:type="dxa"/>
        </w:tblCellMar>
        <w:tblLook w:val="04A0" w:firstRow="1" w:lastRow="0" w:firstColumn="1" w:lastColumn="0" w:noHBand="0" w:noVBand="1"/>
      </w:tblPr>
      <w:tblGrid>
        <w:gridCol w:w="511"/>
        <w:gridCol w:w="2067"/>
        <w:gridCol w:w="7836"/>
        <w:gridCol w:w="4413"/>
      </w:tblGrid>
      <w:tr>
        <w:trPr>
          <w:cantSplit/>
          <w:tblHeader/>
        </w:trPr>
        <w:tc>
          <w:tcPr>
            <w:tcW w:w="511" w:type="dxa"/>
            <w:tcBorders>
              <w:top w:val="single" w:sz="4" w:space="0" w:color="auto"/>
              <w:left w:val="single" w:sz="4" w:space="0" w:color="auto"/>
              <w:bottom w:val="single" w:sz="4" w:space="0" w:color="auto"/>
              <w:right w:val="nil"/>
            </w:tcBorders>
            <w:shd w:val="clear" w:color="auto" w:fill="99CCFF"/>
            <w:tcMar>
              <w:top w:w="85" w:type="dxa"/>
              <w:bottom w:w="85" w:type="dxa"/>
              <w:right w:w="85" w:type="dxa"/>
            </w:tcMar>
          </w:tcPr>
          <w:p>
            <w:pPr>
              <w:spacing w:before="60" w:after="60"/>
              <w:rPr>
                <w:b/>
                <w:bCs/>
                <w:noProof/>
                <w:sz w:val="20"/>
              </w:rPr>
            </w:pPr>
            <w:r>
              <w:rPr>
                <w:b/>
                <w:bCs/>
                <w:noProof/>
                <w:sz w:val="20"/>
              </w:rPr>
              <w:t>№</w:t>
            </w:r>
          </w:p>
        </w:tc>
        <w:tc>
          <w:tcPr>
            <w:tcW w:w="2067"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pPr>
              <w:spacing w:before="60" w:after="60"/>
              <w:jc w:val="center"/>
              <w:rPr>
                <w:b/>
                <w:bCs/>
                <w:noProof/>
                <w:sz w:val="20"/>
              </w:rPr>
            </w:pPr>
            <w:r>
              <w:rPr>
                <w:b/>
                <w:bCs/>
                <w:noProof/>
                <w:sz w:val="20"/>
              </w:rPr>
              <w:t>Референтен номер</w:t>
            </w:r>
          </w:p>
        </w:tc>
        <w:tc>
          <w:tcPr>
            <w:tcW w:w="7836"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pPr>
              <w:spacing w:before="60" w:after="60"/>
              <w:jc w:val="center"/>
              <w:rPr>
                <w:b/>
                <w:bCs/>
                <w:noProof/>
                <w:sz w:val="20"/>
              </w:rPr>
            </w:pPr>
            <w:r>
              <w:rPr>
                <w:b/>
                <w:bCs/>
                <w:noProof/>
                <w:sz w:val="20"/>
              </w:rPr>
              <w:t>Заглавие</w:t>
            </w:r>
          </w:p>
        </w:tc>
        <w:tc>
          <w:tcPr>
            <w:tcW w:w="4413"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pPr>
              <w:spacing w:before="60" w:after="60"/>
              <w:jc w:val="center"/>
              <w:rPr>
                <w:b/>
                <w:bCs/>
                <w:noProof/>
                <w:sz w:val="20"/>
              </w:rPr>
            </w:pPr>
            <w:r>
              <w:rPr>
                <w:b/>
                <w:bCs/>
                <w:noProof/>
                <w:sz w:val="20"/>
              </w:rPr>
              <w:t>Мотиви за оттеглянето</w:t>
            </w:r>
          </w:p>
        </w:tc>
      </w:tr>
      <w:tr>
        <w:trPr>
          <w:cantSplit/>
        </w:trPr>
        <w:tc>
          <w:tcPr>
            <w:tcW w:w="14827" w:type="dxa"/>
            <w:gridSpan w:val="4"/>
            <w:tcBorders>
              <w:top w:val="single" w:sz="4" w:space="0" w:color="auto"/>
              <w:left w:val="single" w:sz="4" w:space="0" w:color="auto"/>
              <w:bottom w:val="single" w:sz="4" w:space="0" w:color="auto"/>
            </w:tcBorders>
            <w:shd w:val="clear" w:color="auto" w:fill="9ACA3C" w:themeFill="accent1"/>
            <w:tcMar>
              <w:top w:w="85" w:type="dxa"/>
              <w:bottom w:w="85" w:type="dxa"/>
              <w:right w:w="85" w:type="dxa"/>
            </w:tcMar>
          </w:tcPr>
          <w:p>
            <w:pPr>
              <w:keepNext/>
              <w:spacing w:before="60" w:after="60"/>
              <w:rPr>
                <w:noProof/>
                <w:sz w:val="20"/>
              </w:rPr>
            </w:pPr>
            <w:r>
              <w:rPr>
                <w:b/>
                <w:bCs/>
                <w:noProof/>
                <w:color w:val="FFFFFF" w:themeColor="background1"/>
                <w:sz w:val="20"/>
              </w:rPr>
              <w:t>Европейски зелен пакт</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spacing w:after="0"/>
              <w:jc w:val="left"/>
              <w:rPr>
                <w:noProof/>
                <w:sz w:val="20"/>
              </w:rPr>
            </w:pPr>
            <w:r>
              <w:rPr>
                <w:noProof/>
                <w:color w:val="000000"/>
                <w:sz w:val="20"/>
              </w:rPr>
              <w:t>COM (2020)136 final</w:t>
            </w:r>
            <w:r>
              <w:rPr>
                <w:noProof/>
              </w:rPr>
              <w:br/>
            </w:r>
            <w:r>
              <w:rPr>
                <w:noProof/>
                <w:color w:val="000000"/>
                <w:sz w:val="20"/>
              </w:rPr>
              <w:t>2020/0052 (NLE)</w:t>
            </w:r>
          </w:p>
        </w:tc>
        <w:tc>
          <w:tcPr>
            <w:tcW w:w="7836" w:type="dxa"/>
            <w:shd w:val="clear" w:color="auto" w:fill="auto"/>
            <w:tcMar>
              <w:top w:w="85" w:type="dxa"/>
              <w:bottom w:w="85" w:type="dxa"/>
              <w:right w:w="108" w:type="dxa"/>
            </w:tcMar>
          </w:tcPr>
          <w:p>
            <w:pPr>
              <w:spacing w:after="0"/>
              <w:rPr>
                <w:noProof/>
                <w:sz w:val="20"/>
              </w:rPr>
            </w:pPr>
            <w:r>
              <w:rPr>
                <w:noProof/>
                <w:color w:val="000000"/>
                <w:sz w:val="20"/>
              </w:rPr>
              <w:t>Предложение за РЕШЕНИЕ НА СЪВЕТА относно позицията, която трябва да се заеме от името на Европейския съюз в рамките на Асамблеята на Лисабонския съюз</w:t>
            </w:r>
          </w:p>
        </w:tc>
        <w:tc>
          <w:tcPr>
            <w:tcW w:w="4413" w:type="dxa"/>
            <w:tcMar>
              <w:top w:w="85" w:type="dxa"/>
              <w:bottom w:w="85" w:type="dxa"/>
              <w:right w:w="108" w:type="dxa"/>
            </w:tcMar>
          </w:tcPr>
          <w:p>
            <w:pPr>
              <w:spacing w:after="0"/>
              <w:rPr>
                <w:noProof/>
                <w:sz w:val="20"/>
              </w:rPr>
            </w:pPr>
            <w:r>
              <w:rPr>
                <w:noProof/>
                <w:sz w:val="20"/>
              </w:rPr>
              <w:t>Остаряло: в контекста на кризата с Covid-19 Асамблеята на Лисабонския съюз няма да вземе правно обвързващо решение през 2020 г., включително относно специалния принос, който беше предмет на това предложение.</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spacing w:after="0"/>
              <w:jc w:val="left"/>
              <w:rPr>
                <w:noProof/>
                <w:sz w:val="20"/>
              </w:rPr>
            </w:pPr>
            <w:r>
              <w:rPr>
                <w:noProof/>
                <w:sz w:val="20"/>
              </w:rPr>
              <w:t>COM (2020)182 final</w:t>
            </w:r>
            <w:r>
              <w:rPr>
                <w:noProof/>
              </w:rPr>
              <w:br/>
            </w:r>
            <w:r>
              <w:rPr>
                <w:noProof/>
                <w:sz w:val="20"/>
              </w:rPr>
              <w:t xml:space="preserve">2020/0072 (NLE) </w:t>
            </w:r>
          </w:p>
        </w:tc>
        <w:tc>
          <w:tcPr>
            <w:tcW w:w="7836" w:type="dxa"/>
            <w:shd w:val="clear" w:color="auto" w:fill="auto"/>
            <w:tcMar>
              <w:top w:w="85" w:type="dxa"/>
              <w:bottom w:w="85" w:type="dxa"/>
              <w:right w:w="108" w:type="dxa"/>
            </w:tcMar>
          </w:tcPr>
          <w:p>
            <w:pPr>
              <w:spacing w:after="0"/>
              <w:rPr>
                <w:noProof/>
                <w:sz w:val="20"/>
              </w:rPr>
            </w:pPr>
            <w:r>
              <w:rPr>
                <w:noProof/>
                <w:sz w:val="20"/>
              </w:rPr>
              <w:t>Предложение за РЕШЕНИЕ НА СЪВЕТА относно позицията, която трябва да се заеме от името на Европейския съюз в рамките на Конвенцията за защита на морската среда на Североизточния Атлантически океан относно интегрирането на Макаронезия в морското пространство на OSPAR</w:t>
            </w:r>
          </w:p>
        </w:tc>
        <w:tc>
          <w:tcPr>
            <w:tcW w:w="4413" w:type="dxa"/>
            <w:tcMar>
              <w:top w:w="85" w:type="dxa"/>
              <w:bottom w:w="85" w:type="dxa"/>
              <w:right w:w="108" w:type="dxa"/>
            </w:tcMar>
          </w:tcPr>
          <w:p>
            <w:pPr>
              <w:spacing w:after="0"/>
              <w:rPr>
                <w:noProof/>
                <w:sz w:val="20"/>
              </w:rPr>
            </w:pPr>
            <w:r>
              <w:rPr>
                <w:noProof/>
                <w:sz w:val="20"/>
              </w:rPr>
              <w:t>Остаряло: секретариатът на Конвенцията за защита на морската среда в Североизточния Атлантически океан (OSPAR) обяви оттеглянето на предложението за интегриране на Макаронезия в морското пространство на OSPAR.</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 (2010)154 final</w:t>
            </w:r>
            <w:r>
              <w:rPr>
                <w:noProof/>
              </w:rPr>
              <w:br/>
            </w:r>
            <w:r>
              <w:rPr>
                <w:noProof/>
                <w:sz w:val="20"/>
              </w:rPr>
              <w:t xml:space="preserve">2010/0084 (APP) </w:t>
            </w:r>
          </w:p>
        </w:tc>
        <w:tc>
          <w:tcPr>
            <w:tcW w:w="7836"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Предложение за решение на Съвета относно сключването на Споразумението под формата на размяна на писма между Европейския съюз и Република Чили във връзка със сключването на Договореността относно опазването на запасите от риба меч в югоизточната част на Тихия океан</w:t>
            </w:r>
          </w:p>
        </w:tc>
        <w:tc>
          <w:tcPr>
            <w:tcW w:w="4413" w:type="dxa"/>
            <w:tcBorders>
              <w:bottom w:val="single" w:sz="4" w:space="0" w:color="auto"/>
            </w:tcBorders>
            <w:tcMar>
              <w:top w:w="85" w:type="dxa"/>
              <w:bottom w:w="85" w:type="dxa"/>
              <w:right w:w="108" w:type="dxa"/>
            </w:tcMar>
          </w:tcPr>
          <w:p>
            <w:pPr>
              <w:spacing w:after="0"/>
              <w:rPr>
                <w:noProof/>
                <w:sz w:val="20"/>
              </w:rPr>
            </w:pPr>
            <w:r>
              <w:rPr>
                <w:noProof/>
                <w:sz w:val="20"/>
              </w:rPr>
              <w:t>Остаряло: предметът на това предложение беше елиминиран с присъединяването на Чили към Споразумението на ООН за рибните запаси (UNFSA), създаването на Регионалната организация за рибарство в южната част на Тихия океан (SPRFMO), в която Чили и ЕС членуват, и със статута на Чили на сътрудничеща недоговаряща се страна по Междуамериканската конвенция за тропическа риба тон (IATTC).</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 (2011)252 final</w:t>
            </w:r>
            <w:r>
              <w:rPr>
                <w:noProof/>
              </w:rPr>
              <w:br/>
            </w:r>
            <w:r>
              <w:rPr>
                <w:noProof/>
                <w:sz w:val="20"/>
              </w:rPr>
              <w:t xml:space="preserve">2011/0109 (NLE) </w:t>
            </w:r>
          </w:p>
        </w:tc>
        <w:tc>
          <w:tcPr>
            <w:tcW w:w="7836"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Предложение за РЕШЕНИЕ НА СЪВЕТА за сключване на Споразумението за въздушен транспорт между Европейския съюз и неговите държави членки, от една страна, и Федеративна република Бразилия, от друга страна</w:t>
            </w:r>
          </w:p>
        </w:tc>
        <w:tc>
          <w:tcPr>
            <w:tcW w:w="4413" w:type="dxa"/>
            <w:tcBorders>
              <w:bottom w:val="single" w:sz="4" w:space="0" w:color="auto"/>
            </w:tcBorders>
            <w:tcMar>
              <w:top w:w="85" w:type="dxa"/>
              <w:bottom w:w="85" w:type="dxa"/>
              <w:right w:w="108" w:type="dxa"/>
            </w:tcMar>
          </w:tcPr>
          <w:p>
            <w:pPr>
              <w:spacing w:after="0"/>
              <w:rPr>
                <w:noProof/>
                <w:sz w:val="20"/>
              </w:rPr>
            </w:pPr>
            <w:r>
              <w:rPr>
                <w:noProof/>
                <w:sz w:val="20"/>
              </w:rPr>
              <w:t>Остаряло: понастоящем преговорите с Бразилия на равнището на ЕС вече не са в ход.</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 (2008)92 final</w:t>
            </w:r>
            <w:r>
              <w:rPr>
                <w:noProof/>
              </w:rPr>
              <w:br/>
            </w:r>
            <w:r>
              <w:rPr>
                <w:noProof/>
                <w:sz w:val="20"/>
              </w:rPr>
              <w:t>2008/0040 (APP)</w:t>
            </w:r>
          </w:p>
        </w:tc>
        <w:tc>
          <w:tcPr>
            <w:tcW w:w="7836"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Предложение за РЕШЕНИЕ НА СЪВЕТА за подписване и временно прилагане на Споразумението между Европейската общност и Република Казахстан относно някои аспекти на въздухоплавателните услуги</w:t>
            </w:r>
          </w:p>
        </w:tc>
        <w:tc>
          <w:tcPr>
            <w:tcW w:w="4413" w:type="dxa"/>
            <w:tcBorders>
              <w:bottom w:val="single" w:sz="4" w:space="0" w:color="auto"/>
            </w:tcBorders>
            <w:tcMar>
              <w:top w:w="85" w:type="dxa"/>
              <w:bottom w:w="85" w:type="dxa"/>
              <w:right w:w="108" w:type="dxa"/>
            </w:tcMar>
          </w:tcPr>
          <w:p>
            <w:pPr>
              <w:spacing w:after="0"/>
              <w:rPr>
                <w:noProof/>
                <w:sz w:val="20"/>
              </w:rPr>
            </w:pPr>
            <w:r>
              <w:rPr>
                <w:noProof/>
                <w:sz w:val="20"/>
              </w:rPr>
              <w:t>Остаряло: понастоящем преговорите с Казахстан на равнището на ЕС вече не са в ход.</w:t>
            </w:r>
          </w:p>
        </w:tc>
      </w:tr>
      <w:tr>
        <w:trPr>
          <w:cantSplit/>
        </w:trPr>
        <w:tc>
          <w:tcPr>
            <w:tcW w:w="14827" w:type="dxa"/>
            <w:gridSpan w:val="4"/>
            <w:shd w:val="clear" w:color="auto" w:fill="18BAA8" w:themeFill="accent2"/>
            <w:tcMar>
              <w:top w:w="85" w:type="dxa"/>
              <w:bottom w:w="85" w:type="dxa"/>
              <w:right w:w="85" w:type="dxa"/>
            </w:tcMar>
          </w:tcPr>
          <w:p>
            <w:pPr>
              <w:keepNext/>
              <w:spacing w:before="60" w:after="60"/>
              <w:rPr>
                <w:noProof/>
                <w:sz w:val="20"/>
              </w:rPr>
            </w:pPr>
            <w:r>
              <w:rPr>
                <w:b/>
                <w:bCs/>
                <w:noProof/>
                <w:color w:val="FFFFFF" w:themeColor="background1"/>
                <w:sz w:val="20"/>
              </w:rPr>
              <w:t>Европа, подготвена за цифровата ера</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spacing w:after="0"/>
              <w:jc w:val="left"/>
              <w:rPr>
                <w:noProof/>
                <w:sz w:val="20"/>
              </w:rPr>
            </w:pPr>
            <w:r>
              <w:rPr>
                <w:noProof/>
                <w:sz w:val="20"/>
              </w:rPr>
              <w:t>COM (2016)823 final</w:t>
            </w:r>
            <w:r>
              <w:rPr>
                <w:noProof/>
              </w:rPr>
              <w:br/>
            </w:r>
            <w:r>
              <w:rPr>
                <w:noProof/>
                <w:sz w:val="20"/>
              </w:rPr>
              <w:t>2016/0402 (COD)</w:t>
            </w:r>
          </w:p>
        </w:tc>
        <w:tc>
          <w:tcPr>
            <w:tcW w:w="7836" w:type="dxa"/>
            <w:shd w:val="clear" w:color="auto" w:fill="auto"/>
            <w:tcMar>
              <w:top w:w="85" w:type="dxa"/>
              <w:bottom w:w="85" w:type="dxa"/>
              <w:right w:w="108" w:type="dxa"/>
            </w:tcMar>
          </w:tcPr>
          <w:p>
            <w:pPr>
              <w:spacing w:after="0"/>
              <w:rPr>
                <w:noProof/>
                <w:sz w:val="20"/>
              </w:rPr>
            </w:pPr>
            <w:r>
              <w:rPr>
                <w:noProof/>
                <w:sz w:val="20"/>
              </w:rPr>
              <w:t>Предложение за ДИРЕКТИВА НА ЕВРОПЕЙСКИЯ ПАРЛАМЕНТ И НА СЪВЕТА относно правната и оперативната рамка за европейската електронна карта за услуги, въведена с Регламент... [Регламента за ЕЕКУ]....</w:t>
            </w:r>
          </w:p>
        </w:tc>
        <w:tc>
          <w:tcPr>
            <w:tcW w:w="4413" w:type="dxa"/>
            <w:shd w:val="clear" w:color="auto" w:fill="auto"/>
            <w:tcMar>
              <w:top w:w="85" w:type="dxa"/>
              <w:bottom w:w="85" w:type="dxa"/>
              <w:right w:w="108" w:type="dxa"/>
            </w:tcMar>
          </w:tcPr>
          <w:p>
            <w:pPr>
              <w:spacing w:after="0"/>
              <w:rPr>
                <w:noProof/>
                <w:sz w:val="20"/>
              </w:rPr>
            </w:pPr>
            <w:r>
              <w:rPr>
                <w:noProof/>
                <w:sz w:val="20"/>
              </w:rPr>
              <w:t>Няма изгледи за постигане на споразумение: от 2018 г. насам съзаконодателите не са постигнали напредък, като по-нататъшният напредък е малко вероятен.</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 (2016)824 final</w:t>
            </w:r>
            <w:r>
              <w:rPr>
                <w:noProof/>
              </w:rPr>
              <w:br/>
            </w:r>
            <w:r>
              <w:rPr>
                <w:noProof/>
                <w:sz w:val="20"/>
              </w:rPr>
              <w:t xml:space="preserve">2016/0403 (COD), </w:t>
            </w:r>
          </w:p>
        </w:tc>
        <w:tc>
          <w:tcPr>
            <w:tcW w:w="7836"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Предложение за РЕГЛАМЕНТ НА ЕВРОПЕЙСКИЯ ПАРЛАМЕНТ И НА СЪВЕТА за въвеждане на европейска електронна карта за услуги и свързаното с нея административно обслужване</w:t>
            </w:r>
          </w:p>
        </w:tc>
        <w:tc>
          <w:tcPr>
            <w:tcW w:w="4413"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Няма изгледи за постигане на споразумение: от 2018 г. насам съзаконодателите не са постигнали напредък, като по-нататъшният напредък е малко вероятен.</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 (2016)821 final</w:t>
            </w:r>
            <w:r>
              <w:rPr>
                <w:noProof/>
              </w:rPr>
              <w:br/>
            </w:r>
            <w:r>
              <w:rPr>
                <w:noProof/>
                <w:sz w:val="20"/>
              </w:rPr>
              <w:t xml:space="preserve">2016/0398 (COD) </w:t>
            </w:r>
          </w:p>
        </w:tc>
        <w:tc>
          <w:tcPr>
            <w:tcW w:w="7836"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Предложение за ДИРЕКТИВА НА ЕВРОПЕЙСКИЯ ПАРЛАМЕНТ И НА СЪВЕТА за осигуряване на изпълнението на Директива 2006/123/ЕО относно услугите на вътрешния пазар, за установяване на процедура за нотификация за разрешителни режими и изисквания, свързани с услугите, и за изменение на Директива 2006/123/ЕО и Регламент (ЕС) № 1024/2012 относно административно сътрудничество посредством Информационната система за вътрешния пазар</w:t>
            </w:r>
          </w:p>
        </w:tc>
        <w:tc>
          <w:tcPr>
            <w:tcW w:w="4413"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Няма изгледи за постигане на споразумение: перспективите да се намери компромис, без да се излагат на риск целите на предложението, са малко вероятни. Комисията ще предприеме мерки, за да гарантира пълното прилагане на Директивата за услугите.</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 (2019)441 final</w:t>
            </w:r>
          </w:p>
          <w:p>
            <w:pPr>
              <w:spacing w:after="0"/>
              <w:jc w:val="left"/>
              <w:rPr>
                <w:noProof/>
                <w:sz w:val="20"/>
              </w:rPr>
            </w:pPr>
            <w:r>
              <w:rPr>
                <w:noProof/>
              </w:rPr>
              <w:t>2019/0207 (NLE)</w:t>
            </w:r>
          </w:p>
        </w:tc>
        <w:tc>
          <w:tcPr>
            <w:tcW w:w="7836"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Предложение за РЕШЕНИЕ НА СЪВЕТА за сключване, от името на Европейския съюз и неговите държави членки, на Протокола към Споразумението за сътрудничество в областта на гражданската глобална навигационна спътникова система (ГНСС) между Европейската общност и нейните държави членки и Украйна, за да се вземе предвид присъединяването на Република България, Република Хърватия и Румъния към Европейския съюз</w:t>
            </w:r>
          </w:p>
        </w:tc>
        <w:tc>
          <w:tcPr>
            <w:tcW w:w="4413"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Остаряло: Споразумението за сътрудничество в областта на гражданската глобална навигационна спътникова система (ГНСС) между Европейската общност и нейните държави членки и Украйна изтече през декември 2018 г.</w:t>
            </w:r>
          </w:p>
        </w:tc>
      </w:tr>
      <w:tr>
        <w:trPr>
          <w:cantSplit/>
        </w:trPr>
        <w:tc>
          <w:tcPr>
            <w:tcW w:w="14827" w:type="dxa"/>
            <w:gridSpan w:val="4"/>
            <w:shd w:val="clear" w:color="auto" w:fill="F68A42" w:themeFill="accent3"/>
            <w:tcMar>
              <w:top w:w="85" w:type="dxa"/>
              <w:bottom w:w="85" w:type="dxa"/>
              <w:right w:w="85" w:type="dxa"/>
            </w:tcMar>
          </w:tcPr>
          <w:p>
            <w:pPr>
              <w:keepNext/>
              <w:spacing w:before="60" w:after="60"/>
              <w:jc w:val="left"/>
              <w:rPr>
                <w:noProof/>
                <w:sz w:val="20"/>
              </w:rPr>
            </w:pPr>
            <w:r>
              <w:rPr>
                <w:b/>
                <w:bCs/>
                <w:noProof/>
                <w:color w:val="FFFFFF" w:themeColor="background1"/>
                <w:sz w:val="20"/>
              </w:rPr>
              <w:t>Икономика в интерес на хората</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jc w:val="left"/>
              <w:rPr>
                <w:noProof/>
                <w:sz w:val="20"/>
              </w:rPr>
            </w:pPr>
            <w:r>
              <w:rPr>
                <w:noProof/>
                <w:sz w:val="20"/>
              </w:rPr>
              <w:t>COM (2019)354 final</w:t>
            </w:r>
            <w:r>
              <w:rPr>
                <w:noProof/>
              </w:rPr>
              <w:br/>
            </w:r>
            <w:r>
              <w:rPr>
                <w:noProof/>
                <w:sz w:val="20"/>
              </w:rPr>
              <w:t>2019/0161 (COD)</w:t>
            </w:r>
          </w:p>
        </w:tc>
        <w:tc>
          <w:tcPr>
            <w:tcW w:w="7836" w:type="dxa"/>
            <w:shd w:val="clear" w:color="auto" w:fill="auto"/>
            <w:tcMar>
              <w:top w:w="85" w:type="dxa"/>
              <w:bottom w:w="85" w:type="dxa"/>
              <w:right w:w="108" w:type="dxa"/>
            </w:tcMar>
          </w:tcPr>
          <w:p>
            <w:pPr>
              <w:spacing w:after="0"/>
              <w:rPr>
                <w:noProof/>
                <w:sz w:val="20"/>
              </w:rPr>
            </w:pPr>
            <w:r>
              <w:rPr>
                <w:noProof/>
                <w:sz w:val="20"/>
              </w:rPr>
              <w:t>Предложение за РЕГЛАМЕНТ НА ЕВРОПЕЙСКИЯ ПАРЛАМЕНТ И НА СЪВЕТА за определяне на рамка за управление за бюджетния инструмент за сближаване и конкурентоспособност за еврозоната</w:t>
            </w:r>
          </w:p>
        </w:tc>
        <w:tc>
          <w:tcPr>
            <w:tcW w:w="4413" w:type="dxa"/>
            <w:tcMar>
              <w:top w:w="85" w:type="dxa"/>
              <w:bottom w:w="85" w:type="dxa"/>
              <w:right w:w="108" w:type="dxa"/>
            </w:tcMar>
          </w:tcPr>
          <w:p>
            <w:pPr>
              <w:spacing w:after="0"/>
              <w:rPr>
                <w:noProof/>
                <w:sz w:val="20"/>
              </w:rPr>
            </w:pPr>
            <w:r>
              <w:rPr>
                <w:noProof/>
                <w:sz w:val="20"/>
              </w:rPr>
              <w:t>Остаряло: оттеглянето на това предложение беше обявено в контекста на предложението за регламент за създаване на Механизъм за възстановяване и устойчивост (COM (2020)408).</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jc w:val="left"/>
              <w:rPr>
                <w:noProof/>
                <w:sz w:val="20"/>
              </w:rPr>
            </w:pPr>
            <w:r>
              <w:rPr>
                <w:noProof/>
                <w:sz w:val="20"/>
              </w:rPr>
              <w:t>COM (2018)391 final</w:t>
            </w:r>
            <w:r>
              <w:rPr>
                <w:noProof/>
              </w:rPr>
              <w:br/>
            </w:r>
            <w:r>
              <w:rPr>
                <w:noProof/>
                <w:sz w:val="20"/>
              </w:rPr>
              <w:t>2018/0213 (COD)</w:t>
            </w:r>
          </w:p>
        </w:tc>
        <w:tc>
          <w:tcPr>
            <w:tcW w:w="7836" w:type="dxa"/>
            <w:shd w:val="clear" w:color="auto" w:fill="auto"/>
            <w:tcMar>
              <w:top w:w="85" w:type="dxa"/>
              <w:bottom w:w="85" w:type="dxa"/>
              <w:right w:w="108" w:type="dxa"/>
            </w:tcMar>
          </w:tcPr>
          <w:p>
            <w:pPr>
              <w:spacing w:after="0"/>
              <w:rPr>
                <w:noProof/>
                <w:sz w:val="20"/>
              </w:rPr>
            </w:pPr>
            <w:r>
              <w:rPr>
                <w:noProof/>
                <w:sz w:val="20"/>
              </w:rPr>
              <w:t>Предложение за РЕГЛАМЕНТ НА ЕВРОПЕЙСКИЯ ПАРЛАМЕНТ И НА СЪВЕТА за създаването на Програмата за подкрепа на реформите</w:t>
            </w:r>
          </w:p>
        </w:tc>
        <w:tc>
          <w:tcPr>
            <w:tcW w:w="4413" w:type="dxa"/>
            <w:tcMar>
              <w:top w:w="85" w:type="dxa"/>
              <w:bottom w:w="85" w:type="dxa"/>
              <w:right w:w="108" w:type="dxa"/>
            </w:tcMar>
          </w:tcPr>
          <w:p>
            <w:pPr>
              <w:spacing w:after="0"/>
              <w:rPr>
                <w:noProof/>
                <w:sz w:val="20"/>
              </w:rPr>
            </w:pPr>
            <w:r>
              <w:rPr>
                <w:noProof/>
                <w:sz w:val="20"/>
              </w:rPr>
              <w:t>Остаряло: оттеглянето на това предложение беше обявено в контекста на предложението за регламент за създаване на Механизъм за възстановяване и устойчивост (COM (2020)408).</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jc w:val="left"/>
              <w:rPr>
                <w:noProof/>
                <w:sz w:val="20"/>
              </w:rPr>
            </w:pPr>
            <w:r>
              <w:rPr>
                <w:noProof/>
                <w:sz w:val="20"/>
              </w:rPr>
              <w:t>COM (2019)399 final</w:t>
            </w:r>
            <w:r>
              <w:rPr>
                <w:noProof/>
              </w:rPr>
              <w:br/>
            </w:r>
            <w:r>
              <w:rPr>
                <w:noProof/>
                <w:sz w:val="20"/>
              </w:rPr>
              <w:t>2019/0183 (COD)</w:t>
            </w:r>
          </w:p>
        </w:tc>
        <w:tc>
          <w:tcPr>
            <w:tcW w:w="7836" w:type="dxa"/>
            <w:shd w:val="clear" w:color="auto" w:fill="auto"/>
            <w:tcMar>
              <w:top w:w="85" w:type="dxa"/>
              <w:bottom w:w="85" w:type="dxa"/>
              <w:right w:w="108"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(ЕО) № 2012/2002 на Съвета с оглед на предоставяне на финансово подпомагане на държавите членки за компенсиране на сериозното финансово бреме вследствие на оттеглянето на Обединеното кралство от Съюза без споразумение</w:t>
            </w:r>
          </w:p>
        </w:tc>
        <w:tc>
          <w:tcPr>
            <w:tcW w:w="4413" w:type="dxa"/>
            <w:tcMar>
              <w:top w:w="85" w:type="dxa"/>
              <w:bottom w:w="85" w:type="dxa"/>
              <w:right w:w="108" w:type="dxa"/>
            </w:tcMar>
          </w:tcPr>
          <w:p>
            <w:pPr>
              <w:spacing w:after="0"/>
              <w:rPr>
                <w:noProof/>
                <w:sz w:val="20"/>
              </w:rPr>
            </w:pPr>
            <w:r>
              <w:rPr>
                <w:noProof/>
                <w:sz w:val="20"/>
              </w:rPr>
              <w:t xml:space="preserve">Остаряло: първоначално предложението беше внесено като извънредна мярка в случай на Брексит без споразумение, като вече е остаряло предвид сключеното споразумение за оттегляне. </w:t>
            </w:r>
          </w:p>
        </w:tc>
      </w:tr>
      <w:tr>
        <w:trPr>
          <w:cantSplit/>
        </w:trPr>
        <w:tc>
          <w:tcPr>
            <w:tcW w:w="14827" w:type="dxa"/>
            <w:gridSpan w:val="4"/>
            <w:tcBorders>
              <w:bottom w:val="single" w:sz="4" w:space="0" w:color="auto"/>
            </w:tcBorders>
            <w:shd w:val="clear" w:color="auto" w:fill="DA5C57" w:themeFill="accent6"/>
          </w:tcPr>
          <w:p>
            <w:pPr>
              <w:keepNext/>
              <w:spacing w:before="60" w:after="60"/>
              <w:rPr>
                <w:b/>
                <w:bCs/>
                <w:noProof/>
                <w:sz w:val="20"/>
              </w:rPr>
            </w:pPr>
            <w:r>
              <w:rPr>
                <w:b/>
                <w:bCs/>
                <w:noProof/>
                <w:color w:val="FFFFFF" w:themeColor="background1"/>
                <w:sz w:val="20"/>
              </w:rPr>
              <w:t>Утвърждаване на европейския ни начин на живот</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jc w:val="left"/>
              <w:rPr>
                <w:noProof/>
                <w:sz w:val="20"/>
              </w:rPr>
            </w:pPr>
            <w:r>
              <w:rPr>
                <w:noProof/>
                <w:sz w:val="20"/>
              </w:rPr>
              <w:t>COM (2016)270 final</w:t>
            </w:r>
            <w:r>
              <w:rPr>
                <w:noProof/>
              </w:rPr>
              <w:br/>
            </w:r>
            <w:r>
              <w:rPr>
                <w:noProof/>
                <w:sz w:val="20"/>
              </w:rPr>
              <w:t>2016/0133 (COD)</w:t>
            </w:r>
          </w:p>
        </w:tc>
        <w:tc>
          <w:tcPr>
            <w:tcW w:w="7836" w:type="dxa"/>
            <w:shd w:val="clear" w:color="auto" w:fill="auto"/>
            <w:tcMar>
              <w:top w:w="85" w:type="dxa"/>
              <w:bottom w:w="85" w:type="dxa"/>
              <w:right w:w="108" w:type="dxa"/>
            </w:tcMar>
          </w:tcPr>
          <w:p>
            <w:pPr>
              <w:spacing w:after="0"/>
              <w:rPr>
                <w:noProof/>
                <w:sz w:val="20"/>
              </w:rPr>
            </w:pPr>
            <w:r>
              <w:rPr>
                <w:noProof/>
                <w:sz w:val="20"/>
              </w:rPr>
              <w:t>Предложение за РЕГЛАМЕНТ НА ЕВРОПЕЙСКИЯ ПАРЛАМЕНТ И НА СЪВЕТА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w:t>
            </w:r>
          </w:p>
        </w:tc>
        <w:tc>
          <w:tcPr>
            <w:tcW w:w="4413" w:type="dxa"/>
            <w:tcMar>
              <w:top w:w="85" w:type="dxa"/>
              <w:bottom w:w="85" w:type="dxa"/>
              <w:right w:w="108" w:type="dxa"/>
            </w:tcMar>
          </w:tcPr>
          <w:p>
            <w:pPr>
              <w:spacing w:after="0"/>
              <w:rPr>
                <w:noProof/>
                <w:sz w:val="20"/>
              </w:rPr>
            </w:pPr>
            <w:r>
              <w:rPr>
                <w:noProof/>
                <w:sz w:val="20"/>
              </w:rPr>
              <w:t>Остаряло: в контекста на новия пакт за убежище и миграция беше внесено ново предложение за регламент относно убежището и управлението на миграцията (COM (2020)610). То включва, наред с другото, аспектите, обхванати от това предложение от 2016 г.</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jc w:val="left"/>
              <w:rPr>
                <w:noProof/>
                <w:sz w:val="20"/>
              </w:rPr>
            </w:pPr>
            <w:r>
              <w:rPr>
                <w:noProof/>
                <w:sz w:val="20"/>
              </w:rPr>
              <w:t>COM (2015)450 final</w:t>
            </w:r>
            <w:r>
              <w:rPr>
                <w:noProof/>
              </w:rPr>
              <w:br/>
            </w:r>
            <w:r>
              <w:rPr>
                <w:noProof/>
                <w:sz w:val="20"/>
              </w:rPr>
              <w:t>2015/0208 (COD)</w:t>
            </w:r>
          </w:p>
        </w:tc>
        <w:tc>
          <w:tcPr>
            <w:tcW w:w="7836" w:type="dxa"/>
            <w:shd w:val="clear" w:color="auto" w:fill="auto"/>
            <w:tcMar>
              <w:top w:w="85" w:type="dxa"/>
              <w:bottom w:w="85" w:type="dxa"/>
              <w:right w:w="108" w:type="dxa"/>
            </w:tcMar>
          </w:tcPr>
          <w:p>
            <w:pPr>
              <w:spacing w:after="0"/>
              <w:rPr>
                <w:noProof/>
                <w:sz w:val="20"/>
              </w:rPr>
            </w:pPr>
            <w:r>
              <w:rPr>
                <w:noProof/>
                <w:sz w:val="20"/>
              </w:rPr>
              <w:t>Предложение за РЕГЛАМЕНТ НА ЕВРОПЕЙСКИЯ ПАРЛАМЕНТ И НА СЪВЕТА за създаване на механизъм за преместване в кризисни ситуации и за изменение на Регламент (ЕС) № 604/2013 на Европейския парламент и на Съвета от 26 юни 2013 г.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w:t>
            </w:r>
          </w:p>
        </w:tc>
        <w:tc>
          <w:tcPr>
            <w:tcW w:w="4413" w:type="dxa"/>
            <w:tcMar>
              <w:top w:w="85" w:type="dxa"/>
              <w:bottom w:w="85" w:type="dxa"/>
              <w:right w:w="108" w:type="dxa"/>
            </w:tcMar>
          </w:tcPr>
          <w:p>
            <w:pPr>
              <w:spacing w:after="0"/>
              <w:rPr>
                <w:noProof/>
                <w:sz w:val="20"/>
              </w:rPr>
            </w:pPr>
            <w:r>
              <w:rPr>
                <w:noProof/>
                <w:sz w:val="20"/>
              </w:rPr>
              <w:t>Остаряло: в контекста на новия пакт за убежище и миграция беше внесено ново предложение за регламент за справяне със ситуации на криза и форсмажорни обстоятелства в областта на миграцията и убежището (COM (2020)613). То включва, наред с другото, аспектите, обхванати от това предложение от 2016 г.</w:t>
            </w:r>
          </w:p>
        </w:tc>
      </w:tr>
    </w:tbl>
    <w:p>
      <w:pPr>
        <w:spacing w:after="0"/>
        <w:jc w:val="center"/>
        <w:rPr>
          <w:noProof/>
          <w:sz w:val="20"/>
        </w:rPr>
      </w:pPr>
    </w:p>
    <w:sectPr>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851" w:right="1134" w:bottom="851"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spacing w:before="0"/>
      <w:jc w:val="right"/>
    </w:pPr>
    <w:r>
      <w:fldChar w:fldCharType="begin"/>
    </w:r>
    <w:r>
      <w:instrText>PAGE   \* MERGEFORMAT</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06222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ab/>
        <w:t>В настоящото приложение Комисията предоставя допълнителна информация, доколкото разполага с такава, относно инициативите, включени в нейната работна програма, в съответствие с Междуинституционалното споразумение за по-добро законотворчество. Информацията, предоставена в скоби до всяка инициатива, е само ориентировъчна и подлежи на промени по време на подготвителния процес, по-специално с оглед на резултатите от процеса на оценка на въздействието.</w:t>
      </w:r>
    </w:p>
  </w:footnote>
  <w:footnote w:id="3">
    <w:p>
      <w:pPr>
        <w:pStyle w:val="FootnoteText"/>
      </w:pPr>
      <w:r>
        <w:rPr>
          <w:rStyle w:val="FootnoteReference"/>
        </w:rPr>
        <w:footnoteRef/>
      </w:r>
      <w:r>
        <w:tab/>
        <w:t>В настоящото приложение са изложени най-важните преразглеждания, оценки и проверки за пригодност по REFIT, които Комисията ще предприеме през 2021 г.</w:t>
      </w:r>
    </w:p>
  </w:footnote>
  <w:footnote w:id="4">
    <w:p>
      <w:pPr>
        <w:pStyle w:val="FootnoteText"/>
      </w:pPr>
      <w:r>
        <w:rPr>
          <w:rStyle w:val="FootnoteReference"/>
        </w:rPr>
        <w:footnoteRef/>
      </w:r>
      <w:r>
        <w:tab/>
        <w:t>Настоящият списък включва неприключени законодателни предложения, които Комисията възнамерява да оттегли в срок от шест месеца.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77B5"/>
    <w:multiLevelType w:val="hybridMultilevel"/>
    <w:tmpl w:val="8C52BF56"/>
    <w:lvl w:ilvl="0" w:tplc="CE867C70">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0"/>
        <w:szCs w:val="20"/>
        <w:u w:val="none" w:color="000000"/>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9052AA9"/>
    <w:multiLevelType w:val="hybridMultilevel"/>
    <w:tmpl w:val="F7D088A8"/>
    <w:lvl w:ilvl="0" w:tplc="1A348826">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0"/>
        <w:szCs w:val="20"/>
        <w:u w:val="none" w:color="000000"/>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9D369E"/>
    <w:multiLevelType w:val="hybridMultilevel"/>
    <w:tmpl w:val="F3801CE6"/>
    <w:lvl w:ilvl="0" w:tplc="E1AE6520">
      <w:start w:val="1"/>
      <w:numFmt w:val="decimal"/>
      <w:lvlText w:val="%1."/>
      <w:lvlJc w:val="left"/>
      <w:pPr>
        <w:ind w:left="360" w:hanging="360"/>
      </w:pPr>
      <w:rPr>
        <w:rFonts w:ascii="Times New Roman" w:hAnsi="Times New Roman" w:cs="Times New Roman" w:hint="default"/>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7">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8">
    <w:nsid w:val="151E49EC"/>
    <w:multiLevelType w:val="hybridMultilevel"/>
    <w:tmpl w:val="33362BE0"/>
    <w:lvl w:ilvl="0" w:tplc="A8ECF526">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0"/>
        <w:szCs w:val="20"/>
        <w:u w:val="none" w:color="000000"/>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167F2EDE"/>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1D8E0F3D"/>
    <w:multiLevelType w:val="hybridMultilevel"/>
    <w:tmpl w:val="D20A4A9C"/>
    <w:lvl w:ilvl="0" w:tplc="977CFB22">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0"/>
        <w:szCs w:val="20"/>
        <w:u w:val="none" w:color="000000"/>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1D917A61"/>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0D967AF"/>
    <w:multiLevelType w:val="hybridMultilevel"/>
    <w:tmpl w:val="8CE801B2"/>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18073F7"/>
    <w:multiLevelType w:val="hybridMultilevel"/>
    <w:tmpl w:val="F12230FE"/>
    <w:lvl w:ilvl="0" w:tplc="0AF49B90">
      <w:start w:val="1"/>
      <w:numFmt w:val="lowerRoman"/>
      <w:lvlText w:val="(%1)"/>
      <w:lvlJc w:val="left"/>
      <w:pPr>
        <w:ind w:left="1080" w:hanging="720"/>
      </w:pPr>
      <w:rPr>
        <w:rFonts w:ascii="Times New Roman" w:eastAsia="Calibri"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2641333D"/>
    <w:multiLevelType w:val="hybridMultilevel"/>
    <w:tmpl w:val="CDB2D1F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27367B23"/>
    <w:multiLevelType w:val="hybridMultilevel"/>
    <w:tmpl w:val="1C7ACDF4"/>
    <w:lvl w:ilvl="0" w:tplc="C51C6584">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0"/>
        <w:szCs w:val="20"/>
        <w:u w:val="none" w:color="000000"/>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285A2D5D"/>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DB70664"/>
    <w:multiLevelType w:val="hybridMultilevel"/>
    <w:tmpl w:val="CB12E6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2F5F0B7F"/>
    <w:multiLevelType w:val="hybridMultilevel"/>
    <w:tmpl w:val="F1002934"/>
    <w:lvl w:ilvl="0" w:tplc="A25416E6">
      <w:start w:val="1"/>
      <w:numFmt w:val="decimal"/>
      <w:suff w:val="nothing"/>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F7C7314"/>
    <w:multiLevelType w:val="hybridMultilevel"/>
    <w:tmpl w:val="6BECA62A"/>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09333E8"/>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0CB07DF"/>
    <w:multiLevelType w:val="hybridMultilevel"/>
    <w:tmpl w:val="E63E7880"/>
    <w:lvl w:ilvl="0" w:tplc="5192A1E4">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0"/>
        <w:szCs w:val="20"/>
        <w:u w:val="none" w:color="000000"/>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319D1618"/>
    <w:multiLevelType w:val="hybridMultilevel"/>
    <w:tmpl w:val="DF16FABC"/>
    <w:lvl w:ilvl="0" w:tplc="B7142442">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0"/>
        <w:szCs w:val="20"/>
        <w:u w:val="none" w:color="000000"/>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332A1388"/>
    <w:multiLevelType w:val="hybridMultilevel"/>
    <w:tmpl w:val="6BECA62A"/>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4112B49"/>
    <w:multiLevelType w:val="hybridMultilevel"/>
    <w:tmpl w:val="6BECA62A"/>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5500E81"/>
    <w:multiLevelType w:val="hybridMultilevel"/>
    <w:tmpl w:val="D520DC46"/>
    <w:lvl w:ilvl="0" w:tplc="0B447B38">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0"/>
        <w:szCs w:val="20"/>
        <w:u w:val="none" w:color="000000"/>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355132FF"/>
    <w:multiLevelType w:val="hybridMultilevel"/>
    <w:tmpl w:val="8CE801B2"/>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5717D52"/>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57B7E92"/>
    <w:multiLevelType w:val="hybridMultilevel"/>
    <w:tmpl w:val="95767378"/>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4">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36">
    <w:nsid w:val="3C071D9A"/>
    <w:multiLevelType w:val="hybridMultilevel"/>
    <w:tmpl w:val="F1002934"/>
    <w:lvl w:ilvl="0" w:tplc="A25416E6">
      <w:start w:val="1"/>
      <w:numFmt w:val="decimal"/>
      <w:suff w:val="nothing"/>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8">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433B73D4"/>
    <w:multiLevelType w:val="hybridMultilevel"/>
    <w:tmpl w:val="568A65FC"/>
    <w:lvl w:ilvl="0" w:tplc="1376F60E">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0"/>
        <w:szCs w:val="20"/>
        <w:u w:val="none" w:color="000000"/>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nsid w:val="43D74DFA"/>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7302FF9"/>
    <w:multiLevelType w:val="hybridMultilevel"/>
    <w:tmpl w:val="93CEB1FA"/>
    <w:lvl w:ilvl="0" w:tplc="658E5D40">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0"/>
        <w:szCs w:val="20"/>
        <w:u w:val="none" w:color="000000"/>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nsid w:val="486C143F"/>
    <w:multiLevelType w:val="hybridMultilevel"/>
    <w:tmpl w:val="17546D64"/>
    <w:lvl w:ilvl="0" w:tplc="AB487E34">
      <w:start w:val="1"/>
      <w:numFmt w:val="decimal"/>
      <w:suff w:val="nothing"/>
      <w:lvlText w:val="%1."/>
      <w:lvlJc w:val="left"/>
      <w:pPr>
        <w:ind w:left="0" w:firstLine="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nsid w:val="494F2565"/>
    <w:multiLevelType w:val="hybridMultilevel"/>
    <w:tmpl w:val="7C2C2EB2"/>
    <w:lvl w:ilvl="0" w:tplc="BABC3342">
      <w:start w:val="1"/>
      <w:numFmt w:val="lowerLetter"/>
      <w:lvlText w:val="%1)"/>
      <w:lvlJc w:val="left"/>
      <w:pPr>
        <w:ind w:left="720" w:hanging="360"/>
      </w:pPr>
      <w:rPr>
        <w:rFont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nsid w:val="4B216C71"/>
    <w:multiLevelType w:val="hybridMultilevel"/>
    <w:tmpl w:val="5B0A12E2"/>
    <w:lvl w:ilvl="0" w:tplc="ABF2FC8C">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0"/>
        <w:szCs w:val="20"/>
        <w:u w:val="none" w:color="000000"/>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nsid w:val="4C0B00CE"/>
    <w:multiLevelType w:val="hybridMultilevel"/>
    <w:tmpl w:val="61242A82"/>
    <w:lvl w:ilvl="0" w:tplc="27681F5C">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0"/>
        <w:szCs w:val="20"/>
        <w:u w:val="none" w:color="000000"/>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47">
    <w:nsid w:val="540751D6"/>
    <w:multiLevelType w:val="hybridMultilevel"/>
    <w:tmpl w:val="4828BA3E"/>
    <w:lvl w:ilvl="0" w:tplc="F63AB8D4">
      <w:start w:val="1"/>
      <w:numFmt w:val="decimal"/>
      <w:suff w:val="noth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551B3A35"/>
    <w:multiLevelType w:val="hybridMultilevel"/>
    <w:tmpl w:val="C4267AD2"/>
    <w:lvl w:ilvl="0" w:tplc="48F2D114">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0"/>
        <w:szCs w:val="20"/>
        <w:u w:val="none" w:color="000000"/>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nsid w:val="561417E6"/>
    <w:multiLevelType w:val="hybridMultilevel"/>
    <w:tmpl w:val="6BECA62A"/>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8D95450"/>
    <w:multiLevelType w:val="hybridMultilevel"/>
    <w:tmpl w:val="D8303B1A"/>
    <w:lvl w:ilvl="0" w:tplc="E876B9C4">
      <w:start w:val="1"/>
      <w:numFmt w:val="decimal"/>
      <w:lvlText w:val="%1."/>
      <w:lvlJc w:val="left"/>
      <w:pPr>
        <w:ind w:left="360" w:hanging="360"/>
      </w:pPr>
      <w:rPr>
        <w:b w:val="0"/>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5EDE2F03"/>
    <w:multiLevelType w:val="hybridMultilevel"/>
    <w:tmpl w:val="5D90D308"/>
    <w:lvl w:ilvl="0" w:tplc="567EABFA">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0"/>
        <w:szCs w:val="20"/>
        <w:u w:val="none" w:color="000000"/>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nsid w:val="62274100"/>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55067FD"/>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B281FA9"/>
    <w:multiLevelType w:val="hybridMultilevel"/>
    <w:tmpl w:val="9AE865CE"/>
    <w:lvl w:ilvl="0" w:tplc="EB4683F8">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0"/>
        <w:szCs w:val="20"/>
        <w:u w:val="none" w:color="000000"/>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nsid w:val="6F35214B"/>
    <w:multiLevelType w:val="hybridMultilevel"/>
    <w:tmpl w:val="68E46B96"/>
    <w:lvl w:ilvl="0" w:tplc="E7B8FBEC">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0FF4691"/>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74F82868"/>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78856258"/>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7BBE7DC6"/>
    <w:multiLevelType w:val="hybridMultilevel"/>
    <w:tmpl w:val="E0A84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7EC17B36"/>
    <w:multiLevelType w:val="hybridMultilevel"/>
    <w:tmpl w:val="E0A6D648"/>
    <w:lvl w:ilvl="0" w:tplc="B07403B0">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1"/>
  </w:num>
  <w:num w:numId="2">
    <w:abstractNumId w:val="37"/>
  </w:num>
  <w:num w:numId="3">
    <w:abstractNumId w:val="35"/>
  </w:num>
  <w:num w:numId="4">
    <w:abstractNumId w:val="19"/>
  </w:num>
  <w:num w:numId="5">
    <w:abstractNumId w:val="7"/>
  </w:num>
  <w:num w:numId="6">
    <w:abstractNumId w:val="6"/>
  </w:num>
  <w:num w:numId="7">
    <w:abstractNumId w:val="46"/>
  </w:num>
  <w:num w:numId="8">
    <w:abstractNumId w:val="34"/>
  </w:num>
  <w:num w:numId="9">
    <w:abstractNumId w:val="11"/>
  </w:num>
  <w:num w:numId="10">
    <w:abstractNumId w:val="33"/>
  </w:num>
  <w:num w:numId="11">
    <w:abstractNumId w:val="2"/>
  </w:num>
  <w:num w:numId="12">
    <w:abstractNumId w:val="5"/>
  </w:num>
  <w:num w:numId="13">
    <w:abstractNumId w:val="38"/>
  </w:num>
  <w:num w:numId="14">
    <w:abstractNumId w:val="10"/>
  </w:num>
  <w:num w:numId="15">
    <w:abstractNumId w:val="3"/>
  </w:num>
  <w:num w:numId="16">
    <w:abstractNumId w:val="54"/>
  </w:num>
  <w:num w:numId="17">
    <w:abstractNumId w:val="20"/>
  </w:num>
  <w:num w:numId="18">
    <w:abstractNumId w:val="56"/>
  </w:num>
  <w:num w:numId="19">
    <w:abstractNumId w:val="60"/>
  </w:num>
  <w:num w:numId="20">
    <w:abstractNumId w:val="32"/>
  </w:num>
  <w:num w:numId="21">
    <w:abstractNumId w:val="47"/>
  </w:num>
  <w:num w:numId="22">
    <w:abstractNumId w:val="42"/>
  </w:num>
  <w:num w:numId="23">
    <w:abstractNumId w:val="4"/>
  </w:num>
  <w:num w:numId="24">
    <w:abstractNumId w:val="21"/>
  </w:num>
  <w:num w:numId="25">
    <w:abstractNumId w:val="43"/>
  </w:num>
  <w:num w:numId="26">
    <w:abstractNumId w:val="25"/>
  </w:num>
  <w:num w:numId="27">
    <w:abstractNumId w:val="29"/>
  </w:num>
  <w:num w:numId="28">
    <w:abstractNumId w:val="44"/>
  </w:num>
  <w:num w:numId="29">
    <w:abstractNumId w:val="48"/>
  </w:num>
  <w:num w:numId="30">
    <w:abstractNumId w:val="41"/>
  </w:num>
  <w:num w:numId="31">
    <w:abstractNumId w:val="1"/>
  </w:num>
  <w:num w:numId="32">
    <w:abstractNumId w:val="17"/>
  </w:num>
  <w:num w:numId="33">
    <w:abstractNumId w:val="12"/>
  </w:num>
  <w:num w:numId="34">
    <w:abstractNumId w:val="51"/>
  </w:num>
  <w:num w:numId="35">
    <w:abstractNumId w:val="39"/>
  </w:num>
  <w:num w:numId="36">
    <w:abstractNumId w:val="45"/>
  </w:num>
  <w:num w:numId="37">
    <w:abstractNumId w:val="8"/>
  </w:num>
  <w:num w:numId="38">
    <w:abstractNumId w:val="16"/>
  </w:num>
  <w:num w:numId="39">
    <w:abstractNumId w:val="0"/>
  </w:num>
  <w:num w:numId="40">
    <w:abstractNumId w:val="26"/>
  </w:num>
  <w:num w:numId="41">
    <w:abstractNumId w:val="22"/>
  </w:num>
  <w:num w:numId="42">
    <w:abstractNumId w:val="62"/>
  </w:num>
  <w:num w:numId="43">
    <w:abstractNumId w:val="36"/>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num>
  <w:num w:numId="46">
    <w:abstractNumId w:val="23"/>
  </w:num>
  <w:num w:numId="47">
    <w:abstractNumId w:val="28"/>
  </w:num>
  <w:num w:numId="48">
    <w:abstractNumId w:val="27"/>
  </w:num>
  <w:num w:numId="49">
    <w:abstractNumId w:val="14"/>
  </w:num>
  <w:num w:numId="50">
    <w:abstractNumId w:val="30"/>
  </w:num>
  <w:num w:numId="51">
    <w:abstractNumId w:val="9"/>
  </w:num>
  <w:num w:numId="52">
    <w:abstractNumId w:val="24"/>
  </w:num>
  <w:num w:numId="53">
    <w:abstractNumId w:val="52"/>
  </w:num>
  <w:num w:numId="54">
    <w:abstractNumId w:val="53"/>
  </w:num>
  <w:num w:numId="55">
    <w:abstractNumId w:val="18"/>
  </w:num>
  <w:num w:numId="56">
    <w:abstractNumId w:val="40"/>
  </w:num>
  <w:num w:numId="57">
    <w:abstractNumId w:val="59"/>
  </w:num>
  <w:num w:numId="58">
    <w:abstractNumId w:val="31"/>
  </w:num>
  <w:num w:numId="59">
    <w:abstractNumId w:val="58"/>
  </w:num>
  <w:num w:numId="60">
    <w:abstractNumId w:val="13"/>
  </w:num>
  <w:num w:numId="61">
    <w:abstractNumId w:val="57"/>
  </w:num>
  <w:num w:numId="62">
    <w:abstractNumId w:val="49"/>
  </w:num>
  <w:num w:numId="63">
    <w:abstractNumId w:val="5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ACCOMPAGNANT.CP" w:val="\u1082?\u1098?\u1084? "/>
    <w:docVar w:name="LW_ANNEX_NBR_FIRST" w:val="1"/>
    <w:docVar w:name="LW_ANNEX_NBR_LAST" w:val="4"/>
    <w:docVar w:name="LW_ANNEX_UNIQUE" w:val="0"/>
    <w:docVar w:name="LW_CORRIGENDUM" w:val="&lt;UNUSED&gt;"/>
    <w:docVar w:name="LW_COVERPAGE_EXISTS" w:val="True"/>
    <w:docVar w:name="LW_COVERPAGE_GUID" w:val="CEF44390-29B5-4198-B0F3-19D10F052F6C"/>
    <w:docVar w:name="LW_COVERPAGE_TYPE" w:val="1"/>
    <w:docVar w:name="LW_CROSSREFERENCE" w:val="&lt;UNUSED&gt;"/>
    <w:docVar w:name="LW_DocType" w:val="EUROLOOK"/>
    <w:docVar w:name="LW_EMISSION" w:val="19.10.2020"/>
    <w:docVar w:name="LW_EMISSION_ISODATE" w:val="2020-10-19"/>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6?\u1072?\u1073?\u1086?\u1090?\u1085?\u1072? \u1087?\u1088?\u1086?\u1075?\u1088?\u1072?\u1084?\u1072? \u1085?\u1072? \u1050?\u1086?\u1084?\u1080?\u1089?\u1080?\u1103?\u1090?\u1072? \u1079?\u1072? 2021 \u1075?._x000d__x000d__x000d__x000d__x000d__x000d__x000d__x000d__x000d__x000d__x000b__x000d__x000d__x000d__x000d__x000d__x000d__x000d__x000d__x000d__x000d__x000d__x000d__x000d__x000d__x000b__x000d__x000d__x000d__x000d__x000d__x000d__x000d__x000d__x000d__x000d__x000d__x000d__x000d__x000d__x000b_\u1046?\u1080?\u1079?\u1085?\u1077?\u1085? \u1089?\u1098?\u1102?\u1079? \u1074? \u1077?\u1076?\u1080?\u1085? \u1091?\u1103?\u1079?\u1074?\u1080?\u1084? \u1089?\u1074?\u1103?\u1090?_x000d__x000d__x000d__x000d__x000d__x000d__x000d__x000b__x000d__x000d__x000d__x000d__x000d__x000d__x000d__x000d__x000d__x000d__x000d__x000d__x000d__x000d__x000d__x000d__x000d__x000d__x000d__x000b_"/>
    <w:docVar w:name="LW_PART_NBR" w:val="&lt;UNUSED&gt;"/>
    <w:docVar w:name="LW_PART_NBR_TOTAL" w:val="&lt;UNUSED&gt;"/>
    <w:docVar w:name="LW_REF.INST.NEW" w:val="COM"/>
    <w:docVar w:name="LW_REF.INST.NEW_ADOPTED" w:val="final"/>
    <w:docVar w:name="LW_REF.INST.NEW_TEXT" w:val="(2020) 6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71?_x000b_"/>
    <w:docVar w:name="LW_TYPE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semiHidden/>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sz w:val="16"/>
      <w:lang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9ACA3C"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9ACA3C"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outlineLvl w:val="0"/>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outlineLvl w:val="0"/>
    </w:p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basedOn w:val="DefaultParagraphFont"/>
    <w:link w:val="HeaderSensitivity"/>
    <w:rPr>
      <w:b/>
      <w:sz w:val="32"/>
      <w:lang w:bidi="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 w:type="paragraph" w:customStyle="1" w:styleId="Default">
    <w:name w:val="Default"/>
    <w:pPr>
      <w:autoSpaceDE w:val="0"/>
      <w:autoSpaceDN w:val="0"/>
      <w:adjustRightInd w:val="0"/>
    </w:pPr>
    <w:rPr>
      <w:color w:val="000000"/>
      <w:sz w:val="24"/>
      <w:szCs w:val="24"/>
      <w:lang w:bidi="ar-SA"/>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rPr>
      <w:lang w:bidi="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bidi="ar-SA"/>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Pr>
      <w:sz w:val="24"/>
      <w:lang w:bidi="ar-SA"/>
    </w:rPr>
  </w:style>
  <w:style w:type="character" w:customStyle="1" w:styleId="HeaderChar">
    <w:name w:val="Header Char"/>
    <w:basedOn w:val="DefaultParagraphFont"/>
    <w:link w:val="Header"/>
    <w:uiPriority w:val="99"/>
    <w:rPr>
      <w:sz w:val="24"/>
      <w:lang w:bidi="ar-SA"/>
    </w:rPr>
  </w:style>
  <w:style w:type="character" w:customStyle="1" w:styleId="FootnoteTextChar">
    <w:name w:val="Footnote Text Char"/>
    <w:basedOn w:val="DefaultParagraphFont"/>
    <w:link w:val="FootnoteText"/>
    <w:semiHidden/>
    <w:rPr>
      <w:lang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semiHidden/>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sz w:val="16"/>
      <w:lang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9ACA3C"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9ACA3C"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outlineLvl w:val="0"/>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outlineLvl w:val="0"/>
    </w:p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basedOn w:val="DefaultParagraphFont"/>
    <w:link w:val="HeaderSensitivity"/>
    <w:rPr>
      <w:b/>
      <w:sz w:val="32"/>
      <w:lang w:bidi="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 w:type="paragraph" w:customStyle="1" w:styleId="Default">
    <w:name w:val="Default"/>
    <w:pPr>
      <w:autoSpaceDE w:val="0"/>
      <w:autoSpaceDN w:val="0"/>
      <w:adjustRightInd w:val="0"/>
    </w:pPr>
    <w:rPr>
      <w:color w:val="000000"/>
      <w:sz w:val="24"/>
      <w:szCs w:val="24"/>
      <w:lang w:bidi="ar-SA"/>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rPr>
      <w:lang w:bidi="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bidi="ar-SA"/>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Pr>
      <w:sz w:val="24"/>
      <w:lang w:bidi="ar-SA"/>
    </w:rPr>
  </w:style>
  <w:style w:type="character" w:customStyle="1" w:styleId="HeaderChar">
    <w:name w:val="Header Char"/>
    <w:basedOn w:val="DefaultParagraphFont"/>
    <w:link w:val="Header"/>
    <w:uiPriority w:val="99"/>
    <w:rPr>
      <w:sz w:val="24"/>
      <w:lang w:bidi="ar-SA"/>
    </w:rPr>
  </w:style>
  <w:style w:type="character" w:customStyle="1" w:styleId="FootnoteTextChar">
    <w:name w:val="Footnote Text Char"/>
    <w:basedOn w:val="DefaultParagraphFont"/>
    <w:link w:val="FootnoteText"/>
    <w:semiHidden/>
    <w:rPr>
      <w:lang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01290">
      <w:bodyDiv w:val="1"/>
      <w:marLeft w:val="0"/>
      <w:marRight w:val="0"/>
      <w:marTop w:val="0"/>
      <w:marBottom w:val="0"/>
      <w:divBdr>
        <w:top w:val="none" w:sz="0" w:space="0" w:color="auto"/>
        <w:left w:val="none" w:sz="0" w:space="0" w:color="auto"/>
        <w:bottom w:val="none" w:sz="0" w:space="0" w:color="auto"/>
        <w:right w:val="none" w:sz="0" w:space="0" w:color="auto"/>
      </w:divBdr>
    </w:div>
    <w:div w:id="470294323">
      <w:bodyDiv w:val="1"/>
      <w:marLeft w:val="0"/>
      <w:marRight w:val="0"/>
      <w:marTop w:val="0"/>
      <w:marBottom w:val="0"/>
      <w:divBdr>
        <w:top w:val="none" w:sz="0" w:space="0" w:color="auto"/>
        <w:left w:val="none" w:sz="0" w:space="0" w:color="auto"/>
        <w:bottom w:val="none" w:sz="0" w:space="0" w:color="auto"/>
        <w:right w:val="none" w:sz="0" w:space="0" w:color="auto"/>
      </w:divBdr>
    </w:div>
    <w:div w:id="862128437">
      <w:bodyDiv w:val="1"/>
      <w:marLeft w:val="0"/>
      <w:marRight w:val="0"/>
      <w:marTop w:val="0"/>
      <w:marBottom w:val="0"/>
      <w:divBdr>
        <w:top w:val="none" w:sz="0" w:space="0" w:color="auto"/>
        <w:left w:val="none" w:sz="0" w:space="0" w:color="auto"/>
        <w:bottom w:val="none" w:sz="0" w:space="0" w:color="auto"/>
        <w:right w:val="none" w:sz="0" w:space="0" w:color="auto"/>
      </w:divBdr>
    </w:div>
    <w:div w:id="1190140997">
      <w:bodyDiv w:val="1"/>
      <w:marLeft w:val="0"/>
      <w:marRight w:val="0"/>
      <w:marTop w:val="0"/>
      <w:marBottom w:val="0"/>
      <w:divBdr>
        <w:top w:val="none" w:sz="0" w:space="0" w:color="auto"/>
        <w:left w:val="none" w:sz="0" w:space="0" w:color="auto"/>
        <w:bottom w:val="none" w:sz="0" w:space="0" w:color="auto"/>
        <w:right w:val="none" w:sz="0" w:space="0" w:color="auto"/>
      </w:divBdr>
    </w:div>
    <w:div w:id="1463765545">
      <w:bodyDiv w:val="1"/>
      <w:marLeft w:val="0"/>
      <w:marRight w:val="0"/>
      <w:marTop w:val="0"/>
      <w:marBottom w:val="0"/>
      <w:divBdr>
        <w:top w:val="none" w:sz="0" w:space="0" w:color="auto"/>
        <w:left w:val="none" w:sz="0" w:space="0" w:color="auto"/>
        <w:bottom w:val="none" w:sz="0" w:space="0" w:color="auto"/>
        <w:right w:val="none" w:sz="0" w:space="0" w:color="auto"/>
      </w:divBdr>
    </w:div>
    <w:div w:id="1766069407">
      <w:bodyDiv w:val="1"/>
      <w:marLeft w:val="0"/>
      <w:marRight w:val="0"/>
      <w:marTop w:val="0"/>
      <w:marBottom w:val="0"/>
      <w:divBdr>
        <w:top w:val="none" w:sz="0" w:space="0" w:color="auto"/>
        <w:left w:val="none" w:sz="0" w:space="0" w:color="auto"/>
        <w:bottom w:val="none" w:sz="0" w:space="0" w:color="auto"/>
        <w:right w:val="none" w:sz="0" w:space="0" w:color="auto"/>
      </w:divBdr>
    </w:div>
    <w:div w:id="1951938113">
      <w:bodyDiv w:val="1"/>
      <w:marLeft w:val="0"/>
      <w:marRight w:val="0"/>
      <w:marTop w:val="0"/>
      <w:marBottom w:val="0"/>
      <w:divBdr>
        <w:top w:val="none" w:sz="0" w:space="0" w:color="auto"/>
        <w:left w:val="none" w:sz="0" w:space="0" w:color="auto"/>
        <w:bottom w:val="none" w:sz="0" w:space="0" w:color="auto"/>
        <w:right w:val="none" w:sz="0" w:space="0" w:color="auto"/>
      </w:divBdr>
    </w:div>
    <w:div w:id="201807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VDL Priorities">
      <a:dk1>
        <a:sysClr val="windowText" lastClr="000000"/>
      </a:dk1>
      <a:lt1>
        <a:sysClr val="window" lastClr="FFFFFF"/>
      </a:lt1>
      <a:dk2>
        <a:srgbClr val="0E4194"/>
      </a:dk2>
      <a:lt2>
        <a:srgbClr val="EEECE1"/>
      </a:lt2>
      <a:accent1>
        <a:srgbClr val="9ACA3C"/>
      </a:accent1>
      <a:accent2>
        <a:srgbClr val="18BAA8"/>
      </a:accent2>
      <a:accent3>
        <a:srgbClr val="F68A42"/>
      </a:accent3>
      <a:accent4>
        <a:srgbClr val="585EAA"/>
      </a:accent4>
      <a:accent5>
        <a:srgbClr val="00ADDC"/>
      </a:accent5>
      <a:accent6>
        <a:srgbClr val="DA5C5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Strategy, Better Regulation &amp; Corporate Governance</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SG.A.1-Policy Priorities &amp; Work Programme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e56fd78c-c7c8-4bfb-a8bc-c276a0f72d9b" xsi:nil="true"/>
    <EC_Collab_Status xmlns="e56fd78c-c7c8-4bfb-a8bc-c276a0f72d9b">Not Started</EC_Collab_Status>
    <_Status xmlns="http://schemas.microsoft.com/sharepoint/v3/fields">Not Started</_Status>
    <EC_Collab_DocumentLanguage xmlns="e56fd78c-c7c8-4bfb-a8bc-c276a0f72d9b">EN</EC_Collab_DocumentLanguag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5F8647E9148679489C08DFB96BDB6683" ma:contentTypeVersion="0" ma:contentTypeDescription="Create a new document in this library." ma:contentTypeScope="" ma:versionID="e5e0310dc89cda28f9b2243fee64c37a">
  <xsd:schema xmlns:xsd="http://www.w3.org/2001/XMLSchema" xmlns:xs="http://www.w3.org/2001/XMLSchema" xmlns:p="http://schemas.microsoft.com/office/2006/metadata/properties" xmlns:ns2="http://schemas.microsoft.com/sharepoint/v3/fields" xmlns:ns3="e56fd78c-c7c8-4bfb-a8bc-c276a0f72d9b" targetNamespace="http://schemas.microsoft.com/office/2006/metadata/properties" ma:root="true" ma:fieldsID="ba038ae6dcbbedaf69b50cf88c970fa2" ns2:_="" ns3:_="">
    <xsd:import namespace="http://schemas.microsoft.com/sharepoint/v3/fields"/>
    <xsd:import namespace="e56fd78c-c7c8-4bfb-a8bc-c276a0f72d9b"/>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6fd78c-c7c8-4bfb-a8bc-c276a0f72d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EurolookProperties>
  <ProductCustomizationId/>
  <Created>
    <Version>10.0.37611.0</Version>
    <Date>2018-10-23T14:12:56</Date>
    <Language>EN</Language>
  </Created>
  <Edited>
    <Version>10.0.41212.0</Version>
    <Date>2020-10-28T12:03:10</Date>
  </Edited>
  <DocumentModel>
    <Id>6cbda13a-4db2-46c6-876a-ef72275827ef</Id>
    <Name>Report</Name>
  </DocumentModel>
  <DocumentDate>2018-10-23T14:12:56</DocumentDate>
  <DocumentVersion>0.1</DocumentVersion>
  <CompatibilityMode>Eurolook10</CompatibilityMode>
</EurolookPropertie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6FD66C9F-6C9C-41F4-B758-65FCCB620340}">
  <ds:schemaRefs>
    <ds:schemaRef ds:uri="http://schemas.microsoft.com/office/2006/metadata/properties"/>
    <ds:schemaRef ds:uri="http://schemas.microsoft.com/office/infopath/2007/PartnerControls"/>
    <ds:schemaRef ds:uri="e56fd78c-c7c8-4bfb-a8bc-c276a0f72d9b"/>
    <ds:schemaRef ds:uri="http://schemas.microsoft.com/sharepoint/v3/fields"/>
  </ds:schemaRefs>
</ds:datastoreItem>
</file>

<file path=customXml/itemProps4.xml><?xml version="1.0" encoding="utf-8"?>
<ds:datastoreItem xmlns:ds="http://schemas.openxmlformats.org/officeDocument/2006/customXml" ds:itemID="{6BA8EE44-009E-4BD8-9B8D-4451FCE44476}">
  <ds:schemaRefs>
    <ds:schemaRef ds:uri="http://schemas.microsoft.com/sharepoint/v3/contenttype/forms"/>
  </ds:schemaRefs>
</ds:datastoreItem>
</file>

<file path=customXml/itemProps5.xml><?xml version="1.0" encoding="utf-8"?>
<ds:datastoreItem xmlns:ds="http://schemas.openxmlformats.org/officeDocument/2006/customXml" ds:itemID="{AE9252D5-4B58-4FAE-8400-0253905BC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6fd78c-c7c8-4bfb-a8bc-c276a0f7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42137445-E83F-4613-898C-F5B26078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11238</Words>
  <Characters>67882</Characters>
  <Application>Microsoft Office Word</Application>
  <DocSecurity>0</DocSecurity>
  <PresentationFormat>Microsoft Word 14.0</PresentationFormat>
  <Lines>1414</Lines>
  <Paragraphs>687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2020-10-28T09:21:00Z</dcterms:created>
  <dcterms:modified xsi:type="dcterms:W3CDTF">2020-10-29T15:26:00Z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First annex">
    <vt:lpwstr>1</vt:lpwstr>
  </property>
  <property fmtid="{D5CDD505-2E9C-101B-9397-08002B2CF9AE}" pid="6" name="Last annex">
    <vt:lpwstr>4</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CPTemplateID">
    <vt:lpwstr>CP-039</vt:lpwstr>
  </property>
  <property fmtid="{D5CDD505-2E9C-101B-9397-08002B2CF9AE}" pid="11" name="_LW_INVALIDATED__LW_INVALIDATED__LW_INVALIDATED_ContentTypeId">
    <vt:lpwstr>0x010100258AA79CEB83498886A3A08681123250005F8647E9148679489C08DFB96BDB6683</vt:lpwstr>
  </property>
</Properties>
</file>