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F8B7BBEB-8404-49CF-861D-F5B1BCA1B2FB" style="width:450.75pt;height:351.7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ОБЯСНИТЕЛЕН МЕМОРАНДУМ</w:t>
      </w:r>
    </w:p>
    <w:p>
      <w:pPr>
        <w:pStyle w:val="ManualHeading1"/>
        <w:rPr>
          <w:noProof/>
          <w:color w:val="000000" w:themeColor="text1"/>
        </w:rPr>
      </w:pPr>
      <w:r>
        <w:rPr>
          <w:smallCaps w:val="0"/>
          <w:noProof/>
          <w:color w:val="000000" w:themeColor="text1"/>
        </w:rPr>
        <w:t>1.</w:t>
      </w:r>
      <w:r>
        <w:rPr>
          <w:noProof/>
        </w:rPr>
        <w:tab/>
      </w:r>
      <w:r>
        <w:rPr>
          <w:noProof/>
          <w:color w:val="000000" w:themeColor="text1"/>
        </w:rPr>
        <w:t>КОНТЕКСТ НА ПРЕДЛОЖЕНИЕТО</w:t>
      </w:r>
    </w:p>
    <w:p>
      <w:pPr>
        <w:rPr>
          <w:noProof/>
          <w:color w:val="000000" w:themeColor="text1"/>
        </w:rPr>
      </w:pPr>
      <w:r>
        <w:rPr>
          <w:noProof/>
          <w:color w:val="000000" w:themeColor="text1"/>
        </w:rPr>
        <w:t>На 4 декември 2019 г. Европейската агенция за околна среда (ЕАОС) публикува своя доклад, озаглавен „Европейската околна среда — състояние и перспективи (2020 г.)“ (SOER 2020)</w:t>
      </w:r>
      <w:r>
        <w:rPr>
          <w:rStyle w:val="FootnoteReference"/>
          <w:noProof/>
          <w:color w:val="000000" w:themeColor="text1"/>
        </w:rPr>
        <w:footnoteReference w:id="1"/>
      </w:r>
      <w:r>
        <w:rPr>
          <w:noProof/>
          <w:color w:val="000000" w:themeColor="text1"/>
        </w:rPr>
        <w:t>, чиито резултати са отрезвяващи. Предизвикателствата, свързани с околната среда, климата и устойчивостта в настоящия момент, са безпрецедентни по мащаб и спешност и изискват незабавни и съгласувани действия и системни решения. През последните десетилетия политиките на Съюза в областта на околната среда донесоха значителни ползи, без да застрашават дългосрочната конкурентоспособност на ЕС, а през последните години достиженията на правото във все по-голяма степен се определяха от амбициозна дългосрочна визия и цели, както и стратегически рамкови политики, които ефективно намаляват натиска върху околната среда. Въпреки това загубата на биологично разнообразие, влошаването на екосистемните услуги, изменението на климата и неговите последици, неустойчивото използване на ресурсите, както и замърсяването и свързаните с него рискове за здравето и благосъстоянието на човека, за природата, екосистемите и икономиката изискват по-нататъшни решителни действия на равнището на ЕС и в световен мащаб.</w:t>
      </w:r>
    </w:p>
    <w:p>
      <w:pPr>
        <w:rPr>
          <w:noProof/>
          <w:color w:val="000000" w:themeColor="text1"/>
        </w:rPr>
      </w:pPr>
      <w:r>
        <w:rPr>
          <w:noProof/>
          <w:color w:val="000000" w:themeColor="text1"/>
        </w:rPr>
        <w:t>На 11 декември 2019 г. Комисията реагира на тези предизвикателства, като прие Европейския зелен пакт</w:t>
      </w:r>
      <w:r>
        <w:rPr>
          <w:rStyle w:val="FootnoteReference"/>
          <w:noProof/>
          <w:color w:val="000000" w:themeColor="text1"/>
        </w:rPr>
        <w:footnoteReference w:id="2"/>
      </w:r>
      <w:r>
        <w:rPr>
          <w:noProof/>
          <w:color w:val="000000" w:themeColor="text1"/>
        </w:rPr>
        <w:t xml:space="preserve"> — амбициозна програма, с която ЕС да се превърне до 2050 г. в първия неутрален по отношение на климата континент и да се опази, съхрани и увеличи природният капитал на ЕС, както и да се защитят здравето и благоденствието на гражданите от свързани с околната среда рискове и въздействия. Тази програма се основава на модел на растеж с възстановяване, чрез който на планетата се връща обратно повече, отколкото се взема; тя очертава приоритетите в областта на околната среда за следващите години и подчертава амбицията на Съюза да преобразува икономиката си за устойчиво бъдеще, като никой да не бъде изоставен; за реализиране на тези цели тя съдържа набор от дълбоко преобразуващи политики и призовава Съюза да засили своята водеща роля на световната сцена по въпросите на климата и околната среда.</w:t>
      </w:r>
    </w:p>
    <w:p>
      <w:pPr>
        <w:rPr>
          <w:noProof/>
        </w:rPr>
      </w:pPr>
      <w:r>
        <w:rPr>
          <w:noProof/>
        </w:rPr>
        <w:t>След широкия дебат по съобщението „Чиста планета за всички“</w:t>
      </w:r>
      <w:r>
        <w:rPr>
          <w:rStyle w:val="FootnoteReference"/>
          <w:noProof/>
        </w:rPr>
        <w:footnoteReference w:id="3"/>
      </w:r>
      <w:r>
        <w:rPr>
          <w:noProof/>
        </w:rPr>
        <w:t xml:space="preserve"> през март 2020 г. ЕС представи своята дългосрочна стратегия съгласно Парижкото споразумение към Рамкова конвенция на ООН по изменение на климата</w:t>
      </w:r>
      <w:r>
        <w:rPr>
          <w:rStyle w:val="FootnoteReference"/>
          <w:noProof/>
        </w:rPr>
        <w:footnoteReference w:id="4"/>
      </w:r>
      <w:r>
        <w:rPr>
          <w:noProof/>
        </w:rPr>
        <w:t>, с която стратегия се ангажира до 2050 г. да се превърне в неутрална по отношение на климата икономика. Комисията предложи тази цел да бъде заложена в законодателството на ЕС в областта на климата</w:t>
      </w:r>
      <w:r>
        <w:rPr>
          <w:rStyle w:val="FootnoteReference"/>
          <w:noProof/>
        </w:rPr>
        <w:footnoteReference w:id="5"/>
      </w:r>
      <w:r>
        <w:rPr>
          <w:noProof/>
        </w:rPr>
        <w:t xml:space="preserve">. Освен това Европейската комисия прие и редица нови стратегически инициативи, по-специално нов план за действие относно кръговата икономика за чиста и </w:t>
      </w:r>
      <w:r>
        <w:rPr>
          <w:noProof/>
        </w:rPr>
        <w:lastRenderedPageBreak/>
        <w:t>конкурентоспособна Европа</w:t>
      </w:r>
      <w:r>
        <w:rPr>
          <w:rStyle w:val="FootnoteReference"/>
          <w:noProof/>
        </w:rPr>
        <w:footnoteReference w:id="6"/>
      </w:r>
      <w:r>
        <w:rPr>
          <w:noProof/>
        </w:rPr>
        <w:t>, стратегия за биологичното разнообразие за 2030 г.</w:t>
      </w:r>
      <w:r>
        <w:rPr>
          <w:rStyle w:val="FootnoteReference"/>
          <w:noProof/>
        </w:rPr>
        <w:footnoteReference w:id="7"/>
      </w:r>
      <w:r>
        <w:rPr>
          <w:noProof/>
        </w:rPr>
        <w:t xml:space="preserve"> и стратегия „От фермата до трапезата“</w:t>
      </w:r>
      <w:r>
        <w:rPr>
          <w:rStyle w:val="FootnoteReference"/>
          <w:noProof/>
        </w:rPr>
        <w:footnoteReference w:id="8"/>
      </w:r>
      <w:r>
        <w:rPr>
          <w:noProof/>
        </w:rPr>
        <w:t>.</w:t>
      </w:r>
    </w:p>
    <w:p>
      <w:pPr>
        <w:rPr>
          <w:noProof/>
          <w:color w:val="000000" w:themeColor="text1"/>
        </w:rPr>
      </w:pPr>
      <w:r>
        <w:rPr>
          <w:noProof/>
          <w:color w:val="000000" w:themeColor="text1"/>
        </w:rPr>
        <w:t>ЕС също така прие всеобхватен отговор на извънредното положение във връзка с COVID-19, което оказва значително отрицателно въздействие върху живота и поминъка, изправи изготвянето на политиките пред безпрецедентни предизвикателства и е утежнено от сериозен икономически спад. В Плана за възстановяване на ЕС от следващо поколение, предложен от Европейската комисия на 27 май 2020 г. и одобрен на извънредното заседание на Европейския съвет през юли 2020 г., се подчертават статутът на Европейския зелен пакт като нова стратегия на Европа за растеж и ролята му за постигане на устойчиво и бързо възстановяване, както и за гарантиране на дългосрочна предвидимост по пътя към неутралност по отношение на климата и в крайна сметка на справедлив и честен преход, при който никой да</w:t>
      </w:r>
      <w:r>
        <w:rPr>
          <w:noProof/>
          <w:color w:val="000000" w:themeColor="text1"/>
          <w:lang w:val="de-DE"/>
        </w:rPr>
        <w:t xml:space="preserve"> </w:t>
      </w:r>
      <w:r>
        <w:rPr>
          <w:noProof/>
          <w:color w:val="000000" w:themeColor="text1"/>
        </w:rPr>
        <w:t>не бъде изоставен. С дългосрочната си визия и приоритетните цели за околната среда, която 8-ата програма за действие за околната среда споделя със Зеления пакт, тя ще подкрепи общия ангажимент на ЕС за екологосъобразно възстановяване.</w:t>
      </w:r>
    </w:p>
    <w:p>
      <w:pPr>
        <w:rPr>
          <w:noProof/>
          <w:color w:val="000000" w:themeColor="text1"/>
        </w:rPr>
      </w:pPr>
      <w:r>
        <w:rPr>
          <w:noProof/>
          <w:color w:val="000000" w:themeColor="text1"/>
        </w:rPr>
        <w:t>От началото на 70-те години на миналия век развитието на политиката на ЕС в областта на околната среда се определя от програми за действие в тази област. Седмата програма за действие за околната среда (7-ата ПДОС) ще приключи на 31 декември 2020 г., като в член 4, параграф 3 от нея от Комисията се изисква да представи, когато е целесъобразно, своевременно предложение за Осма програма за действие за околната среда (8-ата ПДОС), за да се избегне прекъсване между двете програми. Приемането на нова програма за действие за околната среда вече беше обявено в Европейския зелен пакт.</w:t>
      </w:r>
    </w:p>
    <w:p>
      <w:pPr>
        <w:rPr>
          <w:noProof/>
          <w:color w:val="000000" w:themeColor="text1"/>
        </w:rPr>
      </w:pPr>
      <w:r>
        <w:rPr>
          <w:noProof/>
          <w:color w:val="000000" w:themeColor="text1"/>
        </w:rPr>
        <w:t>Съветът, Европейският парламент и Комитетът на регионите призоваха Комисията да представи предложение за 8-ата ПДОС най-късно до началото на 2020 г.</w:t>
      </w:r>
    </w:p>
    <w:p>
      <w:pPr>
        <w:pStyle w:val="ManualHeading1"/>
        <w:rPr>
          <w:noProof/>
          <w:color w:val="000000" w:themeColor="text1"/>
        </w:rPr>
      </w:pPr>
      <w:r>
        <w:rPr>
          <w:noProof/>
          <w:color w:val="000000" w:themeColor="text1"/>
        </w:rPr>
        <w:t>2.</w:t>
      </w:r>
      <w:r>
        <w:rPr>
          <w:noProof/>
        </w:rPr>
        <w:tab/>
      </w:r>
      <w:r>
        <w:rPr>
          <w:noProof/>
          <w:color w:val="000000" w:themeColor="text1"/>
        </w:rPr>
        <w:t xml:space="preserve">ПРАВНО ОСНОВАНИЕ, СУБСИДИАРНОСТ И ПРОПОРЦИОНАЛНОСТ </w:t>
      </w:r>
    </w:p>
    <w:p>
      <w:pPr>
        <w:rPr>
          <w:noProof/>
          <w:color w:val="000000" w:themeColor="text1"/>
        </w:rPr>
      </w:pPr>
      <w:r>
        <w:rPr>
          <w:noProof/>
          <w:color w:val="000000" w:themeColor="text1"/>
        </w:rPr>
        <w:t>Настоящото предложение за решение на Европейския парламент и на Съвета относно нова Обща програма на Европейския съюз за действие за околната среда до 2030 г. се основава на член 192, параграф 3 от ДФЕС. С цел да се осигури, че ЕС и неговите държави членки се ангажират с настоящата програма и постигат нейните приоритетни цели, в настоящото предложение за решение се определя благоприятстваща уредба, която подкрепя постигането на приоритетните цели и гарантира, че напредъкът по отношение на целите се измерва редовно.</w:t>
      </w:r>
    </w:p>
    <w:p>
      <w:pPr>
        <w:rPr>
          <w:noProof/>
          <w:color w:val="000000" w:themeColor="text1"/>
        </w:rPr>
      </w:pPr>
      <w:r>
        <w:rPr>
          <w:noProof/>
          <w:color w:val="000000" w:themeColor="text1"/>
        </w:rPr>
        <w:t>Целите на настоящото предложение за решение не могат да бъдат достигнати в достатъчна степен самостоятелно от държавите членки. Тъй като политиката за околната среда и климата е област на споделена компетентност в ЕС и децентрализирана политика, една от целите на програмата е да се въведе съвместна отговорност на трите институции на ЕС и държавите членки по отношение на целите, като на отговорните политически фактори и на останалите заинтересовани страни — включително регионите и градовете, предприятията, социалните партньори, организациите на гражданското общество и отделните граждани — се предостави предвидима рамка и посока на действията.</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РЕЗУЛТАТИ ОТ ОЦЕНКИТЕ И КОНСУЛТАЦИИТЕ СЪС ЗАИНТЕРЕСОВАНИТЕ СТРАНИ</w:t>
      </w:r>
    </w:p>
    <w:p>
      <w:pPr>
        <w:rPr>
          <w:noProof/>
          <w:color w:val="000000" w:themeColor="text1"/>
        </w:rPr>
      </w:pPr>
      <w:r>
        <w:rPr>
          <w:noProof/>
          <w:color w:val="000000" w:themeColor="text1"/>
        </w:rPr>
        <w:t>На 15 май 2019 г. Комисията публикува доклад за оценката на 7-ата ПДОС</w:t>
      </w:r>
      <w:r>
        <w:rPr>
          <w:rStyle w:val="FootnoteReference"/>
          <w:noProof/>
          <w:color w:val="000000" w:themeColor="text1"/>
        </w:rPr>
        <w:footnoteReference w:id="9"/>
      </w:r>
      <w:r>
        <w:rPr>
          <w:noProof/>
          <w:color w:val="000000" w:themeColor="text1"/>
        </w:rPr>
        <w:t>. Той беше предшестван от обстойни консултации, проведени през 2018 г., които се състояха от обществена консултация, целева консултация с държавите членки, целева консултация със заинтересованите страни и два публични семинара.</w:t>
      </w:r>
    </w:p>
    <w:p>
      <w:pPr>
        <w:rPr>
          <w:noProof/>
          <w:color w:val="000000" w:themeColor="text1"/>
        </w:rPr>
      </w:pPr>
      <w:r>
        <w:rPr>
          <w:noProof/>
          <w:color w:val="000000" w:themeColor="text1"/>
        </w:rPr>
        <w:t>От оценката стана ясно, че като цяло 7-ата ПДОС се възприема като ефективен стратегически инструмент на високо равнище за ръководене на политиката в областта на околната среда. За много участници ПДОС представлява и инструмент за планиране, който осигурява на политиката в областта на околната страна непрекъснатост — включително чрез своята дългосрочна визия, отчетност и предвидимост по отношение на действията на Европейската комисия, освен че има положително влияние върху интегрирането и рационализирането на политиката за околната среда. Като цяло бе счетено, че приоритетните цели на 7-ата ПДОС все още са валидни, по-специално нейната визия за 2050 г.</w:t>
      </w:r>
    </w:p>
    <w:p>
      <w:pPr>
        <w:rPr>
          <w:noProof/>
          <w:color w:val="000000" w:themeColor="text1"/>
        </w:rPr>
      </w:pPr>
      <w:r>
        <w:rPr>
          <w:noProof/>
          <w:color w:val="000000" w:themeColor="text1"/>
        </w:rPr>
        <w:t>На 22 ноември 2017 г. Европейският парламент публикува оценка на изпълнението на 7-ата ПДОС</w:t>
      </w:r>
      <w:r>
        <w:rPr>
          <w:rStyle w:val="FootnoteReference"/>
          <w:noProof/>
          <w:color w:val="000000" w:themeColor="text1"/>
        </w:rPr>
        <w:footnoteReference w:id="10"/>
      </w:r>
      <w:r>
        <w:rPr>
          <w:noProof/>
          <w:color w:val="000000" w:themeColor="text1"/>
        </w:rPr>
        <w:t>, а след това на 6 март 2018 г. — доклад за изпълнението и на 17 април 2018 г. — резолюция</w:t>
      </w:r>
      <w:r>
        <w:rPr>
          <w:rStyle w:val="FootnoteReference"/>
          <w:noProof/>
          <w:color w:val="000000" w:themeColor="text1"/>
        </w:rPr>
        <w:footnoteReference w:id="11"/>
      </w:r>
      <w:r>
        <w:rPr>
          <w:noProof/>
          <w:color w:val="000000" w:themeColor="text1"/>
        </w:rPr>
        <w:t>.</w:t>
      </w:r>
    </w:p>
    <w:p>
      <w:pPr>
        <w:rPr>
          <w:noProof/>
          <w:color w:val="000000" w:themeColor="text1"/>
        </w:rPr>
      </w:pPr>
      <w:r>
        <w:rPr>
          <w:noProof/>
          <w:color w:val="000000" w:themeColor="text1"/>
        </w:rPr>
        <w:t>На 31 юли 2018 г. Европейският комитет на регионите публикува проучване за местното и регионалното измерение на 8-а ПДОС</w:t>
      </w:r>
      <w:r>
        <w:rPr>
          <w:rStyle w:val="FootnoteReference"/>
          <w:noProof/>
          <w:color w:val="000000" w:themeColor="text1"/>
        </w:rPr>
        <w:footnoteReference w:id="12"/>
      </w:r>
      <w:r>
        <w:rPr>
          <w:noProof/>
          <w:color w:val="000000" w:themeColor="text1"/>
        </w:rPr>
        <w:t>, последвано от становище</w:t>
      </w:r>
      <w:r>
        <w:rPr>
          <w:rStyle w:val="FootnoteReference"/>
          <w:noProof/>
          <w:color w:val="000000" w:themeColor="text1"/>
        </w:rPr>
        <w:footnoteReference w:id="13"/>
      </w:r>
      <w:r>
        <w:rPr>
          <w:noProof/>
          <w:color w:val="000000" w:themeColor="text1"/>
        </w:rPr>
        <w:t>, прието на 7 февруари 2019 г.</w:t>
      </w:r>
    </w:p>
    <w:p>
      <w:pPr>
        <w:rPr>
          <w:noProof/>
          <w:color w:val="000000" w:themeColor="text1"/>
        </w:rPr>
      </w:pPr>
      <w:r>
        <w:rPr>
          <w:noProof/>
          <w:color w:val="000000" w:themeColor="text1"/>
        </w:rPr>
        <w:t>След обсъжданията по време на неформалното заседание на Съвета по околна среда, състояли се на 29 и 30 октомври 2018 г. в Грац (Австрия), на 11—12 юни 2019 г. беше проведен семинар относно бъдещата програма за действие за околната среда в Хайнбург (Австрия). По време на финландското председателство на Съвета, а именно на 4 октомври 2019 г., Съветът прие заключения, озаглавени „Осма програма за действие за околната среда — Да преобърнем тенденцията заедно“</w:t>
      </w:r>
      <w:r>
        <w:rPr>
          <w:rStyle w:val="FootnoteReference"/>
          <w:noProof/>
          <w:color w:val="000000" w:themeColor="text1"/>
        </w:rPr>
        <w:footnoteReference w:id="14"/>
      </w:r>
      <w:r>
        <w:rPr>
          <w:noProof/>
          <w:color w:val="000000" w:themeColor="text1"/>
        </w:rPr>
        <w:t>.</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rPr>
          <w:noProof/>
          <w:color w:val="000000" w:themeColor="text1"/>
          <w:u w:color="000000"/>
        </w:rPr>
      </w:pPr>
      <w:r>
        <w:rPr>
          <w:noProof/>
          <w:color w:val="000000" w:themeColor="text1"/>
          <w:u w:color="000000"/>
        </w:rPr>
        <w:t>Настоящото предложение за решение е разработено в съответствие с предложението на Комисията за многогодишната финансова рамка на ЕС за периода 2021—2027 г. То включва финансова обосновка, от която става ясно, че Европейската агенция за околна среда (ЕАОС) и Европейската агенция по химикали (ЕСНА) се нуждаят от повече ресурси, за да подкрепят новата рамка за мониторинг, измерване и докладване на тази програма.</w:t>
      </w:r>
    </w:p>
    <w:p>
      <w:pPr>
        <w:rPr>
          <w:noProof/>
          <w:color w:val="000000" w:themeColor="text1"/>
          <w:u w:color="000000"/>
        </w:rPr>
      </w:pPr>
      <w:r>
        <w:rPr>
          <w:noProof/>
          <w:color w:val="000000" w:themeColor="text1"/>
          <w:u w:color="000000"/>
        </w:rPr>
        <w:t xml:space="preserve">Участието на ЕАОС и ECHA е от решаващо значение за тази работа и за постигането на целите на 8-ата ПДОС. Предложената да 8-ата ПДОС новата рамка за мониторинг и докладване ще съдържа във възможно най-голяма степен съществуващи инструменти и показатели за наблюдение, които главно се основават на европейската статистика и </w:t>
      </w:r>
      <w:r>
        <w:rPr>
          <w:noProof/>
          <w:color w:val="000000" w:themeColor="text1"/>
          <w:u w:color="000000"/>
        </w:rPr>
        <w:lastRenderedPageBreak/>
        <w:t>данните та ЕАОС и ECHA, така че да се избегне дублирането на усилия и да се ограничи административната тежест за държавите членки. Това означава, че на тези агенции се възлагат допълнителни задачи, за да могат да допринесат в пълна степен за постигането на приоритетите и за създаването на благоприятстващите условия, посочени в членове 3 и 4 от програмата.</w:t>
      </w:r>
    </w:p>
    <w:p>
      <w:pPr>
        <w:pStyle w:val="ManualHeading1"/>
        <w:rPr>
          <w:noProof/>
          <w:color w:val="000000" w:themeColor="text1"/>
        </w:rPr>
      </w:pPr>
      <w:r>
        <w:rPr>
          <w:noProof/>
          <w:color w:val="000000" w:themeColor="text1"/>
        </w:rPr>
        <w:t>5.</w:t>
      </w:r>
      <w:r>
        <w:rPr>
          <w:noProof/>
        </w:rPr>
        <w:tab/>
      </w:r>
      <w:r>
        <w:rPr>
          <w:noProof/>
          <w:color w:val="000000" w:themeColor="text1"/>
        </w:rPr>
        <w:t>ДРУГИ ЕЛЕМЕНТИ</w:t>
      </w:r>
    </w:p>
    <w:p>
      <w:pPr>
        <w:rPr>
          <w:b/>
          <w:noProof/>
          <w:color w:val="000000" w:themeColor="text1"/>
          <w:u w:color="000000"/>
        </w:rPr>
      </w:pPr>
      <w:r>
        <w:rPr>
          <w:b/>
          <w:noProof/>
          <w:color w:val="000000" w:themeColor="text1"/>
          <w:u w:color="000000"/>
        </w:rPr>
        <w:t>Обяснение на конкретните разпоредби на предложението:</w:t>
      </w:r>
    </w:p>
    <w:p>
      <w:pPr>
        <w:rPr>
          <w:noProof/>
          <w:color w:val="000000" w:themeColor="text1"/>
        </w:rPr>
      </w:pPr>
      <w:r>
        <w:rPr>
          <w:noProof/>
          <w:color w:val="000000" w:themeColor="text1"/>
        </w:rPr>
        <w:t xml:space="preserve">Основната цел на 8-ата ПДОС е да се ускори справедливият и приобщаващ преход на Съюза към чиста и кръгова икономика, която е неутрална по отношение на климата и се отличава с ефективно използване на ресурсите, както и да се постигнат екологичните цели на Програмата на ООН до 2030 г. и нейните цели за устойчиво развитие, като изцяло се подкрепят целите на Европейския зелен пакт в областта на околната среда и климата. </w:t>
      </w:r>
    </w:p>
    <w:p>
      <w:pPr>
        <w:rPr>
          <w:i/>
          <w:noProof/>
          <w:color w:val="000000" w:themeColor="text1"/>
          <w:u w:val="single"/>
        </w:rPr>
      </w:pPr>
      <w:r>
        <w:rPr>
          <w:i/>
          <w:noProof/>
          <w:color w:val="000000" w:themeColor="text1"/>
          <w:u w:val="single"/>
        </w:rPr>
        <w:t>Член 1</w:t>
      </w:r>
    </w:p>
    <w:p>
      <w:pPr>
        <w:rPr>
          <w:noProof/>
          <w:color w:val="000000" w:themeColor="text1"/>
        </w:rPr>
      </w:pPr>
      <w:r>
        <w:rPr>
          <w:noProof/>
          <w:color w:val="000000" w:themeColor="text1"/>
        </w:rPr>
        <w:t>Настоящото предложение служи за повишаване на съгласуваността и синергичните ефекти между мерките на всички равнища на управление чрез интегрирано измерване на напредъка към постигане на целите в областта на околната среда и климата. В съответствие с клетвата на Европейския зелен пакт да не се нанасят вреди предложението подкрепя намаляването на натиска върху околната среда и климата и засилването на интегрирания подход към разработването и изпълнението на политиките, по-специално чрез включване на устойчивостта във всички съответни инициативи и проекти на национално и европейско равнище.</w:t>
      </w:r>
    </w:p>
    <w:p>
      <w:pPr>
        <w:rPr>
          <w:i/>
          <w:noProof/>
          <w:color w:val="000000" w:themeColor="text1"/>
          <w:u w:val="single"/>
        </w:rPr>
      </w:pPr>
      <w:r>
        <w:rPr>
          <w:i/>
          <w:noProof/>
          <w:color w:val="000000" w:themeColor="text1"/>
          <w:u w:val="single"/>
        </w:rPr>
        <w:t>Член 2</w:t>
      </w:r>
    </w:p>
    <w:p>
      <w:pPr>
        <w:rPr>
          <w:noProof/>
          <w:color w:val="000000" w:themeColor="text1"/>
        </w:rPr>
      </w:pPr>
      <w:r>
        <w:rPr>
          <w:noProof/>
          <w:color w:val="000000" w:themeColor="text1"/>
        </w:rPr>
        <w:t>Съюзът и неговите държави членки си споделят отговорността за постигане на целите и изпълнение на задачите, свързани с околната среда и климата, като се изискват действия от страна на всички участници — правителства и органи на европейско, национално, регионално и местно равнище, социалните партньори, гражданското общество, гражданите и предприятията.</w:t>
      </w:r>
    </w:p>
    <w:p>
      <w:pPr>
        <w:rPr>
          <w:noProof/>
          <w:color w:val="000000" w:themeColor="text1"/>
        </w:rPr>
      </w:pPr>
      <w:r>
        <w:rPr>
          <w:noProof/>
          <w:color w:val="000000" w:themeColor="text1"/>
        </w:rPr>
        <w:t>В член 2 се определят тематичните приоритетни цели в контекста на дългосрочната цел за 2050 г. „Да живеем добре в пределите на нашата планета“, вече установена в 7-ата ПДОС.</w:t>
      </w:r>
    </w:p>
    <w:p>
      <w:pPr>
        <w:rPr>
          <w:i/>
          <w:noProof/>
          <w:color w:val="000000" w:themeColor="text1"/>
          <w:u w:val="single"/>
        </w:rPr>
      </w:pPr>
      <w:r>
        <w:rPr>
          <w:i/>
          <w:noProof/>
          <w:color w:val="000000" w:themeColor="text1"/>
          <w:u w:val="single"/>
        </w:rPr>
        <w:t>Член 3</w:t>
      </w:r>
    </w:p>
    <w:p>
      <w:pPr>
        <w:rPr>
          <w:noProof/>
          <w:color w:val="000000" w:themeColor="text1"/>
        </w:rPr>
      </w:pPr>
      <w:r>
        <w:rPr>
          <w:noProof/>
          <w:color w:val="000000" w:themeColor="text1"/>
        </w:rPr>
        <w:t>В Европейския зелен пакт се подчертава необходимостта да се осигури ефективно изпълнение и правоприлагане на политиките и законодателството.</w:t>
      </w:r>
    </w:p>
    <w:p>
      <w:pPr>
        <w:rPr>
          <w:noProof/>
          <w:color w:val="000000" w:themeColor="text1"/>
        </w:rPr>
      </w:pPr>
      <w:r>
        <w:rPr>
          <w:noProof/>
          <w:color w:val="000000" w:themeColor="text1"/>
        </w:rPr>
        <w:t>Член 3 представлява основата за общо разбиране и съвместен ангажимент за благоприятстващите условия, необходими за постигането на тези тематични приоритетни цели, като по този начин се осигурява съгласувано прилагане на подходящото равнище. Комисията обяви, че ще подобри начина, по който насоките ѝ за по-добро регулиране и подпомагащите ги инструменти разглеждат въпросите на устойчивостта и иновациите, за да могат всички инициативи на ЕС да изпълнят „зелената клетва“ да не се нанасят вреди.</w:t>
      </w:r>
    </w:p>
    <w:p>
      <w:pPr>
        <w:rPr>
          <w:i/>
          <w:noProof/>
          <w:color w:val="000000" w:themeColor="text1"/>
          <w:u w:val="single"/>
        </w:rPr>
      </w:pPr>
      <w:r>
        <w:rPr>
          <w:i/>
          <w:noProof/>
          <w:color w:val="000000" w:themeColor="text1"/>
          <w:u w:val="single"/>
        </w:rPr>
        <w:t>Член 4</w:t>
      </w:r>
    </w:p>
    <w:p>
      <w:pPr>
        <w:rPr>
          <w:noProof/>
          <w:color w:val="000000" w:themeColor="text1"/>
        </w:rPr>
      </w:pPr>
      <w:r>
        <w:rPr>
          <w:noProof/>
          <w:color w:val="000000" w:themeColor="text1"/>
        </w:rPr>
        <w:t xml:space="preserve">Докато в отделни нормативни актове, свързани с околната среда, се изисква редовно докладване от страна на държавите членки за конкретни политики в областта на </w:t>
      </w:r>
      <w:r>
        <w:rPr>
          <w:noProof/>
          <w:color w:val="000000" w:themeColor="text1"/>
        </w:rPr>
        <w:lastRenderedPageBreak/>
        <w:t>околната среда, в правото на ЕС не е предвидена всеобхватна рамка за гарантиране на координиран подход към цялостното постигане на екологичните цели на Съюза. В Европейския зелен пакт беше обявено, че новата програма за действие за околната среда ще включва нов механизъм за мониторинг, с който да се гарантира, че Съюзът няма да се отклони от пътя си към постигане на своите екологични цели.</w:t>
      </w:r>
    </w:p>
    <w:p>
      <w:pPr>
        <w:rPr>
          <w:noProof/>
          <w:color w:val="000000" w:themeColor="text1"/>
        </w:rPr>
      </w:pPr>
      <w:r>
        <w:rPr>
          <w:noProof/>
          <w:color w:val="000000" w:themeColor="text1"/>
        </w:rPr>
        <w:t>Рамката за мониторинг на 8-ата ПДОС не следва да засяга съществуващите инструменти за докладване и управление в областта на околната среда и климата, включително тези на управлението на Енергийния съюз и действията в областта на климата.</w:t>
      </w:r>
    </w:p>
    <w:p>
      <w:pPr>
        <w:pStyle w:val="Tiret1"/>
        <w:numPr>
          <w:ilvl w:val="0"/>
          <w:numId w:val="15"/>
        </w:numPr>
        <w:rPr>
          <w:i/>
          <w:noProof/>
          <w:color w:val="000000" w:themeColor="text1"/>
        </w:rPr>
      </w:pPr>
      <w:r>
        <w:rPr>
          <w:i/>
          <w:noProof/>
          <w:color w:val="000000" w:themeColor="text1"/>
        </w:rPr>
        <w:t>Измерване на напредъка към постигане на целите, свързани с околната среда и климата, в по-широкия контекст на устойчивостта, благоденствието и издръжливостта</w:t>
      </w:r>
    </w:p>
    <w:p>
      <w:pPr>
        <w:rPr>
          <w:noProof/>
          <w:color w:val="000000" w:themeColor="text1"/>
        </w:rPr>
      </w:pPr>
      <w:r>
        <w:rPr>
          <w:noProof/>
          <w:color w:val="000000" w:themeColor="text1"/>
        </w:rPr>
        <w:t>Измерването на напредъка на ЕС и неговите държави членки към постигането на целите на ООН за устойчиво развитие за 2030 г. изисква интегрирана рамка за екологични, социални и икономически цели. Съветът</w:t>
      </w:r>
      <w:r>
        <w:rPr>
          <w:rStyle w:val="FootnoteReference"/>
          <w:noProof/>
          <w:color w:val="000000" w:themeColor="text1"/>
        </w:rPr>
        <w:footnoteReference w:id="15"/>
      </w:r>
      <w:r>
        <w:rPr>
          <w:noProof/>
          <w:color w:val="000000" w:themeColor="text1"/>
        </w:rPr>
        <w:t xml:space="preserve"> и Европейският икономически и социален комитет</w:t>
      </w:r>
      <w:r>
        <w:rPr>
          <w:rStyle w:val="FootnoteReference"/>
          <w:noProof/>
          <w:color w:val="000000" w:themeColor="text1"/>
        </w:rPr>
        <w:footnoteReference w:id="16"/>
      </w:r>
      <w:r>
        <w:rPr>
          <w:noProof/>
          <w:color w:val="000000" w:themeColor="text1"/>
        </w:rPr>
        <w:t xml:space="preserve"> призоваха за измерване на икономическите резултати и обществения напредък „отвъд БВП“ и за преминаване към „благоденствието“ като ориентир за политиката, което се подкрепя и от Организацията за икономическо сътрудничество и развитие</w:t>
      </w:r>
      <w:r>
        <w:rPr>
          <w:rStyle w:val="FootnoteReference"/>
          <w:noProof/>
          <w:color w:val="000000" w:themeColor="text1"/>
        </w:rPr>
        <w:footnoteReference w:id="17"/>
      </w:r>
      <w:r>
        <w:rPr>
          <w:noProof/>
          <w:color w:val="000000" w:themeColor="text1"/>
        </w:rPr>
        <w:t>. Съвместно със заинтересовани страни членовете на Европейския парламент организираха конференцията „Post Growth 2018“</w:t>
      </w:r>
      <w:r>
        <w:rPr>
          <w:rStyle w:val="FootnoteReference"/>
          <w:noProof/>
          <w:color w:val="000000" w:themeColor="text1"/>
        </w:rPr>
        <w:footnoteReference w:id="18"/>
      </w:r>
      <w:r>
        <w:rPr>
          <w:noProof/>
          <w:color w:val="000000" w:themeColor="text1"/>
        </w:rPr>
        <w:t>.</w:t>
      </w:r>
    </w:p>
    <w:p>
      <w:pPr>
        <w:rPr>
          <w:noProof/>
          <w:color w:val="000000" w:themeColor="text1"/>
        </w:rPr>
      </w:pPr>
      <w:r>
        <w:rPr>
          <w:noProof/>
          <w:color w:val="000000" w:themeColor="text1"/>
        </w:rPr>
        <w:t>Във връзка с това рамката за мониторинг на 8-ата ПДОС ще даде приноса по отношение на околната среда и климата към цялостните усилия на ЕС за измерване на напредъка към устойчивост, благоденствие и издръжливост, включително устойчивост на бедствия; тя следва да информира създателите на политики и заинтересованите страни за това дали Съюзът и държавите членки са на път да постигнат системна трансформация.</w:t>
      </w:r>
    </w:p>
    <w:p>
      <w:pPr>
        <w:rPr>
          <w:noProof/>
          <w:color w:val="000000" w:themeColor="text1"/>
        </w:rPr>
      </w:pPr>
      <w:r>
        <w:rPr>
          <w:noProof/>
          <w:color w:val="000000" w:themeColor="text1"/>
        </w:rPr>
        <w:t>Създаването на рамката за мониторинг за 8-ата ПДОС следва да се разглежда и в контекста на други дейности за управление и мониторинг, по-специално на европейския семестър, доклада на Евростат за мониторинга на ЦУР и годишния доклад за стратегическото прогнозиране, които също така се базират на наличните данни и използват най-подходящите за съответните политически цели показатели. Въпреки че тези инструменти за управление и мониторинг служат за различни цели, те следва да бъдат все по-взаимосвързани, за да се подобри още повече съгласуваността им.</w:t>
      </w:r>
    </w:p>
    <w:p>
      <w:pPr>
        <w:pStyle w:val="Tiret1"/>
        <w:rPr>
          <w:i/>
          <w:noProof/>
          <w:color w:val="000000" w:themeColor="text1"/>
        </w:rPr>
      </w:pPr>
      <w:r>
        <w:rPr>
          <w:i/>
          <w:noProof/>
          <w:color w:val="000000" w:themeColor="text1"/>
        </w:rPr>
        <w:t>В посока към набор от водещи показатели за 8-ата ПДОС</w:t>
      </w:r>
    </w:p>
    <w:p>
      <w:pPr>
        <w:rPr>
          <w:noProof/>
          <w:color w:val="000000" w:themeColor="text1"/>
        </w:rPr>
      </w:pPr>
      <w:r>
        <w:rPr>
          <w:noProof/>
          <w:color w:val="000000" w:themeColor="text1"/>
        </w:rPr>
        <w:t>Мониторингът на Седмата програма за действие за околната среда беше извършен от Европейската агенция за околна среда, която ежегодно публикува доклади относно показателите за околната среда</w:t>
      </w:r>
      <w:r>
        <w:rPr>
          <w:rStyle w:val="FootnoteReference"/>
          <w:noProof/>
          <w:color w:val="000000" w:themeColor="text1"/>
        </w:rPr>
        <w:footnoteReference w:id="19"/>
      </w:r>
      <w:r>
        <w:rPr>
          <w:noProof/>
          <w:color w:val="000000" w:themeColor="text1"/>
        </w:rPr>
        <w:t>. За мониторинга на приоритетните цели на 7-ата ПДОС беше разработен набор от близо 30 показателя.</w:t>
      </w:r>
    </w:p>
    <w:p>
      <w:pPr>
        <w:rPr>
          <w:noProof/>
          <w:color w:val="000000" w:themeColor="text1"/>
        </w:rPr>
      </w:pPr>
      <w:r>
        <w:rPr>
          <w:noProof/>
          <w:color w:val="000000" w:themeColor="text1"/>
        </w:rPr>
        <w:lastRenderedPageBreak/>
        <w:t>Рамката за мониторинг на 8-ата ПДОС следва да отразява новите приоритетни цели на програмата. Тя следва да съдържа ограничен брой ключови показатели за комуникацията на високо равнище, които представят по последователен начин състоянието на околната среда, основните видове натиск и ефективността на нашата реакция. Тези показатели следва да са подходящи и за общите цели за повишаване на благоденствието и устойчивостта на нашите икономики и общества.</w:t>
      </w:r>
    </w:p>
    <w:p>
      <w:pPr>
        <w:rPr>
          <w:noProof/>
          <w:color w:val="000000" w:themeColor="text1"/>
        </w:rPr>
      </w:pPr>
      <w:r>
        <w:rPr>
          <w:noProof/>
          <w:color w:val="000000" w:themeColor="text1"/>
        </w:rPr>
        <w:t>При избора на водещите показатели за 8-ата ПДОС надлежно ще се отчитат текущите работи за подобряване на мониторинга на биологичното разнообразие, кръговата икономика и нулевото замърсяване, чието завършване е планирано до 2021/2022 г., както и други инструменти за мониторинг на политиката в областта на околната среда и климата, включително управлението на Енергийния съюз и действията в областта на климата. Изборът следва да се основе на данните, налични в държавите членки и на равнището на ЕС, в частност на данните от Европейската агенция за околна среда и Европейската статистическа система.</w:t>
      </w:r>
    </w:p>
    <w:p>
      <w:pPr>
        <w:rPr>
          <w:noProof/>
          <w:color w:val="000000" w:themeColor="text1"/>
        </w:rPr>
      </w:pPr>
      <w:r>
        <w:rPr>
          <w:noProof/>
        </w:rPr>
        <w:t>Европейската агенция за околна среда и Европейската агенция по химикали ще съдействат на Комисията при подобряването на наличността и значимостта на данните.</w:t>
      </w:r>
      <w:r>
        <w:rPr>
          <w:noProof/>
          <w:color w:val="000000" w:themeColor="text1"/>
        </w:rPr>
        <w:t xml:space="preserve"> Това включва и запълване на пропуски при показателите, по-специално при мониторинга на политиката, свързана с амбицията за нулево замърсяване, и връзките между политиката в областта на околната среда, социалната и здравната политика.</w:t>
      </w:r>
    </w:p>
    <w:p>
      <w:pPr>
        <w:rPr>
          <w:noProof/>
          <w:color w:val="000000" w:themeColor="text1"/>
        </w:rPr>
      </w:pPr>
      <w:r>
        <w:rPr>
          <w:noProof/>
          <w:color w:val="000000" w:themeColor="text1"/>
        </w:rPr>
        <w:t>Създаването на рамката за мониторинг за 8-ата ПДОС ще бъде подпомагано от нова база данни с екологични показатели — леснодостъпна онлайн библиотека за показатели, която осигурява пълен и структуриран преглед на няколкостотинте съществуващи показателя за околната среда.</w:t>
      </w:r>
    </w:p>
    <w:p>
      <w:pPr>
        <w:pStyle w:val="Tiret1"/>
        <w:rPr>
          <w:i/>
          <w:noProof/>
          <w:color w:val="000000" w:themeColor="text1"/>
        </w:rPr>
      </w:pPr>
      <w:r>
        <w:rPr>
          <w:i/>
          <w:noProof/>
          <w:color w:val="000000" w:themeColor="text1"/>
        </w:rPr>
        <w:t>Пределите на планетата</w:t>
      </w:r>
    </w:p>
    <w:p>
      <w:pPr>
        <w:rPr>
          <w:noProof/>
          <w:color w:val="000000" w:themeColor="text1"/>
        </w:rPr>
      </w:pPr>
      <w:r>
        <w:rPr>
          <w:noProof/>
          <w:color w:val="000000" w:themeColor="text1"/>
        </w:rPr>
        <w:t>Разработването на рамка за мониторинг на 8-ата ПДОС ще даде възможност за проучване на потенциала на текущата работа, която се извършва в Съвместния изследователски център на Комисията, Европейската агенция за околна среда и от други участници във връзка с пределите на планетата (например потребление на прясна вода, промени в земеползването, увеличаване на киселинността на океанските води) и във връзка с отпечатъка на потреблението в Съюза, включително обезлесяването и деградацията на горите в трети държави.</w:t>
      </w:r>
    </w:p>
    <w:p>
      <w:pPr>
        <w:rPr>
          <w:noProof/>
          <w:color w:val="000000" w:themeColor="text1"/>
        </w:rPr>
      </w:pPr>
      <w:r>
        <w:rPr>
          <w:noProof/>
          <w:color w:val="000000" w:themeColor="text1"/>
        </w:rPr>
        <w:t>Науката за климата и по-специално работата на Междуправителствения комитет по изменение на климата предоставят надеждни данни и информация за нивото на емисиите на парникови газове с оглед на целта на Парижкото споразумение за задържане на покачването на температурата в световен мащаб значително под 2°C и полагане на усилия за ограничаването му до 1,5°C в сравнение с нивата от периода преди индустриализацията, но по отношение на други предели на планетата работата все още не е приключила. Важно е тази работа да продължи, за да бъдат информирани лицата, определящи политиките, и заинтересованите страни за това дали политиките в областта на околната среда са достатъчно амбициозни, за да задържат Европа в т. нар. „безопасен марж“ на планетата</w:t>
      </w:r>
      <w:r>
        <w:rPr>
          <w:rStyle w:val="FootnoteReference"/>
          <w:noProof/>
          <w:color w:val="000000" w:themeColor="text1"/>
        </w:rPr>
        <w:footnoteReference w:id="20"/>
      </w:r>
      <w:r>
        <w:rPr>
          <w:noProof/>
          <w:color w:val="000000" w:themeColor="text1"/>
        </w:rPr>
        <w:t>.</w:t>
      </w:r>
    </w:p>
    <w:p>
      <w:pPr>
        <w:pStyle w:val="Tiret1"/>
        <w:rPr>
          <w:i/>
          <w:noProof/>
          <w:color w:val="000000" w:themeColor="text1"/>
        </w:rPr>
      </w:pPr>
      <w:r>
        <w:rPr>
          <w:i/>
          <w:noProof/>
          <w:color w:val="000000" w:themeColor="text1"/>
        </w:rPr>
        <w:t>Консултации по водещите показатели за 8-ата ПДОС</w:t>
      </w:r>
    </w:p>
    <w:p>
      <w:pPr>
        <w:rPr>
          <w:noProof/>
          <w:color w:val="000000" w:themeColor="text1"/>
        </w:rPr>
      </w:pPr>
      <w:r>
        <w:rPr>
          <w:noProof/>
          <w:color w:val="000000" w:themeColor="text1"/>
        </w:rPr>
        <w:t xml:space="preserve">Комисията ще започне обширни консултации с други институции на ЕС, държавите членки и заинтересовани страни, за да разработи всеобхватна рамка за мониторинг на </w:t>
      </w:r>
      <w:r>
        <w:rPr>
          <w:noProof/>
          <w:color w:val="000000" w:themeColor="text1"/>
        </w:rPr>
        <w:lastRenderedPageBreak/>
        <w:t>8-ата ПДОС въз основа на консултативен документ, в който се очертават предложената методика и стъпките, които следва да бъдат предприети.</w:t>
      </w:r>
    </w:p>
    <w:p>
      <w:pPr>
        <w:rPr>
          <w:noProof/>
          <w:color w:val="000000" w:themeColor="text1"/>
        </w:rPr>
      </w:pPr>
      <w:r>
        <w:rPr>
          <w:noProof/>
          <w:color w:val="000000" w:themeColor="text1"/>
        </w:rPr>
        <w:t>Въз основа на тези консултации Комисията възнамерява да представи до края на 2021 г. набор от водещи показатели за 8-ата ПДОС.</w:t>
      </w:r>
    </w:p>
    <w:p>
      <w:pPr>
        <w:rPr>
          <w:noProof/>
          <w:color w:val="000000" w:themeColor="text1"/>
        </w:rPr>
      </w:pPr>
      <w:r>
        <w:rPr>
          <w:noProof/>
          <w:color w:val="000000" w:themeColor="text1"/>
        </w:rPr>
        <w:t>Процедурата ще бъде тясно координирана с текущите работи, в рамките на които съгласно Европейския зелен пакт следва да се разработят или преразгледат рамките за мониторинг на кръговата икономика, биологичното разнообразие и нулевото замърсяване, така че се осигурява цялостна съгласуваност и се намалява административната тежест.</w:t>
      </w:r>
    </w:p>
    <w:p>
      <w:pPr>
        <w:rPr>
          <w:i/>
          <w:noProof/>
          <w:color w:val="000000" w:themeColor="text1"/>
          <w:u w:val="single"/>
        </w:rPr>
      </w:pPr>
      <w:r>
        <w:rPr>
          <w:i/>
          <w:noProof/>
          <w:color w:val="000000" w:themeColor="text1"/>
          <w:u w:val="single"/>
        </w:rPr>
        <w:t>Член 5 — Оценка</w:t>
      </w:r>
    </w:p>
    <w:p>
      <w:pPr>
        <w:rPr>
          <w:noProof/>
          <w:color w:val="000000" w:themeColor="text1"/>
        </w:rPr>
      </w:pPr>
      <w:r>
        <w:rPr>
          <w:noProof/>
          <w:color w:val="000000" w:themeColor="text1"/>
        </w:rPr>
        <w:t>В член 5 се предвижда оценка на 8-ата ПДОС през 2029 г., преди нейният срок на действие изтече през 2030 г.</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2020/0300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Обща програма на Европейския съюз за действие за околната среда до 2030 година</w:t>
      </w:r>
    </w:p>
    <w:p>
      <w:pPr>
        <w:pStyle w:val="Institutionquiagit"/>
        <w:rPr>
          <w:noProof/>
          <w:color w:val="000000" w:themeColor="text1"/>
        </w:rPr>
      </w:pPr>
      <w:r>
        <w:rPr>
          <w:noProof/>
          <w:color w:val="000000" w:themeColor="text1"/>
        </w:rPr>
        <w:t>ЕВРОПЕЙСКИЯТ ПАРЛАМЕНТ И СЪВЕТЪТ НА ЕВРОПЕЙСКИЯ СЪЮЗ,</w:t>
      </w:r>
    </w:p>
    <w:p>
      <w:pPr>
        <w:rPr>
          <w:noProof/>
          <w:color w:val="000000" w:themeColor="text1"/>
        </w:rPr>
      </w:pPr>
      <w:r>
        <w:rPr>
          <w:noProof/>
          <w:color w:val="000000" w:themeColor="text1"/>
        </w:rPr>
        <w:t>като взеха предвид Договора за функционирането на Европейския съюз, и по-специално член 192, параграф 3 от него,</w:t>
      </w:r>
    </w:p>
    <w:p>
      <w:pPr>
        <w:rPr>
          <w:noProof/>
          <w:color w:val="000000" w:themeColor="text1"/>
        </w:rPr>
      </w:pPr>
      <w:r>
        <w:rPr>
          <w:noProof/>
          <w:color w:val="000000" w:themeColor="text1"/>
        </w:rPr>
        <w:t>като взеха предвид предложението на Европейската комисия,</w:t>
      </w:r>
    </w:p>
    <w:p>
      <w:pPr>
        <w:rPr>
          <w:noProof/>
          <w:color w:val="000000" w:themeColor="text1"/>
        </w:rPr>
      </w:pPr>
      <w:r>
        <w:rPr>
          <w:noProof/>
          <w:color w:val="000000" w:themeColor="text1"/>
        </w:rPr>
        <w:t>след предаване на проекта на законодателния акт на националните парламенти,</w:t>
      </w:r>
    </w:p>
    <w:p>
      <w:pPr>
        <w:rPr>
          <w:noProof/>
          <w:color w:val="000000" w:themeColor="text1"/>
        </w:rPr>
      </w:pPr>
      <w:r>
        <w:rPr>
          <w:noProof/>
          <w:color w:val="000000" w:themeColor="text1"/>
        </w:rPr>
        <w:t>като взеха предвид становището на Икономическия и социален комитет</w:t>
      </w:r>
      <w:r>
        <w:rPr>
          <w:rStyle w:val="FootnoteReference"/>
          <w:rFonts w:eastAsia="Arial Unicode MS"/>
          <w:noProof/>
          <w:color w:val="000000" w:themeColor="text1"/>
        </w:rPr>
        <w:footnoteReference w:id="21"/>
      </w:r>
      <w:r>
        <w:rPr>
          <w:noProof/>
          <w:color w:val="000000" w:themeColor="text1"/>
        </w:rPr>
        <w:t>,</w:t>
      </w:r>
    </w:p>
    <w:p>
      <w:pPr>
        <w:rPr>
          <w:noProof/>
          <w:color w:val="000000" w:themeColor="text1"/>
        </w:rPr>
      </w:pPr>
      <w:r>
        <w:rPr>
          <w:noProof/>
          <w:color w:val="000000" w:themeColor="text1"/>
        </w:rPr>
        <w:t>като взеха предвид становището на Комитета на регионите</w:t>
      </w:r>
      <w:r>
        <w:rPr>
          <w:rStyle w:val="FootnoteReference"/>
          <w:rFonts w:eastAsia="Arial Unicode MS"/>
          <w:noProof/>
          <w:color w:val="000000" w:themeColor="text1"/>
        </w:rPr>
        <w:footnoteReference w:id="22"/>
      </w:r>
      <w:r>
        <w:rPr>
          <w:noProof/>
          <w:color w:val="000000" w:themeColor="text1"/>
        </w:rPr>
        <w:t xml:space="preserve">, </w:t>
      </w:r>
    </w:p>
    <w:p>
      <w:pPr>
        <w:rPr>
          <w:noProof/>
          <w:color w:val="000000" w:themeColor="text1"/>
        </w:rPr>
      </w:pPr>
      <w:r>
        <w:rPr>
          <w:noProof/>
          <w:color w:val="000000" w:themeColor="text1"/>
        </w:rPr>
        <w:t>в съответствие с обикновената законодателна процедура,</w:t>
      </w:r>
    </w:p>
    <w:p>
      <w:pPr>
        <w:rPr>
          <w:noProof/>
          <w:color w:val="000000" w:themeColor="text1"/>
        </w:rPr>
      </w:pPr>
      <w:r>
        <w:rPr>
          <w:noProof/>
          <w:color w:val="000000" w:themeColor="text1"/>
        </w:rPr>
        <w:t>като имат предвид, че:</w:t>
      </w:r>
    </w:p>
    <w:p>
      <w:pPr>
        <w:pStyle w:val="ManualConsidrant"/>
        <w:rPr>
          <w:noProof/>
        </w:rPr>
      </w:pPr>
      <w:r>
        <w:t>(1)</w:t>
      </w:r>
      <w:r>
        <w:tab/>
      </w:r>
      <w:r>
        <w:rPr>
          <w:noProof/>
        </w:rPr>
        <w:t>В съответствие с член 192, параграф 3 от Договора за функционирането на Европейския съюз с общите програми за действие за околната среда от 1973 г. насам се предоставя рамка за действието на Съюза в областта на околната среда и климата.</w:t>
      </w:r>
    </w:p>
    <w:p>
      <w:pPr>
        <w:pStyle w:val="ManualConsidrant"/>
        <w:rPr>
          <w:noProof/>
        </w:rPr>
      </w:pPr>
      <w:r>
        <w:t>(2)</w:t>
      </w:r>
      <w:r>
        <w:tab/>
      </w:r>
      <w:r>
        <w:rPr>
          <w:noProof/>
        </w:rPr>
        <w:t xml:space="preserve">С Решение </w:t>
      </w:r>
      <w:r>
        <w:rPr>
          <w:noProof/>
          <w:color w:val="000000" w:themeColor="text1"/>
        </w:rPr>
        <w:t>№ 1386/2013/EС на Европейския парламент и на Съвета</w:t>
      </w:r>
      <w:r>
        <w:rPr>
          <w:rStyle w:val="FootnoteReference"/>
          <w:noProof/>
          <w:color w:val="000000" w:themeColor="text1"/>
        </w:rPr>
        <w:footnoteReference w:id="23"/>
      </w:r>
      <w:r>
        <w:rPr>
          <w:noProof/>
        </w:rPr>
        <w:t xml:space="preserve"> беше създадена Седмата програма за действие за околната среда (7-ата ПДОС), в която се очертават екологичната програма на Съюза до 31 декември 2020 г., както и дългосрочна визия за 2050 г.</w:t>
      </w:r>
    </w:p>
    <w:p>
      <w:pPr>
        <w:pStyle w:val="ManualConsidrant"/>
        <w:rPr>
          <w:noProof/>
          <w:color w:val="000000" w:themeColor="text1"/>
        </w:rPr>
      </w:pPr>
      <w:r>
        <w:t>(3)</w:t>
      </w:r>
      <w:r>
        <w:tab/>
      </w:r>
      <w:r>
        <w:rPr>
          <w:noProof/>
        </w:rPr>
        <w:t>В оценката си на 7-ата ПДОС</w:t>
      </w:r>
      <w:r>
        <w:rPr>
          <w:rStyle w:val="FootnoteReference"/>
          <w:noProof/>
        </w:rPr>
        <w:footnoteReference w:id="24"/>
      </w:r>
      <w:r>
        <w:rPr>
          <w:noProof/>
        </w:rPr>
        <w:t xml:space="preserve"> Комисията стигна до заключение, че визията за 2050 г. и приоритетните цели на програмата все още са валидни: програмата е допринесла за осигуряването на по-предвидими, по-бързи и по-добре координирани действия в политиката в областта на околната среда; нейната структура и благоприятстваща уредба са спомогнали да се изградят взаимодействия, като по този начин политиката в областта на околната среда е станала по-ефективна и по-ефикасна. Освен това в заключенията на оценката се посочва, че 7-ата ПДОС е предвидила Програмата на ООН до 2030 г., наблягайки на факта, че икономическият растеж и социалното благосъстояние зависят от здрави природни ресурси, и че е улеснила осъществяването на целите за устойчиво развитие. Освен това чрез нея Съюзът можа да говори с един глас на световната сцена по въпросите на климата и околната среда.</w:t>
      </w:r>
      <w:r>
        <w:rPr>
          <w:noProof/>
          <w:color w:val="000000" w:themeColor="text1"/>
        </w:rPr>
        <w:t xml:space="preserve"> В оценката си на 7-ата ПДОС Комисията също така заключи, че постигнатият напредък в областта </w:t>
      </w:r>
      <w:r>
        <w:rPr>
          <w:noProof/>
          <w:color w:val="000000" w:themeColor="text1"/>
        </w:rPr>
        <w:lastRenderedPageBreak/>
        <w:t>на опазването на природата, здравето и интегрирането на политиките не е достатъчен.</w:t>
      </w:r>
    </w:p>
    <w:p>
      <w:pPr>
        <w:pStyle w:val="ManualConsidrant"/>
        <w:rPr>
          <w:noProof/>
        </w:rPr>
      </w:pPr>
      <w:r>
        <w:t>(4)</w:t>
      </w:r>
      <w:r>
        <w:tab/>
      </w:r>
      <w:r>
        <w:rPr>
          <w:noProof/>
        </w:rPr>
        <w:t xml:space="preserve">Съгласно доклада на ЕАОС „The European environment – state and outlook 2020, </w:t>
      </w:r>
      <w:r>
        <w:rPr>
          <w:noProof/>
          <w:color w:val="000000" w:themeColor="text1"/>
        </w:rPr>
        <w:t>Knowledge for transition to a sustainable Europe</w:t>
      </w:r>
      <w:r>
        <w:rPr>
          <w:noProof/>
        </w:rPr>
        <w:t>“ (Европейската околна среда — състояние и перспективи (2020 г.), знания за прехода към устойчива Европа) („SOER 2020“) Съюзът разполага с уникалната възможност да заеме водещи позиции по отношение на устойчивостта и да посрещне свързаните с устойчивостта неотложни предизвикателства, които изискват системни решения. Както е посочено в SOER 2020, наблюдаваните от 1950-те години насам изменения на световния климат и на екосистемите нямат прецедент от десетилетия и хилядолетия. От 1950 г. световното население се е утроило, а броят на живеещите в градовете се е увеличил четири пъти. С настоящия модел на растеж се очаква натискът върху околната среда да се увеличи още, което ще доведе до преки и косвени вредни последици за здравето и благосъстоянието на хората. Това важи по-специално за секторите с най-голямо въздействие върху околната среда – храните, мобилността, енергетиката, както и инфраструктурата и сградите.</w:t>
      </w:r>
    </w:p>
    <w:p>
      <w:pPr>
        <w:pStyle w:val="ManualConsidrant"/>
        <w:rPr>
          <w:noProof/>
        </w:rPr>
      </w:pPr>
      <w:r>
        <w:t>(5)</w:t>
      </w:r>
      <w:r>
        <w:tab/>
      </w:r>
      <w:r>
        <w:rPr>
          <w:noProof/>
        </w:rPr>
        <w:t>Европейската комисия реагира на установените в SOER 2020 предизвикателства, като прие Европейския зелен пакт</w:t>
      </w:r>
      <w:r>
        <w:rPr>
          <w:rStyle w:val="FootnoteReference"/>
          <w:noProof/>
        </w:rPr>
        <w:footnoteReference w:id="25"/>
      </w:r>
      <w:r>
        <w:rPr>
          <w:noProof/>
        </w:rPr>
        <w:t>: нова стратегия за растеж за двоен екологосъобразен и цифров преход, която има за цел да превърне Съюза в справедливо и благоденстващо общество с конкурентоспособна и неутрална по отношение на климата икономика с ефективно използване на ресурсите. В Регламент (EС) xxx на Европейския парламент и на Съвета</w:t>
      </w:r>
      <w:r>
        <w:rPr>
          <w:rStyle w:val="FootnoteReference"/>
          <w:noProof/>
        </w:rPr>
        <w:footnoteReference w:id="26"/>
      </w:r>
      <w:r>
        <w:rPr>
          <w:noProof/>
        </w:rPr>
        <w:t xml:space="preserve"> е заложена целта на Съюза за постигане на неутралност по отношение на климата до 2050 г. </w:t>
      </w:r>
    </w:p>
    <w:p>
      <w:pPr>
        <w:pStyle w:val="ManualConsidrant"/>
        <w:rPr>
          <w:noProof/>
        </w:rPr>
      </w:pPr>
      <w:r>
        <w:t>(6)</w:t>
      </w:r>
      <w:r>
        <w:tab/>
      </w:r>
      <w:r>
        <w:rPr>
          <w:noProof/>
        </w:rPr>
        <w:t>Европейският зелен пакт е в основата на Плана за възстановяване на ЕС от следващо поколение, с който се насърчават инвестициите в ключови „зелени“ сектори, необходими за изграждане на устойчивост и създаване на растеж и работни места в справедливо и приобщаващо общество. Върху установените в Европейския зелен пакт приоритетни цели се основава и Механизмът за възстановяване и устойчивост, който заедно с бюджета на Съюза за периода 2021—2027 г. ще помогне за икономическото възстановяване на Съюза след извънредното положение във връзка с COVID-19. Освен това всички инициативи в рамките на Плана за възстановяване на ЕС от следващо поколение следва да зачитат клетвата на Европейския зелен пакт да не се нанасят вреди.</w:t>
      </w:r>
    </w:p>
    <w:p>
      <w:pPr>
        <w:pStyle w:val="ManualConsidrant"/>
        <w:rPr>
          <w:noProof/>
        </w:rPr>
      </w:pPr>
      <w:r>
        <w:t>(7)</w:t>
      </w:r>
      <w:r>
        <w:tab/>
      </w:r>
      <w:r>
        <w:rPr>
          <w:noProof/>
        </w:rPr>
        <w:t>От началото на 70-те години на миналия век развитието на политиката на ЕС в областта на околната среда се определя от програми за действие в тази област. Срокът на действие на 7-ата ПДОС ще изтече на 31 декември 2020 г., като в член 4, параграф 3 от нея от Комисията се изисква да представи, когато е целесъобразно, своевременно предложение за Осма програма за действие за околната среда (8-ата ПДОС), за да се избегне прекъсване между двете програми. Приемането на нова програма за действие за околната среда вече беше обявено в Европейския зелен пакт.</w:t>
      </w:r>
    </w:p>
    <w:p>
      <w:pPr>
        <w:pStyle w:val="ManualConsidrant"/>
        <w:rPr>
          <w:noProof/>
        </w:rPr>
      </w:pPr>
      <w:r>
        <w:t>(8)</w:t>
      </w:r>
      <w:r>
        <w:tab/>
      </w:r>
      <w:r>
        <w:rPr>
          <w:noProof/>
        </w:rPr>
        <w:t>8-ата ПДОС следва да подкрепя целите на Европейския зелен пакт в областта на околната среда и действията за климата в съответствие с дългосрочната цел за 2050 г. „Да живеем добре в пределите на нашата планета“, вече установена в 7-</w:t>
      </w:r>
      <w:r>
        <w:rPr>
          <w:noProof/>
        </w:rPr>
        <w:lastRenderedPageBreak/>
        <w:t>ата ПДОС. Тя следва да допринесе за осъществяването на Програмата на ООН до 2030 г. и нейните цели за устойчиво развитие.</w:t>
      </w:r>
    </w:p>
    <w:p>
      <w:pPr>
        <w:pStyle w:val="ManualConsidrant"/>
        <w:rPr>
          <w:noProof/>
        </w:rPr>
      </w:pPr>
      <w:r>
        <w:t>(9)</w:t>
      </w:r>
      <w:r>
        <w:tab/>
      </w:r>
      <w:r>
        <w:rPr>
          <w:noProof/>
        </w:rPr>
        <w:t>8-ата ПДОС следва да ускори прехода към регенеративна икономика, чрез която на планетата се връща обратно повече, отколкото се взема. Моделът на растеж с възстановяване признава, че благоденствието и просперитетът на нашите общества зависят от стабилен климат, здрава околна среда и динамични екосистеми, които осигуряват на нашите икономики т. нар. „безопасен марж“. Тъй като световното население и нуждата от природни ресурси продължават да растат, стопанската дейност следва да се развива по начин, който не само не нанася вреди, но и противодейства на изменението на климата и влошаването на околната среда, намалява замърсяването, поддържа и обогатява природния капитал и съответно осигурява изобилие от възобновяеми и невъзобновяеми ресурси. Чрез непрекъснати иновации, адаптиране към новите предизвикателства и съвместно създаване на блага регенеративната икономика укрепва устойчивостта и опазва благоденствието на сегашните и бъдещите поколения.</w:t>
      </w:r>
    </w:p>
    <w:p>
      <w:pPr>
        <w:pStyle w:val="ManualConsidrant"/>
        <w:rPr>
          <w:noProof/>
        </w:rPr>
      </w:pPr>
      <w:r>
        <w:t>(10)</w:t>
      </w:r>
      <w:r>
        <w:tab/>
      </w:r>
      <w:r>
        <w:rPr>
          <w:noProof/>
        </w:rPr>
        <w:t xml:space="preserve">В 8-ата ПДОС следва да се определят тематични приоритетни цели в областите неутралност по отношение на климата, приспособяване към изменението на климата, опазване и възстановяване на биологичното разнообразие, кръгова икономика, амбиция за нулево замърсяване и </w:t>
      </w:r>
      <w:r>
        <w:rPr>
          <w:noProof/>
          <w:color w:val="000000" w:themeColor="text1"/>
        </w:rPr>
        <w:t xml:space="preserve">намаляване на натиска върху околната среда от производството и потреблението. </w:t>
      </w:r>
      <w:r>
        <w:rPr>
          <w:noProof/>
        </w:rPr>
        <w:t>Допълнително следва да се определят благоприятстващите условия за постигането на дългосрочните и тематичните приоритетни цели за всички участници.</w:t>
      </w:r>
    </w:p>
    <w:p>
      <w:pPr>
        <w:pStyle w:val="ManualConsidrant"/>
        <w:rPr>
          <w:noProof/>
        </w:rPr>
      </w:pPr>
      <w:r>
        <w:t>(11)</w:t>
      </w:r>
      <w:r>
        <w:tab/>
      </w:r>
      <w:r>
        <w:rPr>
          <w:noProof/>
        </w:rPr>
        <w:t>Тъй като политиката в областта на околната среда е силно децентрализирана, мерките за изпълнение на приоритетните цели на 8-ата ПДОС следва да се предприемат на различни равнища на управление, т.е. На европейско, национално, регионално и местно равнище, с подход на сътрудничество за многостепенно управление. Следва да се укрепи интегрираният подход към разработването и изпълнението на политики, за да се увеличат максимално синергичните ефекти между икономическите, екологичните и социалните цели и същевременно да се обръща специално внимание на потенциалните компромиси и нуждите на уязвимите групи. Освен това прозрачното участие на неправителствени участници е от важно значение, за да се осигури успехът на 8-ата ПДОС и да се постигнат нейните приоритетни цели.</w:t>
      </w:r>
    </w:p>
    <w:p>
      <w:pPr>
        <w:pStyle w:val="ManualConsidrant"/>
        <w:rPr>
          <w:noProof/>
        </w:rPr>
      </w:pPr>
      <w:r>
        <w:t>(12)</w:t>
      </w:r>
      <w:r>
        <w:tab/>
      </w:r>
      <w:r>
        <w:rPr>
          <w:noProof/>
        </w:rPr>
        <w:t>Засиленото сътрудничество с партньорските държави, доброто международно управление в областта на околната среда, както и полезните взаимодействия между вътрешните и външните политики на Съюза са от ключово значение за постигане на целите на Съюза в областта на околната среда и климата.</w:t>
      </w:r>
    </w:p>
    <w:p>
      <w:pPr>
        <w:pStyle w:val="ManualConsidrant"/>
        <w:rPr>
          <w:noProof/>
          <w:color w:val="000000" w:themeColor="text1"/>
        </w:rPr>
      </w:pPr>
      <w:r>
        <w:t>(13)</w:t>
      </w:r>
      <w:r>
        <w:tab/>
      </w:r>
      <w:r>
        <w:rPr>
          <w:noProof/>
        </w:rPr>
        <w:t>Европейската комисия следва да оцени напредъка при осъществяването на приоритетните цели на 8-ата ПДОС от страна на Съюза и държавите членки в контекста на прехода към повече устойчивост, благоденствие и издръжливост.</w:t>
      </w:r>
      <w:r>
        <w:rPr>
          <w:noProof/>
          <w:color w:val="000000" w:themeColor="text1"/>
        </w:rPr>
        <w:t xml:space="preserve"> Това е в съответствие с призивите на Съвета</w:t>
      </w:r>
      <w:r>
        <w:rPr>
          <w:rStyle w:val="FootnoteReference"/>
          <w:noProof/>
          <w:color w:val="000000" w:themeColor="text1"/>
        </w:rPr>
        <w:footnoteReference w:id="27"/>
      </w:r>
      <w:r>
        <w:rPr>
          <w:noProof/>
          <w:color w:val="000000" w:themeColor="text1"/>
        </w:rPr>
        <w:t xml:space="preserve"> и на Европейския икономически и социален комитет</w:t>
      </w:r>
      <w:r>
        <w:rPr>
          <w:rStyle w:val="FootnoteReference"/>
          <w:noProof/>
          <w:color w:val="000000" w:themeColor="text1"/>
        </w:rPr>
        <w:footnoteReference w:id="28"/>
      </w:r>
      <w:r>
        <w:rPr>
          <w:noProof/>
          <w:color w:val="000000" w:themeColor="text1"/>
        </w:rPr>
        <w:t xml:space="preserve"> за измерване на икономическите резултати и обществения </w:t>
      </w:r>
      <w:r>
        <w:rPr>
          <w:noProof/>
          <w:color w:val="000000" w:themeColor="text1"/>
        </w:rPr>
        <w:lastRenderedPageBreak/>
        <w:t>напредък „отвъд БВП“ и за преминаване към благоденствието като ориентир за политиката, което се подкрепя и от ОИСР</w:t>
      </w:r>
      <w:r>
        <w:rPr>
          <w:rStyle w:val="FootnoteReference"/>
          <w:noProof/>
          <w:color w:val="000000" w:themeColor="text1"/>
        </w:rPr>
        <w:footnoteReference w:id="29"/>
      </w:r>
      <w:r>
        <w:rPr>
          <w:noProof/>
          <w:color w:val="000000" w:themeColor="text1"/>
        </w:rPr>
        <w:t>.</w:t>
      </w:r>
    </w:p>
    <w:p>
      <w:pPr>
        <w:pStyle w:val="ManualConsidrant"/>
        <w:rPr>
          <w:noProof/>
        </w:rPr>
      </w:pPr>
      <w:r>
        <w:t>(14)</w:t>
      </w:r>
      <w:r>
        <w:tab/>
      </w:r>
      <w:r>
        <w:rPr>
          <w:noProof/>
        </w:rPr>
        <w:t>При оценката на напредъка по отношение на приоритетните цели на 8-ата ПДОС следва да се отчетат последните промени в наличността и значимостта на данните и показателите. Оценката следва да е съвместима и да не засяга инструментите за мониторинг или управление, обхващащи по-специфични аспекти на политиката в областта на околната среда и климата, като например Регламент (ЕО) № 1999/2018 на Европейския парламент и на Съвета</w:t>
      </w:r>
      <w:r>
        <w:rPr>
          <w:rStyle w:val="FootnoteReference"/>
          <w:noProof/>
          <w:color w:val="000000" w:themeColor="text1"/>
        </w:rPr>
        <w:footnoteReference w:id="30"/>
      </w:r>
      <w:r>
        <w:rPr>
          <w:noProof/>
        </w:rPr>
        <w:t>, с Прегледа на изпълнението на политиките на ЕС в областта на околната среда и с инструментите за мониторинг, свързани с кръговата икономика, нулевото замърсяване, биологичното разнообразие, въздуха, водата, почвите, отпадъците и други политики в областта на околната среда. Заедно с други инструменти, които се използват в рамките на европейския семестър, мониторинга на ЦУР от страна на Евростат и доклада на Комисията за стратегическото прогнозиране</w:t>
      </w:r>
      <w:r>
        <w:rPr>
          <w:rStyle w:val="FootnoteReference"/>
          <w:noProof/>
          <w:color w:val="000000" w:themeColor="text1"/>
        </w:rPr>
        <w:footnoteReference w:id="31"/>
      </w:r>
      <w:r>
        <w:rPr>
          <w:noProof/>
        </w:rPr>
        <w:t>, тя ще бъде част от съгласуван набор от взаимосвързани инструменти за мониторинг и управление.</w:t>
      </w:r>
    </w:p>
    <w:p>
      <w:pPr>
        <w:pStyle w:val="ManualConsidrant"/>
        <w:rPr>
          <w:noProof/>
        </w:rPr>
      </w:pPr>
      <w:r>
        <w:t>(15)</w:t>
      </w:r>
      <w:r>
        <w:tab/>
      </w:r>
      <w:r>
        <w:rPr>
          <w:noProof/>
        </w:rPr>
        <w:t>Комисията, ЕАОС и други имащи отношение агенции следва да имат достъп до данните и показателите, предоставени от държавите членки в съответствие с приложимите правни актове на Съюза, и да ги използват повторно. Освен това следва да се използват и други източници на данни, като спътникови данни и обработена информация от програмата на Съюза за наблюдение и мониторинг на Земята („Коперник“), Европейската информационна система за горските пожари и Европейската система за информираност за наводнения, или от платформи с данни, като Европейската мрежа за наблюдение и данни за морската среда или информационната платформа за мониторинг на въздействието на химикалите. Използването на съвременни цифрови инструменти и изкуствен интелект позволява ефективно управление и анализиране на данните, което намалява административната тежест и същевременно се увеличават навременността и качеството.</w:t>
      </w:r>
    </w:p>
    <w:p>
      <w:pPr>
        <w:pStyle w:val="ManualConsidrant"/>
        <w:rPr>
          <w:noProof/>
        </w:rPr>
      </w:pPr>
      <w:r>
        <w:t>(16)</w:t>
      </w:r>
      <w:r>
        <w:tab/>
      </w:r>
      <w:r>
        <w:rPr>
          <w:noProof/>
        </w:rPr>
        <w:t xml:space="preserve">В съответствие с изискванията на директиви 2003/4/EО, 2007/2/EО и (EС) 2019/1024 на Европейския парламент и на Съвета държавите членки следва също така да гарантират, че съответните данни, информация и показатели за мониторинг на изпълнението на 8-ата ПДОС са безплатни, недискриминационни, със свободен достъп, подходящи, висококачествени, съпоставими, актуални, лесни за ползване и лесно достъпни онлайн. </w:t>
      </w:r>
    </w:p>
    <w:p>
      <w:pPr>
        <w:pStyle w:val="ManualConsidrant"/>
        <w:rPr>
          <w:noProof/>
        </w:rPr>
      </w:pPr>
      <w:r>
        <w:t>(17)</w:t>
      </w:r>
      <w:r>
        <w:tab/>
      </w:r>
      <w:r>
        <w:rPr>
          <w:noProof/>
        </w:rPr>
        <w:t>С оглед на постигането на приоритетните цели на 8-ата ПДОС ЕАОС и ЕСНА следва да разполагат с подходящ капацитет и достатъчно ресурси, за да се предостави солидна, достъпна и прозрачна база от знания и данни в подкрепа на изпълнението на стратегическите приоритети на Европейския зелен пакт и оценката на напредъка в рамките на програмата.</w:t>
      </w:r>
    </w:p>
    <w:p>
      <w:pPr>
        <w:pStyle w:val="ManualConsidrant"/>
        <w:rPr>
          <w:noProof/>
        </w:rPr>
      </w:pPr>
      <w:r>
        <w:t>(18)</w:t>
      </w:r>
      <w:r>
        <w:tab/>
      </w:r>
      <w:r>
        <w:rPr>
          <w:noProof/>
        </w:rPr>
        <w:t>За да се вземат предвид променящите се цели на политиката и постигнатият напредък, Комисията следва да направи оценка на 8-ата ПДОС през 2029 г.</w:t>
      </w:r>
    </w:p>
    <w:p>
      <w:pPr>
        <w:pStyle w:val="ManualConsidrant"/>
        <w:rPr>
          <w:noProof/>
        </w:rPr>
      </w:pPr>
      <w:r>
        <w:lastRenderedPageBreak/>
        <w:t>(19)</w:t>
      </w:r>
      <w:r>
        <w:tab/>
      </w:r>
      <w:r>
        <w:rPr>
          <w:noProof/>
        </w:rPr>
        <w:t>Доколкото целта на настоящото решение не може да бъде постигната в достатъчна степен от държавите членки, а поради обхвата и последиците от предложената програма за действие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настоящото решение не надхвърля необходимото за постигането на тези цели,</w:t>
      </w:r>
    </w:p>
    <w:p>
      <w:pPr>
        <w:pStyle w:val="Formuledadoption"/>
        <w:rPr>
          <w:noProof/>
          <w:color w:val="000000" w:themeColor="text1"/>
        </w:rPr>
      </w:pPr>
      <w:r>
        <w:rPr>
          <w:noProof/>
          <w:color w:val="000000" w:themeColor="text1"/>
        </w:rPr>
        <w:t>ПРИЕХА НАСТОЯЩОТО РЕШЕНИЕ:</w:t>
      </w:r>
    </w:p>
    <w:p>
      <w:pPr>
        <w:pStyle w:val="Titrearticle"/>
        <w:rPr>
          <w:noProof/>
          <w:color w:val="000000" w:themeColor="text1"/>
        </w:rPr>
      </w:pPr>
      <w:r>
        <w:rPr>
          <w:noProof/>
          <w:color w:val="000000" w:themeColor="text1"/>
        </w:rPr>
        <w:t>Член 1 — Предмет</w:t>
      </w:r>
    </w:p>
    <w:p>
      <w:pPr>
        <w:pStyle w:val="ManualNumPar1"/>
        <w:rPr>
          <w:noProof/>
        </w:rPr>
      </w:pPr>
      <w:r>
        <w:t>1.</w:t>
      </w:r>
      <w:r>
        <w:tab/>
      </w:r>
      <w:r>
        <w:rPr>
          <w:noProof/>
        </w:rPr>
        <w:t>С настоящото решение се установява обща програма за действие в областта на околната среда за периода до 31 декември 2030 г. („8-ата ПДОС“). В него се определят нейните приоритетни цели, благоприятстващите условия за постигането на тези цели и рамка за измерване на това дали Съюзът и неговите държави членки са на път да ги постигнат.</w:t>
      </w:r>
    </w:p>
    <w:p>
      <w:pPr>
        <w:pStyle w:val="ManualNumPar1"/>
        <w:rPr>
          <w:noProof/>
        </w:rPr>
      </w:pPr>
      <w:r>
        <w:t>2.</w:t>
      </w:r>
      <w:r>
        <w:tab/>
      </w:r>
      <w:r>
        <w:rPr>
          <w:noProof/>
        </w:rPr>
        <w:t>Целта на 8-ата ПДОС е да се ускори справедливият и приобщаващ преход към чиста и кръгова икономика, която е неутрална по отношение на климата и се отличава с ефективно използване на ресурсите, като се подкрепят целите на Европейския зелен пакт и неговите инициативи в областта на околната среда и климата.</w:t>
      </w:r>
    </w:p>
    <w:p>
      <w:pPr>
        <w:pStyle w:val="ManualNumPar1"/>
        <w:rPr>
          <w:noProof/>
        </w:rPr>
      </w:pPr>
      <w:r>
        <w:t>3.</w:t>
      </w:r>
      <w:r>
        <w:tab/>
      </w:r>
      <w:r>
        <w:rPr>
          <w:noProof/>
        </w:rPr>
        <w:t>8-ата ПДОС представлява основата за постигане на целите в областта на околната среда и климата, заложени в Програмата на ООН до 2030 г. и нейните цели за устойчиво развитие; рамката ѝ за мониторинг е свързаната с околната среда и климата част от усилията на ЕС за измерване на напредъка към по-голяма устойчивост, включително неутралност по отношение на климата, ефективност на ресурсите, благоденствие и издръжливост.</w:t>
      </w:r>
    </w:p>
    <w:p>
      <w:pPr>
        <w:pStyle w:val="Titrearticle"/>
        <w:rPr>
          <w:noProof/>
          <w:color w:val="000000" w:themeColor="text1"/>
        </w:rPr>
      </w:pPr>
      <w:r>
        <w:rPr>
          <w:noProof/>
          <w:color w:val="000000" w:themeColor="text1"/>
        </w:rPr>
        <w:t>Член 2 — Приоритетни цели</w:t>
      </w:r>
    </w:p>
    <w:p>
      <w:pPr>
        <w:pStyle w:val="ManualNumPar1"/>
        <w:rPr>
          <w:noProof/>
        </w:rPr>
      </w:pPr>
      <w:r>
        <w:t>1.</w:t>
      </w:r>
      <w:r>
        <w:tab/>
      </w:r>
      <w:r>
        <w:rPr>
          <w:noProof/>
        </w:rPr>
        <w:t>Дългосрочната цел на 8-ата ПДОС за 2050 г. се състои в това гражданите да живеят добре в пределите на нашата планета, в регенеративна икономика, в която нищо не се пилее, няма нетни емисии на парникови газове и икономическият растеж не е зависим от използването на ресурси и влошаването на околната среда Здравословната околна среда е в основата на благоденствието на гражданите, тя осигурява, че биологичното разнообразие процъфтява и природният капитал се опазва, цени и възстановява по начини, които повишават устойчивостта спрямо изменението на климата и други свързани с околната среда рискове. Съюзът определя темпото, с което се осигурява просперитетът на сегашните и бъдещите поколения в целия свят.</w:t>
      </w:r>
    </w:p>
    <w:p>
      <w:pPr>
        <w:pStyle w:val="ManualNumPar1"/>
        <w:rPr>
          <w:noProof/>
        </w:rPr>
      </w:pPr>
      <w:r>
        <w:t>2.</w:t>
      </w:r>
      <w:r>
        <w:tab/>
      </w:r>
      <w:r>
        <w:rPr>
          <w:noProof/>
        </w:rPr>
        <w:t>8-ата ПДОС има следните шест тематични приоритетни цели:</w:t>
      </w:r>
    </w:p>
    <w:p>
      <w:pPr>
        <w:pStyle w:val="Point1"/>
        <w:rPr>
          <w:noProof/>
        </w:rPr>
      </w:pPr>
      <w:r>
        <w:rPr>
          <w:noProof/>
        </w:rPr>
        <w:t>а)</w:t>
      </w:r>
      <w:r>
        <w:rPr>
          <w:noProof/>
        </w:rPr>
        <w:tab/>
        <w:t>необратимо и постепенно намаляване на емисиите на парникови газове и увеличаване на поглъщанията от естествени или други поглътители в Съюза, за да се постигне целта за намаляване на емисиите на парникови газове до 2030 г. и неутралност по отношение на климата до 2050 г., определени в Регламент (EС) .../...</w:t>
      </w:r>
      <w:r>
        <w:rPr>
          <w:rStyle w:val="FootnoteReference"/>
          <w:noProof/>
        </w:rPr>
        <w:footnoteReference w:id="32"/>
      </w:r>
      <w:r>
        <w:rPr>
          <w:noProof/>
        </w:rPr>
        <w:t>;</w:t>
      </w:r>
    </w:p>
    <w:p>
      <w:pPr>
        <w:pStyle w:val="Point1"/>
        <w:rPr>
          <w:noProof/>
        </w:rPr>
      </w:pPr>
      <w:r>
        <w:rPr>
          <w:noProof/>
        </w:rPr>
        <w:lastRenderedPageBreak/>
        <w:t>б)</w:t>
      </w:r>
      <w:r>
        <w:rPr>
          <w:noProof/>
        </w:rPr>
        <w:tab/>
        <w:t>постоянен напредък в повишаването на капацитета за адаптиране, укрепването на устойчивостта и намаляването на уязвимостта към изменението на климата;</w:t>
      </w:r>
    </w:p>
    <w:p>
      <w:pPr>
        <w:pStyle w:val="Point1"/>
        <w:rPr>
          <w:noProof/>
        </w:rPr>
      </w:pPr>
      <w:r>
        <w:rPr>
          <w:noProof/>
        </w:rPr>
        <w:t>в)</w:t>
      </w:r>
      <w:r>
        <w:rPr>
          <w:noProof/>
        </w:rPr>
        <w:tab/>
        <w:t>напредък към модел на растеж с възстановяване, чрез който на планетата се връща обратно повече, отколкото се взема, отделяне на икономическия растеж от използването на ресурси и влошаването на околната среда и ускоряване на прехода към кръгова икономика;</w:t>
      </w:r>
    </w:p>
    <w:p>
      <w:pPr>
        <w:pStyle w:val="Point1"/>
        <w:rPr>
          <w:noProof/>
        </w:rPr>
      </w:pPr>
      <w:r>
        <w:rPr>
          <w:noProof/>
        </w:rPr>
        <w:t>г)</w:t>
      </w:r>
      <w:r>
        <w:rPr>
          <w:noProof/>
        </w:rPr>
        <w:tab/>
        <w:t>амбиция за нулево замърсяване за нетоксична околна среда, включително въздуха, водата и почвите, както и защита на здравето и благоденствието на гражданите от свързани с околната среда рискове и въздействия;</w:t>
      </w:r>
    </w:p>
    <w:p>
      <w:pPr>
        <w:pStyle w:val="Point1"/>
        <w:rPr>
          <w:noProof/>
        </w:rPr>
      </w:pPr>
      <w:r>
        <w:rPr>
          <w:noProof/>
        </w:rPr>
        <w:t>д)</w:t>
      </w:r>
      <w:r>
        <w:rPr>
          <w:noProof/>
        </w:rPr>
        <w:tab/>
        <w:t>защита, опазване и възстановяване на биологичното разнообразие и увеличаване на природния капитал, по-специално по отношение на въздуха, водата, почвите и горите, прясната вода, влажните зони и морските екосистеми;</w:t>
      </w:r>
    </w:p>
    <w:p>
      <w:pPr>
        <w:pStyle w:val="Point1"/>
        <w:rPr>
          <w:noProof/>
        </w:rPr>
      </w:pPr>
      <w:r>
        <w:rPr>
          <w:noProof/>
        </w:rPr>
        <w:t>е)</w:t>
      </w:r>
      <w:r>
        <w:rPr>
          <w:noProof/>
        </w:rPr>
        <w:tab/>
        <w:t>насърчаване на екологичната устойчивост и намаляване на основните видове натиск върху околната среда и климата, свързани с производството и потреблението, по-специално в областта на енергетиката, промишленото развитие, сградите и инфраструктурата, мобилността и продоволствената система.</w:t>
      </w:r>
    </w:p>
    <w:p>
      <w:pPr>
        <w:pStyle w:val="Titrearticle"/>
        <w:rPr>
          <w:noProof/>
          <w:color w:val="000000" w:themeColor="text1"/>
        </w:rPr>
      </w:pPr>
      <w:r>
        <w:rPr>
          <w:noProof/>
          <w:color w:val="000000" w:themeColor="text1"/>
        </w:rPr>
        <w:t>Член 3 — Благоприятстващи условия за постигане на приоритетните цели на програмата</w:t>
      </w:r>
    </w:p>
    <w:p>
      <w:pPr>
        <w:pStyle w:val="ManualNumPar1"/>
        <w:rPr>
          <w:noProof/>
        </w:rPr>
      </w:pPr>
      <w:r>
        <w:t>1.</w:t>
      </w:r>
      <w:r>
        <w:tab/>
      </w:r>
      <w:r>
        <w:rPr>
          <w:noProof/>
        </w:rPr>
        <w:t>За постигането на приоритетните цели на 8-ата ПДОС е необходимо следното:</w:t>
      </w:r>
    </w:p>
    <w:p>
      <w:pPr>
        <w:pStyle w:val="Point1"/>
        <w:rPr>
          <w:noProof/>
          <w:color w:val="000000" w:themeColor="text1"/>
        </w:rPr>
      </w:pPr>
      <w:r>
        <w:rPr>
          <w:noProof/>
        </w:rPr>
        <w:t>а)</w:t>
      </w:r>
      <w:r>
        <w:rPr>
          <w:noProof/>
        </w:rPr>
        <w:tab/>
        <w:t>гарантиране на ефективно и ефикасно прилагане на законодателството на Съюза в областта на околната среда и климата и стремеж към отлични постижения по отношение на екологичните резултати на равнището на Съюза, както и на национално, регионално и местно равнище, включително чрез предоставяне на подходящ административен капацитет и капацитет за осигуряването на спазването на изискванията, както е предвидено в редовния преглед на изпълнението на политиките за околната среда, както и засилване на действията срещу престъпленията спрямо околната среда,</w:t>
      </w:r>
    </w:p>
    <w:p>
      <w:pPr>
        <w:pStyle w:val="Point1"/>
        <w:rPr>
          <w:noProof/>
        </w:rPr>
      </w:pPr>
      <w:r>
        <w:rPr>
          <w:noProof/>
        </w:rPr>
        <w:t>б)</w:t>
      </w:r>
      <w:r>
        <w:rPr>
          <w:noProof/>
        </w:rPr>
        <w:tab/>
        <w:t>засилване на интегрирания подход към разработването и изпълнението на политиките, по-специално чрез:</w:t>
      </w:r>
    </w:p>
    <w:p>
      <w:pPr>
        <w:pStyle w:val="Tiret2"/>
        <w:numPr>
          <w:ilvl w:val="0"/>
          <w:numId w:val="23"/>
        </w:numPr>
        <w:rPr>
          <w:noProof/>
        </w:rPr>
      </w:pPr>
      <w:r>
        <w:rPr>
          <w:noProof/>
        </w:rPr>
        <w:t>интегриране на определените в член 2 приоритетни цели във всички съответни стратегии, законодателни и незаконодателни инициативи, програми, инвестиции и проекти на равнището на Съюза, както и на национално, регионално и местно равнище така, че те и тяхното осъществяване да не вредят на нито една от приоритетните цели, определени в член 2;</w:t>
      </w:r>
    </w:p>
    <w:p>
      <w:pPr>
        <w:pStyle w:val="Tiret2"/>
        <w:rPr>
          <w:noProof/>
        </w:rPr>
      </w:pPr>
      <w:r>
        <w:rPr>
          <w:noProof/>
        </w:rPr>
        <w:lastRenderedPageBreak/>
        <w:t>увеличаване в максимална степен на ползите от изпълнението на директиви 2014/52/EС</w:t>
      </w:r>
      <w:r>
        <w:rPr>
          <w:rStyle w:val="FootnoteReference"/>
          <w:noProof/>
        </w:rPr>
        <w:footnoteReference w:id="33"/>
      </w:r>
      <w:r>
        <w:rPr>
          <w:noProof/>
        </w:rPr>
        <w:t xml:space="preserve"> и 2001/42/EО</w:t>
      </w:r>
      <w:r>
        <w:rPr>
          <w:rStyle w:val="FootnoteReference"/>
          <w:noProof/>
        </w:rPr>
        <w:footnoteReference w:id="34"/>
      </w:r>
      <w:r>
        <w:rPr>
          <w:noProof/>
        </w:rPr>
        <w:t xml:space="preserve"> на Европейския парламент и на Съвета;</w:t>
      </w:r>
    </w:p>
    <w:p>
      <w:pPr>
        <w:pStyle w:val="Tiret2"/>
        <w:rPr>
          <w:noProof/>
        </w:rPr>
      </w:pPr>
      <w:r>
        <w:rPr>
          <w:noProof/>
        </w:rPr>
        <w:t>специално внимание за синергичните ефекти и потенциалните компромиси между икономическите, екологичните и социалните цели, за да се гарантира, че нуждите на гражданите от храна, жилища и мобилност се удовлетворяват по устойчив начин, като никой да не бъде изоставен;</w:t>
      </w:r>
    </w:p>
    <w:p>
      <w:pPr>
        <w:pStyle w:val="Tiret2"/>
        <w:rPr>
          <w:noProof/>
        </w:rPr>
      </w:pPr>
      <w:r>
        <w:rPr>
          <w:noProof/>
        </w:rPr>
        <w:t>редовно оценяване на съществуващите политики и изготвяне на оценки на въздействието за нови инициативи, които се основават на широки консултации, които се провеждат след отговорни, приобщаващи, информирани и лесни за прилагане процедури и надлежно отчита прогнозираното въздействие върху околната среда и климата;</w:t>
      </w:r>
    </w:p>
    <w:p>
      <w:pPr>
        <w:pStyle w:val="Point1"/>
        <w:rPr>
          <w:noProof/>
        </w:rPr>
      </w:pPr>
      <w:r>
        <w:rPr>
          <w:noProof/>
        </w:rPr>
        <w:t>в)</w:t>
      </w:r>
      <w:r>
        <w:rPr>
          <w:noProof/>
        </w:rPr>
        <w:tab/>
        <w:t>ефективно интегриране на устойчивостта, свързана с околната среда и климата, в европейския семестър на икономическо управление, включително в националните програми за реформи и националните планове за възстановяване и устойчивост;</w:t>
      </w:r>
    </w:p>
    <w:p>
      <w:pPr>
        <w:pStyle w:val="Point1"/>
        <w:rPr>
          <w:noProof/>
        </w:rPr>
      </w:pPr>
      <w:r>
        <w:rPr>
          <w:noProof/>
        </w:rPr>
        <w:t>г)</w:t>
      </w:r>
      <w:r>
        <w:rPr>
          <w:noProof/>
        </w:rPr>
        <w:tab/>
        <w:t>мобилизиране на устойчиви инвестиции от публични и частни източници, включително средства и инструменти от бюджета на ЕС, по линия на Европейската инвестиционна банка и на национално равнище;</w:t>
      </w:r>
    </w:p>
    <w:p>
      <w:pPr>
        <w:pStyle w:val="Point1"/>
        <w:rPr>
          <w:noProof/>
        </w:rPr>
      </w:pPr>
      <w:r>
        <w:rPr>
          <w:noProof/>
        </w:rPr>
        <w:t>д)</w:t>
      </w:r>
      <w:r>
        <w:rPr>
          <w:noProof/>
        </w:rPr>
        <w:tab/>
        <w:t>постепенно премахване на вредните за околната среда субсидии на равнището и Съюза и национално равнище, оптимално използване на пазарните инструменти и инструментите за екологосъобразно бюджетиране, включително необходимите за гарантиране на социално справедлив преход, и съдействие на предприятията и другите заинтересовани страни за изготвянето на стандартизирани счетоводни практики за отчитане на природния капитал;</w:t>
      </w:r>
    </w:p>
    <w:p>
      <w:pPr>
        <w:pStyle w:val="Point1"/>
        <w:rPr>
          <w:noProof/>
        </w:rPr>
      </w:pPr>
      <w:r>
        <w:rPr>
          <w:noProof/>
        </w:rPr>
        <w:t>е)</w:t>
      </w:r>
      <w:r>
        <w:rPr>
          <w:noProof/>
        </w:rPr>
        <w:tab/>
        <w:t>гарантиране, че политиките и действията за околната среда се основават на най-добрите налични научни познания, и укрепване на базата от знания за околната среда и на нейното възприемане, включително чрез научни изследвания, иновации, насърчаване на „зелените“ умения и по-нататъшното изграждане на зеленото и екосистемното счетоводство;</w:t>
      </w:r>
    </w:p>
    <w:p>
      <w:pPr>
        <w:pStyle w:val="Point1"/>
        <w:rPr>
          <w:noProof/>
        </w:rPr>
      </w:pPr>
      <w:r>
        <w:rPr>
          <w:noProof/>
        </w:rPr>
        <w:t>ж)</w:t>
      </w:r>
      <w:r>
        <w:rPr>
          <w:noProof/>
        </w:rPr>
        <w:tab/>
        <w:t>оползотворяване на потенциала на цифровите технологии и технологиите за данни с цел подкрепа на политиката в областта на околната среда, като същевременно се сведе до минимум техният отпечатък върху околната среда;</w:t>
      </w:r>
    </w:p>
    <w:p>
      <w:pPr>
        <w:pStyle w:val="Point1"/>
        <w:rPr>
          <w:noProof/>
        </w:rPr>
      </w:pPr>
      <w:r>
        <w:rPr>
          <w:noProof/>
        </w:rPr>
        <w:t>з)</w:t>
      </w:r>
      <w:r>
        <w:rPr>
          <w:noProof/>
        </w:rPr>
        <w:tab/>
        <w:t>пълноценно използване на природосъобразните решения и социалните иновации;</w:t>
      </w:r>
    </w:p>
    <w:p>
      <w:pPr>
        <w:pStyle w:val="Point1"/>
        <w:rPr>
          <w:noProof/>
        </w:rPr>
      </w:pPr>
      <w:r>
        <w:rPr>
          <w:noProof/>
        </w:rPr>
        <w:t>и)</w:t>
      </w:r>
      <w:r>
        <w:rPr>
          <w:noProof/>
        </w:rPr>
        <w:tab/>
        <w:t xml:space="preserve">ефективно прилагане на високи стандарти за прозрачност, участие на обществеността и достъп до правосъдие в съответствие с Конвенцията за </w:t>
      </w:r>
      <w:r>
        <w:rPr>
          <w:noProof/>
        </w:rPr>
        <w:lastRenderedPageBreak/>
        <w:t>достъпа до информация, участието на обществеността в процеса на вземането на решения и достъпа до правосъдие по въпроси на околната среда (Конвенция от Орхус)</w:t>
      </w:r>
      <w:r>
        <w:rPr>
          <w:rStyle w:val="FootnoteReference"/>
          <w:noProof/>
        </w:rPr>
        <w:footnoteReference w:id="35"/>
      </w:r>
      <w:r>
        <w:rPr>
          <w:noProof/>
        </w:rPr>
        <w:t>;</w:t>
      </w:r>
    </w:p>
    <w:p>
      <w:pPr>
        <w:pStyle w:val="Point1"/>
        <w:rPr>
          <w:noProof/>
        </w:rPr>
      </w:pPr>
      <w:r>
        <w:rPr>
          <w:noProof/>
        </w:rPr>
        <w:t>й)</w:t>
      </w:r>
      <w:r>
        <w:rPr>
          <w:noProof/>
        </w:rPr>
        <w:tab/>
        <w:t>публично и леснодостъпно предоставяне на данните и информацията във връзка с изпълнението на 8-ата ПДОС, без да се засягат разпоредбите относно поверителността в специфичното за областта законодателство;</w:t>
      </w:r>
    </w:p>
    <w:p>
      <w:pPr>
        <w:pStyle w:val="Point1"/>
        <w:rPr>
          <w:noProof/>
        </w:rPr>
      </w:pPr>
      <w:r>
        <w:rPr>
          <w:noProof/>
        </w:rPr>
        <w:t>к)</w:t>
      </w:r>
      <w:r>
        <w:rPr>
          <w:noProof/>
        </w:rPr>
        <w:tab/>
        <w:t>подкрепа за възприемането в световен мащаб на определените в член 2 приоритетни цели, гарантиране на съгласуваност между вътрешния и външния подход и координирани действия, по-специално по отношение на:</w:t>
      </w:r>
    </w:p>
    <w:p>
      <w:pPr>
        <w:pStyle w:val="Tiret2"/>
        <w:numPr>
          <w:ilvl w:val="0"/>
          <w:numId w:val="4"/>
        </w:numPr>
        <w:pBdr>
          <w:top w:val="nil"/>
          <w:left w:val="nil"/>
          <w:bottom w:val="nil"/>
          <w:right w:val="nil"/>
          <w:between w:val="nil"/>
          <w:bar w:val="nil"/>
        </w:pBdr>
        <w:tabs>
          <w:tab w:val="left" w:pos="1984"/>
        </w:tabs>
        <w:rPr>
          <w:noProof/>
          <w:color w:val="000000" w:themeColor="text1"/>
        </w:rPr>
      </w:pPr>
      <w:r>
        <w:rPr>
          <w:noProof/>
          <w:color w:val="000000" w:themeColor="text1"/>
        </w:rPr>
        <w:t>взаимодействие с държавите партньорки за действия в областта на климата и околната среда, насърчаване и подкрепа на тези държави да приемат и изпълняват правила в тези области, които да са толкова амбициозни колкото тези на Съюза, и гарантиране, че всички продукти, предлагани на пазара на Съюза, отговарят на съответните изисквания на Съюза съгласно международните задължение на Съюза;</w:t>
      </w:r>
    </w:p>
    <w:p>
      <w:pPr>
        <w:pStyle w:val="Tiret2"/>
        <w:numPr>
          <w:ilvl w:val="0"/>
          <w:numId w:val="4"/>
        </w:numPr>
        <w:pBdr>
          <w:top w:val="nil"/>
          <w:left w:val="nil"/>
          <w:bottom w:val="nil"/>
          <w:right w:val="nil"/>
          <w:between w:val="nil"/>
          <w:bar w:val="nil"/>
        </w:pBdr>
        <w:tabs>
          <w:tab w:val="left" w:pos="1984"/>
        </w:tabs>
        <w:rPr>
          <w:noProof/>
          <w:color w:val="000000" w:themeColor="text1"/>
        </w:rPr>
      </w:pPr>
      <w:r>
        <w:rPr>
          <w:noProof/>
          <w:color w:val="000000" w:themeColor="text1"/>
        </w:rPr>
        <w:t>засилване на сътрудничеството с правителства, предприятията и гражданското общество в трети държави и с международни организации за създаване на партньорства и съюзи за опазване на околната среда и насърчаване на сътрудничеството в областта на околната среда в рамките на Г-7 и Г-20;</w:t>
      </w:r>
    </w:p>
    <w:p>
      <w:pPr>
        <w:pStyle w:val="Tiret2"/>
        <w:numPr>
          <w:ilvl w:val="0"/>
          <w:numId w:val="4"/>
        </w:numPr>
        <w:pBdr>
          <w:top w:val="nil"/>
          <w:left w:val="nil"/>
          <w:bottom w:val="nil"/>
          <w:right w:val="nil"/>
          <w:between w:val="nil"/>
          <w:bar w:val="nil"/>
        </w:pBdr>
        <w:tabs>
          <w:tab w:val="left" w:pos="1984"/>
        </w:tabs>
        <w:rPr>
          <w:noProof/>
          <w:color w:val="000000" w:themeColor="text1"/>
        </w:rPr>
      </w:pPr>
      <w:r>
        <w:rPr>
          <w:noProof/>
          <w:color w:val="000000" w:themeColor="text1"/>
        </w:rPr>
        <w:t>укрепване на изпълнението на Парижкото споразумение, Конвенцията за биологичното разнообразие и на други многостранни споразумения в областта на околната среда от страна на Съюза и неговите партньори, включително чрез повишаване на прозрачността и отчетността: по отношение на напредъка по ангажиментите, поети в рамките на посочените споразумения;</w:t>
      </w:r>
    </w:p>
    <w:p>
      <w:pPr>
        <w:pStyle w:val="Tiret2"/>
        <w:numPr>
          <w:ilvl w:val="0"/>
          <w:numId w:val="4"/>
        </w:numPr>
        <w:pBdr>
          <w:top w:val="nil"/>
          <w:left w:val="nil"/>
          <w:bottom w:val="nil"/>
          <w:right w:val="nil"/>
          <w:between w:val="nil"/>
          <w:bar w:val="nil"/>
        </w:pBdr>
        <w:tabs>
          <w:tab w:val="left" w:pos="1984"/>
        </w:tabs>
        <w:rPr>
          <w:noProof/>
          <w:color w:val="000000" w:themeColor="text1"/>
        </w:rPr>
      </w:pPr>
      <w:r>
        <w:rPr>
          <w:noProof/>
          <w:color w:val="000000" w:themeColor="text1"/>
        </w:rPr>
        <w:t>засилване на международното управление в областта на околната среда чрез премахване на оставащите пропуски и укрепване на зачитането и спазването на признати международни принципи в областта на околната среда;</w:t>
      </w:r>
    </w:p>
    <w:p>
      <w:pPr>
        <w:pStyle w:val="Tiret2"/>
        <w:numPr>
          <w:ilvl w:val="0"/>
          <w:numId w:val="4"/>
        </w:numPr>
        <w:pBdr>
          <w:top w:val="nil"/>
          <w:left w:val="nil"/>
          <w:bottom w:val="nil"/>
          <w:right w:val="nil"/>
          <w:between w:val="nil"/>
          <w:bar w:val="nil"/>
        </w:pBdr>
        <w:tabs>
          <w:tab w:val="left" w:pos="1984"/>
        </w:tabs>
        <w:rPr>
          <w:noProof/>
          <w:color w:val="000000" w:themeColor="text1"/>
        </w:rPr>
      </w:pPr>
      <w:r>
        <w:rPr>
          <w:noProof/>
          <w:color w:val="000000" w:themeColor="text1"/>
        </w:rPr>
        <w:t>гарантиране, че финансовата помощ от Съюза и държавите членки за трети държави насърчава Програмата на ООН до 2030 г.</w:t>
      </w:r>
    </w:p>
    <w:p>
      <w:pPr>
        <w:pStyle w:val="ManualNumPar1"/>
        <w:rPr>
          <w:noProof/>
        </w:rPr>
      </w:pPr>
      <w:r>
        <w:t>2.</w:t>
      </w:r>
      <w:r>
        <w:tab/>
      </w:r>
      <w:r>
        <w:rPr>
          <w:noProof/>
        </w:rPr>
        <w:t>За постигането на приоритетните цели на 8-ата ПДОС ще бъде необходимо да се мобилизира широко съдействие, като се включват гражданите, социалните партньори и други заинтересовани страни, и да се насърчава сътрудничеството между националните, регионалните и местните органи в градските и селските райони при разработването и прилагането на стратегии, политики или законодателство, свързани с 8-ата ПДОС.</w:t>
      </w:r>
    </w:p>
    <w:p>
      <w:pPr>
        <w:pStyle w:val="Titrearticle"/>
        <w:rPr>
          <w:noProof/>
          <w:color w:val="000000" w:themeColor="text1"/>
        </w:rPr>
      </w:pPr>
      <w:r>
        <w:rPr>
          <w:noProof/>
          <w:color w:val="000000" w:themeColor="text1"/>
        </w:rPr>
        <w:t>Член 4 — Рамка за мониторинг</w:t>
      </w:r>
    </w:p>
    <w:p>
      <w:pPr>
        <w:pStyle w:val="ManualNumPar1"/>
        <w:rPr>
          <w:noProof/>
          <w:u w:color="000000"/>
        </w:rPr>
      </w:pPr>
      <w:r>
        <w:t>1.</w:t>
      </w:r>
      <w:r>
        <w:tab/>
      </w:r>
      <w:r>
        <w:rPr>
          <w:noProof/>
          <w:u w:color="000000"/>
        </w:rPr>
        <w:t xml:space="preserve">С подкрепата на Европейската агенция за околна среда и Европейската агенция по химикали Комисията оценява и докладва редовно за напредъка на Съюза и </w:t>
      </w:r>
      <w:r>
        <w:rPr>
          <w:noProof/>
          <w:u w:color="000000"/>
        </w:rPr>
        <w:lastRenderedPageBreak/>
        <w:t>държавите членки по отношение на определените в член 2 приоритетни цели, като взема предвид благоприятстващите условия, определени в член 3.</w:t>
      </w:r>
    </w:p>
    <w:p>
      <w:pPr>
        <w:pStyle w:val="ManualNumPar1"/>
        <w:rPr>
          <w:noProof/>
          <w:u w:color="000000"/>
        </w:rPr>
      </w:pPr>
      <w:r>
        <w:t>2.</w:t>
      </w:r>
      <w:r>
        <w:tab/>
      </w:r>
      <w:r>
        <w:rPr>
          <w:noProof/>
          <w:u w:color="000000"/>
        </w:rPr>
        <w:t>При оценката, посочена в параграф 1, се отчитат последните промени в наличността и значимостта на данните и показателите, основавайки се върху данните, налични в държавите членки и на равнището на ЕС, в частност на данните от Европейската агенция за околна среда и Европейската статистическа система. Оценката не засяга съществуващите рамки и дейности за мониторинг, докладване и управление, свързани с политиката в областта на околната среда и климата.</w:t>
      </w:r>
    </w:p>
    <w:p>
      <w:pPr>
        <w:pStyle w:val="ManualNumPar1"/>
        <w:rPr>
          <w:noProof/>
          <w:u w:color="000000"/>
        </w:rPr>
      </w:pPr>
      <w:r>
        <w:t>3.</w:t>
      </w:r>
      <w:r>
        <w:tab/>
      </w:r>
      <w:r>
        <w:rPr>
          <w:noProof/>
        </w:rPr>
        <w:t>Европейската агенция за околна среда и Европейската агенция по химикали съдействат на Комисията при подобряването на наличността и значимостта на данните и познанията, по-специално като:</w:t>
      </w:r>
    </w:p>
    <w:p>
      <w:pPr>
        <w:pStyle w:val="Point1"/>
        <w:rPr>
          <w:noProof/>
          <w:u w:color="000000"/>
        </w:rPr>
      </w:pPr>
      <w:r>
        <w:rPr>
          <w:noProof/>
        </w:rPr>
        <w:t>а)</w:t>
      </w:r>
      <w:r>
        <w:rPr>
          <w:noProof/>
        </w:rPr>
        <w:tab/>
        <w:t>събират, обработват и отчитат информацията и данните с помощта на съвременни цифрови инструменти;</w:t>
      </w:r>
    </w:p>
    <w:p>
      <w:pPr>
        <w:pStyle w:val="Point1"/>
        <w:rPr>
          <w:noProof/>
          <w:u w:color="000000"/>
        </w:rPr>
      </w:pPr>
      <w:r>
        <w:rPr>
          <w:noProof/>
        </w:rPr>
        <w:t>б)</w:t>
      </w:r>
      <w:r>
        <w:rPr>
          <w:noProof/>
        </w:rPr>
        <w:tab/>
        <w:t>работят за отстраняване на съответните пропуски в данните от мониторинга;</w:t>
      </w:r>
    </w:p>
    <w:p>
      <w:pPr>
        <w:pStyle w:val="Point1"/>
        <w:rPr>
          <w:noProof/>
          <w:u w:color="000000"/>
        </w:rPr>
      </w:pPr>
      <w:r>
        <w:rPr>
          <w:noProof/>
        </w:rPr>
        <w:t>в)</w:t>
      </w:r>
      <w:r>
        <w:rPr>
          <w:noProof/>
        </w:rPr>
        <w:tab/>
        <w:t>провеждат системни анализи от значение за политиката и допринасят за изпълнението на целите на политиката на равнището на Съюза и на национално равнище;</w:t>
      </w:r>
    </w:p>
    <w:p>
      <w:pPr>
        <w:pStyle w:val="Point1"/>
        <w:rPr>
          <w:noProof/>
          <w:u w:color="000000"/>
        </w:rPr>
      </w:pPr>
      <w:r>
        <w:rPr>
          <w:noProof/>
        </w:rPr>
        <w:t>г)</w:t>
      </w:r>
      <w:r>
        <w:rPr>
          <w:noProof/>
        </w:rPr>
        <w:tab/>
        <w:t>включват данните за екологичното, социалното и икономическото въздействие и използват всички други налични данни, например от „Коперник“;</w:t>
      </w:r>
    </w:p>
    <w:p>
      <w:pPr>
        <w:pStyle w:val="Point1"/>
        <w:rPr>
          <w:noProof/>
          <w:u w:color="000000"/>
        </w:rPr>
      </w:pPr>
      <w:r>
        <w:rPr>
          <w:noProof/>
        </w:rPr>
        <w:t>д)</w:t>
      </w:r>
      <w:r>
        <w:rPr>
          <w:noProof/>
        </w:rPr>
        <w:tab/>
        <w:t>подобряват допълнително достъпа до данни чрез програми на Съюза;</w:t>
      </w:r>
    </w:p>
    <w:p>
      <w:pPr>
        <w:pStyle w:val="Point1"/>
        <w:rPr>
          <w:noProof/>
          <w:u w:color="000000"/>
        </w:rPr>
      </w:pPr>
      <w:r>
        <w:rPr>
          <w:noProof/>
        </w:rPr>
        <w:t>е)</w:t>
      </w:r>
      <w:r>
        <w:rPr>
          <w:noProof/>
        </w:rPr>
        <w:tab/>
        <w:t>гарантират прозрачност и отчетност;</w:t>
      </w:r>
    </w:p>
    <w:p>
      <w:pPr>
        <w:pStyle w:val="Point1"/>
        <w:rPr>
          <w:noProof/>
          <w:u w:color="000000"/>
        </w:rPr>
      </w:pPr>
      <w:r>
        <w:rPr>
          <w:noProof/>
        </w:rPr>
        <w:t>ж)</w:t>
      </w:r>
      <w:r>
        <w:rPr>
          <w:noProof/>
        </w:rPr>
        <w:tab/>
        <w:t>помагат на гражданското общество, публичните органи, гражданите, социалните партньори и частния сектор при идентифицирането на рискове, свързани с климата и околната среда, и при предприемането на мерки за предотвратяване и намаляване на тези рискове и адаптиране към тях и насърчават тяхната ангажираност за преодоляване на недостига на информация.</w:t>
      </w:r>
    </w:p>
    <w:p>
      <w:pPr>
        <w:pStyle w:val="ManualNumPar1"/>
        <w:rPr>
          <w:noProof/>
          <w:u w:color="000000"/>
        </w:rPr>
      </w:pPr>
      <w:r>
        <w:t>4.</w:t>
      </w:r>
      <w:r>
        <w:tab/>
      </w:r>
      <w:r>
        <w:rPr>
          <w:noProof/>
        </w:rPr>
        <w:t>Комисията редовно проучва нуждите от данни и знания на равнището на Съюза и на национално равнище, включително капацитета на Европейската агенция за околна среда и Европейската агенция по химикали да изпълняват посочените в параграф 3 задачи.</w:t>
      </w:r>
    </w:p>
    <w:p>
      <w:pPr>
        <w:pStyle w:val="Titrearticle"/>
        <w:rPr>
          <w:noProof/>
          <w:color w:val="000000" w:themeColor="text1"/>
        </w:rPr>
      </w:pPr>
      <w:r>
        <w:rPr>
          <w:noProof/>
          <w:color w:val="000000" w:themeColor="text1"/>
        </w:rPr>
        <w:t>Член 5 — Оценка</w:t>
      </w:r>
    </w:p>
    <w:p>
      <w:pPr>
        <w:rPr>
          <w:noProof/>
        </w:rPr>
      </w:pPr>
      <w:r>
        <w:rPr>
          <w:noProof/>
        </w:rPr>
        <w:t>До 31 март 2029 г. Комисията извършва оценка на 8-ата ПДОС. Комисията представя на Европейския парламент и на Съвета доклад с основните констатации от тази оценка, който може да бъде придружен от законодателно предложение за следващата програма за действие за околната среда, ако Комисията счете това за целесъобразно.</w:t>
      </w:r>
    </w:p>
    <w:p>
      <w:pPr>
        <w:pStyle w:val="Titrearticle"/>
        <w:rPr>
          <w:noProof/>
          <w:color w:val="000000" w:themeColor="text1"/>
        </w:rPr>
      </w:pPr>
      <w:r>
        <w:rPr>
          <w:noProof/>
          <w:color w:val="000000" w:themeColor="text1"/>
        </w:rPr>
        <w:lastRenderedPageBreak/>
        <w:t>Член 6 — Влизане в сила</w:t>
      </w:r>
    </w:p>
    <w:p>
      <w:pPr>
        <w:keepNext/>
        <w:keepLines/>
        <w:rPr>
          <w:noProof/>
          <w:color w:val="000000" w:themeColor="text1"/>
        </w:rPr>
      </w:pPr>
      <w:r>
        <w:rPr>
          <w:noProof/>
          <w:color w:val="000000" w:themeColor="text1"/>
        </w:rPr>
        <w:t xml:space="preserve">Настоящото решение влиза в сила на двадесетия ден след деня на публикуването му в </w:t>
      </w:r>
      <w:r>
        <w:rPr>
          <w:i/>
          <w:iCs/>
          <w:noProof/>
          <w:color w:val="000000" w:themeColor="text1"/>
        </w:rPr>
        <w:t>Официален вестник на Европейския съюз</w:t>
      </w:r>
      <w:r>
        <w:rPr>
          <w:noProof/>
          <w:color w:val="000000" w:themeColor="text1"/>
        </w:rPr>
        <w:t>.</w:t>
      </w: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themeColor="text1"/>
        </w:rPr>
      </w:pPr>
      <w:r>
        <w:rPr>
          <w:noProof/>
          <w:color w:val="000000" w:themeColor="text1"/>
        </w:rPr>
        <w:t>За Европейският парламент</w:t>
      </w:r>
      <w:r>
        <w:rPr>
          <w:noProof/>
        </w:rPr>
        <w:tab/>
      </w:r>
      <w:r>
        <w:rPr>
          <w:noProof/>
          <w:color w:val="000000" w:themeColor="text1"/>
        </w:rPr>
        <w:t>За Съвета</w:t>
      </w:r>
    </w:p>
    <w:p>
      <w:pPr>
        <w:pStyle w:val="Personnequisigne"/>
        <w:rPr>
          <w:noProof/>
          <w:color w:val="000000" w:themeColor="text1"/>
          <w:u w:color="000000"/>
        </w:rPr>
        <w:sectPr>
          <w:pgSz w:w="11907" w:h="16839"/>
          <w:pgMar w:top="1134" w:right="1417" w:bottom="1134" w:left="1417" w:header="709" w:footer="709" w:gutter="0"/>
          <w:cols w:space="708"/>
          <w:docGrid w:linePitch="360"/>
        </w:sectPr>
      </w:pPr>
      <w:r>
        <w:rPr>
          <w:noProof/>
          <w:color w:val="000000" w:themeColor="text1"/>
          <w:u w:color="000000"/>
        </w:rPr>
        <w:t>Председател</w:t>
      </w:r>
      <w:r>
        <w:rPr>
          <w:noProof/>
        </w:rPr>
        <w:tab/>
      </w:r>
      <w:r>
        <w:rPr>
          <w:noProof/>
          <w:color w:val="000000" w:themeColor="text1"/>
          <w:u w:color="000000"/>
        </w:rPr>
        <w:t>Председател</w:t>
      </w:r>
    </w:p>
    <w:p>
      <w:pPr>
        <w:pStyle w:val="Fichefinanciretitre"/>
        <w:rPr>
          <w:noProof/>
          <w:u w:color="000000"/>
        </w:rPr>
      </w:pPr>
      <w:r>
        <w:rPr>
          <w:noProof/>
        </w:rPr>
        <w:lastRenderedPageBreak/>
        <w:t>ЗАКОНОДАТЕЛНА ФИНАНСОВА ОБОСНОВКА — „АГЕНЦИИ“</w:t>
      </w:r>
    </w:p>
    <w:sdt>
      <w:sdtPr>
        <w:rPr>
          <w:b/>
          <w:noProof/>
        </w:rPr>
        <w:id w:val="1138923797"/>
        <w:docPartObj>
          <w:docPartGallery w:val="Table of Contents"/>
          <w:docPartUnique/>
        </w:docPartObj>
      </w:sdtPr>
      <w:sdtEndPr>
        <w:rPr>
          <w:b w:val="0"/>
          <w:bCs/>
        </w:rPr>
      </w:sdtEndPr>
      <w:sdtContent>
        <w:p>
          <w:pPr>
            <w:spacing w:before="0" w:after="200" w:line="276" w:lineRule="auto"/>
            <w:jc w:val="left"/>
            <w:rPr>
              <w:noProof/>
            </w:rPr>
          </w:pPr>
          <w:r>
            <w:rPr>
              <w:noProof/>
            </w:rPr>
            <w:t>Съдържание</w:t>
          </w:r>
        </w:p>
        <w:p>
          <w:pPr>
            <w:pStyle w:val="TOC1"/>
            <w:rPr>
              <w:rFonts w:asciiTheme="minorHAnsi" w:eastAsiaTheme="minorEastAsia" w:hAnsiTheme="minorHAnsi" w:cstheme="minorBidi"/>
              <w:noProof/>
              <w:sz w:val="22"/>
              <w:lang w:val="en-US"/>
            </w:rPr>
          </w:pPr>
          <w:r>
            <w:rPr>
              <w:noProof/>
            </w:rPr>
            <w:fldChar w:fldCharType="begin"/>
          </w:r>
          <w:r>
            <w:rPr>
              <w:noProof/>
            </w:rPr>
            <w:instrText xml:space="preserve"> TOC \h \z \t "Heading 1;1;Heading 2;2;Heading 3;3" </w:instrText>
          </w:r>
          <w:r>
            <w:rPr>
              <w:noProof/>
            </w:rPr>
            <w:fldChar w:fldCharType="separate"/>
          </w:r>
          <w:hyperlink w:anchor="_Toc54602296"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_Toc54602296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297"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_Toc54602297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298" w:history="1">
            <w:r>
              <w:rPr>
                <w:rStyle w:val="Hyperlink"/>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w:t>
            </w:r>
            <w:r>
              <w:rPr>
                <w:noProof/>
                <w:webHidden/>
              </w:rPr>
              <w:tab/>
            </w:r>
            <w:r>
              <w:rPr>
                <w:noProof/>
                <w:webHidden/>
              </w:rPr>
              <w:fldChar w:fldCharType="begin"/>
            </w:r>
            <w:r>
              <w:rPr>
                <w:noProof/>
                <w:webHidden/>
              </w:rPr>
              <w:instrText xml:space="preserve"> PAGEREF _Toc54602298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299"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 е във връзка с:</w:t>
            </w:r>
            <w:r>
              <w:rPr>
                <w:noProof/>
                <w:webHidden/>
              </w:rPr>
              <w:tab/>
            </w:r>
            <w:r>
              <w:rPr>
                <w:noProof/>
                <w:webHidden/>
              </w:rPr>
              <w:fldChar w:fldCharType="begin"/>
            </w:r>
            <w:r>
              <w:rPr>
                <w:noProof/>
                <w:webHidden/>
              </w:rPr>
              <w:instrText xml:space="preserve"> PAGEREF _Toc54602299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00" w:history="1">
            <w:r>
              <w:rPr>
                <w:rStyle w:val="Hyperlink"/>
                <w:noProof/>
              </w:rPr>
              <w:t>1.4.</w:t>
            </w:r>
            <w:r>
              <w:rPr>
                <w:rFonts w:asciiTheme="minorHAnsi" w:eastAsiaTheme="minorEastAsia" w:hAnsiTheme="minorHAnsi" w:cstheme="minorBidi"/>
                <w:noProof/>
                <w:sz w:val="22"/>
                <w:lang w:val="en-US"/>
              </w:rPr>
              <w:tab/>
            </w:r>
            <w:r>
              <w:rPr>
                <w:rStyle w:val="Hyperlink"/>
                <w:noProof/>
              </w:rPr>
              <w:t>Цели</w:t>
            </w:r>
            <w:r>
              <w:rPr>
                <w:noProof/>
                <w:webHidden/>
              </w:rPr>
              <w:tab/>
            </w:r>
            <w:r>
              <w:rPr>
                <w:noProof/>
                <w:webHidden/>
              </w:rPr>
              <w:fldChar w:fldCharType="begin"/>
            </w:r>
            <w:r>
              <w:rPr>
                <w:noProof/>
                <w:webHidden/>
              </w:rPr>
              <w:instrText xml:space="preserve"> PAGEREF _Toc54602300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1" w:history="1">
            <w:r>
              <w:rPr>
                <w:rStyle w:val="Hyperlink"/>
                <w:noProof/>
              </w:rPr>
              <w:t>1.4.1.</w:t>
            </w:r>
            <w:r>
              <w:rPr>
                <w:rFonts w:asciiTheme="minorHAnsi" w:eastAsiaTheme="minorEastAsia" w:hAnsiTheme="minorHAnsi" w:cstheme="minorBidi"/>
                <w:noProof/>
                <w:sz w:val="22"/>
                <w:lang w:val="en-US"/>
              </w:rPr>
              <w:tab/>
            </w:r>
            <w:r>
              <w:rPr>
                <w:rStyle w:val="Hyperlink"/>
                <w:noProof/>
              </w:rPr>
              <w:t>Общи цели</w:t>
            </w:r>
            <w:r>
              <w:rPr>
                <w:noProof/>
                <w:webHidden/>
              </w:rPr>
              <w:tab/>
            </w:r>
            <w:r>
              <w:rPr>
                <w:noProof/>
                <w:webHidden/>
              </w:rPr>
              <w:fldChar w:fldCharType="begin"/>
            </w:r>
            <w:r>
              <w:rPr>
                <w:noProof/>
                <w:webHidden/>
              </w:rPr>
              <w:instrText xml:space="preserve"> PAGEREF _Toc54602301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2" w:history="1">
            <w:r>
              <w:rPr>
                <w:rStyle w:val="Hyperlink"/>
                <w:noProof/>
              </w:rPr>
              <w:t>1.4.2.</w:t>
            </w:r>
            <w:r>
              <w:rPr>
                <w:rFonts w:asciiTheme="minorHAnsi" w:eastAsiaTheme="minorEastAsia" w:hAnsiTheme="minorHAnsi" w:cstheme="minorBidi"/>
                <w:noProof/>
                <w:sz w:val="22"/>
                <w:lang w:val="en-US"/>
              </w:rPr>
              <w:tab/>
            </w:r>
            <w:r>
              <w:rPr>
                <w:rStyle w:val="Hyperlink"/>
                <w:noProof/>
              </w:rPr>
              <w:t>Конкретни цели</w:t>
            </w:r>
            <w:r>
              <w:rPr>
                <w:noProof/>
                <w:webHidden/>
              </w:rPr>
              <w:tab/>
            </w:r>
            <w:r>
              <w:rPr>
                <w:noProof/>
                <w:webHidden/>
              </w:rPr>
              <w:fldChar w:fldCharType="begin"/>
            </w:r>
            <w:r>
              <w:rPr>
                <w:noProof/>
                <w:webHidden/>
              </w:rPr>
              <w:instrText xml:space="preserve"> PAGEREF _Toc54602302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3" w:history="1">
            <w:r>
              <w:rPr>
                <w:rStyle w:val="Hyperlink"/>
                <w:noProof/>
              </w:rPr>
              <w:t>1.4.3.</w:t>
            </w:r>
            <w:r>
              <w:rPr>
                <w:rFonts w:asciiTheme="minorHAnsi" w:eastAsiaTheme="minorEastAsia" w:hAnsiTheme="minorHAnsi" w:cstheme="minorBidi"/>
                <w:noProof/>
                <w:sz w:val="22"/>
                <w:lang w:val="en-US"/>
              </w:rPr>
              <w:tab/>
            </w:r>
            <w:r>
              <w:rPr>
                <w:rStyle w:val="Hyperlink"/>
                <w:noProof/>
              </w:rPr>
              <w:t>Очаквани резултати и отражение</w:t>
            </w:r>
            <w:r>
              <w:rPr>
                <w:noProof/>
                <w:webHidden/>
              </w:rPr>
              <w:tab/>
            </w:r>
            <w:r>
              <w:rPr>
                <w:noProof/>
                <w:webHidden/>
              </w:rPr>
              <w:fldChar w:fldCharType="begin"/>
            </w:r>
            <w:r>
              <w:rPr>
                <w:noProof/>
                <w:webHidden/>
              </w:rPr>
              <w:instrText xml:space="preserve"> PAGEREF _Toc54602303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04" w:history="1">
            <w:r>
              <w:rPr>
                <w:rStyle w:val="Hyperlink"/>
                <w:noProof/>
              </w:rPr>
              <w:t>1.5.</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_Toc54602304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5" w:history="1">
            <w:r>
              <w:rPr>
                <w:rStyle w:val="Hyperlink"/>
                <w:noProof/>
              </w:rPr>
              <w:t>1.5.1.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_Toc54602305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6" w:history="1">
            <w:r>
              <w:rPr>
                <w:rStyle w:val="Hyperlink"/>
                <w:noProof/>
              </w:rPr>
              <w:t>1.5.2.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_Toc54602306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7" w:history="1">
            <w:r>
              <w:rPr>
                <w:rStyle w:val="Hyperlink"/>
                <w:noProof/>
              </w:rPr>
              <w:t>1.5.3.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_Toc54602307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8" w:history="1">
            <w:r>
              <w:rPr>
                <w:rStyle w:val="Hyperlink"/>
                <w:noProof/>
              </w:rPr>
              <w:t>1.5.4.</w:t>
            </w:r>
            <w:r>
              <w:rPr>
                <w:rFonts w:asciiTheme="minorHAnsi" w:eastAsiaTheme="minorEastAsia" w:hAnsiTheme="minorHAnsi" w:cstheme="minorBidi"/>
                <w:noProof/>
                <w:sz w:val="22"/>
                <w:lang w:val="en-US"/>
              </w:rPr>
              <w:tab/>
            </w:r>
            <w:r>
              <w:rPr>
                <w:rStyle w:val="Hyperlink"/>
                <w:noProof/>
              </w:rPr>
              <w:t>Съвместимост с многогодишната финансова рамка и евентуални синергии с други подходящи инструменти</w:t>
            </w:r>
            <w:r>
              <w:rPr>
                <w:noProof/>
                <w:webHidden/>
              </w:rPr>
              <w:tab/>
            </w:r>
            <w:r>
              <w:rPr>
                <w:noProof/>
                <w:webHidden/>
              </w:rPr>
              <w:fldChar w:fldCharType="begin"/>
            </w:r>
            <w:r>
              <w:rPr>
                <w:noProof/>
                <w:webHidden/>
              </w:rPr>
              <w:instrText xml:space="preserve"> PAGEREF _Toc54602308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09" w:history="1">
            <w:r>
              <w:rPr>
                <w:rStyle w:val="Hyperlink"/>
                <w:noProof/>
              </w:rPr>
              <w:t>1.5.5.</w:t>
            </w:r>
            <w:r>
              <w:rPr>
                <w:rFonts w:asciiTheme="minorHAnsi" w:eastAsiaTheme="minorEastAsia" w:hAnsiTheme="minorHAnsi" w:cstheme="minorBidi"/>
                <w:noProof/>
                <w:sz w:val="22"/>
                <w:lang w:val="en-US"/>
              </w:rPr>
              <w:tab/>
            </w:r>
            <w:r>
              <w:rPr>
                <w:rStyle w:val="Hyperlink"/>
                <w:noProof/>
              </w:rPr>
              <w:t>Оценка на различните налични варианти за финансиране, включително възможностите за преразпределяне на средства</w:t>
            </w:r>
            <w:r>
              <w:rPr>
                <w:noProof/>
                <w:webHidden/>
              </w:rPr>
              <w:tab/>
            </w:r>
            <w:r>
              <w:rPr>
                <w:noProof/>
                <w:webHidden/>
              </w:rPr>
              <w:fldChar w:fldCharType="begin"/>
            </w:r>
            <w:r>
              <w:rPr>
                <w:noProof/>
                <w:webHidden/>
              </w:rPr>
              <w:instrText xml:space="preserve"> PAGEREF _Toc54602309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10" w:history="1">
            <w:r>
              <w:rPr>
                <w:rStyle w:val="Hyperlink"/>
                <w:noProof/>
              </w:rPr>
              <w:t>1.6.</w:t>
            </w:r>
            <w:r>
              <w:rPr>
                <w:rFonts w:asciiTheme="minorHAnsi" w:eastAsiaTheme="minorEastAsia" w:hAnsiTheme="minorHAnsi" w:cstheme="minorBidi"/>
                <w:noProof/>
                <w:sz w:val="22"/>
                <w:lang w:val="en-US"/>
              </w:rPr>
              <w:tab/>
            </w:r>
            <w:r>
              <w:rPr>
                <w:rStyle w:val="Hyperlink"/>
                <w:noProof/>
              </w:rPr>
              <w:t>Срок на действие и финансово отражение на предложението/инициативата</w:t>
            </w:r>
            <w:r>
              <w:rPr>
                <w:noProof/>
                <w:webHidden/>
              </w:rPr>
              <w:tab/>
            </w:r>
            <w:r>
              <w:rPr>
                <w:noProof/>
                <w:webHidden/>
              </w:rPr>
              <w:fldChar w:fldCharType="begin"/>
            </w:r>
            <w:r>
              <w:rPr>
                <w:noProof/>
                <w:webHidden/>
              </w:rPr>
              <w:instrText xml:space="preserve"> PAGEREF _Toc54602310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11" w:history="1">
            <w:r>
              <w:rPr>
                <w:rStyle w:val="Hyperlink"/>
                <w:noProof/>
              </w:rPr>
              <w:t>1.7.</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_Toc54602311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lang w:val="en-US"/>
            </w:rPr>
          </w:pPr>
          <w:hyperlink w:anchor="_Toc54602312"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_Toc54602312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13"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_Toc54602313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14"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_Toc54602314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15"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_Toc54602315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16"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_Toc54602316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17" w:history="1">
            <w:r>
              <w:rPr>
                <w:rStyle w:val="Hyperlink"/>
                <w:noProof/>
              </w:rPr>
              <w:t>2.2.3.</w:t>
            </w:r>
            <w:r>
              <w:rPr>
                <w:rFonts w:asciiTheme="minorHAnsi" w:eastAsiaTheme="minorEastAsia" w:hAnsiTheme="minorHAnsi" w:cstheme="minorBidi"/>
                <w:noProof/>
                <w:sz w:val="22"/>
                <w:lang w:val="en-US"/>
              </w:rPr>
              <w:tab/>
            </w:r>
            <w:r>
              <w:rPr>
                <w:rStyle w:val="Hyperlink"/>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r>
              <w:rPr>
                <w:noProof/>
                <w:webHidden/>
              </w:rPr>
              <w:tab/>
            </w:r>
            <w:r>
              <w:rPr>
                <w:noProof/>
                <w:webHidden/>
              </w:rPr>
              <w:fldChar w:fldCharType="begin"/>
            </w:r>
            <w:r>
              <w:rPr>
                <w:noProof/>
                <w:webHidden/>
              </w:rPr>
              <w:instrText xml:space="preserve"> PAGEREF _Toc54602317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18"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_Toc54602318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lang w:val="en-US"/>
            </w:rPr>
          </w:pPr>
          <w:hyperlink w:anchor="_Toc54602319"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_Toc54602319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20" w:history="1">
            <w:r>
              <w:rPr>
                <w:rStyle w:val="Hyperlink"/>
                <w:noProof/>
              </w:rPr>
              <w:t>3.1.</w:t>
            </w:r>
            <w:r>
              <w:rPr>
                <w:rFonts w:asciiTheme="minorHAnsi" w:eastAsiaTheme="minorEastAsia" w:hAnsiTheme="minorHAnsi" w:cstheme="minorBidi"/>
                <w:noProof/>
                <w:sz w:val="22"/>
                <w:lang w:val="en-US"/>
              </w:rPr>
              <w:tab/>
            </w:r>
            <w:r>
              <w:rPr>
                <w:rStyle w:val="Hyperlink"/>
                <w:noProof/>
              </w:rPr>
              <w:t>Съответни функции от многогодишната финансова рамка и разходни бюджетни редове</w:t>
            </w:r>
            <w:r>
              <w:rPr>
                <w:noProof/>
                <w:webHidden/>
              </w:rPr>
              <w:tab/>
            </w:r>
            <w:r>
              <w:rPr>
                <w:noProof/>
                <w:webHidden/>
              </w:rPr>
              <w:fldChar w:fldCharType="begin"/>
            </w:r>
            <w:r>
              <w:rPr>
                <w:noProof/>
                <w:webHidden/>
              </w:rPr>
              <w:instrText xml:space="preserve"> PAGEREF _Toc54602320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21"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_Toc54602321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22"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_Toc54602322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23" w:history="1">
            <w:r>
              <w:rPr>
                <w:rStyle w:val="Hyperlink"/>
                <w:noProof/>
              </w:rPr>
              <w:t>3.2.2.</w:t>
            </w:r>
            <w:r>
              <w:rPr>
                <w:rFonts w:asciiTheme="minorHAnsi" w:eastAsiaTheme="minorEastAsia" w:hAnsiTheme="minorHAnsi" w:cstheme="minorBidi"/>
                <w:noProof/>
                <w:sz w:val="22"/>
                <w:lang w:val="en-US"/>
              </w:rPr>
              <w:tab/>
            </w:r>
            <w:r>
              <w:rPr>
                <w:rStyle w:val="Hyperlink"/>
                <w:noProof/>
              </w:rPr>
              <w:t>Очаквано отражение върху бюджетните кредити за ЕАОС и ЕСНА</w:t>
            </w:r>
            <w:r>
              <w:rPr>
                <w:noProof/>
                <w:webHidden/>
              </w:rPr>
              <w:tab/>
            </w:r>
            <w:r>
              <w:rPr>
                <w:noProof/>
                <w:webHidden/>
              </w:rPr>
              <w:fldChar w:fldCharType="begin"/>
            </w:r>
            <w:r>
              <w:rPr>
                <w:noProof/>
                <w:webHidden/>
              </w:rPr>
              <w:instrText xml:space="preserve"> PAGEREF _Toc54602323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24" w:history="1">
            <w:r>
              <w:rPr>
                <w:rStyle w:val="Hyperlink"/>
                <w:noProof/>
              </w:rPr>
              <w:t>3.2.3.</w:t>
            </w:r>
            <w:r>
              <w:rPr>
                <w:rFonts w:asciiTheme="minorHAnsi" w:eastAsiaTheme="minorEastAsia" w:hAnsiTheme="minorHAnsi" w:cstheme="minorBidi"/>
                <w:noProof/>
                <w:sz w:val="22"/>
                <w:lang w:val="en-US"/>
              </w:rPr>
              <w:tab/>
            </w:r>
            <w:r>
              <w:rPr>
                <w:rStyle w:val="Hyperlink"/>
                <w:noProof/>
              </w:rPr>
              <w:t>Очаквано отражение върху бюджетните кредити за ЕАОС и ЕСНА</w:t>
            </w:r>
            <w:r>
              <w:rPr>
                <w:noProof/>
                <w:webHidden/>
              </w:rPr>
              <w:tab/>
            </w:r>
            <w:r>
              <w:rPr>
                <w:noProof/>
                <w:webHidden/>
              </w:rPr>
              <w:fldChar w:fldCharType="begin"/>
            </w:r>
            <w:r>
              <w:rPr>
                <w:noProof/>
                <w:webHidden/>
              </w:rPr>
              <w:instrText xml:space="preserve"> PAGEREF _Toc54602324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25" w:history="1">
            <w:r>
              <w:rPr>
                <w:rStyle w:val="Hyperlink"/>
                <w:noProof/>
              </w:rPr>
              <w:t>3.2.4.</w:t>
            </w:r>
            <w:r>
              <w:rPr>
                <w:rFonts w:asciiTheme="minorHAnsi" w:eastAsiaTheme="minorEastAsia" w:hAnsiTheme="minorHAnsi" w:cstheme="minorBidi"/>
                <w:noProof/>
                <w:sz w:val="22"/>
                <w:lang w:val="en-US"/>
              </w:rPr>
              <w:tab/>
            </w:r>
            <w:r>
              <w:rPr>
                <w:rStyle w:val="Hyperlink"/>
                <w:noProof/>
              </w:rPr>
              <w:t>Съвместимост с настоящата многогодишна финансова рамка</w:t>
            </w:r>
            <w:r>
              <w:rPr>
                <w:noProof/>
                <w:webHidden/>
              </w:rPr>
              <w:tab/>
            </w:r>
            <w:r>
              <w:rPr>
                <w:noProof/>
                <w:webHidden/>
              </w:rPr>
              <w:fldChar w:fldCharType="begin"/>
            </w:r>
            <w:r>
              <w:rPr>
                <w:noProof/>
                <w:webHidden/>
              </w:rPr>
              <w:instrText xml:space="preserve"> PAGEREF _Toc54602325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noProof/>
              <w:sz w:val="22"/>
              <w:lang w:val="en-US"/>
            </w:rPr>
          </w:pPr>
          <w:hyperlink w:anchor="_Toc54602326" w:history="1">
            <w:r>
              <w:rPr>
                <w:rStyle w:val="Hyperlink"/>
                <w:noProof/>
              </w:rPr>
              <w:t>3.2.5.</w:t>
            </w:r>
            <w:r>
              <w:rPr>
                <w:rFonts w:asciiTheme="minorHAnsi" w:eastAsiaTheme="minorEastAsia" w:hAnsiTheme="minorHAnsi" w:cstheme="minorBidi"/>
                <w:noProof/>
                <w:sz w:val="22"/>
                <w:lang w:val="en-US"/>
              </w:rPr>
              <w:tab/>
            </w:r>
            <w:r>
              <w:rPr>
                <w:rStyle w:val="Hyperlink"/>
                <w:noProof/>
              </w:rPr>
              <w:t>Финансов принос от трети страни</w:t>
            </w:r>
            <w:r>
              <w:rPr>
                <w:noProof/>
                <w:webHidden/>
              </w:rPr>
              <w:tab/>
            </w:r>
            <w:r>
              <w:rPr>
                <w:noProof/>
                <w:webHidden/>
              </w:rPr>
              <w:fldChar w:fldCharType="begin"/>
            </w:r>
            <w:r>
              <w:rPr>
                <w:noProof/>
                <w:webHidden/>
              </w:rPr>
              <w:instrText xml:space="preserve"> PAGEREF _Toc54602326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lang w:val="en-US"/>
            </w:rPr>
          </w:pPr>
          <w:hyperlink w:anchor="_Toc54602327"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_Toc54602327 \h </w:instrText>
            </w:r>
            <w:r>
              <w:rPr>
                <w:noProof/>
                <w:webHidden/>
              </w:rPr>
            </w:r>
            <w:r>
              <w:rPr>
                <w:noProof/>
                <w:webHidden/>
              </w:rPr>
              <w:fldChar w:fldCharType="separate"/>
            </w:r>
            <w:r>
              <w:rPr>
                <w:noProof/>
                <w:webHidden/>
              </w:rPr>
              <w:t>38</w:t>
            </w:r>
            <w:r>
              <w:rPr>
                <w:noProof/>
                <w:webHidden/>
              </w:rPr>
              <w:fldChar w:fldCharType="end"/>
            </w:r>
          </w:hyperlink>
        </w:p>
        <w:p>
          <w:pPr>
            <w:rPr>
              <w:noProof/>
            </w:rPr>
          </w:pPr>
          <w:r>
            <w:rPr>
              <w:noProof/>
            </w:rPr>
            <w:fldChar w:fldCharType="end"/>
          </w:r>
        </w:p>
      </w:sdtContent>
    </w:sdt>
    <w:p>
      <w:pPr>
        <w:rPr>
          <w:noProof/>
        </w:rPr>
        <w:sectPr>
          <w:pgSz w:w="12240" w:h="15840"/>
          <w:pgMar w:top="794" w:right="907" w:bottom="851" w:left="1361" w:header="510" w:footer="454" w:gutter="0"/>
          <w:cols w:space="720"/>
          <w:docGrid w:linePitch="326"/>
        </w:sectPr>
      </w:pPr>
    </w:p>
    <w:p>
      <w:pPr>
        <w:pStyle w:val="Fichefinancirestandardtitre"/>
        <w:rPr>
          <w:noProof/>
        </w:rPr>
      </w:pPr>
      <w:r>
        <w:rPr>
          <w:noProof/>
        </w:rPr>
        <w:t>ДОПЪЛНИТЕЛНА ЗАКОНОДАТЕЛНА ФИНАНСОВА ОБОСНОВКА — „АГЕНЦИИ“</w:t>
      </w:r>
    </w:p>
    <w:p>
      <w:pPr>
        <w:pStyle w:val="ManualHeading1"/>
        <w:rPr>
          <w:bCs/>
          <w:noProof/>
          <w:szCs w:val="24"/>
        </w:rPr>
      </w:pPr>
      <w:bookmarkStart w:id="1" w:name="_Toc514938659"/>
      <w:bookmarkStart w:id="2" w:name="_Toc520485418"/>
      <w:bookmarkStart w:id="3" w:name="_Toc52892458"/>
      <w:bookmarkStart w:id="4" w:name="_Toc54602296"/>
      <w:r>
        <w:t>1.</w:t>
      </w:r>
      <w:r>
        <w:tab/>
      </w:r>
      <w:r>
        <w:rPr>
          <w:noProof/>
        </w:rPr>
        <w:t>РАМКА НА ПРЕДЛОЖЕНИЕТО/ИНИЦИАТИВАТА</w:t>
      </w:r>
      <w:bookmarkEnd w:id="1"/>
      <w:bookmarkEnd w:id="2"/>
      <w:bookmarkEnd w:id="3"/>
      <w:bookmarkEnd w:id="4"/>
    </w:p>
    <w:p>
      <w:pPr>
        <w:pStyle w:val="ManualHeading2"/>
        <w:rPr>
          <w:bCs/>
          <w:noProof/>
          <w:szCs w:val="24"/>
        </w:rPr>
      </w:pPr>
      <w:bookmarkStart w:id="5" w:name="_Toc514938660"/>
      <w:bookmarkStart w:id="6" w:name="_Toc520485419"/>
      <w:bookmarkStart w:id="7" w:name="_Toc52892459"/>
      <w:bookmarkStart w:id="8" w:name="_Toc54602297"/>
      <w:r>
        <w:t>1.1.</w:t>
      </w:r>
      <w:r>
        <w:tab/>
      </w:r>
      <w:r>
        <w:rPr>
          <w:noProof/>
        </w:rPr>
        <w:t>Наименование на предложението/инициативата</w:t>
      </w:r>
      <w:bookmarkEnd w:id="5"/>
      <w:bookmarkEnd w:id="6"/>
      <w:bookmarkEnd w:id="7"/>
      <w:bookmarkEnd w:id="8"/>
    </w:p>
    <w:p>
      <w:pPr>
        <w:pStyle w:val="Text1"/>
        <w:pBdr>
          <w:top w:val="single" w:sz="4" w:space="1" w:color="auto"/>
          <w:left w:val="single" w:sz="4" w:space="4" w:color="auto"/>
          <w:bottom w:val="single" w:sz="4" w:space="1" w:color="auto"/>
          <w:right w:val="single" w:sz="4" w:space="4" w:color="auto"/>
        </w:pBdr>
        <w:rPr>
          <w:noProof/>
          <w:color w:val="0000FF"/>
        </w:rPr>
      </w:pPr>
      <w:bookmarkStart w:id="9" w:name="_Toc514938661"/>
      <w:bookmarkStart w:id="10" w:name="_Toc520485420"/>
      <w:r>
        <w:rPr>
          <w:noProof/>
          <w:color w:val="0000FF"/>
        </w:rPr>
        <w:t>Решение на Европейския парламент и на Съвета относно Обща програма на Европейския съюз за действие за околната среда до 2030 г. с оглед на ускоряване на справедливия и приобщаващ преход на Съюза към неутрална по отношение на климата и регенеративна икономика с ефективно използване на ресурсите</w:t>
      </w:r>
    </w:p>
    <w:p>
      <w:pPr>
        <w:pStyle w:val="ManualHeading2"/>
        <w:rPr>
          <w:bCs/>
          <w:noProof/>
          <w:szCs w:val="24"/>
        </w:rPr>
      </w:pPr>
      <w:bookmarkStart w:id="11" w:name="_Toc52892460"/>
      <w:bookmarkStart w:id="12" w:name="_Toc54602298"/>
      <w:r>
        <w:t>1.2.</w:t>
      </w:r>
      <w:r>
        <w:tab/>
      </w:r>
      <w:r>
        <w:rPr>
          <w:noProof/>
        </w:rPr>
        <w:t>Съответни области на политиката</w:t>
      </w:r>
      <w:bookmarkEnd w:id="9"/>
      <w:bookmarkEnd w:id="10"/>
      <w:bookmarkEnd w:id="11"/>
      <w:bookmarkEnd w:id="12"/>
    </w:p>
    <w:p>
      <w:pPr>
        <w:pStyle w:val="Text1"/>
        <w:pBdr>
          <w:top w:val="single" w:sz="4" w:space="1" w:color="auto"/>
          <w:left w:val="single" w:sz="4" w:space="4" w:color="auto"/>
          <w:bottom w:val="single" w:sz="4" w:space="1" w:color="auto"/>
          <w:right w:val="single" w:sz="4" w:space="4" w:color="auto"/>
        </w:pBdr>
        <w:rPr>
          <w:noProof/>
          <w:color w:val="0000FF"/>
        </w:rPr>
      </w:pPr>
      <w:bookmarkStart w:id="13" w:name="_Toc514938662"/>
      <w:bookmarkStart w:id="14" w:name="_Toc520485421"/>
      <w:r>
        <w:rPr>
          <w:noProof/>
          <w:color w:val="0000FF"/>
        </w:rPr>
        <w:t xml:space="preserve">Области на политиката: 09 Околна среда и действия по климата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Дейности: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09 02 – Програма за околната среда и действията по климата (LIFE)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09 10 – Европейска агенция за околна среда и Европейска агенция по химикали</w:t>
      </w:r>
      <w:r>
        <w:rPr>
          <w:noProof/>
          <w:color w:val="0000FF"/>
          <w:highlight w:val="yellow"/>
        </w:rPr>
        <w:t xml:space="preserve"> </w:t>
      </w:r>
    </w:p>
    <w:p>
      <w:pPr>
        <w:pStyle w:val="ManualHeading2"/>
        <w:rPr>
          <w:bCs/>
          <w:noProof/>
          <w:szCs w:val="24"/>
        </w:rPr>
      </w:pPr>
      <w:bookmarkStart w:id="15" w:name="_Toc52892461"/>
      <w:bookmarkStart w:id="16" w:name="_Toc54602299"/>
      <w:r>
        <w:t>1.3.</w:t>
      </w:r>
      <w:r>
        <w:tab/>
      </w:r>
      <w:r>
        <w:rPr>
          <w:noProof/>
        </w:rPr>
        <w:t>Предложението е във връзка с:</w:t>
      </w:r>
      <w:bookmarkEnd w:id="13"/>
      <w:bookmarkEnd w:id="14"/>
      <w:bookmarkEnd w:id="15"/>
      <w:bookmarkEnd w:id="16"/>
    </w:p>
    <w:p>
      <w:pPr>
        <w:pStyle w:val="Text1"/>
        <w:rPr>
          <w:b/>
          <w:noProof/>
        </w:rPr>
      </w:pPr>
      <w:r>
        <w:rPr>
          <w:noProof/>
        </w:rPr>
        <w:sym w:font="Wingdings" w:char="F0FE"/>
      </w:r>
      <w:r>
        <w:rPr>
          <w:b/>
          <w:i/>
          <w:noProof/>
        </w:rPr>
        <w:t xml:space="preserve"> </w:t>
      </w:r>
      <w:r>
        <w:rPr>
          <w:b/>
          <w:noProof/>
        </w:rPr>
        <w:t xml:space="preserve">ново действие </w:t>
      </w:r>
    </w:p>
    <w:p>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b/>
          <w:noProof/>
        </w:rPr>
        <w:footnoteReference w:id="36"/>
      </w:r>
    </w:p>
    <w:p>
      <w:pPr>
        <w:pStyle w:val="Text1"/>
        <w:rPr>
          <w:noProof/>
        </w:rPr>
      </w:pPr>
      <w:r>
        <w:rPr>
          <w:noProof/>
        </w:rPr>
        <w:sym w:font="Wingdings" w:char="F0FE"/>
      </w:r>
      <w:r>
        <w:rPr>
          <w:i/>
          <w:noProof/>
        </w:rPr>
        <w:t xml:space="preserve"> </w:t>
      </w:r>
      <w:r>
        <w:rPr>
          <w:b/>
          <w:noProof/>
        </w:rPr>
        <w:t>продължаване на съществуващо действие</w:t>
      </w:r>
    </w:p>
    <w:p>
      <w:pPr>
        <w:pStyle w:val="Text1"/>
        <w:rPr>
          <w:noProof/>
        </w:rPr>
      </w:pPr>
      <w:r>
        <w:rPr>
          <w:noProof/>
        </w:rPr>
        <w:sym w:font="Wingdings" w:char="F0A8"/>
      </w:r>
      <w:r>
        <w:rPr>
          <w:i/>
          <w:noProof/>
        </w:rPr>
        <w:t xml:space="preserve"> </w:t>
      </w:r>
      <w:r>
        <w:rPr>
          <w:b/>
          <w:noProof/>
        </w:rPr>
        <w:t>сливане или пренасочване на едно или няколко действия към друго/ново действие</w:t>
      </w:r>
    </w:p>
    <w:p>
      <w:pPr>
        <w:pStyle w:val="ManualHeading2"/>
        <w:rPr>
          <w:bCs/>
          <w:noProof/>
          <w:szCs w:val="24"/>
        </w:rPr>
      </w:pPr>
      <w:bookmarkStart w:id="17" w:name="_Toc514938663"/>
      <w:bookmarkStart w:id="18" w:name="_Toc520485422"/>
      <w:bookmarkStart w:id="19" w:name="_Toc52892462"/>
      <w:bookmarkStart w:id="20" w:name="_Toc54602300"/>
      <w:r>
        <w:t>1.4.</w:t>
      </w:r>
      <w:r>
        <w:tab/>
      </w:r>
      <w:r>
        <w:rPr>
          <w:noProof/>
        </w:rPr>
        <w:t>Цели</w:t>
      </w:r>
      <w:bookmarkEnd w:id="17"/>
      <w:bookmarkEnd w:id="18"/>
      <w:bookmarkEnd w:id="19"/>
      <w:bookmarkEnd w:id="20"/>
    </w:p>
    <w:p>
      <w:pPr>
        <w:pStyle w:val="ManualHeading3"/>
        <w:rPr>
          <w:noProof/>
        </w:rPr>
      </w:pPr>
      <w:bookmarkStart w:id="21" w:name="_Toc514938664"/>
      <w:bookmarkStart w:id="22" w:name="_Toc520485423"/>
      <w:bookmarkStart w:id="23" w:name="_Toc52892463"/>
      <w:bookmarkStart w:id="24" w:name="_Toc54602301"/>
      <w:r>
        <w:t>1.4.1.</w:t>
      </w:r>
      <w:r>
        <w:tab/>
      </w:r>
      <w:r>
        <w:rPr>
          <w:noProof/>
        </w:rPr>
        <w:t>Общи цели</w:t>
      </w:r>
      <w:bookmarkEnd w:id="21"/>
      <w:bookmarkEnd w:id="22"/>
      <w:bookmarkEnd w:id="23"/>
      <w:bookmarkEnd w:id="24"/>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Ускоряване на справедливия и приобщаващ преход на Съюза към чиста и възстановителна икономика, която е неутрална по отношение на климата и се отличава с ефективно използване на ресурсите, както и постигане на екологичните цели на Програмата на ООН до 2030 г. и нейните цели за устойчиво развитие, като изцяло се подкрепят целите на Европейския зелен пакт в областта на околната среда.</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Допринасяне за по-добре интегрирана, последователна и мултидисциплинарна рамка за мониторинг и докладване за политиките в областта на околната среда и климата в пълно съответствие с целите на Парижкото споразумение, ЦУР и Европейския зелен пакт.</w:t>
      </w:r>
    </w:p>
    <w:p>
      <w:pPr>
        <w:pStyle w:val="ManualHeading3"/>
        <w:rPr>
          <w:bCs/>
          <w:noProof/>
          <w:szCs w:val="24"/>
        </w:rPr>
      </w:pPr>
      <w:bookmarkStart w:id="25" w:name="_Toc514938665"/>
      <w:bookmarkStart w:id="26" w:name="_Toc520485424"/>
      <w:bookmarkStart w:id="27" w:name="_Toc52892464"/>
      <w:bookmarkStart w:id="28" w:name="_Toc54602302"/>
      <w:r>
        <w:t>1.4.2.</w:t>
      </w:r>
      <w:r>
        <w:tab/>
      </w:r>
      <w:r>
        <w:rPr>
          <w:noProof/>
        </w:rPr>
        <w:t>Конкретни цели</w:t>
      </w:r>
      <w:bookmarkEnd w:id="25"/>
      <w:bookmarkEnd w:id="26"/>
      <w:bookmarkEnd w:id="27"/>
      <w:bookmarkEnd w:id="28"/>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През 2015 г. бяха постигнати важни международни споразумения, като бяха приети</w:t>
      </w:r>
      <w:r>
        <w:rPr>
          <w:noProof/>
        </w:rPr>
        <w:t xml:space="preserve"> </w:t>
      </w:r>
      <w:hyperlink r:id="rId13" w:history="1">
        <w:r>
          <w:rPr>
            <w:rStyle w:val="Hyperlink"/>
            <w:noProof/>
          </w:rPr>
          <w:t>целите за устойчиво развитие (ЦУР)</w:t>
        </w:r>
      </w:hyperlink>
      <w:r>
        <w:rPr>
          <w:noProof/>
        </w:rPr>
        <w:t xml:space="preserve"> </w:t>
      </w:r>
      <w:r>
        <w:rPr>
          <w:noProof/>
          <w:color w:val="0000FF"/>
        </w:rPr>
        <w:t>на ООН и</w:t>
      </w:r>
      <w:r>
        <w:rPr>
          <w:noProof/>
        </w:rPr>
        <w:t xml:space="preserve"> </w:t>
      </w:r>
      <w:hyperlink r:id="rId14" w:history="1">
        <w:r>
          <w:rPr>
            <w:rStyle w:val="Hyperlink"/>
            <w:noProof/>
          </w:rPr>
          <w:t>Парижкото споразумение за изменението на климата (COP 21)</w:t>
        </w:r>
      </w:hyperlink>
      <w:r>
        <w:rPr>
          <w:noProof/>
        </w:rPr>
        <w:t xml:space="preserve">. </w:t>
      </w:r>
      <w:r>
        <w:rPr>
          <w:noProof/>
          <w:color w:val="0000FF"/>
        </w:rPr>
        <w:t>Тези ангажименти и все по-ясното разбиране за наложителността на действията във връзка с изменението на климата, влошаването на околната среда и рисковете пред устойчивостта налагат разработването на ефективна 8-а ПДОС на ЕС.</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В доклада си от 4 декември 2019 г. за състоянието и перспективите на европейската околна среда през 2020 г. (SOER 2020) ЕАОС докладва за предизвикателствата, свързани с околната среда, климата и устойчивостта в настоящия момент в Европа, които са безпрецедентни по мащаб и спешност;</w:t>
      </w:r>
      <w:r>
        <w:rPr>
          <w:noProof/>
          <w:color w:val="0000FF"/>
          <w:szCs w:val="24"/>
        </w:rPr>
        <w:t xml:space="preserve"> тези предизвикателства изискват незабавни и съгласувани действия и спешни системни решения. Макар и положените наскоро усилия в политиката на ЕС да донесоха значителни ползи, продължават да съществуват проблеми по отношение на загубата на биологично разнообразие, използването на ресурсите и необходимостта от действия против изменението на климата и неговите последици и рисковете за здравето и благосъстоянието на хората. За да се запълнят пропуските между състоянието на околната среда и екологичните цели до 2030 г., акцентът трябва и в бъдеще да бъде поставен върху изпълнението, за което са необходими финансови средства, участие на заинтересованите страни, подход на сътрудничество за многостепенно управление и солидна база от знания. Необходими са също така по-системни, дългосрочни рамки на политики, иновации за обществена промяна, преориентиране на инвестициите и финансирането и управление на социално насочен и справедлив преход.</w:t>
      </w:r>
    </w:p>
    <w:p>
      <w:pPr>
        <w:pBdr>
          <w:top w:val="single" w:sz="4" w:space="1" w:color="auto"/>
          <w:left w:val="single" w:sz="4" w:space="4" w:color="auto"/>
          <w:bottom w:val="single" w:sz="4" w:space="0" w:color="auto"/>
          <w:right w:val="single" w:sz="4" w:space="4" w:color="auto"/>
        </w:pBdr>
        <w:ind w:left="850"/>
        <w:rPr>
          <w:rFonts w:eastAsia="Times New Roman"/>
          <w:noProof/>
          <w:color w:val="0000FF"/>
          <w:szCs w:val="24"/>
        </w:rPr>
      </w:pPr>
      <w:r>
        <w:rPr>
          <w:noProof/>
          <w:color w:val="0000FF"/>
          <w:szCs w:val="24"/>
        </w:rPr>
        <w:t xml:space="preserve">В представения на 11 декември 2019 г. Европейски зелен пакт беше обявена 8-а ПДОС с допълваща функция, която ще допринесе за изпълнение, правоприлагане и действително осъществяване на политиките и законодателството в областта на околната среда и климата и предвижда нова рамка за мониторинг. </w:t>
      </w:r>
      <w:r>
        <w:rPr>
          <w:noProof/>
          <w:color w:val="0000FF"/>
        </w:rPr>
        <w:t>Настоящото предложение съдържа решение относно 8-ата програма за действие за околната среда до 2030 г. с оглед на ускоряване на преход към неутрална по отношение на климата и регенеративна икономика с ефективно използване на ресурсите, чиято цел е подкрепата на Европейския зелен пакт.</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Едно от ключовите действия, предвидени в обявената в рамките на Европейския зелен пакт 8-а ПДОС, е нова рамка за мониторинг за измерване на напредъка на ЕС и неговите държави членки по изпълнението на приоритетните цели на програмата и визията ѝ за 2050 г. „Да живеем добре в пределите на нашата планета“. Вярно е, че ЕС е създал няколко рамки за мониторинг, с които се измерва напредъкът към постигането на конкретни договорени цели за околната среда, но засега в правото на ЕС не е установена всеобхватна рамка за гарантиране на координиран подход към цялостното постигане на целите на Съюза в областта на околната среда и климата и към техния принос за устойчивостта, благоденствието и издръжливостта. Това е и възможност за свързване на мониторинга политиките за околната среда с текущата работа, която се извършва в JRC, ЕАОС и от други участници във връзка с пределите на планетата (например потребление на прясна вода, промени в земеползването, увеличаване на киселинността на океанските води) и във връзка с отпечатъка на потреблението в Съюза.</w:t>
      </w:r>
    </w:p>
    <w:p>
      <w:pPr>
        <w:pBdr>
          <w:top w:val="single" w:sz="4" w:space="1" w:color="auto"/>
          <w:left w:val="single" w:sz="4" w:space="4" w:color="auto"/>
          <w:bottom w:val="single" w:sz="4" w:space="0" w:color="auto"/>
          <w:right w:val="single" w:sz="4" w:space="4" w:color="auto"/>
        </w:pBdr>
        <w:ind w:left="850"/>
        <w:rPr>
          <w:noProof/>
          <w:color w:val="0000FF"/>
          <w:szCs w:val="24"/>
        </w:rPr>
      </w:pPr>
      <w:r>
        <w:rPr>
          <w:noProof/>
          <w:color w:val="0000FF"/>
        </w:rPr>
        <w:t>Новата рамка за мониторинг ще се основава на съществуващите рамки за мониторинг или управление в областта на околната среда и климата, включително тези на управлението на Енергийния съюз, действията в областта на климата и прегледа на изпълнението на политиките за околната среда, като тя няма да ги засяга, а ще ги допълва. Тя ще бъде в пълно съответствие с текущите работи след очакваните резултати от Европейския зелен пакт, например новия мониторинг на биологичното разнообразие и нулевото замърсяване, както и с актуализирания мониторинг на кръговата икономика.</w:t>
      </w:r>
      <w:r>
        <w:rPr>
          <w:noProof/>
          <w:color w:val="0000FF"/>
          <w:szCs w:val="24"/>
        </w:rPr>
        <w:t xml:space="preserve"> Следователно мониторингът на 8-ата ПДОС ще се основава главно на съществуващите данни и инструменти за мониторинг и докладване, за да се избегне дублирането на усилия и да се ограничи административната тежест за държавите членки, но същевременно се използва възможността за запълване на пропуски при показателите (нулево замърсяване и връзка между политиката за околната среда и социалната политика). По-специално тя се основава на постиженията от мерките за рационализиране на докладването по въпроси на околната среда, които се предприемат още от 2017 г. насам</w:t>
      </w:r>
      <w:r>
        <w:rPr>
          <w:rStyle w:val="FootnoteReference"/>
        </w:rPr>
        <w:footnoteReference w:id="37"/>
      </w:r>
      <w:r>
        <w:rPr>
          <w:noProof/>
          <w:color w:val="0000FF"/>
          <w:szCs w:val="24"/>
        </w:rPr>
        <w:t>, и по този начин спомага за разработването на последователни послания в отделните мониторингови дейности.</w:t>
      </w:r>
    </w:p>
    <w:p>
      <w:pPr>
        <w:pBdr>
          <w:top w:val="single" w:sz="4" w:space="1" w:color="auto"/>
          <w:left w:val="single" w:sz="4" w:space="4" w:color="auto"/>
          <w:bottom w:val="single" w:sz="4" w:space="0" w:color="auto"/>
          <w:right w:val="single" w:sz="4" w:space="4" w:color="auto"/>
        </w:pBdr>
        <w:ind w:left="850"/>
        <w:rPr>
          <w:noProof/>
          <w:color w:val="0000FF"/>
        </w:rPr>
      </w:pPr>
      <w:r>
        <w:rPr>
          <w:b/>
          <w:i/>
          <w:noProof/>
          <w:color w:val="0000FF"/>
        </w:rPr>
        <w:t>Рамката за мониторинг</w:t>
      </w:r>
      <w:r>
        <w:rPr>
          <w:noProof/>
          <w:color w:val="0000FF"/>
        </w:rPr>
        <w:t xml:space="preserve"> следва да гарантира ангажираността със и изпълнението на ангажиментите и ясни, ориентирани към резултати показатели за измерване на напредъка, както и да надгражда и да е съвместима със съществуващите рамки за мониторинг и инструменти за докладване, каквито се използват например — но не само — от Европейската агенция за околна среда и нейната мрежа EIONET, като се избягват дублирането на усилия и допълнителната административна тежест за държавите членки и другите докладващи органи.</w:t>
      </w:r>
      <w:r>
        <w:rPr>
          <w:noProof/>
          <w:color w:val="0000FF"/>
          <w:szCs w:val="24"/>
        </w:rPr>
        <w:t xml:space="preserve"> ECHA също така е призована да допринесе за тази дейност и да предостави информация за устойчивата употреба на химикалите.</w:t>
      </w:r>
    </w:p>
    <w:p>
      <w:pPr>
        <w:pBdr>
          <w:top w:val="single" w:sz="4" w:space="1" w:color="auto"/>
          <w:left w:val="single" w:sz="4" w:space="4" w:color="auto"/>
          <w:bottom w:val="single" w:sz="4" w:space="0" w:color="auto"/>
          <w:right w:val="single" w:sz="4" w:space="4" w:color="auto"/>
        </w:pBdr>
        <w:ind w:left="850"/>
        <w:rPr>
          <w:noProof/>
          <w:color w:val="0033CC"/>
        </w:rPr>
      </w:pPr>
      <w:r>
        <w:rPr>
          <w:noProof/>
          <w:color w:val="0000FF"/>
        </w:rPr>
        <w:t xml:space="preserve">За осъществяване и подкрепа на </w:t>
      </w:r>
      <w:r>
        <w:rPr>
          <w:b/>
          <w:i/>
          <w:noProof/>
          <w:color w:val="0000FF"/>
        </w:rPr>
        <w:t>рамката за мониторинг</w:t>
      </w:r>
      <w:r>
        <w:rPr>
          <w:b/>
          <w:noProof/>
          <w:color w:val="0000FF"/>
        </w:rPr>
        <w:t xml:space="preserve"> на 8-ата ПДОС</w:t>
      </w:r>
      <w:r>
        <w:rPr>
          <w:noProof/>
          <w:color w:val="0000FF"/>
        </w:rPr>
        <w:t xml:space="preserve"> ще бъде необходимо предоставянето на допълнителни ресурси на Европейската агенция за околна среда (ЕАОС) и на Европейската агенция по химикали (ЕСНА). Тези ресурси обаче не са нови ресурси, а ще бъдат предоставени на агенциите по линия на програмата LIFE (която подкрепя и основните им дейности), за да се спази предложението за МФР, което понастоящем е предмет на преговори с бюджетния орган. Тези средства ще се използват както за подсилване на персонала в агенциите, който ще извършва работата по Европейския зелен пакт, така и по-специално за подпомагане и подготовка на дейностите по мониторинг и докладване за 8-ата ПДОС. По-конкретно:</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 </w:t>
      </w:r>
      <w:r>
        <w:rPr>
          <w:b/>
          <w:noProof/>
          <w:color w:val="0000FF"/>
        </w:rPr>
        <w:t>Европейска агенция за околната среда (ЕАОС)</w:t>
      </w:r>
      <w:r>
        <w:rPr>
          <w:noProof/>
          <w:color w:val="0000FF"/>
        </w:rPr>
        <w:t xml:space="preserve">: Основата на рамката за мониторинг ще бъдат дейностите по мониторинг и докладване на ЕАОС във връзка с различни политики в областта на околната среда и с доклада за състоянието на околната среда (SOER). Новата стратегия на ЕАОС, нейната многогодишна работна програма и нейните ресурси трябва да бъдат приспособени и укрепени, за да се осигури динамичен, последователен, многопластов и хоризонтален мониторинг, основан на интегрирането на различни източници на информация и позволяващ докладване на различни нива (национално, регионално, международно). Рамката за мониторинг следва да бъде съобразена с установените изисквания и нужди за докладване за 8-ата ПДОС, за да се позволи ефективно информиране на гражданите за предизвикателствата и отговорите и да се улесни политическата дискусия на високо равнище в Европейския парламент и в Съвета. </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Макар и мониторингът и докладването относно състоянието на околната среда да попадат в рамките на действащия мандат по учредителния регламент на ЕАОС, горепосочените задачи за мониторинг и докладване </w:t>
      </w:r>
      <w:r>
        <w:rPr>
          <w:b/>
          <w:noProof/>
          <w:color w:val="0000FF"/>
        </w:rPr>
        <w:t>ще включват допълнителни задачи за ЕАОС</w:t>
      </w:r>
      <w:r>
        <w:rPr>
          <w:noProof/>
          <w:color w:val="0000FF"/>
        </w:rPr>
        <w:t xml:space="preserve"> и следователно ще изискват повече ресурси. Съгласно внимателен анализ, извършен заедно с ЕАОС с цел установяване на възможни полезни взаимодействия и стратегическо планиране на бъдещата работа в отговор на приоритетите на Европейския зелен пакт, от 2021 г. ЕАОС ще се нуждае от следните допълнителни нови длъжности през новия период на МФР (2021—2027 г.):</w:t>
      </w:r>
    </w:p>
    <w:p>
      <w:pPr>
        <w:pBdr>
          <w:top w:val="single" w:sz="4" w:space="1" w:color="auto"/>
          <w:left w:val="single" w:sz="4" w:space="4" w:color="auto"/>
          <w:bottom w:val="single" w:sz="4" w:space="0" w:color="auto"/>
          <w:right w:val="single" w:sz="4" w:space="4" w:color="auto"/>
        </w:pBdr>
        <w:ind w:left="850"/>
        <w:rPr>
          <w:noProof/>
          <w:color w:val="0000FF"/>
        </w:rPr>
      </w:pPr>
      <w:r>
        <w:rPr>
          <w:b/>
          <w:noProof/>
          <w:color w:val="0000FF"/>
        </w:rPr>
        <w:t>9 СНС и 6 ДНС</w:t>
      </w:r>
      <w:r>
        <w:rPr>
          <w:noProof/>
          <w:color w:val="0000FF"/>
        </w:rPr>
        <w:t xml:space="preserve"> за следните нови задачи и дейности:</w:t>
      </w:r>
    </w:p>
    <w:p>
      <w:pPr>
        <w:pBdr>
          <w:top w:val="single" w:sz="4" w:space="1" w:color="auto"/>
          <w:left w:val="single" w:sz="4" w:space="4" w:color="auto"/>
          <w:bottom w:val="single" w:sz="4" w:space="0" w:color="auto"/>
          <w:right w:val="single" w:sz="4" w:space="31" w:color="auto"/>
        </w:pBdr>
        <w:ind w:left="850" w:firstLine="284"/>
        <w:rPr>
          <w:noProof/>
          <w:color w:val="0000FF"/>
        </w:rPr>
      </w:pPr>
      <w:r>
        <w:rPr>
          <w:noProof/>
          <w:color w:val="0000FF"/>
        </w:rPr>
        <w:t>Актуализиране на рамката за мониторинг на кръговата икономика (подкрепа за индекса за кръговата икономика) и подкрепа за секторните инициативи за кръговата икономика) (1 СНС)</w:t>
      </w:r>
    </w:p>
    <w:p>
      <w:pPr>
        <w:pBdr>
          <w:top w:val="single" w:sz="4" w:space="1" w:color="auto"/>
          <w:left w:val="single" w:sz="4" w:space="4" w:color="auto"/>
          <w:bottom w:val="single" w:sz="4" w:space="0" w:color="auto"/>
          <w:right w:val="single" w:sz="4" w:space="31" w:color="auto"/>
        </w:pBdr>
        <w:ind w:left="850" w:firstLine="284"/>
        <w:rPr>
          <w:strike/>
          <w:noProof/>
          <w:color w:val="0000FF"/>
        </w:rPr>
      </w:pPr>
      <w:r>
        <w:rPr>
          <w:noProof/>
          <w:color w:val="0000FF"/>
        </w:rPr>
        <w:t>Докладване относно изпълнението на мерките за кръговата икономика, устойчивите инвестиции и мониторинг на въздействието на финансирането от ЕС върху инвестициите за кръговата икономика (1 ДНС)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color w:val="0000FF"/>
          <w:szCs w:val="24"/>
        </w:rPr>
        <w:t>Подкрепа за разработването на стратегията на ЕС за биологичното разнообразие и създаването на рамка за мониторинг за биологичното разнообразие и екосистемите с акцент върху областите, които ще бъдат обхванати от нови инициативи (почви, земеползване и гори) (1 СНС, 2 ДНС)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color w:val="0000FF"/>
          <w:szCs w:val="24"/>
        </w:rPr>
        <w:t>Мониторинг на биологичното разнообразие и здравето на екосистемите (с акцент върху сладководната и морската среда) като принос към нулевото замърсяване (намаляване на морските отпадъци) и към изграждането на нетоксична околна среда (1 СНС)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color w:val="0000FF"/>
          <w:szCs w:val="24"/>
        </w:rPr>
        <w:t>Интегриран анализ на въздействието на замърсяването върху околната среда и здравето и докладване относно нови области (например питейна вода, повторно използване на водата, Севезо, живак) и междусекторни области на амбицията за нулево замърсяване в рамките на Зеления пакт, в тясно сътрудничество с ECHA и ЕОБХ (1 СНС)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color w:val="0000FF"/>
          <w:szCs w:val="24"/>
        </w:rPr>
        <w:t>Подсилване на капацитета за интегрирани анализи и оценки на отделните области на политиката в рамките на Зеления пакт (например свързване на биологичното разнообразие с инициативите за нулево замърсяване и „От фермата до трапезата“).  Това се отнася и за интегрираните оценки на Директивата за наводненията, Директивата за пречистването на градските отпадъчни води, но и Директивата за нитратите и интегрирането на подхода въз основа на сладководните и морските екосистеми в икономическия преход (годишна стратегия за устойчив растеж) и на приспособяването към изменението на климата (1 ДНС)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rPr>
        <w:tab/>
      </w:r>
      <w:r>
        <w:rPr>
          <w:noProof/>
          <w:color w:val="0000FF"/>
          <w:szCs w:val="24"/>
        </w:rPr>
        <w:t>Подобряване на мониторинга на 8-ата ПДОС и политиките в областта на климата в цифровата ера — пълноценно използване на данните на „КОПЕРНИК“, интегриране на информацията от гражданската наука и други източници за динамичен мониторинг и изпълнение в областта на околната среда — подобряване на навременността на предоставянето, визуализирането и достъпа до информация (2 ДНС)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rPr>
        <w:tab/>
      </w:r>
      <w:r>
        <w:rPr>
          <w:noProof/>
          <w:color w:val="0000FF"/>
          <w:szCs w:val="24"/>
        </w:rPr>
        <w:t>Укрепване на международното измерение на мониторинга на околната среда и климата, подкрепа за дипломацията и преговорите в областта на околната среда и климата (1 СНС)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color w:val="0000FF"/>
          <w:szCs w:val="24"/>
        </w:rPr>
        <w:t>Мониторинг и оценка на националните политики и мерки за приспособяването към изменението на климата и техните връзки с други екологични цели (1 СНС)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rPr>
        <w:tab/>
      </w:r>
      <w:r>
        <w:rPr>
          <w:noProof/>
          <w:color w:val="0000FF"/>
          <w:szCs w:val="24"/>
        </w:rPr>
        <w:t>Подкрепа за държавите членки при мониторинга и оценката на политиките за смекчаване на последиците от изменението на климата и техните връзки с качеството на въздуха и амбицията за нулево замърсяване (1 СНС)</w:t>
      </w:r>
    </w:p>
    <w:p>
      <w:pPr>
        <w:pBdr>
          <w:top w:val="single" w:sz="4" w:space="1" w:color="auto"/>
          <w:left w:val="single" w:sz="4" w:space="4" w:color="auto"/>
          <w:bottom w:val="single" w:sz="4" w:space="0" w:color="auto"/>
          <w:right w:val="single" w:sz="4" w:space="31" w:color="auto"/>
        </w:pBdr>
        <w:ind w:left="850" w:firstLine="284"/>
        <w:rPr>
          <w:noProof/>
          <w:color w:val="0000FF"/>
          <w:szCs w:val="24"/>
        </w:rPr>
      </w:pPr>
      <w:r>
        <w:rPr>
          <w:noProof/>
        </w:rPr>
        <w:tab/>
      </w:r>
      <w:r>
        <w:rPr>
          <w:noProof/>
          <w:color w:val="0000FF"/>
          <w:szCs w:val="24"/>
        </w:rPr>
        <w:t>Мониторинг на човешкото здраве и въздействието на изменението на климата и приспособяването към него чрез виртуална обсерватория на климата и здравето в рамките на Зеления пакт и амбицията му за нулево замърсяване за нетоксична околна среда (1 СНС)</w:t>
      </w:r>
    </w:p>
    <w:p>
      <w:pPr>
        <w:pBdr>
          <w:top w:val="single" w:sz="4" w:space="1" w:color="auto"/>
          <w:left w:val="single" w:sz="4" w:space="4" w:color="auto"/>
          <w:bottom w:val="single" w:sz="4" w:space="0" w:color="auto"/>
          <w:right w:val="single" w:sz="4" w:space="4" w:color="auto"/>
        </w:pBdr>
        <w:ind w:left="850" w:firstLine="284"/>
        <w:rPr>
          <w:noProof/>
          <w:color w:val="0000FF"/>
          <w:szCs w:val="24"/>
        </w:rPr>
      </w:pPr>
      <w:r>
        <w:rPr>
          <w:noProof/>
          <w:color w:val="0000FF"/>
          <w:szCs w:val="24"/>
        </w:rPr>
        <w:t>Подкрепа за нови методи за мониторинг на разхода на гориво в реални условия и емисиите от лекотоварни превозни средства и тежкотоварни автомобили (от 2022 г.) (1 СНС)</w:t>
      </w:r>
    </w:p>
    <w:p>
      <w:pPr>
        <w:pBdr>
          <w:top w:val="single" w:sz="4" w:space="1" w:color="auto"/>
          <w:left w:val="single" w:sz="4" w:space="4" w:color="auto"/>
          <w:bottom w:val="single" w:sz="4" w:space="0" w:color="auto"/>
          <w:right w:val="single" w:sz="4" w:space="4" w:color="auto"/>
        </w:pBdr>
        <w:ind w:left="850"/>
        <w:rPr>
          <w:b/>
          <w:i/>
          <w:noProof/>
          <w:color w:val="0000FF"/>
          <w:szCs w:val="24"/>
          <w:u w:val="single"/>
        </w:rPr>
      </w:pPr>
      <w:r>
        <w:rPr>
          <w:b/>
          <w:i/>
          <w:noProof/>
          <w:color w:val="0000FF"/>
          <w:szCs w:val="24"/>
          <w:u w:val="single"/>
        </w:rPr>
        <w:t>Базов персонал в ЕАОС за предложената 8-а ПДОС</w:t>
      </w:r>
    </w:p>
    <w:p>
      <w:pPr>
        <w:pBdr>
          <w:top w:val="single" w:sz="4" w:space="1" w:color="auto"/>
          <w:left w:val="single" w:sz="4" w:space="4" w:color="auto"/>
          <w:bottom w:val="single" w:sz="4" w:space="0" w:color="auto"/>
          <w:right w:val="single" w:sz="4" w:space="4" w:color="auto"/>
        </w:pBdr>
        <w:ind w:left="850"/>
        <w:rPr>
          <w:noProof/>
          <w:color w:val="0000FF"/>
          <w:szCs w:val="24"/>
        </w:rPr>
      </w:pPr>
      <w:r>
        <w:rPr>
          <w:noProof/>
          <w:color w:val="0000FF"/>
          <w:szCs w:val="24"/>
        </w:rPr>
        <w:t>За да може ЕАОС да даде своя принос за мониторинга и докладването в рамките на 8-ата ПДОС, от решаващо значение е също така да се запазят от 2021 г. нататък и през следващия период на МФР (2021—2027 г.) разпределените ресурси, допълнително разпределени за тази цел между 2018 и 2020 г. Поради това базата за изчисление на допълнително необходимите ресурси на ЕАОС следва да бъдат ресурсите, приети в окончателния бюджет на ЕС за 2020 г. (т.е. 130 длъжности по щатното разписание, 74 ДНС и 20 КНЕ). По този начин следва да се гарантира непрекъснатостта на новите основни задачи, добавени през периода 2018—2020 г., по-специално:</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szCs w:val="24"/>
        </w:rPr>
        <w:t>–</w:t>
      </w:r>
      <w:r>
        <w:rPr>
          <w:noProof/>
        </w:rPr>
        <w:tab/>
      </w:r>
      <w:r>
        <w:rPr>
          <w:noProof/>
          <w:color w:val="0000FF"/>
        </w:rPr>
        <w:t>Подпомагащата роля на ЕАОС при мониторинга, проверката, докладването и разпространението на информация за основните измерения на целите на 8-ата ПДОС, свързани с климата, декарбонизацията (намаляване на емисиите на парникови газове и възобновяема енергия) и енергийната ефективност е заложена в член 42 от Регламент (EС) 2018/1999 относно управлението на Енергийния съюз и на действията в областта на климата. За тази цел три допълнителни длъжности за договорно наети служители (ДНС) бяха разпределени за периода до 2020 г. от текущата МФР и включени в бюджета с неограничен срок. Тези 3 длъжности следва да бъдат запазени през целия период на новата МФР и да бъдат превърнати в СНС, за да може ЕАОС напълно и постоянно да изпълнява съответните допълнително възложени задачи.</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w:t>
      </w:r>
      <w:r>
        <w:rPr>
          <w:noProof/>
        </w:rPr>
        <w:tab/>
      </w:r>
      <w:r>
        <w:rPr>
          <w:noProof/>
          <w:color w:val="0000FF"/>
        </w:rPr>
        <w:t>Допълнителните длъжности, разпределени на агенцията при съставянето на бюджета за 2020 г. (5 СНС и 2 ДНС) и по силата на Регламент (EС) 2018/956 (2 ДНС), са от съществено значение за изпълнението на настоящите политики в областта на околната среда и климата. Тези длъжности се отнасят за дейности, които вече се изпълняват (вж. по-долу) и са част от базовия персонал на агенцията:</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а) смекчаване на последиците от изменението на климата, интегриране на ЗПЗГС в платформата за инвентаризацията на ПГ и системен анализ на секторите на климата, горското и селското стопанство</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б) системен анализ на политиката за водите в контекста на изменението на климата</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в) интегриран анализ на икономическото въздействие на екологичен, устойчив и справедлив преход</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г) модернизиране на инструментите за мониторинг на биологичното разнообразие</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д) интегриране на данните от „Коперник“ в мониторинга и докладването в областта на околната среда</w:t>
      </w:r>
    </w:p>
    <w:p>
      <w:pPr>
        <w:pBdr>
          <w:top w:val="single" w:sz="4" w:space="1" w:color="auto"/>
          <w:left w:val="single" w:sz="4" w:space="4" w:color="auto"/>
          <w:bottom w:val="single" w:sz="4" w:space="0" w:color="auto"/>
          <w:right w:val="single" w:sz="4" w:space="4" w:color="auto"/>
        </w:pBdr>
        <w:ind w:left="850"/>
        <w:rPr>
          <w:noProof/>
          <w:color w:val="0000FF"/>
          <w:sz w:val="20"/>
          <w:szCs w:val="24"/>
        </w:rPr>
      </w:pPr>
      <w:r>
        <w:rPr>
          <w:noProof/>
          <w:color w:val="0000FF"/>
          <w:sz w:val="20"/>
          <w:szCs w:val="24"/>
        </w:rPr>
        <w:t>е) мониторинг и докладване на емисиите на CO</w:t>
      </w:r>
      <w:r>
        <w:rPr>
          <w:noProof/>
          <w:color w:val="0000FF"/>
          <w:sz w:val="20"/>
          <w:szCs w:val="24"/>
          <w:vertAlign w:val="subscript"/>
        </w:rPr>
        <w:t>2</w:t>
      </w:r>
      <w:r>
        <w:rPr>
          <w:noProof/>
          <w:color w:val="0000FF"/>
          <w:sz w:val="20"/>
          <w:szCs w:val="24"/>
        </w:rPr>
        <w:t xml:space="preserve"> и разхода на гориво на нови тежкотоварни автомобили</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 xml:space="preserve">• </w:t>
      </w:r>
      <w:r>
        <w:rPr>
          <w:b/>
          <w:noProof/>
          <w:color w:val="0000FF"/>
        </w:rPr>
        <w:t>Европейска агенция по химикали (ЕСНА):</w:t>
      </w:r>
      <w:r>
        <w:rPr>
          <w:noProof/>
          <w:color w:val="0000FF"/>
        </w:rPr>
        <w:t xml:space="preserve"> ECHA ще изиграе важна роля в разработването на предстоящата стратегия на ЕС за устойчивост в областта на химикалите.</w:t>
      </w:r>
    </w:p>
    <w:p>
      <w:pPr>
        <w:pBdr>
          <w:top w:val="single" w:sz="4" w:space="1" w:color="auto"/>
          <w:left w:val="single" w:sz="4" w:space="4" w:color="auto"/>
          <w:bottom w:val="single" w:sz="4" w:space="0" w:color="auto"/>
          <w:right w:val="single" w:sz="4" w:space="4" w:color="auto"/>
        </w:pBdr>
        <w:ind w:left="850"/>
        <w:rPr>
          <w:noProof/>
          <w:color w:val="0000FF"/>
        </w:rPr>
      </w:pPr>
      <w:r>
        <w:rPr>
          <w:noProof/>
          <w:color w:val="0000FF"/>
        </w:rPr>
        <w:t>За да бъдат изпълнени изброените задачи, от 2020 г. нататък ЕСНА ще има нужда от следните нови длъжности:</w:t>
      </w:r>
    </w:p>
    <w:p>
      <w:pPr>
        <w:pBdr>
          <w:top w:val="single" w:sz="4" w:space="1" w:color="auto"/>
          <w:left w:val="single" w:sz="4" w:space="4" w:color="auto"/>
          <w:bottom w:val="single" w:sz="4" w:space="0" w:color="auto"/>
          <w:right w:val="single" w:sz="4" w:space="4" w:color="auto"/>
        </w:pBdr>
        <w:ind w:left="850" w:firstLine="590"/>
        <w:rPr>
          <w:noProof/>
          <w:color w:val="0000FF"/>
        </w:rPr>
      </w:pPr>
      <w:r>
        <w:rPr>
          <w:noProof/>
          <w:color w:val="0000FF"/>
        </w:rPr>
        <w:t>1 СНС и 1 ДНС за управлението и консолидирането на базите данни и предоставянето на химични данни с цел допълване на съответните доклади за нововъзникващи рискове и като принос към показателите за политиката в областта на химикалите и друг принос към работата на ЕАОС.</w:t>
      </w:r>
    </w:p>
    <w:p>
      <w:pPr>
        <w:pStyle w:val="ManualHeading3"/>
        <w:rPr>
          <w:bCs/>
          <w:noProof/>
          <w:szCs w:val="24"/>
        </w:rPr>
      </w:pPr>
      <w:r>
        <w:rPr>
          <w:noProof/>
        </w:rPr>
        <w:br w:type="page"/>
      </w:r>
      <w:bookmarkStart w:id="29" w:name="_Toc514938666"/>
      <w:bookmarkStart w:id="30" w:name="_Toc520485425"/>
      <w:bookmarkStart w:id="31" w:name="_Toc52892465"/>
      <w:bookmarkStart w:id="32" w:name="_Toc54602303"/>
      <w:r>
        <w:t>1.4.3.</w:t>
      </w:r>
      <w:r>
        <w:tab/>
      </w:r>
      <w:r>
        <w:rPr>
          <w:noProof/>
        </w:rPr>
        <w:t>Очаквани резултати и отражение</w:t>
      </w:r>
      <w:bookmarkEnd w:id="29"/>
      <w:bookmarkEnd w:id="30"/>
      <w:bookmarkEnd w:id="31"/>
      <w:bookmarkEnd w:id="32"/>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pPr>
      <w:bookmarkStart w:id="33" w:name="_Toc514938667"/>
      <w:bookmarkStart w:id="34" w:name="_Toc520485426"/>
      <w:r>
        <w:t>Главната цел на предвидените мерки е създаването на всеобхватна рамка за мониторинг, подходяща за 8-ата ПДОС, но и насърчаването на взаимовръзките и полезните взаимодействия между 8-ата ПДОС и съответните инициативи в рамките на Европейския зелен пакт. Очевидно за тази цел се разглеждат приетият наскоро план за действие за кръгова икономика, законодателството в областта на климата, в което е заложена целта за неутрален по отношение на климата ЕС до 2050 г., стратегията на ЕС за биологичното разнообразие до 2030 г., инициативата „От фермата до трапезата“, но и други инициативи, които понастоящем се подготвят, като например инициативите във връзка с амбицията на нулевото замърсяване (ZPAP и стратегията за устойчивост в областта на химикалите).</w:t>
      </w:r>
    </w:p>
    <w:p>
      <w:pPr>
        <w:pStyle w:val="Text1"/>
        <w:pBdr>
          <w:top w:val="single" w:sz="4" w:space="1" w:color="auto"/>
          <w:left w:val="single" w:sz="4" w:space="4" w:color="auto"/>
          <w:bottom w:val="single" w:sz="4" w:space="1" w:color="auto"/>
          <w:right w:val="single" w:sz="4" w:space="4" w:color="auto"/>
        </w:pBdr>
      </w:pPr>
      <w:r>
        <w:t xml:space="preserve">Този нов подход за мониторинг, който включва цифрови инструменти на най-съвременно техническо равнище, ще позволи анализи въз основа на данни и ясно определено докладване на различни равнища и в различни сектори и ще подпомогне допълнително изпълнението на задълженията на ЕС за докладване на равнището на ЕС и на международно равнище. </w:t>
      </w:r>
    </w:p>
    <w:p>
      <w:pPr>
        <w:pStyle w:val="Text1"/>
        <w:pBdr>
          <w:top w:val="single" w:sz="4" w:space="1" w:color="auto"/>
          <w:left w:val="single" w:sz="4" w:space="4" w:color="auto"/>
          <w:bottom w:val="single" w:sz="4" w:space="1" w:color="auto"/>
          <w:right w:val="single" w:sz="4" w:space="4" w:color="auto"/>
        </w:pBdr>
        <w:rPr>
          <w:bCs/>
          <w:noProof/>
          <w:szCs w:val="24"/>
        </w:rPr>
      </w:pPr>
      <w:r>
        <w:t xml:space="preserve">Добре структурираната и планирана рамка за докладване и съответните дейности имат за цел да допринесат за съдържателна оценка на 8-ата ПДОС, да информират създателите на политики и да предизвикат обсъждания на високо равнище в Съвета и Европейския парламент. </w:t>
      </w:r>
      <w:bookmarkEnd w:id="33"/>
      <w:bookmarkEnd w:id="34"/>
    </w:p>
    <w:p>
      <w:pPr>
        <w:pStyle w:val="Text1"/>
        <w:rPr>
          <w:i/>
          <w:noProof/>
          <w:sz w:val="20"/>
        </w:rPr>
      </w:pPr>
      <w:r>
        <w:rPr>
          <w:i/>
          <w:noProof/>
          <w:sz w:val="20"/>
        </w:rPr>
        <w:t>Да се посочат показателите за проследяване на напредъка и постиженията.</w:t>
      </w:r>
    </w:p>
    <w:p>
      <w:pPr>
        <w:pStyle w:val="Text1"/>
        <w:pBdr>
          <w:top w:val="single" w:sz="4" w:space="1" w:color="auto"/>
          <w:left w:val="single" w:sz="4" w:space="4" w:color="auto"/>
          <w:bottom w:val="single" w:sz="4" w:space="1" w:color="auto"/>
          <w:right w:val="single" w:sz="4" w:space="4" w:color="auto"/>
        </w:pBdr>
      </w:pPr>
      <w:bookmarkStart w:id="35" w:name="_Toc514938668"/>
      <w:bookmarkStart w:id="36" w:name="_Toc520485427"/>
      <w:r>
        <w:t>Изпълнението на действията, предвидени в предложението, ще бъде наблюдавано от Комисията. Показателите биха могли да включват:</w:t>
      </w:r>
    </w:p>
    <w:p>
      <w:pPr>
        <w:pStyle w:val="Text1"/>
        <w:pBdr>
          <w:top w:val="single" w:sz="4" w:space="1" w:color="auto"/>
          <w:left w:val="single" w:sz="4" w:space="4" w:color="auto"/>
          <w:bottom w:val="single" w:sz="4" w:space="1" w:color="auto"/>
          <w:right w:val="single" w:sz="4" w:space="4" w:color="auto"/>
        </w:pBdr>
      </w:pPr>
      <w:r>
        <w:t>— брой на докладите по тематични въпроси (кръгова икономика, биологично разнообразие, гори, земеползване, вода и морета, въздух, шум, отпадъци, емисии и т.н.)</w:t>
      </w:r>
    </w:p>
    <w:p>
      <w:pPr>
        <w:pStyle w:val="Text1"/>
        <w:pBdr>
          <w:top w:val="single" w:sz="4" w:space="1" w:color="auto"/>
          <w:left w:val="single" w:sz="4" w:space="4" w:color="auto"/>
          <w:bottom w:val="single" w:sz="4" w:space="1" w:color="auto"/>
          <w:right w:val="single" w:sz="4" w:space="4" w:color="auto"/>
        </w:pBdr>
      </w:pPr>
      <w:r>
        <w:t>— брой на хоризонталните мониторингови доклади относно напредъка по изпълнението на 8-ата ПДОС, ЦУР, прегледа на изпълнението на политиките в областта на околната среда (EIR) и Европейския зелен пакт в отговор на съответните цикли на докладване (3-тият цикъл на докладване ще приключи през юни 2027 г. преди изтичането на срока на действие на 8-ата ПДОС).</w:t>
      </w:r>
    </w:p>
    <w:p>
      <w:pPr>
        <w:pStyle w:val="ManualHeading2"/>
        <w:rPr>
          <w:bCs/>
          <w:noProof/>
          <w:szCs w:val="24"/>
        </w:rPr>
      </w:pPr>
      <w:bookmarkStart w:id="37" w:name="_Toc52892466"/>
      <w:bookmarkStart w:id="38" w:name="_Toc54602304"/>
      <w:r>
        <w:t>1.5.</w:t>
      </w:r>
      <w:r>
        <w:tab/>
      </w:r>
      <w:r>
        <w:rPr>
          <w:noProof/>
        </w:rPr>
        <w:t>Мотиви за предложението/инициативата</w:t>
      </w:r>
      <w:bookmarkEnd w:id="35"/>
      <w:bookmarkEnd w:id="36"/>
      <w:bookmarkEnd w:id="37"/>
      <w:bookmarkEnd w:id="38"/>
    </w:p>
    <w:p>
      <w:pPr>
        <w:pStyle w:val="ManualHeading3"/>
        <w:rPr>
          <w:noProof/>
        </w:rPr>
      </w:pPr>
      <w:bookmarkStart w:id="39" w:name="_Toc514938669"/>
      <w:bookmarkStart w:id="40" w:name="_Toc520485428"/>
      <w:bookmarkStart w:id="41" w:name="_Toc52892467"/>
      <w:bookmarkStart w:id="42" w:name="_Toc54602305"/>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39"/>
      <w:bookmarkEnd w:id="40"/>
      <w:bookmarkEnd w:id="41"/>
      <w:bookmarkEnd w:id="42"/>
    </w:p>
    <w:p>
      <w:pPr>
        <w:pStyle w:val="Text1"/>
        <w:pBdr>
          <w:top w:val="single" w:sz="4" w:space="1" w:color="auto"/>
          <w:left w:val="single" w:sz="4" w:space="4" w:color="auto"/>
          <w:bottom w:val="single" w:sz="4" w:space="1" w:color="auto"/>
          <w:right w:val="single" w:sz="4" w:space="4" w:color="auto"/>
        </w:pBdr>
      </w:pPr>
      <w:bookmarkStart w:id="43" w:name="_Toc514938670"/>
      <w:bookmarkStart w:id="44" w:name="_Toc520485429"/>
      <w:r>
        <w:t>Предложението за 8-ата ПДОС е в съответствие с член 192, параграф 3 от Договора и с резултатите от неотдавнашната оценка на 7-ата ПДОС.</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Комисията трябва да направи преглед на напредъка в контекста на три последователни цикъла на докладване за EIR през 2022, 2024 и 2027 г.</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В рамките на втория цикъл на докладване през 2024 г. – който трябва да приключи навреме, за да предостави преди края на мандата на тази Комисия информация за напредъка по изпълнението на Европейския зелен пакт, 8-ата ПДОС, ЦУР и визията за 2050 г. на програмата (съгласно член 2 от решението) – Комисията ще направи равносметка и ще проучи дали е необходимо да се преразгледат приоритетите на Съюза в областта на околната среда и климата, определени в Европейския зелен пакт, и приоритетните цели, установени в тази програма.</w:t>
      </w:r>
    </w:p>
    <w:p>
      <w:pPr>
        <w:pStyle w:val="Text1"/>
        <w:pBdr>
          <w:top w:val="single" w:sz="4" w:space="1" w:color="auto"/>
          <w:left w:val="single" w:sz="4" w:space="4" w:color="auto"/>
          <w:bottom w:val="single" w:sz="4" w:space="1" w:color="auto"/>
          <w:right w:val="single" w:sz="4" w:space="4" w:color="auto"/>
        </w:pBdr>
      </w:pPr>
      <w:r>
        <w:rPr>
          <w:noProof/>
          <w:color w:val="0000FF"/>
          <w:szCs w:val="24"/>
        </w:rPr>
        <w:t>Третият цикъл на докладване ще приключи до юни 2027 г., т.е. Достатъчно време преди изтичането на срока на действие на програмата.</w:t>
      </w:r>
      <w:r>
        <w:t xml:space="preserve"> </w:t>
      </w:r>
    </w:p>
    <w:p>
      <w:pPr>
        <w:pStyle w:val="ManualHeading3"/>
        <w:rPr>
          <w:noProof/>
        </w:rPr>
      </w:pPr>
      <w:bookmarkStart w:id="45" w:name="_Toc52892468"/>
      <w:bookmarkStart w:id="46" w:name="_Toc54602306"/>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43"/>
      <w:bookmarkEnd w:id="44"/>
      <w:bookmarkEnd w:id="45"/>
      <w:bookmarkEnd w:id="46"/>
    </w:p>
    <w:p>
      <w:pPr>
        <w:pStyle w:val="Text1"/>
        <w:pBdr>
          <w:top w:val="single" w:sz="4" w:space="1" w:color="auto"/>
          <w:left w:val="single" w:sz="4" w:space="4" w:color="auto"/>
          <w:bottom w:val="single" w:sz="4" w:space="1" w:color="auto"/>
          <w:right w:val="single" w:sz="4" w:space="4" w:color="auto"/>
        </w:pBdr>
      </w:pPr>
      <w:bookmarkStart w:id="47" w:name="_Toc514938671"/>
      <w:bookmarkStart w:id="48" w:name="_Toc520485430"/>
      <w:r>
        <w:t>Основания за действие на европейско равнище (ex-ante):</w:t>
      </w:r>
    </w:p>
    <w:p>
      <w:pPr>
        <w:pStyle w:val="Text1"/>
        <w:pBdr>
          <w:top w:val="single" w:sz="4" w:space="1" w:color="auto"/>
          <w:left w:val="single" w:sz="4" w:space="4" w:color="auto"/>
          <w:bottom w:val="single" w:sz="4" w:space="1" w:color="auto"/>
          <w:right w:val="single" w:sz="4" w:space="4" w:color="auto"/>
        </w:pBdr>
      </w:pPr>
      <w:r>
        <w:t>Необходимостта от осигуряване на ефективен, съгласуван и гъвкав мониторинг на 8-ата ПДОС и на всички политики на ЕС в областта на околната среда и климата е заложена в Договора за ЕС.</w:t>
      </w:r>
    </w:p>
    <w:p>
      <w:pPr>
        <w:pStyle w:val="Text1"/>
        <w:pBdr>
          <w:top w:val="single" w:sz="4" w:space="1" w:color="auto"/>
          <w:left w:val="single" w:sz="4" w:space="4" w:color="auto"/>
          <w:bottom w:val="single" w:sz="4" w:space="1" w:color="auto"/>
          <w:right w:val="single" w:sz="4" w:space="4" w:color="auto"/>
        </w:pBdr>
      </w:pPr>
      <w:r>
        <w:t>Очаквана генерирана добавена стойност от ЕС (ex-post):</w:t>
      </w:r>
    </w:p>
    <w:p>
      <w:pPr>
        <w:pStyle w:val="Text1"/>
        <w:pBdr>
          <w:top w:val="single" w:sz="4" w:space="1" w:color="auto"/>
          <w:left w:val="single" w:sz="4" w:space="4" w:color="auto"/>
          <w:bottom w:val="single" w:sz="4" w:space="1" w:color="auto"/>
          <w:right w:val="single" w:sz="4" w:space="4" w:color="auto"/>
        </w:pBdr>
      </w:pPr>
      <w:r>
        <w:t>Рамката за мониторинг ще бъде инструментът за мониторинг на 8-ата ПДОС и Европейския зелен пакт. Тя ще подкрепи задълженията за докладване, ще улесни обсъжданията на високо равнище и ще допринесе за оценката на постиженията на 8-ата ПДОС.</w:t>
      </w:r>
    </w:p>
    <w:p>
      <w:pPr>
        <w:pStyle w:val="ManualHeading3"/>
        <w:rPr>
          <w:noProof/>
        </w:rPr>
      </w:pPr>
      <w:bookmarkStart w:id="49" w:name="_Toc52892469"/>
      <w:bookmarkStart w:id="50" w:name="_Toc54602307"/>
      <w:r>
        <w:t>1.5.3.</w:t>
      </w:r>
      <w:r>
        <w:tab/>
      </w:r>
      <w:r>
        <w:rPr>
          <w:noProof/>
        </w:rPr>
        <w:t>Изводи от подобен опит в миналото</w:t>
      </w:r>
      <w:bookmarkEnd w:id="47"/>
      <w:bookmarkEnd w:id="48"/>
      <w:bookmarkEnd w:id="49"/>
      <w:bookmarkEnd w:id="50"/>
    </w:p>
    <w:p>
      <w:pPr>
        <w:pStyle w:val="Text1"/>
        <w:pBdr>
          <w:top w:val="single" w:sz="4" w:space="1" w:color="auto"/>
          <w:left w:val="single" w:sz="4" w:space="4" w:color="auto"/>
          <w:bottom w:val="single" w:sz="4" w:space="1" w:color="auto"/>
          <w:right w:val="single" w:sz="4" w:space="4" w:color="auto"/>
        </w:pBdr>
      </w:pPr>
      <w:bookmarkStart w:id="51" w:name="_Toc514938672"/>
      <w:bookmarkStart w:id="52" w:name="_Toc520485431"/>
      <w:r>
        <w:t>Не е приложимо.</w:t>
      </w:r>
    </w:p>
    <w:p>
      <w:pPr>
        <w:pStyle w:val="ManualHeading3"/>
        <w:rPr>
          <w:noProof/>
        </w:rPr>
      </w:pPr>
      <w:bookmarkStart w:id="53" w:name="_Toc52892470"/>
      <w:bookmarkStart w:id="54" w:name="_Toc54602308"/>
      <w:r>
        <w:t>1.5.4.</w:t>
      </w:r>
      <w:r>
        <w:tab/>
      </w:r>
      <w:r>
        <w:rPr>
          <w:noProof/>
        </w:rPr>
        <w:t>Съвместимост с многогодишната финансова рамка и евентуални синергии с други подходящи инструменти</w:t>
      </w:r>
      <w:bookmarkEnd w:id="51"/>
      <w:bookmarkEnd w:id="52"/>
      <w:bookmarkEnd w:id="53"/>
      <w:bookmarkEnd w:id="54"/>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bookmarkStart w:id="55" w:name="_Toc514938673"/>
      <w:bookmarkStart w:id="56" w:name="_Toc520485432"/>
      <w:r>
        <w:t xml:space="preserve">Целта на настоящото предложение е в съответствие с редица други политики на ЕС и текущи инициативи, произтичащи от Европейския зелен пакт. </w:t>
      </w:r>
      <w:r>
        <w:rPr>
          <w:noProof/>
          <w:color w:val="0000FF"/>
          <w:szCs w:val="24"/>
        </w:rPr>
        <w:t>Приоритетните цели на 8-ата програма за действие за околната среда са следните:</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szCs w:val="24"/>
        </w:rPr>
        <w:t>а)</w:t>
      </w:r>
      <w:r>
        <w:rPr>
          <w:noProof/>
        </w:rPr>
        <w:tab/>
      </w:r>
      <w:r>
        <w:rPr>
          <w:noProof/>
          <w:color w:val="0000FF"/>
          <w:szCs w:val="24"/>
        </w:rPr>
        <w:t>постигане на целта през 2050 г. да живеем добре в екологичните предели на планетата. Благоденствието ни и доброто състояние на околната среда се дължат на иновативна, кръгова икономика, в която нищо не се пилее, природните ресурси се управляват устойчиво и биологичното разнообразие се опазва, цени и възстановява по начини, които повишават устойчивостта на нашето общество. Нашата неутрална по отношение на климата икономика не е зависима от използването на ресурси и по този начин създава модел за безопасно и устойчиво общество в световен мащаб;</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б)</w:t>
      </w:r>
      <w:r>
        <w:rPr>
          <w:noProof/>
        </w:rPr>
        <w:tab/>
      </w:r>
      <w:r>
        <w:rPr>
          <w:noProof/>
          <w:color w:val="0000FF"/>
        </w:rPr>
        <w:t>постигане на целите на Съюза в областта на околната среда и климата, посочени в Европейския зелен пакт с оглед на изпълнението на Програмата на ООН за устойчиво развитие до 2030 г., по-специално:</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неутралност по отношение на климата до 2050 г. съгласно правото в областта на климата</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чиста и кръгова икономика, която е неутрална по отношение на климата</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опазване и възстановяване на екосистемите и биологичното разнообразие</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szCs w:val="24"/>
        </w:rPr>
        <w:t>–</w:t>
      </w:r>
      <w:r>
        <w:rPr>
          <w:noProof/>
        </w:rPr>
        <w:tab/>
      </w:r>
      <w:r>
        <w:rPr>
          <w:noProof/>
          <w:color w:val="0000FF"/>
          <w:szCs w:val="24"/>
        </w:rPr>
        <w:t>амбиция за нулево замърсяване за нетоксична околна сред и защита на здравето на гражданите;</w:t>
      </w:r>
    </w:p>
    <w:p>
      <w:pPr>
        <w:pStyle w:val="Text1"/>
        <w:pBdr>
          <w:top w:val="single" w:sz="4" w:space="1" w:color="auto"/>
          <w:left w:val="single" w:sz="4" w:space="4" w:color="auto"/>
          <w:bottom w:val="single" w:sz="4" w:space="1" w:color="auto"/>
          <w:right w:val="single" w:sz="4" w:space="4" w:color="auto"/>
        </w:pBdr>
        <w:rPr>
          <w:rFonts w:eastAsia="Times New Roman"/>
          <w:noProof/>
          <w:color w:val="0000FF"/>
          <w:szCs w:val="24"/>
        </w:rPr>
      </w:pPr>
      <w:r>
        <w:rPr>
          <w:noProof/>
          <w:color w:val="0000FF"/>
        </w:rPr>
        <w:t>в)</w:t>
      </w:r>
      <w:r>
        <w:rPr>
          <w:noProof/>
        </w:rPr>
        <w:tab/>
      </w:r>
      <w:r>
        <w:rPr>
          <w:noProof/>
          <w:color w:val="0000FF"/>
          <w:szCs w:val="24"/>
        </w:rPr>
        <w:t>гарантиране на пълното спазване на достиженията на правото в областта на околната среда и климата;</w:t>
      </w:r>
    </w:p>
    <w:p>
      <w:pPr>
        <w:pStyle w:val="Text1"/>
        <w:pBdr>
          <w:top w:val="single" w:sz="4" w:space="1" w:color="auto"/>
          <w:left w:val="single" w:sz="4" w:space="4" w:color="auto"/>
          <w:bottom w:val="single" w:sz="4" w:space="1" w:color="auto"/>
          <w:right w:val="single" w:sz="4" w:space="4" w:color="auto"/>
        </w:pBdr>
      </w:pPr>
      <w:r>
        <w:rPr>
          <w:noProof/>
          <w:color w:val="0000FF"/>
          <w:szCs w:val="24"/>
        </w:rPr>
        <w:t>г)</w:t>
      </w:r>
      <w:r>
        <w:rPr>
          <w:noProof/>
        </w:rPr>
        <w:tab/>
      </w:r>
      <w:r>
        <w:rPr>
          <w:noProof/>
          <w:color w:val="0000FF"/>
        </w:rPr>
        <w:t>прилагане на мерките, политиките и подходите, посочени в член 3 от програмата, които заедно представляват благоприятстваща уредба за преобразуваща промяна.</w:t>
      </w:r>
    </w:p>
    <w:p>
      <w:pPr>
        <w:pStyle w:val="ManualHeading3"/>
        <w:rPr>
          <w:noProof/>
        </w:rPr>
      </w:pPr>
      <w:bookmarkStart w:id="57" w:name="_Toc52892471"/>
      <w:bookmarkStart w:id="58" w:name="_Toc54602309"/>
      <w:r>
        <w:t>1.5.5.</w:t>
      </w:r>
      <w:r>
        <w:tab/>
      </w:r>
      <w:r>
        <w:rPr>
          <w:noProof/>
        </w:rPr>
        <w:t>Оценка на различните налични варианти за финансиране, включително възможностите за преразпределяне на средства</w:t>
      </w:r>
      <w:bookmarkEnd w:id="55"/>
      <w:bookmarkEnd w:id="56"/>
      <w:bookmarkEnd w:id="57"/>
      <w:bookmarkEnd w:id="58"/>
    </w:p>
    <w:p>
      <w:pPr>
        <w:pStyle w:val="Text1"/>
        <w:pBdr>
          <w:top w:val="single" w:sz="4" w:space="1" w:color="auto"/>
          <w:left w:val="single" w:sz="4" w:space="4" w:color="auto"/>
          <w:bottom w:val="single" w:sz="4" w:space="1" w:color="auto"/>
          <w:right w:val="single" w:sz="4" w:space="4" w:color="auto"/>
        </w:pBdr>
      </w:pPr>
      <w:r>
        <w:t>Не е приложимо.</w:t>
      </w:r>
    </w:p>
    <w:p>
      <w:pPr>
        <w:pStyle w:val="ManualHeading2"/>
        <w:rPr>
          <w:bCs/>
          <w:noProof/>
          <w:szCs w:val="24"/>
        </w:rPr>
      </w:pPr>
      <w:r>
        <w:rPr>
          <w:noProof/>
        </w:rPr>
        <w:br w:type="page"/>
      </w:r>
      <w:bookmarkStart w:id="59" w:name="_Toc514938674"/>
      <w:bookmarkStart w:id="60" w:name="_Toc520485433"/>
      <w:bookmarkStart w:id="61" w:name="_Toc52892472"/>
      <w:bookmarkStart w:id="62" w:name="_Toc54602310"/>
      <w:r>
        <w:t>1.6.</w:t>
      </w:r>
      <w:r>
        <w:tab/>
      </w:r>
      <w:r>
        <w:rPr>
          <w:noProof/>
        </w:rPr>
        <w:t>Срок на действие и финансово отражение на предложението/инициативата</w:t>
      </w:r>
      <w:bookmarkEnd w:id="59"/>
      <w:bookmarkEnd w:id="60"/>
      <w:bookmarkEnd w:id="61"/>
      <w:bookmarkEnd w:id="62"/>
    </w:p>
    <w:p>
      <w:pPr>
        <w:pStyle w:val="Text1"/>
        <w:rPr>
          <w:noProof/>
        </w:rPr>
      </w:pPr>
      <w:r>
        <w:rPr>
          <w:noProof/>
        </w:rPr>
        <w:sym w:font="Wingdings" w:char="F0A8"/>
      </w:r>
      <w:r>
        <w:rPr>
          <w:b/>
          <w:i/>
          <w:noProof/>
        </w:rPr>
        <w:t xml:space="preserve"> </w:t>
      </w:r>
      <w:r>
        <w:rPr>
          <w:b/>
          <w:noProof/>
        </w:rPr>
        <w:t>ограничен срок на действие</w:t>
      </w:r>
    </w:p>
    <w:p>
      <w:pPr>
        <w:pStyle w:val="ListDash2"/>
        <w:rPr>
          <w:noProof/>
        </w:rPr>
      </w:pPr>
      <w:r>
        <w:rPr>
          <w:noProof/>
        </w:rPr>
        <w:sym w:font="Wingdings" w:char="F0A8"/>
      </w:r>
      <w:r>
        <w:rPr>
          <w:noProof/>
        </w:rPr>
        <w:tab/>
        <w:t>Предложение/инициатива в сила от [ДД/ММ]ГГГГ до [ДД/ММ]ГГГГ</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FE"/>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2021 г.,</w:t>
      </w:r>
    </w:p>
    <w:p>
      <w:pPr>
        <w:pStyle w:val="ListDash1"/>
        <w:rPr>
          <w:noProof/>
        </w:rPr>
      </w:pPr>
      <w:r>
        <w:rPr>
          <w:noProof/>
        </w:rPr>
        <w:t>последван от функциониране с пълен капацитет.</w:t>
      </w:r>
    </w:p>
    <w:p>
      <w:pPr>
        <w:pStyle w:val="ManualHeading2"/>
        <w:rPr>
          <w:bCs/>
          <w:noProof/>
          <w:szCs w:val="24"/>
        </w:rPr>
      </w:pPr>
      <w:bookmarkStart w:id="63" w:name="_Toc514938675"/>
      <w:bookmarkStart w:id="64" w:name="_Toc520485434"/>
      <w:bookmarkStart w:id="65" w:name="_Toc52892473"/>
      <w:bookmarkStart w:id="66" w:name="_Toc54602311"/>
      <w:r>
        <w:t>1.7.</w:t>
      </w:r>
      <w:r>
        <w:tab/>
      </w:r>
      <w:r>
        <w:rPr>
          <w:noProof/>
        </w:rPr>
        <w:t>Планирани методи на управление</w:t>
      </w:r>
      <w:r>
        <w:rPr>
          <w:rStyle w:val="FootnoteReference"/>
          <w:noProof/>
        </w:rPr>
        <w:footnoteReference w:id="38"/>
      </w:r>
      <w:bookmarkEnd w:id="63"/>
      <w:bookmarkEnd w:id="64"/>
      <w:bookmarkEnd w:id="65"/>
      <w:bookmarkEnd w:id="66"/>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 от</w:t>
      </w:r>
    </w:p>
    <w:p>
      <w:pPr>
        <w:pStyle w:val="ListDash2"/>
        <w:rPr>
          <w:noProof/>
        </w:rPr>
      </w:pPr>
      <w:r>
        <w:rPr>
          <w:noProof/>
        </w:rPr>
        <w:sym w:font="Wingdings" w:char="F0A8"/>
      </w:r>
      <w:r>
        <w:rPr>
          <w:noProof/>
        </w:rPr>
        <w:tab/>
        <w:t>изпълнителните агенции</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FE"/>
      </w:r>
      <w:r>
        <w:rPr>
          <w:noProof/>
        </w:rPr>
        <w:t xml:space="preserve"> органите, посочени в членове 70 и 71;</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t>Не е приложимо.</w:t>
      </w: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67" w:name="_Toc514938676"/>
      <w:bookmarkStart w:id="68" w:name="_Toc520485435"/>
      <w:bookmarkStart w:id="69" w:name="_Toc52892474"/>
      <w:bookmarkStart w:id="70" w:name="_Toc54602312"/>
      <w:r>
        <w:t>2.</w:t>
      </w:r>
      <w:r>
        <w:tab/>
      </w:r>
      <w:r>
        <w:rPr>
          <w:noProof/>
        </w:rPr>
        <w:t>МЕРКИ ЗА УПРАВЛЕНИЕ</w:t>
      </w:r>
      <w:bookmarkEnd w:id="67"/>
      <w:bookmarkEnd w:id="68"/>
      <w:bookmarkEnd w:id="69"/>
      <w:bookmarkEnd w:id="70"/>
    </w:p>
    <w:p>
      <w:pPr>
        <w:pStyle w:val="ManualHeading2"/>
        <w:rPr>
          <w:bCs/>
          <w:noProof/>
          <w:szCs w:val="24"/>
        </w:rPr>
      </w:pPr>
      <w:bookmarkStart w:id="71" w:name="_Toc514938677"/>
      <w:bookmarkStart w:id="72" w:name="_Toc520485436"/>
      <w:bookmarkStart w:id="73" w:name="_Toc52892475"/>
      <w:bookmarkStart w:id="74" w:name="_Toc54602313"/>
      <w:r>
        <w:t>2.1.</w:t>
      </w:r>
      <w:r>
        <w:tab/>
      </w:r>
      <w:r>
        <w:rPr>
          <w:noProof/>
        </w:rPr>
        <w:t>Правила за мониторинг и докладване</w:t>
      </w:r>
      <w:bookmarkEnd w:id="71"/>
      <w:bookmarkEnd w:id="72"/>
      <w:bookmarkEnd w:id="73"/>
      <w:bookmarkEnd w:id="74"/>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pPr>
      <w:bookmarkStart w:id="75" w:name="_Toc514938678"/>
      <w:bookmarkStart w:id="76" w:name="_Toc520485437"/>
      <w:r>
        <w:t>Предложението съдържа решение за приемане на 8-ата програма на Съюза за действие за околната среда. В предложението за 8-ата ПДОС се изяснява необходимостта от амбициозна програма, в която се предвижда редовен мониторинг и докладване относно състоянието на околната среда и усилията на държавите членки за изпълнение на действия в областта на околната страна и климата (член 4, параграф 1). Тази работа ще подобри използването на договорени показатели в различни области на политиката за околната среда и климата, като се основава на принципите на INSPIRE за използването на пространствени данни и цифрова информация (КОПЕРНИК). Последователно, мултидисциплинарно и актуализирано докладване ще бъде основата за предоставянето на информация на обществеността и за прегледа на напредъка по въпросите на климата и околната среда. Освен това въз основа на тези доклади ще се състоят дискусии на високо равнище, в рамките на които Съветът и Парламентът ще обсъдят състоянието на предизвикателствата в областта на околната среда и климата и ще извършват оценка на съгласуваността на политиките и действията на ЕС за тяхното преодоляване и за постигането на целите на Европейския зелен пакт. Участието на ЕАОС и ECHA е от решаващо значение за тази работа. Също и по отношение на стратегията на ЕС за биологичното разнообразие ролята на мониторинга и пълноценното използване на цифровата информация е от първостепенно значение за наблюдението на състоянието на уязвими и ценни екосистеми и техните услуги. Благодарение на оперативната съвместимост на базите данни и интелигентния анализ на данни от различни източници се предоставя ценна информация за въздействието на човешката дейност върху околната среда и климата. Редовното докладване за това въздействие дава видимост не само на отрицателните последици, но и на реакциите на положителните мерки за управление и защитни мерки. По този начин мониторингът и докладването дават указания за резултатите на място от общностните програми, мерки и средства — както на равнището на ЕС, така и на международно равнище.</w:t>
      </w:r>
    </w:p>
    <w:p>
      <w:pPr>
        <w:pStyle w:val="Text1"/>
        <w:pBdr>
          <w:top w:val="single" w:sz="4" w:space="1" w:color="auto"/>
          <w:left w:val="single" w:sz="4" w:space="4" w:color="auto"/>
          <w:bottom w:val="single" w:sz="4" w:space="1" w:color="auto"/>
          <w:right w:val="single" w:sz="4" w:space="4" w:color="auto"/>
        </w:pBdr>
      </w:pPr>
      <w:r>
        <w:rPr>
          <w:b/>
          <w:noProof/>
          <w:color w:val="0000FF"/>
        </w:rPr>
        <w:t>Прилагат се стандартните правила за мониторинг и докладване по отношение на субсидии от ЕС за традиционните агенции.</w:t>
      </w:r>
    </w:p>
    <w:p>
      <w:pPr>
        <w:pStyle w:val="ManualHeading2"/>
        <w:rPr>
          <w:bCs/>
          <w:noProof/>
          <w:szCs w:val="24"/>
        </w:rPr>
      </w:pPr>
      <w:bookmarkStart w:id="77" w:name="_Toc52892476"/>
      <w:bookmarkStart w:id="78" w:name="_Toc54602314"/>
      <w:r>
        <w:t>2.2.</w:t>
      </w:r>
      <w:r>
        <w:tab/>
      </w:r>
      <w:r>
        <w:rPr>
          <w:noProof/>
        </w:rPr>
        <w:t>Системи за управление и контрол</w:t>
      </w:r>
      <w:bookmarkEnd w:id="75"/>
      <w:bookmarkEnd w:id="76"/>
      <w:bookmarkEnd w:id="77"/>
      <w:bookmarkEnd w:id="78"/>
    </w:p>
    <w:p>
      <w:pPr>
        <w:pStyle w:val="ManualHeading3"/>
        <w:rPr>
          <w:noProof/>
        </w:rPr>
      </w:pPr>
      <w:bookmarkStart w:id="79" w:name="_Toc514938679"/>
      <w:bookmarkStart w:id="80" w:name="_Toc520485438"/>
      <w:bookmarkStart w:id="81" w:name="_Toc52892477"/>
      <w:bookmarkStart w:id="82" w:name="_Toc5460231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79"/>
      <w:bookmarkEnd w:id="80"/>
      <w:bookmarkEnd w:id="81"/>
      <w:bookmarkEnd w:id="82"/>
    </w:p>
    <w:p>
      <w:pPr>
        <w:pStyle w:val="Text1"/>
        <w:pBdr>
          <w:top w:val="single" w:sz="4" w:space="1" w:color="auto"/>
          <w:left w:val="single" w:sz="4" w:space="4" w:color="auto"/>
          <w:bottom w:val="single" w:sz="4" w:space="1" w:color="auto"/>
          <w:right w:val="single" w:sz="4" w:space="4" w:color="auto"/>
        </w:pBdr>
      </w:pPr>
      <w:bookmarkStart w:id="83" w:name="_Toc514938680"/>
      <w:bookmarkStart w:id="84" w:name="_Toc520485439"/>
      <w:r>
        <w:t>Управлението ще бъде както пряко от Комисията, така и непряко чрез Европейската агенция за околна среда (ЕАОС) и Европейската агенция по химикали (ЕСНА).</w:t>
      </w:r>
    </w:p>
    <w:p>
      <w:pPr>
        <w:pStyle w:val="Text1"/>
        <w:pBdr>
          <w:top w:val="single" w:sz="4" w:space="1" w:color="auto"/>
          <w:left w:val="single" w:sz="4" w:space="4" w:color="auto"/>
          <w:bottom w:val="single" w:sz="4" w:space="1" w:color="auto"/>
          <w:right w:val="single" w:sz="4" w:space="4" w:color="auto"/>
        </w:pBdr>
      </w:pPr>
      <w:r>
        <w:t>Освен това заедно със съзаконодателите ще се проучи целесъобразността на подход за напълно непряко управление чрез две (или потенциално повече) децентрализирани агенции (ЕАОС, ECHA, но евентуално и ЕОБХ).</w:t>
      </w:r>
    </w:p>
    <w:p>
      <w:pPr>
        <w:pStyle w:val="Text1"/>
        <w:pBdr>
          <w:top w:val="single" w:sz="4" w:space="1" w:color="auto"/>
          <w:left w:val="single" w:sz="4" w:space="4" w:color="auto"/>
          <w:bottom w:val="single" w:sz="4" w:space="1" w:color="auto"/>
          <w:right w:val="single" w:sz="4" w:space="4" w:color="auto"/>
        </w:pBdr>
      </w:pPr>
      <w:r>
        <w:t>Що се отнася до стратегията за контрол, всички децентрализирани агенции работят в тясно сътрудничество със Службата за вътрешен одит на Комисията, за да се гарантира, че се спазват съответните стандарти във всички области на рамката за вътрешен контрол. Тези договорености ще се прилагат и по отношение на ролята на агенциите във връзка с настоящото предложение.</w:t>
      </w:r>
    </w:p>
    <w:p>
      <w:pPr>
        <w:pStyle w:val="Text1"/>
        <w:pBdr>
          <w:top w:val="single" w:sz="4" w:space="1" w:color="auto"/>
          <w:left w:val="single" w:sz="4" w:space="4" w:color="auto"/>
          <w:bottom w:val="single" w:sz="4" w:space="1" w:color="auto"/>
          <w:right w:val="single" w:sz="4" w:space="4" w:color="auto"/>
        </w:pBdr>
      </w:pPr>
      <w:r>
        <w:t>Освен това всяка финансова година Европейският парламент, по препоръка на Съвета и вземайки предвид констатациите на Европейската сметна палата, решава дали да освободи от отговорност агенциите за изпълнението на техните бюджети.</w:t>
      </w:r>
    </w:p>
    <w:p>
      <w:pPr>
        <w:pStyle w:val="ManualHeading3"/>
        <w:rPr>
          <w:noProof/>
        </w:rPr>
      </w:pPr>
      <w:bookmarkStart w:id="85" w:name="_Toc52892478"/>
      <w:bookmarkStart w:id="86" w:name="_Toc54602316"/>
      <w:r>
        <w:t>2.2.2.</w:t>
      </w:r>
      <w:r>
        <w:tab/>
      </w:r>
      <w:r>
        <w:rPr>
          <w:noProof/>
        </w:rPr>
        <w:t>Информация относно установените рискове и системите за вътрешен контрол, създадени с цел намаляването им</w:t>
      </w:r>
      <w:bookmarkEnd w:id="83"/>
      <w:bookmarkEnd w:id="84"/>
      <w:bookmarkEnd w:id="85"/>
      <w:bookmarkEnd w:id="86"/>
    </w:p>
    <w:p>
      <w:pPr>
        <w:pStyle w:val="Text1"/>
        <w:pBdr>
          <w:top w:val="single" w:sz="4" w:space="1" w:color="auto"/>
          <w:left w:val="single" w:sz="4" w:space="4" w:color="auto"/>
          <w:bottom w:val="single" w:sz="4" w:space="1" w:color="auto"/>
          <w:right w:val="single" w:sz="4" w:space="4" w:color="auto"/>
        </w:pBdr>
      </w:pPr>
      <w:bookmarkStart w:id="87" w:name="_Toc514938681"/>
      <w:bookmarkStart w:id="88" w:name="_Toc520485440"/>
      <w:r>
        <w:t>По отношение на правните и икономическите аспекти на ефективното и ефикасно използване на бюджетните кредити, свързани с дейностите, които ще се извършват от ЕАОС и ЕСНА в контекста на настоящото предложение, настоящата инициатива няма да породи нови съществени рискове, които не са обхванати от съществуващата рамка за вътрешен контрол. Действията, които трябва да бъдат извършени в контекста на настоящото предложение, ще започнат през 2021 г. и ще продължат през целия период на новата многогодишна финансова рамка (МФР).</w:t>
      </w:r>
    </w:p>
    <w:p>
      <w:pPr>
        <w:pStyle w:val="ManualHeading3"/>
        <w:rPr>
          <w:noProof/>
        </w:rPr>
      </w:pPr>
      <w:bookmarkStart w:id="89" w:name="_Toc52892479"/>
      <w:bookmarkStart w:id="90" w:name="_Toc54602317"/>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87"/>
      <w:bookmarkEnd w:id="88"/>
      <w:bookmarkEnd w:id="89"/>
      <w:bookmarkEnd w:id="90"/>
    </w:p>
    <w:p>
      <w:pPr>
        <w:pStyle w:val="Text1"/>
        <w:pBdr>
          <w:top w:val="single" w:sz="4" w:space="1" w:color="auto"/>
          <w:left w:val="single" w:sz="4" w:space="4" w:color="auto"/>
          <w:bottom w:val="single" w:sz="4" w:space="1" w:color="auto"/>
          <w:right w:val="single" w:sz="4" w:space="4" w:color="auto"/>
        </w:pBdr>
      </w:pPr>
      <w:bookmarkStart w:id="91" w:name="_Toc514938682"/>
      <w:r>
        <w:t>Системите за управление и контрол са предвидени в регламентите, които понастоящем уреждат функционирането на ЕАОС и ECHA. Тези органи работят в тясно сътрудничество със Службата за вътрешен одит на Комисията, за да се гарантира, че съответните стандарти са спазени във всички области на вътрешния контрол.</w:t>
      </w:r>
    </w:p>
    <w:p>
      <w:pPr>
        <w:pStyle w:val="Text1"/>
        <w:pBdr>
          <w:top w:val="single" w:sz="4" w:space="1" w:color="auto"/>
          <w:left w:val="single" w:sz="4" w:space="4" w:color="auto"/>
          <w:bottom w:val="single" w:sz="4" w:space="1" w:color="auto"/>
          <w:right w:val="single" w:sz="4" w:space="4" w:color="auto"/>
        </w:pBdr>
      </w:pPr>
      <w:r>
        <w:t>Всяка година Европейският парламент, по препоръка на Съвета, освобождава от отговорност всеки от ЕАОС и ECHA за изпълнението на техните бюджети.</w:t>
      </w:r>
    </w:p>
    <w:p>
      <w:pPr>
        <w:pStyle w:val="ManualHeading2"/>
        <w:rPr>
          <w:bCs/>
          <w:noProof/>
          <w:szCs w:val="24"/>
        </w:rPr>
      </w:pPr>
      <w:bookmarkStart w:id="92" w:name="_Toc520485441"/>
      <w:bookmarkStart w:id="93" w:name="_Toc52892480"/>
      <w:bookmarkStart w:id="94" w:name="_Toc54602318"/>
      <w:r>
        <w:t>2.3.</w:t>
      </w:r>
      <w:r>
        <w:tab/>
      </w:r>
      <w:r>
        <w:rPr>
          <w:noProof/>
        </w:rPr>
        <w:t>Мерки за предотвратяване на измами и нередности</w:t>
      </w:r>
      <w:bookmarkEnd w:id="91"/>
      <w:bookmarkEnd w:id="92"/>
      <w:bookmarkEnd w:id="93"/>
      <w:bookmarkEnd w:id="94"/>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color w:val="0000FF"/>
        </w:rPr>
      </w:pPr>
      <w:bookmarkStart w:id="95" w:name="_Toc514938683"/>
      <w:bookmarkStart w:id="96" w:name="_Toc520485442"/>
      <w: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ЕАОС и ECHA без никакви ограничения за целите на борбата с измамите, корупцията и други незаконни дейности. ЕАОС и ECHA имат специална стратегия за борба с измамите и свързан с нея план за действие. Освен това в Регламента за създаване на ЕАОС и ECHA се определят разпоредбите за изпълнението и контрола на бюджета на ЕАОС и ЕСНА и приложимите финансови правила, включително тези за предотвратяване на измами и нередности.</w:t>
      </w:r>
    </w:p>
    <w:p>
      <w:pPr>
        <w:pStyle w:val="ManualHeading1"/>
        <w:rPr>
          <w:bCs/>
          <w:noProof/>
          <w:szCs w:val="24"/>
        </w:rPr>
      </w:pPr>
      <w:bookmarkStart w:id="97" w:name="_Toc52892481"/>
      <w:bookmarkStart w:id="98" w:name="_Toc54602319"/>
      <w:r>
        <w:t>3.</w:t>
      </w:r>
      <w:r>
        <w:tab/>
      </w:r>
      <w:r>
        <w:rPr>
          <w:noProof/>
        </w:rPr>
        <w:t>ОЧАКВАНО ФИНАНСОВО ОТРАЖЕНИЕ НА ПРЕДЛОЖЕНИЕТО/ИНИЦИАТИВАТА</w:t>
      </w:r>
      <w:bookmarkEnd w:id="95"/>
      <w:bookmarkEnd w:id="96"/>
      <w:r>
        <w:rPr>
          <w:rStyle w:val="FootnoteReference"/>
          <w:noProof/>
        </w:rPr>
        <w:footnoteReference w:id="39"/>
      </w:r>
      <w:bookmarkEnd w:id="97"/>
      <w:bookmarkEnd w:id="98"/>
    </w:p>
    <w:p>
      <w:pPr>
        <w:pStyle w:val="ManualHeading2"/>
        <w:rPr>
          <w:bCs/>
          <w:noProof/>
          <w:szCs w:val="24"/>
        </w:rPr>
      </w:pPr>
      <w:bookmarkStart w:id="99" w:name="_Toc514938684"/>
      <w:bookmarkStart w:id="100" w:name="_Toc520485443"/>
      <w:bookmarkStart w:id="101" w:name="_Toc52892482"/>
      <w:bookmarkStart w:id="102" w:name="_Toc54602320"/>
      <w:r>
        <w:t>3.1.</w:t>
      </w:r>
      <w:r>
        <w:tab/>
      </w:r>
      <w:r>
        <w:rPr>
          <w:noProof/>
        </w:rPr>
        <w:t>Съответни функции от многогодишната финансова рамка и разходни бюджетни редове</w:t>
      </w:r>
      <w:bookmarkEnd w:id="99"/>
      <w:bookmarkEnd w:id="100"/>
      <w:bookmarkEnd w:id="101"/>
      <w:bookmarkEnd w:id="102"/>
    </w:p>
    <w:p>
      <w:pPr>
        <w:pStyle w:val="ListBullet1"/>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8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412"/>
        <w:gridCol w:w="1080"/>
        <w:gridCol w:w="904"/>
        <w:gridCol w:w="993"/>
        <w:gridCol w:w="992"/>
        <w:gridCol w:w="1357"/>
        <w:gridCol w:w="26"/>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4412"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272" w:type="dxa"/>
            <w:gridSpan w:val="5"/>
            <w:vAlign w:val="center"/>
          </w:tcPr>
          <w:p>
            <w:pPr>
              <w:spacing w:before="60" w:after="60"/>
              <w:jc w:val="center"/>
              <w:rPr>
                <w:noProof/>
              </w:rPr>
            </w:pPr>
            <w:r>
              <w:rPr>
                <w:noProof/>
                <w:sz w:val="20"/>
              </w:rPr>
              <w:t xml:space="preserve">Финансов принос </w:t>
            </w:r>
          </w:p>
        </w:tc>
      </w:tr>
      <w:tr>
        <w:trPr>
          <w:gridAfter w:val="1"/>
          <w:wAfter w:w="26" w:type="dxa"/>
        </w:trPr>
        <w:tc>
          <w:tcPr>
            <w:tcW w:w="1080" w:type="dxa"/>
            <w:vMerge/>
            <w:vAlign w:val="center"/>
          </w:tcPr>
          <w:p>
            <w:pPr>
              <w:rPr>
                <w:noProof/>
                <w:sz w:val="18"/>
              </w:rPr>
            </w:pPr>
          </w:p>
        </w:tc>
        <w:tc>
          <w:tcPr>
            <w:tcW w:w="4412" w:type="dxa"/>
            <w:vAlign w:val="center"/>
          </w:tcPr>
          <w:p>
            <w:pPr>
              <w:rPr>
                <w:noProof/>
              </w:rPr>
            </w:pPr>
            <w:r>
              <w:rPr>
                <w:noProof/>
                <w:sz w:val="20"/>
              </w:rPr>
              <w:t>Номер</w:t>
            </w:r>
            <w:r>
              <w:rPr>
                <w:noProof/>
              </w:rPr>
              <w:t xml:space="preserve"> </w:t>
            </w:r>
            <w:r>
              <w:rPr>
                <w:noProof/>
              </w:rPr>
              <w:br/>
            </w:r>
          </w:p>
        </w:tc>
        <w:tc>
          <w:tcPr>
            <w:tcW w:w="1080" w:type="dxa"/>
            <w:vAlign w:val="center"/>
          </w:tcPr>
          <w:p>
            <w:pPr>
              <w:jc w:val="center"/>
              <w:rPr>
                <w:noProof/>
              </w:rPr>
            </w:pPr>
            <w:r>
              <w:rPr>
                <w:noProof/>
                <w:sz w:val="18"/>
              </w:rPr>
              <w:t>Многогод./едногод.</w:t>
            </w:r>
            <w:r>
              <w:rPr>
                <w:rStyle w:val="FootnoteReference"/>
                <w:noProof/>
                <w:sz w:val="18"/>
              </w:rPr>
              <w:footnoteReference w:id="40"/>
            </w:r>
          </w:p>
        </w:tc>
        <w:tc>
          <w:tcPr>
            <w:tcW w:w="904" w:type="dxa"/>
            <w:vAlign w:val="center"/>
          </w:tcPr>
          <w:p>
            <w:pPr>
              <w:jc w:val="center"/>
              <w:rPr>
                <w:noProof/>
              </w:rPr>
            </w:pPr>
            <w:r>
              <w:rPr>
                <w:noProof/>
                <w:sz w:val="18"/>
              </w:rPr>
              <w:t>от държави от ЕАСТ</w:t>
            </w:r>
            <w:r>
              <w:rPr>
                <w:rStyle w:val="FootnoteReference"/>
                <w:noProof/>
                <w:sz w:val="18"/>
              </w:rPr>
              <w:footnoteReference w:id="41"/>
            </w:r>
          </w:p>
        </w:tc>
        <w:tc>
          <w:tcPr>
            <w:tcW w:w="993" w:type="dxa"/>
            <w:vAlign w:val="center"/>
          </w:tcPr>
          <w:p>
            <w:pPr>
              <w:jc w:val="center"/>
              <w:rPr>
                <w:noProof/>
                <w:sz w:val="18"/>
              </w:rPr>
            </w:pPr>
            <w:r>
              <w:rPr>
                <w:noProof/>
                <w:sz w:val="18"/>
              </w:rPr>
              <w:t>от държави кандидатки</w:t>
            </w:r>
            <w:r>
              <w:rPr>
                <w:rStyle w:val="FootnoteReference"/>
                <w:noProof/>
                <w:sz w:val="18"/>
              </w:rPr>
              <w:footnoteReference w:id="42"/>
            </w:r>
          </w:p>
        </w:tc>
        <w:tc>
          <w:tcPr>
            <w:tcW w:w="992" w:type="dxa"/>
            <w:vAlign w:val="center"/>
          </w:tcPr>
          <w:p>
            <w:pPr>
              <w:jc w:val="center"/>
              <w:rPr>
                <w:noProof/>
                <w:sz w:val="18"/>
              </w:rPr>
            </w:pPr>
            <w:r>
              <w:rPr>
                <w:noProof/>
                <w:sz w:val="18"/>
              </w:rPr>
              <w:t>от трети държави</w:t>
            </w:r>
          </w:p>
        </w:tc>
        <w:tc>
          <w:tcPr>
            <w:tcW w:w="1357"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09.02.01 Природа и биологично разнообразие</w:t>
            </w:r>
          </w:p>
        </w:tc>
        <w:tc>
          <w:tcPr>
            <w:tcW w:w="1080" w:type="dxa"/>
            <w:vAlign w:val="center"/>
          </w:tcPr>
          <w:p>
            <w:pPr>
              <w:jc w:val="center"/>
              <w:rPr>
                <w:noProof/>
                <w:color w:val="0000FF"/>
                <w:sz w:val="18"/>
              </w:rPr>
            </w:pPr>
            <w:r>
              <w:rPr>
                <w:noProof/>
                <w:color w:val="0000FF"/>
                <w:sz w:val="18"/>
              </w:rPr>
              <w:t>Многогод.</w:t>
            </w:r>
          </w:p>
        </w:tc>
        <w:tc>
          <w:tcPr>
            <w:tcW w:w="904" w:type="dxa"/>
            <w:vAlign w:val="center"/>
          </w:tcPr>
          <w:p>
            <w:pPr>
              <w:jc w:val="center"/>
              <w:rPr>
                <w:noProof/>
                <w:color w:val="0000FF"/>
                <w:sz w:val="20"/>
              </w:rPr>
            </w:pPr>
            <w:r>
              <w:rPr>
                <w:noProof/>
                <w:color w:val="0000FF"/>
                <w:sz w:val="20"/>
              </w:rPr>
              <w:t>НЕ</w:t>
            </w:r>
          </w:p>
        </w:tc>
        <w:tc>
          <w:tcPr>
            <w:tcW w:w="993" w:type="dxa"/>
            <w:vAlign w:val="center"/>
          </w:tcPr>
          <w:p>
            <w:pPr>
              <w:jc w:val="center"/>
              <w:rPr>
                <w:noProof/>
                <w:color w:val="0000FF"/>
                <w:sz w:val="20"/>
              </w:rPr>
            </w:pPr>
            <w:r>
              <w:rPr>
                <w:noProof/>
                <w:color w:val="0000FF"/>
                <w:sz w:val="20"/>
              </w:rPr>
              <w:t>НЕ</w:t>
            </w:r>
          </w:p>
        </w:tc>
        <w:tc>
          <w:tcPr>
            <w:tcW w:w="992" w:type="dxa"/>
            <w:vAlign w:val="center"/>
          </w:tcPr>
          <w:p>
            <w:pPr>
              <w:jc w:val="center"/>
              <w:rPr>
                <w:noProof/>
                <w:color w:val="0000FF"/>
                <w:sz w:val="20"/>
              </w:rPr>
            </w:pPr>
            <w:r>
              <w:rPr>
                <w:noProof/>
                <w:color w:val="0000FF"/>
                <w:sz w:val="20"/>
              </w:rPr>
              <w:t>НЕ</w:t>
            </w:r>
          </w:p>
        </w:tc>
        <w:tc>
          <w:tcPr>
            <w:tcW w:w="1357" w:type="dxa"/>
            <w:vAlign w:val="center"/>
          </w:tcPr>
          <w:p>
            <w:pPr>
              <w:jc w:val="center"/>
              <w:rPr>
                <w:noProof/>
                <w:color w:val="0000FF"/>
                <w:sz w:val="20"/>
              </w:rPr>
            </w:pPr>
            <w:r>
              <w:rPr>
                <w:noProof/>
                <w:color w:val="0000FF"/>
                <w:sz w:val="20"/>
              </w:rPr>
              <w:t>НЕ</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09.02.02 Кръгова икономика и качество на живот</w:t>
            </w:r>
          </w:p>
        </w:tc>
        <w:tc>
          <w:tcPr>
            <w:tcW w:w="1080" w:type="dxa"/>
            <w:vAlign w:val="center"/>
          </w:tcPr>
          <w:p>
            <w:pPr>
              <w:jc w:val="center"/>
              <w:rPr>
                <w:noProof/>
                <w:color w:val="0000FF"/>
                <w:sz w:val="18"/>
              </w:rPr>
            </w:pPr>
            <w:r>
              <w:rPr>
                <w:noProof/>
                <w:color w:val="0000FF"/>
                <w:sz w:val="18"/>
              </w:rPr>
              <w:t>Многогод.</w:t>
            </w:r>
          </w:p>
        </w:tc>
        <w:tc>
          <w:tcPr>
            <w:tcW w:w="904" w:type="dxa"/>
            <w:vAlign w:val="center"/>
          </w:tcPr>
          <w:p>
            <w:pPr>
              <w:jc w:val="center"/>
              <w:rPr>
                <w:noProof/>
                <w:color w:val="0000FF"/>
                <w:sz w:val="20"/>
              </w:rPr>
            </w:pPr>
            <w:r>
              <w:rPr>
                <w:noProof/>
                <w:color w:val="0000FF"/>
                <w:sz w:val="20"/>
              </w:rPr>
              <w:t>НЕ</w:t>
            </w:r>
          </w:p>
        </w:tc>
        <w:tc>
          <w:tcPr>
            <w:tcW w:w="993" w:type="dxa"/>
            <w:vAlign w:val="center"/>
          </w:tcPr>
          <w:p>
            <w:pPr>
              <w:jc w:val="center"/>
              <w:rPr>
                <w:noProof/>
                <w:color w:val="0000FF"/>
                <w:sz w:val="20"/>
              </w:rPr>
            </w:pPr>
            <w:r>
              <w:rPr>
                <w:noProof/>
                <w:color w:val="0000FF"/>
                <w:sz w:val="20"/>
              </w:rPr>
              <w:t>НЕ</w:t>
            </w:r>
          </w:p>
        </w:tc>
        <w:tc>
          <w:tcPr>
            <w:tcW w:w="992" w:type="dxa"/>
            <w:vAlign w:val="center"/>
          </w:tcPr>
          <w:p>
            <w:pPr>
              <w:jc w:val="center"/>
              <w:rPr>
                <w:noProof/>
                <w:color w:val="0000FF"/>
                <w:sz w:val="20"/>
              </w:rPr>
            </w:pPr>
            <w:r>
              <w:rPr>
                <w:noProof/>
                <w:color w:val="0000FF"/>
                <w:sz w:val="20"/>
              </w:rPr>
              <w:t>НЕ</w:t>
            </w:r>
          </w:p>
        </w:tc>
        <w:tc>
          <w:tcPr>
            <w:tcW w:w="1357" w:type="dxa"/>
            <w:vAlign w:val="center"/>
          </w:tcPr>
          <w:p>
            <w:pPr>
              <w:jc w:val="center"/>
              <w:rPr>
                <w:noProof/>
                <w:color w:val="0000FF"/>
                <w:sz w:val="20"/>
              </w:rPr>
            </w:pPr>
            <w:r>
              <w:rPr>
                <w:noProof/>
                <w:color w:val="0000FF"/>
                <w:sz w:val="20"/>
              </w:rPr>
              <w:t>НЕ</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09.02.03 Смекчаване на последиците от изменението на климата и приспособяване към него</w:t>
            </w:r>
          </w:p>
        </w:tc>
        <w:tc>
          <w:tcPr>
            <w:tcW w:w="1080" w:type="dxa"/>
            <w:vAlign w:val="center"/>
          </w:tcPr>
          <w:p>
            <w:pPr>
              <w:jc w:val="center"/>
              <w:rPr>
                <w:noProof/>
                <w:color w:val="0000FF"/>
                <w:sz w:val="18"/>
              </w:rPr>
            </w:pPr>
            <w:r>
              <w:rPr>
                <w:noProof/>
                <w:color w:val="0000FF"/>
                <w:sz w:val="18"/>
              </w:rPr>
              <w:t>Многогод.</w:t>
            </w:r>
          </w:p>
        </w:tc>
        <w:tc>
          <w:tcPr>
            <w:tcW w:w="904" w:type="dxa"/>
            <w:vAlign w:val="center"/>
          </w:tcPr>
          <w:p>
            <w:pPr>
              <w:jc w:val="center"/>
              <w:rPr>
                <w:noProof/>
                <w:color w:val="0000FF"/>
                <w:sz w:val="20"/>
              </w:rPr>
            </w:pPr>
            <w:r>
              <w:rPr>
                <w:noProof/>
                <w:color w:val="0000FF"/>
                <w:sz w:val="20"/>
              </w:rPr>
              <w:t>НЕ</w:t>
            </w:r>
          </w:p>
        </w:tc>
        <w:tc>
          <w:tcPr>
            <w:tcW w:w="993" w:type="dxa"/>
            <w:vAlign w:val="center"/>
          </w:tcPr>
          <w:p>
            <w:pPr>
              <w:jc w:val="center"/>
              <w:rPr>
                <w:noProof/>
                <w:color w:val="0000FF"/>
                <w:sz w:val="20"/>
              </w:rPr>
            </w:pPr>
            <w:r>
              <w:rPr>
                <w:noProof/>
                <w:color w:val="0000FF"/>
                <w:sz w:val="20"/>
              </w:rPr>
              <w:t>НЕ</w:t>
            </w:r>
          </w:p>
        </w:tc>
        <w:tc>
          <w:tcPr>
            <w:tcW w:w="992" w:type="dxa"/>
            <w:vAlign w:val="center"/>
          </w:tcPr>
          <w:p>
            <w:pPr>
              <w:jc w:val="center"/>
              <w:rPr>
                <w:noProof/>
                <w:color w:val="0000FF"/>
                <w:sz w:val="20"/>
              </w:rPr>
            </w:pPr>
            <w:r>
              <w:rPr>
                <w:noProof/>
                <w:color w:val="0000FF"/>
                <w:sz w:val="20"/>
              </w:rPr>
              <w:t>НЕ</w:t>
            </w:r>
          </w:p>
        </w:tc>
        <w:tc>
          <w:tcPr>
            <w:tcW w:w="1357" w:type="dxa"/>
            <w:vAlign w:val="center"/>
          </w:tcPr>
          <w:p>
            <w:pPr>
              <w:jc w:val="center"/>
              <w:rPr>
                <w:noProof/>
                <w:color w:val="0000FF"/>
                <w:sz w:val="20"/>
              </w:rPr>
            </w:pPr>
            <w:r>
              <w:rPr>
                <w:noProof/>
                <w:color w:val="0000FF"/>
                <w:sz w:val="20"/>
              </w:rPr>
              <w:t>НЕ</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09.10.02 – Европейска агенция за околна среда</w:t>
            </w:r>
          </w:p>
        </w:tc>
        <w:tc>
          <w:tcPr>
            <w:tcW w:w="1080" w:type="dxa"/>
            <w:vAlign w:val="center"/>
          </w:tcPr>
          <w:p>
            <w:pPr>
              <w:jc w:val="center"/>
              <w:rPr>
                <w:noProof/>
                <w:color w:val="0000FF"/>
                <w:sz w:val="18"/>
              </w:rPr>
            </w:pPr>
            <w:r>
              <w:rPr>
                <w:noProof/>
                <w:color w:val="0000FF"/>
                <w:sz w:val="18"/>
              </w:rPr>
              <w:t>Многогод.</w:t>
            </w:r>
          </w:p>
        </w:tc>
        <w:tc>
          <w:tcPr>
            <w:tcW w:w="904" w:type="dxa"/>
            <w:vAlign w:val="center"/>
          </w:tcPr>
          <w:p>
            <w:pPr>
              <w:jc w:val="center"/>
              <w:rPr>
                <w:noProof/>
                <w:color w:val="0000FF"/>
                <w:sz w:val="20"/>
              </w:rPr>
            </w:pPr>
            <w:r>
              <w:rPr>
                <w:noProof/>
                <w:color w:val="0000FF"/>
                <w:sz w:val="20"/>
              </w:rPr>
              <w:t>НЕ</w:t>
            </w:r>
          </w:p>
        </w:tc>
        <w:tc>
          <w:tcPr>
            <w:tcW w:w="993" w:type="dxa"/>
            <w:vAlign w:val="center"/>
          </w:tcPr>
          <w:p>
            <w:pPr>
              <w:jc w:val="center"/>
              <w:rPr>
                <w:noProof/>
                <w:color w:val="0000FF"/>
                <w:sz w:val="20"/>
              </w:rPr>
            </w:pPr>
            <w:r>
              <w:rPr>
                <w:noProof/>
                <w:color w:val="0000FF"/>
                <w:sz w:val="20"/>
              </w:rPr>
              <w:t>НЕ</w:t>
            </w:r>
          </w:p>
        </w:tc>
        <w:tc>
          <w:tcPr>
            <w:tcW w:w="992" w:type="dxa"/>
            <w:vAlign w:val="center"/>
          </w:tcPr>
          <w:p>
            <w:pPr>
              <w:jc w:val="center"/>
              <w:rPr>
                <w:noProof/>
                <w:color w:val="0000FF"/>
                <w:sz w:val="20"/>
              </w:rPr>
            </w:pPr>
            <w:r>
              <w:rPr>
                <w:noProof/>
                <w:color w:val="0000FF"/>
                <w:sz w:val="20"/>
              </w:rPr>
              <w:t>НЕ</w:t>
            </w:r>
          </w:p>
        </w:tc>
        <w:tc>
          <w:tcPr>
            <w:tcW w:w="1357" w:type="dxa"/>
            <w:vAlign w:val="center"/>
          </w:tcPr>
          <w:p>
            <w:pPr>
              <w:jc w:val="center"/>
              <w:rPr>
                <w:noProof/>
                <w:color w:val="0000FF"/>
                <w:sz w:val="20"/>
              </w:rPr>
            </w:pPr>
            <w:r>
              <w:rPr>
                <w:noProof/>
                <w:color w:val="0000FF"/>
                <w:sz w:val="20"/>
              </w:rPr>
              <w:t>НЕ</w:t>
            </w:r>
          </w:p>
        </w:tc>
      </w:tr>
      <w:tr>
        <w:trPr>
          <w:gridAfter w:val="1"/>
          <w:wAfter w:w="26" w:type="dxa"/>
        </w:trPr>
        <w:tc>
          <w:tcPr>
            <w:tcW w:w="1080" w:type="dxa"/>
            <w:vAlign w:val="center"/>
          </w:tcPr>
          <w:p>
            <w:pPr>
              <w:jc w:val="center"/>
              <w:rPr>
                <w:noProof/>
                <w:color w:val="0000FF"/>
              </w:rPr>
            </w:pPr>
            <w:r>
              <w:rPr>
                <w:noProof/>
                <w:color w:val="0000FF"/>
              </w:rPr>
              <w:t>3</w:t>
            </w:r>
          </w:p>
        </w:tc>
        <w:tc>
          <w:tcPr>
            <w:tcW w:w="4412" w:type="dxa"/>
            <w:vAlign w:val="center"/>
          </w:tcPr>
          <w:p>
            <w:pPr>
              <w:spacing w:before="60"/>
              <w:rPr>
                <w:noProof/>
                <w:color w:val="0000FF"/>
              </w:rPr>
            </w:pPr>
            <w:r>
              <w:rPr>
                <w:noProof/>
                <w:color w:val="0000FF"/>
              </w:rPr>
              <w:t>09.10.01 – Европейска агенция по химикали</w:t>
            </w:r>
          </w:p>
        </w:tc>
        <w:tc>
          <w:tcPr>
            <w:tcW w:w="1080" w:type="dxa"/>
            <w:vAlign w:val="center"/>
          </w:tcPr>
          <w:p>
            <w:pPr>
              <w:jc w:val="center"/>
              <w:rPr>
                <w:noProof/>
                <w:color w:val="0000FF"/>
                <w:sz w:val="18"/>
              </w:rPr>
            </w:pPr>
            <w:r>
              <w:rPr>
                <w:noProof/>
                <w:color w:val="0000FF"/>
                <w:sz w:val="18"/>
              </w:rPr>
              <w:t>Многогод.</w:t>
            </w:r>
          </w:p>
        </w:tc>
        <w:tc>
          <w:tcPr>
            <w:tcW w:w="904" w:type="dxa"/>
            <w:vAlign w:val="center"/>
          </w:tcPr>
          <w:p>
            <w:pPr>
              <w:jc w:val="center"/>
              <w:rPr>
                <w:noProof/>
                <w:color w:val="0000FF"/>
                <w:sz w:val="20"/>
              </w:rPr>
            </w:pPr>
            <w:r>
              <w:rPr>
                <w:noProof/>
                <w:color w:val="0000FF"/>
                <w:sz w:val="20"/>
              </w:rPr>
              <w:t>НЕ</w:t>
            </w:r>
          </w:p>
        </w:tc>
        <w:tc>
          <w:tcPr>
            <w:tcW w:w="993" w:type="dxa"/>
            <w:vAlign w:val="center"/>
          </w:tcPr>
          <w:p>
            <w:pPr>
              <w:jc w:val="center"/>
              <w:rPr>
                <w:noProof/>
                <w:color w:val="0000FF"/>
                <w:sz w:val="20"/>
              </w:rPr>
            </w:pPr>
            <w:r>
              <w:rPr>
                <w:noProof/>
                <w:color w:val="0000FF"/>
                <w:sz w:val="20"/>
              </w:rPr>
              <w:t>НЕ</w:t>
            </w:r>
          </w:p>
        </w:tc>
        <w:tc>
          <w:tcPr>
            <w:tcW w:w="992" w:type="dxa"/>
            <w:vAlign w:val="center"/>
          </w:tcPr>
          <w:p>
            <w:pPr>
              <w:jc w:val="center"/>
              <w:rPr>
                <w:noProof/>
                <w:color w:val="0000FF"/>
                <w:sz w:val="20"/>
              </w:rPr>
            </w:pPr>
            <w:r>
              <w:rPr>
                <w:noProof/>
                <w:color w:val="0000FF"/>
                <w:sz w:val="20"/>
              </w:rPr>
              <w:t>НЕ</w:t>
            </w:r>
          </w:p>
        </w:tc>
        <w:tc>
          <w:tcPr>
            <w:tcW w:w="1357" w:type="dxa"/>
            <w:vAlign w:val="center"/>
          </w:tcPr>
          <w:p>
            <w:pPr>
              <w:jc w:val="center"/>
              <w:rPr>
                <w:noProof/>
                <w:color w:val="0000FF"/>
                <w:sz w:val="20"/>
              </w:rPr>
            </w:pPr>
            <w:r>
              <w:rPr>
                <w:noProof/>
                <w:color w:val="0000FF"/>
                <w:sz w:val="20"/>
              </w:rPr>
              <w:t>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103" w:name="_Toc514938685"/>
      <w:bookmarkStart w:id="104" w:name="_Toc520485444"/>
      <w:bookmarkStart w:id="105" w:name="_Toc52892483"/>
      <w:bookmarkStart w:id="106" w:name="_Toc54602321"/>
      <w:r>
        <w:t>3.2.</w:t>
      </w:r>
      <w:r>
        <w:tab/>
      </w:r>
      <w:r>
        <w:rPr>
          <w:noProof/>
        </w:rPr>
        <w:t>Очаквано отражение върху разходите</w:t>
      </w:r>
      <w:bookmarkEnd w:id="103"/>
      <w:bookmarkEnd w:id="104"/>
      <w:bookmarkEnd w:id="105"/>
      <w:bookmarkEnd w:id="106"/>
    </w:p>
    <w:p>
      <w:pPr>
        <w:pStyle w:val="ManualHeading3"/>
        <w:rPr>
          <w:bCs/>
          <w:noProof/>
          <w:szCs w:val="24"/>
        </w:rPr>
      </w:pPr>
      <w:bookmarkStart w:id="107" w:name="_Toc514938686"/>
      <w:bookmarkStart w:id="108" w:name="_Toc520485445"/>
      <w:bookmarkStart w:id="109" w:name="_Toc52892484"/>
      <w:bookmarkStart w:id="110" w:name="_Toc54602322"/>
      <w:r>
        <w:t>3.2.1.</w:t>
      </w:r>
      <w:r>
        <w:tab/>
      </w:r>
      <w:r>
        <w:rPr>
          <w:noProof/>
        </w:rPr>
        <w:t>Обобщение на очакваното отражение върху разходите</w:t>
      </w:r>
      <w:bookmarkEnd w:id="107"/>
      <w:bookmarkEnd w:id="108"/>
      <w:r>
        <w:rPr>
          <w:rStyle w:val="FootnoteReference"/>
          <w:noProof/>
        </w:rPr>
        <w:footnoteReference w:id="43"/>
      </w:r>
      <w:bookmarkEnd w:id="109"/>
      <w:bookmarkEnd w:id="110"/>
    </w:p>
    <w:p>
      <w:pPr>
        <w:jc w:val="right"/>
        <w:rPr>
          <w:noProof/>
          <w:sz w:val="20"/>
        </w:rPr>
      </w:pPr>
      <w:r>
        <w:rPr>
          <w:noProof/>
          <w:sz w:val="20"/>
        </w:rPr>
        <w:t>млн. евро (до 3-тия знак след десетичната запетая)</w:t>
      </w:r>
    </w:p>
    <w:p>
      <w:pPr>
        <w:spacing w:before="0" w:after="200" w:line="276" w:lineRule="auto"/>
        <w:jc w:val="left"/>
        <w:rPr>
          <w:noProof/>
          <w:sz w:val="22"/>
        </w:rPr>
      </w:pPr>
      <w:r>
        <w:rPr>
          <w:noProof/>
          <w:sz w:val="22"/>
        </w:rPr>
        <w:t xml:space="preserve">Очаква се функцията 3 да остане неутрална и незасегната от настоящите предложения. Необходимите ресурси за ЕАОС и ECHA ще бъдат приспаднати от бюджета на LIFE — за ЕАОС в съответствие с разбивка от 2/3 от разходите за ГД „Околна среда“ и 1/3 от разходите за ГД „Действия по климата“, докато ресурсите, необходими за ECHA, ще бъдат изцяло покрити от ГД „Околна среда“.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Функция 3: Природни ресурси и околна среда</w:t>
            </w:r>
          </w:p>
        </w:tc>
      </w:tr>
    </w:tbl>
    <w:p>
      <w:pPr>
        <w:jc w:val="right"/>
        <w:rPr>
          <w:noProof/>
          <w:sz w:val="16"/>
        </w:rPr>
      </w:pPr>
      <w:r>
        <w:rPr>
          <w:noProof/>
          <w:sz w:val="16"/>
        </w:rPr>
        <w:t>Постоянни цени</w:t>
      </w:r>
    </w:p>
    <w:tbl>
      <w:tblPr>
        <w:tblW w:w="130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1418"/>
        <w:gridCol w:w="1134"/>
        <w:gridCol w:w="895"/>
        <w:gridCol w:w="924"/>
        <w:gridCol w:w="924"/>
        <w:gridCol w:w="924"/>
        <w:gridCol w:w="924"/>
        <w:gridCol w:w="924"/>
        <w:gridCol w:w="925"/>
        <w:gridCol w:w="970"/>
      </w:tblGrid>
      <w:tr>
        <w:tc>
          <w:tcPr>
            <w:tcW w:w="3082" w:type="dxa"/>
            <w:vAlign w:val="center"/>
          </w:tcPr>
          <w:p>
            <w:pPr>
              <w:jc w:val="center"/>
              <w:rPr>
                <w:noProof/>
              </w:rPr>
            </w:pPr>
            <w:r>
              <w:rPr>
                <w:noProof/>
                <w:sz w:val="22"/>
              </w:rPr>
              <w:t xml:space="preserve"> ГД „Околна среда“ и ГД „Действия по климата“ </w:t>
            </w:r>
            <w:r>
              <w:rPr>
                <w:noProof/>
              </w:rPr>
              <w:t>&lt;09.02.01, 09.02.02, 09.0203&gt;</w:t>
            </w:r>
          </w:p>
        </w:tc>
        <w:tc>
          <w:tcPr>
            <w:tcW w:w="1418" w:type="dxa"/>
            <w:vAlign w:val="center"/>
          </w:tcPr>
          <w:p>
            <w:pPr>
              <w:rPr>
                <w:noProof/>
                <w:sz w:val="20"/>
              </w:rPr>
            </w:pPr>
          </w:p>
        </w:tc>
        <w:tc>
          <w:tcPr>
            <w:tcW w:w="1134" w:type="dxa"/>
            <w:vAlign w:val="center"/>
          </w:tcPr>
          <w:p>
            <w:pPr>
              <w:jc w:val="center"/>
              <w:rPr>
                <w:noProof/>
                <w:sz w:val="20"/>
              </w:rPr>
            </w:pPr>
          </w:p>
        </w:tc>
        <w:tc>
          <w:tcPr>
            <w:tcW w:w="895" w:type="dxa"/>
            <w:vAlign w:val="center"/>
          </w:tcPr>
          <w:p>
            <w:pPr>
              <w:jc w:val="center"/>
              <w:rPr>
                <w:noProof/>
                <w:sz w:val="20"/>
              </w:rPr>
            </w:pPr>
            <w:r>
              <w:rPr>
                <w:noProof/>
                <w:sz w:val="20"/>
              </w:rPr>
              <w:t>2021 г.</w:t>
            </w:r>
          </w:p>
        </w:tc>
        <w:tc>
          <w:tcPr>
            <w:tcW w:w="924" w:type="dxa"/>
            <w:vAlign w:val="center"/>
          </w:tcPr>
          <w:p>
            <w:pPr>
              <w:jc w:val="center"/>
              <w:rPr>
                <w:noProof/>
                <w:sz w:val="20"/>
              </w:rPr>
            </w:pPr>
            <w:r>
              <w:rPr>
                <w:noProof/>
                <w:sz w:val="20"/>
              </w:rPr>
              <w:t>2022 г.</w:t>
            </w:r>
          </w:p>
        </w:tc>
        <w:tc>
          <w:tcPr>
            <w:tcW w:w="924" w:type="dxa"/>
            <w:vAlign w:val="center"/>
          </w:tcPr>
          <w:p>
            <w:pPr>
              <w:jc w:val="center"/>
              <w:rPr>
                <w:noProof/>
                <w:sz w:val="20"/>
              </w:rPr>
            </w:pPr>
            <w:r>
              <w:rPr>
                <w:noProof/>
                <w:sz w:val="20"/>
              </w:rPr>
              <w:t>2023 г.</w:t>
            </w:r>
          </w:p>
        </w:tc>
        <w:tc>
          <w:tcPr>
            <w:tcW w:w="924" w:type="dxa"/>
            <w:vAlign w:val="center"/>
          </w:tcPr>
          <w:p>
            <w:pPr>
              <w:jc w:val="center"/>
              <w:rPr>
                <w:noProof/>
                <w:sz w:val="20"/>
              </w:rPr>
            </w:pPr>
            <w:r>
              <w:rPr>
                <w:noProof/>
                <w:sz w:val="20"/>
              </w:rPr>
              <w:t>2024 г.</w:t>
            </w:r>
          </w:p>
        </w:tc>
        <w:tc>
          <w:tcPr>
            <w:tcW w:w="924" w:type="dxa"/>
            <w:vAlign w:val="center"/>
          </w:tcPr>
          <w:p>
            <w:pPr>
              <w:jc w:val="center"/>
              <w:rPr>
                <w:noProof/>
                <w:sz w:val="20"/>
              </w:rPr>
            </w:pPr>
            <w:r>
              <w:rPr>
                <w:noProof/>
                <w:sz w:val="20"/>
              </w:rPr>
              <w:t>2025 г.</w:t>
            </w:r>
          </w:p>
        </w:tc>
        <w:tc>
          <w:tcPr>
            <w:tcW w:w="924" w:type="dxa"/>
            <w:vAlign w:val="center"/>
          </w:tcPr>
          <w:p>
            <w:pPr>
              <w:jc w:val="center"/>
              <w:rPr>
                <w:noProof/>
                <w:sz w:val="20"/>
              </w:rPr>
            </w:pPr>
            <w:r>
              <w:rPr>
                <w:noProof/>
                <w:sz w:val="20"/>
              </w:rPr>
              <w:t>2026 г.</w:t>
            </w:r>
          </w:p>
        </w:tc>
        <w:tc>
          <w:tcPr>
            <w:tcW w:w="925" w:type="dxa"/>
            <w:vAlign w:val="center"/>
          </w:tcPr>
          <w:p>
            <w:pPr>
              <w:jc w:val="center"/>
              <w:rPr>
                <w:noProof/>
                <w:sz w:val="20"/>
              </w:rPr>
            </w:pPr>
            <w:r>
              <w:rPr>
                <w:noProof/>
                <w:sz w:val="20"/>
              </w:rPr>
              <w:t>2027 г.</w:t>
            </w:r>
          </w:p>
        </w:tc>
        <w:tc>
          <w:tcPr>
            <w:tcW w:w="970" w:type="dxa"/>
            <w:vAlign w:val="center"/>
          </w:tcPr>
          <w:p>
            <w:pPr>
              <w:jc w:val="center"/>
              <w:rPr>
                <w:b/>
                <w:noProof/>
                <w:sz w:val="20"/>
              </w:rPr>
            </w:pPr>
            <w:r>
              <w:rPr>
                <w:b/>
                <w:noProof/>
                <w:sz w:val="20"/>
              </w:rPr>
              <w:t>ОБЩО</w:t>
            </w:r>
          </w:p>
        </w:tc>
      </w:tr>
      <w:tr>
        <w:trPr>
          <w:trHeight w:val="277"/>
        </w:trPr>
        <w:tc>
          <w:tcPr>
            <w:tcW w:w="3082" w:type="dxa"/>
            <w:vMerge w:val="restart"/>
            <w:vAlign w:val="center"/>
          </w:tcPr>
          <w:p>
            <w:pPr>
              <w:rPr>
                <w:noProof/>
                <w:sz w:val="20"/>
              </w:rPr>
            </w:pPr>
            <w:r>
              <w:rPr>
                <w:b/>
                <w:noProof/>
                <w:sz w:val="20"/>
              </w:rPr>
              <w:t xml:space="preserve">Намаление </w:t>
            </w:r>
            <w:r>
              <w:rPr>
                <w:noProof/>
                <w:sz w:val="20"/>
              </w:rPr>
              <w:t>по 09.02.01 – ГД „Околна среда“</w:t>
            </w:r>
          </w:p>
        </w:tc>
        <w:tc>
          <w:tcPr>
            <w:tcW w:w="1418" w:type="dxa"/>
            <w:vAlign w:val="center"/>
          </w:tcPr>
          <w:p>
            <w:pPr>
              <w:spacing w:before="20" w:after="20"/>
              <w:rPr>
                <w:noProof/>
              </w:rPr>
            </w:pPr>
            <w:r>
              <w:rPr>
                <w:noProof/>
                <w:sz w:val="18"/>
              </w:rPr>
              <w:t>Поети задължения</w:t>
            </w:r>
          </w:p>
        </w:tc>
        <w:tc>
          <w:tcPr>
            <w:tcW w:w="1134" w:type="dxa"/>
            <w:vAlign w:val="center"/>
          </w:tcPr>
          <w:p>
            <w:pPr>
              <w:spacing w:before="20" w:after="20"/>
              <w:jc w:val="center"/>
              <w:rPr>
                <w:noProof/>
                <w:sz w:val="14"/>
              </w:rPr>
            </w:pPr>
            <w:r>
              <w:rPr>
                <w:noProof/>
                <w:sz w:val="14"/>
              </w:rPr>
              <w:t>(1a)</w:t>
            </w:r>
          </w:p>
        </w:tc>
        <w:tc>
          <w:tcPr>
            <w:tcW w:w="895" w:type="dxa"/>
            <w:vAlign w:val="bottom"/>
          </w:tcPr>
          <w:p>
            <w:pPr>
              <w:spacing w:before="40" w:after="40"/>
              <w:jc w:val="right"/>
              <w:rPr>
                <w:noProof/>
                <w:sz w:val="20"/>
                <w:szCs w:val="20"/>
              </w:rPr>
            </w:pPr>
            <w:r>
              <w:rPr>
                <w:noProof/>
                <w:color w:val="000000"/>
                <w:sz w:val="20"/>
                <w:szCs w:val="20"/>
              </w:rPr>
              <w:t xml:space="preserve">1,385   </w:t>
            </w:r>
          </w:p>
        </w:tc>
        <w:tc>
          <w:tcPr>
            <w:tcW w:w="924" w:type="dxa"/>
            <w:vAlign w:val="bottom"/>
          </w:tcPr>
          <w:p>
            <w:pPr>
              <w:spacing w:before="40" w:after="40"/>
              <w:jc w:val="right"/>
              <w:rPr>
                <w:noProof/>
                <w:sz w:val="20"/>
                <w:szCs w:val="20"/>
                <w:highlight w:val="yellow"/>
              </w:rPr>
            </w:pPr>
            <w:r>
              <w:rPr>
                <w:noProof/>
                <w:color w:val="000000"/>
                <w:sz w:val="20"/>
                <w:szCs w:val="20"/>
              </w:rPr>
              <w:t xml:space="preserve">   1,405  </w:t>
            </w:r>
          </w:p>
        </w:tc>
        <w:tc>
          <w:tcPr>
            <w:tcW w:w="924" w:type="dxa"/>
            <w:vAlign w:val="bottom"/>
          </w:tcPr>
          <w:p>
            <w:pPr>
              <w:spacing w:before="40" w:after="40"/>
              <w:jc w:val="right"/>
              <w:rPr>
                <w:noProof/>
                <w:sz w:val="20"/>
                <w:szCs w:val="20"/>
                <w:highlight w:val="yellow"/>
              </w:rPr>
            </w:pPr>
            <w:r>
              <w:rPr>
                <w:noProof/>
                <w:color w:val="000000"/>
                <w:sz w:val="20"/>
                <w:szCs w:val="20"/>
              </w:rPr>
              <w:t xml:space="preserve">    1,428  </w:t>
            </w:r>
          </w:p>
        </w:tc>
        <w:tc>
          <w:tcPr>
            <w:tcW w:w="924" w:type="dxa"/>
            <w:vAlign w:val="bottom"/>
          </w:tcPr>
          <w:p>
            <w:pPr>
              <w:spacing w:before="40" w:after="40"/>
              <w:jc w:val="right"/>
              <w:rPr>
                <w:noProof/>
                <w:sz w:val="20"/>
                <w:szCs w:val="20"/>
                <w:highlight w:val="yellow"/>
              </w:rPr>
            </w:pPr>
            <w:r>
              <w:rPr>
                <w:noProof/>
                <w:color w:val="000000"/>
                <w:sz w:val="20"/>
                <w:szCs w:val="20"/>
              </w:rPr>
              <w:t xml:space="preserve">    1,450  </w:t>
            </w:r>
          </w:p>
        </w:tc>
        <w:tc>
          <w:tcPr>
            <w:tcW w:w="924" w:type="dxa"/>
            <w:vAlign w:val="bottom"/>
          </w:tcPr>
          <w:p>
            <w:pPr>
              <w:spacing w:before="40" w:after="40"/>
              <w:jc w:val="right"/>
              <w:rPr>
                <w:noProof/>
                <w:sz w:val="20"/>
                <w:szCs w:val="20"/>
                <w:highlight w:val="yellow"/>
              </w:rPr>
            </w:pPr>
            <w:r>
              <w:rPr>
                <w:noProof/>
                <w:color w:val="000000"/>
                <w:sz w:val="20"/>
                <w:szCs w:val="20"/>
              </w:rPr>
              <w:t xml:space="preserve">    1,474   </w:t>
            </w:r>
          </w:p>
        </w:tc>
        <w:tc>
          <w:tcPr>
            <w:tcW w:w="924" w:type="dxa"/>
            <w:vAlign w:val="bottom"/>
          </w:tcPr>
          <w:p>
            <w:pPr>
              <w:spacing w:before="40" w:after="40"/>
              <w:jc w:val="right"/>
              <w:rPr>
                <w:noProof/>
                <w:sz w:val="20"/>
                <w:szCs w:val="20"/>
                <w:highlight w:val="yellow"/>
              </w:rPr>
            </w:pPr>
            <w:r>
              <w:rPr>
                <w:noProof/>
                <w:color w:val="000000"/>
                <w:sz w:val="20"/>
                <w:szCs w:val="20"/>
              </w:rPr>
              <w:t xml:space="preserve">    1,496   </w:t>
            </w:r>
          </w:p>
        </w:tc>
        <w:tc>
          <w:tcPr>
            <w:tcW w:w="925" w:type="dxa"/>
            <w:vAlign w:val="bottom"/>
          </w:tcPr>
          <w:p>
            <w:pPr>
              <w:spacing w:before="40" w:after="40"/>
              <w:jc w:val="right"/>
              <w:rPr>
                <w:noProof/>
                <w:sz w:val="20"/>
                <w:szCs w:val="20"/>
                <w:highlight w:val="yellow"/>
              </w:rPr>
            </w:pPr>
            <w:r>
              <w:rPr>
                <w:noProof/>
                <w:color w:val="000000"/>
                <w:sz w:val="20"/>
                <w:szCs w:val="20"/>
              </w:rPr>
              <w:t xml:space="preserve">    1,522   </w:t>
            </w:r>
          </w:p>
        </w:tc>
        <w:tc>
          <w:tcPr>
            <w:tcW w:w="970" w:type="dxa"/>
            <w:vAlign w:val="bottom"/>
          </w:tcPr>
          <w:p>
            <w:pPr>
              <w:spacing w:before="20" w:after="20"/>
              <w:jc w:val="right"/>
              <w:rPr>
                <w:b/>
                <w:noProof/>
                <w:sz w:val="20"/>
                <w:szCs w:val="20"/>
                <w:highlight w:val="yellow"/>
              </w:rPr>
            </w:pPr>
            <w:r>
              <w:rPr>
                <w:noProof/>
                <w:color w:val="000000"/>
                <w:sz w:val="20"/>
                <w:szCs w:val="20"/>
              </w:rPr>
              <w:t xml:space="preserve">     10,160   </w:t>
            </w:r>
          </w:p>
        </w:tc>
      </w:tr>
      <w:tr>
        <w:tc>
          <w:tcPr>
            <w:tcW w:w="3082" w:type="dxa"/>
            <w:vMerge/>
            <w:vAlign w:val="center"/>
          </w:tcPr>
          <w:p>
            <w:pPr>
              <w:rPr>
                <w:noProof/>
              </w:rPr>
            </w:pPr>
          </w:p>
        </w:tc>
        <w:tc>
          <w:tcPr>
            <w:tcW w:w="1418" w:type="dxa"/>
            <w:vAlign w:val="center"/>
          </w:tcPr>
          <w:p>
            <w:pPr>
              <w:spacing w:before="20" w:after="20"/>
              <w:rPr>
                <w:noProof/>
                <w:sz w:val="18"/>
              </w:rPr>
            </w:pPr>
            <w:r>
              <w:rPr>
                <w:noProof/>
                <w:sz w:val="18"/>
              </w:rPr>
              <w:t>Плащания</w:t>
            </w:r>
          </w:p>
        </w:tc>
        <w:tc>
          <w:tcPr>
            <w:tcW w:w="1134" w:type="dxa"/>
            <w:vAlign w:val="center"/>
          </w:tcPr>
          <w:p>
            <w:pPr>
              <w:spacing w:before="20" w:after="20"/>
              <w:jc w:val="center"/>
              <w:rPr>
                <w:noProof/>
                <w:sz w:val="14"/>
              </w:rPr>
            </w:pPr>
            <w:r>
              <w:rPr>
                <w:noProof/>
                <w:sz w:val="14"/>
              </w:rPr>
              <w:t>(2a)</w:t>
            </w:r>
          </w:p>
        </w:tc>
        <w:tc>
          <w:tcPr>
            <w:tcW w:w="895" w:type="dxa"/>
            <w:vAlign w:val="bottom"/>
          </w:tcPr>
          <w:p>
            <w:pPr>
              <w:spacing w:before="20" w:after="20"/>
              <w:jc w:val="right"/>
              <w:rPr>
                <w:noProof/>
                <w:sz w:val="20"/>
              </w:rPr>
            </w:pPr>
            <w:r>
              <w:rPr>
                <w:noProof/>
                <w:color w:val="000000"/>
                <w:sz w:val="20"/>
                <w:szCs w:val="20"/>
              </w:rPr>
              <w:t xml:space="preserve">1,385   </w:t>
            </w:r>
          </w:p>
        </w:tc>
        <w:tc>
          <w:tcPr>
            <w:tcW w:w="924" w:type="dxa"/>
            <w:vAlign w:val="bottom"/>
          </w:tcPr>
          <w:p>
            <w:pPr>
              <w:spacing w:before="20" w:after="20"/>
              <w:jc w:val="right"/>
              <w:rPr>
                <w:noProof/>
                <w:sz w:val="20"/>
                <w:highlight w:val="yellow"/>
              </w:rPr>
            </w:pPr>
            <w:r>
              <w:rPr>
                <w:noProof/>
                <w:color w:val="000000"/>
                <w:sz w:val="20"/>
                <w:szCs w:val="20"/>
              </w:rPr>
              <w:t xml:space="preserve">   1,405   </w:t>
            </w:r>
          </w:p>
        </w:tc>
        <w:tc>
          <w:tcPr>
            <w:tcW w:w="924" w:type="dxa"/>
            <w:vAlign w:val="bottom"/>
          </w:tcPr>
          <w:p>
            <w:pPr>
              <w:spacing w:before="20" w:after="20"/>
              <w:jc w:val="right"/>
              <w:rPr>
                <w:noProof/>
                <w:sz w:val="20"/>
                <w:highlight w:val="yellow"/>
              </w:rPr>
            </w:pPr>
            <w:r>
              <w:rPr>
                <w:noProof/>
                <w:color w:val="000000"/>
                <w:sz w:val="20"/>
                <w:szCs w:val="20"/>
              </w:rPr>
              <w:t xml:space="preserve">    1,428   </w:t>
            </w:r>
          </w:p>
        </w:tc>
        <w:tc>
          <w:tcPr>
            <w:tcW w:w="924" w:type="dxa"/>
            <w:vAlign w:val="bottom"/>
          </w:tcPr>
          <w:p>
            <w:pPr>
              <w:spacing w:before="20" w:after="20"/>
              <w:jc w:val="right"/>
              <w:rPr>
                <w:noProof/>
                <w:sz w:val="20"/>
                <w:highlight w:val="yellow"/>
              </w:rPr>
            </w:pPr>
            <w:r>
              <w:rPr>
                <w:noProof/>
                <w:color w:val="000000"/>
                <w:sz w:val="20"/>
                <w:szCs w:val="20"/>
              </w:rPr>
              <w:t xml:space="preserve">    1,450   </w:t>
            </w:r>
          </w:p>
        </w:tc>
        <w:tc>
          <w:tcPr>
            <w:tcW w:w="924" w:type="dxa"/>
            <w:vAlign w:val="bottom"/>
          </w:tcPr>
          <w:p>
            <w:pPr>
              <w:spacing w:before="20" w:after="20"/>
              <w:jc w:val="right"/>
              <w:rPr>
                <w:noProof/>
                <w:sz w:val="20"/>
                <w:highlight w:val="yellow"/>
              </w:rPr>
            </w:pPr>
            <w:r>
              <w:rPr>
                <w:noProof/>
                <w:color w:val="000000"/>
                <w:sz w:val="20"/>
                <w:szCs w:val="20"/>
              </w:rPr>
              <w:t xml:space="preserve">    1,474   </w:t>
            </w:r>
          </w:p>
        </w:tc>
        <w:tc>
          <w:tcPr>
            <w:tcW w:w="924" w:type="dxa"/>
            <w:vAlign w:val="bottom"/>
          </w:tcPr>
          <w:p>
            <w:pPr>
              <w:spacing w:before="20" w:after="20"/>
              <w:jc w:val="right"/>
              <w:rPr>
                <w:noProof/>
                <w:sz w:val="20"/>
                <w:highlight w:val="yellow"/>
              </w:rPr>
            </w:pPr>
            <w:r>
              <w:rPr>
                <w:noProof/>
                <w:color w:val="000000"/>
                <w:sz w:val="20"/>
                <w:szCs w:val="20"/>
              </w:rPr>
              <w:t xml:space="preserve">    1,496   </w:t>
            </w:r>
          </w:p>
        </w:tc>
        <w:tc>
          <w:tcPr>
            <w:tcW w:w="925" w:type="dxa"/>
            <w:vAlign w:val="bottom"/>
          </w:tcPr>
          <w:p>
            <w:pPr>
              <w:spacing w:before="20" w:after="20"/>
              <w:jc w:val="right"/>
              <w:rPr>
                <w:noProof/>
                <w:sz w:val="20"/>
                <w:highlight w:val="yellow"/>
              </w:rPr>
            </w:pPr>
            <w:r>
              <w:rPr>
                <w:noProof/>
                <w:color w:val="000000"/>
                <w:sz w:val="20"/>
                <w:szCs w:val="20"/>
              </w:rPr>
              <w:t xml:space="preserve">    1,522   </w:t>
            </w:r>
          </w:p>
        </w:tc>
        <w:tc>
          <w:tcPr>
            <w:tcW w:w="970" w:type="dxa"/>
            <w:vAlign w:val="bottom"/>
          </w:tcPr>
          <w:p>
            <w:pPr>
              <w:spacing w:before="20" w:after="20"/>
              <w:jc w:val="right"/>
              <w:rPr>
                <w:b/>
                <w:noProof/>
                <w:sz w:val="20"/>
                <w:highlight w:val="yellow"/>
              </w:rPr>
            </w:pPr>
            <w:r>
              <w:rPr>
                <w:noProof/>
                <w:color w:val="000000"/>
                <w:sz w:val="20"/>
                <w:szCs w:val="20"/>
              </w:rPr>
              <w:t xml:space="preserve">10,160   </w:t>
            </w:r>
          </w:p>
        </w:tc>
      </w:tr>
      <w:tr>
        <w:tc>
          <w:tcPr>
            <w:tcW w:w="3082" w:type="dxa"/>
            <w:vMerge w:val="restart"/>
            <w:vAlign w:val="center"/>
          </w:tcPr>
          <w:p>
            <w:pPr>
              <w:rPr>
                <w:b/>
                <w:noProof/>
              </w:rPr>
            </w:pPr>
            <w:r>
              <w:rPr>
                <w:b/>
                <w:noProof/>
                <w:sz w:val="20"/>
              </w:rPr>
              <w:t xml:space="preserve">Намаление </w:t>
            </w:r>
            <w:r>
              <w:rPr>
                <w:noProof/>
                <w:sz w:val="20"/>
              </w:rPr>
              <w:t>по 09.02.02 – ГД „Околна среда“</w:t>
            </w:r>
          </w:p>
        </w:tc>
        <w:tc>
          <w:tcPr>
            <w:tcW w:w="1418" w:type="dxa"/>
            <w:vAlign w:val="center"/>
          </w:tcPr>
          <w:p>
            <w:pPr>
              <w:spacing w:before="20" w:after="20"/>
              <w:rPr>
                <w:noProof/>
                <w:sz w:val="18"/>
              </w:rPr>
            </w:pPr>
            <w:r>
              <w:rPr>
                <w:noProof/>
                <w:sz w:val="18"/>
              </w:rPr>
              <w:t>Поети задължения</w:t>
            </w:r>
          </w:p>
        </w:tc>
        <w:tc>
          <w:tcPr>
            <w:tcW w:w="1134" w:type="dxa"/>
            <w:vAlign w:val="center"/>
          </w:tcPr>
          <w:p>
            <w:pPr>
              <w:spacing w:before="20" w:after="20"/>
              <w:jc w:val="center"/>
              <w:rPr>
                <w:noProof/>
                <w:sz w:val="14"/>
              </w:rPr>
            </w:pPr>
            <w:r>
              <w:rPr>
                <w:noProof/>
                <w:sz w:val="14"/>
              </w:rPr>
              <w:t>(1б)</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c>
          <w:tcPr>
            <w:tcW w:w="3082" w:type="dxa"/>
            <w:vMerge/>
            <w:vAlign w:val="center"/>
          </w:tcPr>
          <w:p>
            <w:pPr>
              <w:rPr>
                <w:noProof/>
              </w:rPr>
            </w:pPr>
          </w:p>
        </w:tc>
        <w:tc>
          <w:tcPr>
            <w:tcW w:w="1418" w:type="dxa"/>
            <w:vAlign w:val="center"/>
          </w:tcPr>
          <w:p>
            <w:pPr>
              <w:spacing w:before="20" w:after="20"/>
              <w:rPr>
                <w:noProof/>
                <w:sz w:val="18"/>
              </w:rPr>
            </w:pPr>
            <w:r>
              <w:rPr>
                <w:noProof/>
                <w:sz w:val="18"/>
              </w:rPr>
              <w:t>Плащания</w:t>
            </w:r>
          </w:p>
        </w:tc>
        <w:tc>
          <w:tcPr>
            <w:tcW w:w="1134" w:type="dxa"/>
            <w:vAlign w:val="center"/>
          </w:tcPr>
          <w:p>
            <w:pPr>
              <w:spacing w:before="20" w:after="20"/>
              <w:jc w:val="center"/>
              <w:rPr>
                <w:noProof/>
                <w:sz w:val="14"/>
              </w:rPr>
            </w:pPr>
            <w:r>
              <w:rPr>
                <w:noProof/>
                <w:sz w:val="14"/>
              </w:rPr>
              <w:t>(2б)</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c>
          <w:tcPr>
            <w:tcW w:w="3082" w:type="dxa"/>
            <w:vMerge w:val="restart"/>
            <w:vAlign w:val="center"/>
          </w:tcPr>
          <w:p>
            <w:pPr>
              <w:rPr>
                <w:noProof/>
              </w:rPr>
            </w:pPr>
            <w:r>
              <w:rPr>
                <w:b/>
                <w:noProof/>
                <w:sz w:val="20"/>
              </w:rPr>
              <w:t xml:space="preserve">Намаление </w:t>
            </w:r>
            <w:r>
              <w:rPr>
                <w:noProof/>
                <w:sz w:val="20"/>
              </w:rPr>
              <w:t>по 09.02.03 – ГД „Действия по климата“</w:t>
            </w:r>
          </w:p>
        </w:tc>
        <w:tc>
          <w:tcPr>
            <w:tcW w:w="1418" w:type="dxa"/>
            <w:vAlign w:val="center"/>
          </w:tcPr>
          <w:p>
            <w:pPr>
              <w:spacing w:before="20" w:after="20"/>
              <w:rPr>
                <w:noProof/>
                <w:sz w:val="18"/>
              </w:rPr>
            </w:pPr>
            <w:r>
              <w:rPr>
                <w:noProof/>
                <w:sz w:val="18"/>
              </w:rPr>
              <w:t>Поети задължения</w:t>
            </w:r>
          </w:p>
        </w:tc>
        <w:tc>
          <w:tcPr>
            <w:tcW w:w="1134" w:type="dxa"/>
            <w:vAlign w:val="center"/>
          </w:tcPr>
          <w:p>
            <w:pPr>
              <w:spacing w:before="20" w:after="20"/>
              <w:jc w:val="center"/>
              <w:rPr>
                <w:noProof/>
                <w:sz w:val="14"/>
              </w:rPr>
            </w:pPr>
            <w:r>
              <w:rPr>
                <w:noProof/>
                <w:sz w:val="14"/>
              </w:rPr>
              <w:t>(1в)</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 </w:t>
            </w:r>
          </w:p>
        </w:tc>
      </w:tr>
      <w:tr>
        <w:trPr>
          <w:trHeight w:val="229"/>
        </w:trPr>
        <w:tc>
          <w:tcPr>
            <w:tcW w:w="3082" w:type="dxa"/>
            <w:vMerge/>
            <w:vAlign w:val="center"/>
          </w:tcPr>
          <w:p>
            <w:pPr>
              <w:rPr>
                <w:noProof/>
              </w:rPr>
            </w:pPr>
          </w:p>
        </w:tc>
        <w:tc>
          <w:tcPr>
            <w:tcW w:w="1418" w:type="dxa"/>
            <w:vAlign w:val="center"/>
          </w:tcPr>
          <w:p>
            <w:pPr>
              <w:spacing w:before="20" w:after="20"/>
              <w:rPr>
                <w:noProof/>
                <w:sz w:val="18"/>
              </w:rPr>
            </w:pPr>
            <w:r>
              <w:rPr>
                <w:noProof/>
                <w:sz w:val="18"/>
              </w:rPr>
              <w:t>Плащания</w:t>
            </w:r>
          </w:p>
        </w:tc>
        <w:tc>
          <w:tcPr>
            <w:tcW w:w="1134" w:type="dxa"/>
            <w:vAlign w:val="center"/>
          </w:tcPr>
          <w:p>
            <w:pPr>
              <w:spacing w:before="20" w:after="20"/>
              <w:jc w:val="center"/>
              <w:rPr>
                <w:noProof/>
                <w:sz w:val="14"/>
              </w:rPr>
            </w:pPr>
            <w:r>
              <w:rPr>
                <w:noProof/>
                <w:sz w:val="14"/>
              </w:rPr>
              <w:t>(2в)</w:t>
            </w:r>
          </w:p>
        </w:tc>
        <w:tc>
          <w:tcPr>
            <w:tcW w:w="895" w:type="dxa"/>
            <w:vAlign w:val="bottom"/>
          </w:tcPr>
          <w:p>
            <w:pPr>
              <w:spacing w:before="20" w:after="20"/>
              <w:jc w:val="right"/>
              <w:rPr>
                <w:noProof/>
                <w:sz w:val="20"/>
              </w:rPr>
            </w:pPr>
            <w:r>
              <w:rPr>
                <w:noProof/>
                <w:color w:val="000000"/>
                <w:sz w:val="20"/>
                <w:szCs w:val="20"/>
              </w:rPr>
              <w:t xml:space="preserve">    1,062 </w:t>
            </w:r>
          </w:p>
        </w:tc>
        <w:tc>
          <w:tcPr>
            <w:tcW w:w="924" w:type="dxa"/>
            <w:vAlign w:val="bottom"/>
          </w:tcPr>
          <w:p>
            <w:pPr>
              <w:spacing w:before="20" w:after="20"/>
              <w:jc w:val="right"/>
              <w:rPr>
                <w:noProof/>
                <w:sz w:val="20"/>
                <w:highlight w:val="yellow"/>
              </w:rPr>
            </w:pPr>
            <w:r>
              <w:rPr>
                <w:noProof/>
                <w:color w:val="000000"/>
                <w:sz w:val="20"/>
                <w:szCs w:val="20"/>
              </w:rPr>
              <w:t xml:space="preserve">     1,079 </w:t>
            </w:r>
          </w:p>
        </w:tc>
        <w:tc>
          <w:tcPr>
            <w:tcW w:w="924" w:type="dxa"/>
            <w:vAlign w:val="bottom"/>
          </w:tcPr>
          <w:p>
            <w:pPr>
              <w:spacing w:before="20" w:after="20"/>
              <w:jc w:val="right"/>
              <w:rPr>
                <w:noProof/>
                <w:sz w:val="20"/>
                <w:highlight w:val="yellow"/>
              </w:rPr>
            </w:pPr>
            <w:r>
              <w:rPr>
                <w:noProof/>
                <w:color w:val="000000"/>
                <w:sz w:val="20"/>
                <w:szCs w:val="20"/>
              </w:rPr>
              <w:t xml:space="preserve">    1,096 </w:t>
            </w:r>
          </w:p>
        </w:tc>
        <w:tc>
          <w:tcPr>
            <w:tcW w:w="924" w:type="dxa"/>
            <w:vAlign w:val="bottom"/>
          </w:tcPr>
          <w:p>
            <w:pPr>
              <w:spacing w:before="20" w:after="20"/>
              <w:jc w:val="right"/>
              <w:rPr>
                <w:noProof/>
                <w:sz w:val="20"/>
                <w:highlight w:val="yellow"/>
              </w:rPr>
            </w:pPr>
            <w:r>
              <w:rPr>
                <w:noProof/>
                <w:color w:val="000000"/>
                <w:sz w:val="20"/>
                <w:szCs w:val="20"/>
              </w:rPr>
              <w:t xml:space="preserve">    1,113 </w:t>
            </w:r>
          </w:p>
        </w:tc>
        <w:tc>
          <w:tcPr>
            <w:tcW w:w="924" w:type="dxa"/>
            <w:vAlign w:val="bottom"/>
          </w:tcPr>
          <w:p>
            <w:pPr>
              <w:spacing w:before="20" w:after="20"/>
              <w:jc w:val="right"/>
              <w:rPr>
                <w:noProof/>
                <w:sz w:val="20"/>
                <w:highlight w:val="yellow"/>
              </w:rPr>
            </w:pPr>
            <w:r>
              <w:rPr>
                <w:noProof/>
                <w:color w:val="000000"/>
                <w:sz w:val="20"/>
                <w:szCs w:val="20"/>
              </w:rPr>
              <w:t xml:space="preserve">    1,130 </w:t>
            </w:r>
          </w:p>
        </w:tc>
        <w:tc>
          <w:tcPr>
            <w:tcW w:w="924" w:type="dxa"/>
            <w:vAlign w:val="bottom"/>
          </w:tcPr>
          <w:p>
            <w:pPr>
              <w:spacing w:before="20" w:after="20"/>
              <w:jc w:val="right"/>
              <w:rPr>
                <w:noProof/>
                <w:sz w:val="20"/>
                <w:highlight w:val="yellow"/>
              </w:rPr>
            </w:pPr>
            <w:r>
              <w:rPr>
                <w:noProof/>
                <w:color w:val="000000"/>
                <w:sz w:val="20"/>
                <w:szCs w:val="20"/>
              </w:rPr>
              <w:t xml:space="preserve">    1,148 </w:t>
            </w:r>
          </w:p>
        </w:tc>
        <w:tc>
          <w:tcPr>
            <w:tcW w:w="925" w:type="dxa"/>
            <w:vAlign w:val="bottom"/>
          </w:tcPr>
          <w:p>
            <w:pPr>
              <w:spacing w:before="20" w:after="20"/>
              <w:jc w:val="right"/>
              <w:rPr>
                <w:noProof/>
                <w:sz w:val="20"/>
                <w:highlight w:val="yellow"/>
              </w:rPr>
            </w:pPr>
            <w:r>
              <w:rPr>
                <w:noProof/>
                <w:color w:val="000000"/>
                <w:sz w:val="20"/>
                <w:szCs w:val="20"/>
              </w:rPr>
              <w:t xml:space="preserve">    1,166 </w:t>
            </w:r>
          </w:p>
        </w:tc>
        <w:tc>
          <w:tcPr>
            <w:tcW w:w="970" w:type="dxa"/>
            <w:vAlign w:val="bottom"/>
          </w:tcPr>
          <w:p>
            <w:pPr>
              <w:spacing w:before="20" w:after="20"/>
              <w:jc w:val="right"/>
              <w:rPr>
                <w:b/>
                <w:noProof/>
                <w:sz w:val="20"/>
                <w:highlight w:val="yellow"/>
              </w:rPr>
            </w:pPr>
            <w:r>
              <w:rPr>
                <w:noProof/>
                <w:color w:val="000000"/>
                <w:sz w:val="20"/>
                <w:szCs w:val="20"/>
              </w:rPr>
              <w:t xml:space="preserve"> 7,794</w:t>
            </w:r>
          </w:p>
        </w:tc>
      </w:tr>
      <w:tr>
        <w:tc>
          <w:tcPr>
            <w:tcW w:w="3082" w:type="dxa"/>
            <w:vMerge w:val="restart"/>
            <w:vAlign w:val="center"/>
          </w:tcPr>
          <w:p>
            <w:pPr>
              <w:jc w:val="center"/>
              <w:rPr>
                <w:noProof/>
              </w:rPr>
            </w:pPr>
            <w:r>
              <w:rPr>
                <w:b/>
                <w:noProof/>
                <w:sz w:val="22"/>
              </w:rPr>
              <w:t>ОБЩО намаление на бюджетните кредити за оперативни разходи</w:t>
            </w:r>
            <w:r>
              <w:rPr>
                <w:noProof/>
              </w:rPr>
              <w:t xml:space="preserve"> </w:t>
            </w:r>
            <w:r>
              <w:rPr>
                <w:noProof/>
              </w:rPr>
              <w:br/>
            </w:r>
            <w:r>
              <w:rPr>
                <w:b/>
                <w:noProof/>
                <w:sz w:val="22"/>
              </w:rPr>
              <w:t xml:space="preserve">за ГД „Околна среда“ и ГД „Действия по климата“ </w:t>
            </w:r>
            <w:r>
              <w:rPr>
                <w:noProof/>
              </w:rPr>
              <w:t>&lt;09.02.01, 09.02.02 и 09.0203&gt;</w:t>
            </w:r>
          </w:p>
        </w:tc>
        <w:tc>
          <w:tcPr>
            <w:tcW w:w="1418" w:type="dxa"/>
            <w:vAlign w:val="center"/>
          </w:tcPr>
          <w:p>
            <w:pPr>
              <w:rPr>
                <w:noProof/>
                <w:sz w:val="18"/>
              </w:rPr>
            </w:pPr>
            <w:r>
              <w:rPr>
                <w:noProof/>
                <w:sz w:val="18"/>
              </w:rPr>
              <w:t>Поети задължения</w:t>
            </w:r>
          </w:p>
        </w:tc>
        <w:tc>
          <w:tcPr>
            <w:tcW w:w="1134" w:type="dxa"/>
            <w:vAlign w:val="center"/>
          </w:tcPr>
          <w:p>
            <w:pPr>
              <w:jc w:val="center"/>
              <w:rPr>
                <w:noProof/>
                <w:sz w:val="14"/>
              </w:rPr>
            </w:pPr>
            <w:r>
              <w:rPr>
                <w:noProof/>
                <w:sz w:val="14"/>
              </w:rPr>
              <w:t>=1a+1б +1в</w:t>
            </w:r>
          </w:p>
        </w:tc>
        <w:tc>
          <w:tcPr>
            <w:tcW w:w="895" w:type="dxa"/>
            <w:vAlign w:val="bottom"/>
          </w:tcPr>
          <w:p>
            <w:pPr>
              <w:spacing w:before="40" w:after="40"/>
              <w:jc w:val="right"/>
              <w:rPr>
                <w:noProof/>
                <w:sz w:val="20"/>
                <w:szCs w:val="20"/>
              </w:rPr>
            </w:pPr>
            <w:r>
              <w:rPr>
                <w:noProof/>
                <w:color w:val="000000"/>
                <w:sz w:val="20"/>
                <w:szCs w:val="20"/>
              </w:rPr>
              <w:t xml:space="preserve">  3,509  </w:t>
            </w:r>
          </w:p>
        </w:tc>
        <w:tc>
          <w:tcPr>
            <w:tcW w:w="924" w:type="dxa"/>
            <w:vAlign w:val="bottom"/>
          </w:tcPr>
          <w:p>
            <w:pPr>
              <w:spacing w:before="40" w:after="40"/>
              <w:jc w:val="right"/>
              <w:rPr>
                <w:noProof/>
                <w:sz w:val="20"/>
                <w:szCs w:val="20"/>
                <w:highlight w:val="yellow"/>
              </w:rPr>
            </w:pPr>
            <w:r>
              <w:rPr>
                <w:noProof/>
                <w:color w:val="000000"/>
                <w:sz w:val="20"/>
                <w:szCs w:val="20"/>
              </w:rPr>
              <w:t xml:space="preserve">   3,563   </w:t>
            </w:r>
          </w:p>
        </w:tc>
        <w:tc>
          <w:tcPr>
            <w:tcW w:w="924" w:type="dxa"/>
            <w:vAlign w:val="bottom"/>
          </w:tcPr>
          <w:p>
            <w:pPr>
              <w:spacing w:before="40" w:after="40"/>
              <w:rPr>
                <w:noProof/>
                <w:sz w:val="20"/>
                <w:szCs w:val="20"/>
                <w:highlight w:val="yellow"/>
              </w:rPr>
            </w:pPr>
            <w:r>
              <w:rPr>
                <w:noProof/>
                <w:color w:val="000000"/>
                <w:sz w:val="20"/>
                <w:szCs w:val="20"/>
              </w:rPr>
              <w:t xml:space="preserve">    3,620   </w:t>
            </w:r>
          </w:p>
        </w:tc>
        <w:tc>
          <w:tcPr>
            <w:tcW w:w="924" w:type="dxa"/>
            <w:vAlign w:val="bottom"/>
          </w:tcPr>
          <w:p>
            <w:pPr>
              <w:spacing w:before="40" w:after="40"/>
              <w:rPr>
                <w:noProof/>
                <w:sz w:val="20"/>
                <w:szCs w:val="20"/>
                <w:highlight w:val="yellow"/>
              </w:rPr>
            </w:pPr>
            <w:r>
              <w:rPr>
                <w:noProof/>
                <w:color w:val="000000"/>
                <w:sz w:val="20"/>
                <w:szCs w:val="20"/>
              </w:rPr>
              <w:t xml:space="preserve">    3,676   </w:t>
            </w:r>
          </w:p>
        </w:tc>
        <w:tc>
          <w:tcPr>
            <w:tcW w:w="924" w:type="dxa"/>
            <w:vAlign w:val="bottom"/>
          </w:tcPr>
          <w:p>
            <w:pPr>
              <w:spacing w:before="40" w:after="40"/>
              <w:rPr>
                <w:noProof/>
                <w:sz w:val="20"/>
                <w:szCs w:val="20"/>
                <w:highlight w:val="yellow"/>
              </w:rPr>
            </w:pPr>
            <w:r>
              <w:rPr>
                <w:noProof/>
                <w:color w:val="000000"/>
                <w:sz w:val="20"/>
                <w:szCs w:val="20"/>
              </w:rPr>
              <w:t xml:space="preserve">    3,734  </w:t>
            </w:r>
          </w:p>
        </w:tc>
        <w:tc>
          <w:tcPr>
            <w:tcW w:w="924" w:type="dxa"/>
            <w:vAlign w:val="bottom"/>
          </w:tcPr>
          <w:p>
            <w:pPr>
              <w:spacing w:before="40" w:after="40"/>
              <w:rPr>
                <w:noProof/>
                <w:sz w:val="20"/>
                <w:szCs w:val="20"/>
                <w:highlight w:val="yellow"/>
              </w:rPr>
            </w:pPr>
            <w:r>
              <w:rPr>
                <w:noProof/>
                <w:color w:val="000000"/>
                <w:sz w:val="20"/>
                <w:szCs w:val="20"/>
              </w:rPr>
              <w:t xml:space="preserve">    3,792  </w:t>
            </w:r>
          </w:p>
        </w:tc>
        <w:tc>
          <w:tcPr>
            <w:tcW w:w="925" w:type="dxa"/>
            <w:vAlign w:val="bottom"/>
          </w:tcPr>
          <w:p>
            <w:pPr>
              <w:spacing w:before="40" w:after="40"/>
              <w:rPr>
                <w:noProof/>
                <w:sz w:val="20"/>
                <w:szCs w:val="20"/>
                <w:highlight w:val="yellow"/>
              </w:rPr>
            </w:pPr>
            <w:r>
              <w:rPr>
                <w:noProof/>
                <w:color w:val="000000"/>
                <w:sz w:val="20"/>
                <w:szCs w:val="20"/>
              </w:rPr>
              <w:t xml:space="preserve">    3,854   </w:t>
            </w:r>
          </w:p>
        </w:tc>
        <w:tc>
          <w:tcPr>
            <w:tcW w:w="970" w:type="dxa"/>
            <w:vAlign w:val="bottom"/>
          </w:tcPr>
          <w:p>
            <w:pPr>
              <w:spacing w:before="20" w:after="20"/>
              <w:rPr>
                <w:b/>
                <w:noProof/>
                <w:sz w:val="20"/>
                <w:szCs w:val="20"/>
                <w:highlight w:val="yellow"/>
              </w:rPr>
            </w:pPr>
            <w:r>
              <w:rPr>
                <w:noProof/>
                <w:color w:val="000000"/>
                <w:sz w:val="20"/>
                <w:szCs w:val="20"/>
              </w:rPr>
              <w:t xml:space="preserve">   25,748  </w:t>
            </w:r>
          </w:p>
        </w:tc>
      </w:tr>
      <w:tr>
        <w:tc>
          <w:tcPr>
            <w:tcW w:w="3082" w:type="dxa"/>
            <w:vMerge/>
            <w:vAlign w:val="center"/>
          </w:tcPr>
          <w:p>
            <w:pPr>
              <w:rPr>
                <w:b/>
                <w:noProof/>
                <w:highlight w:val="yellow"/>
              </w:rPr>
            </w:pPr>
          </w:p>
        </w:tc>
        <w:tc>
          <w:tcPr>
            <w:tcW w:w="1418" w:type="dxa"/>
            <w:vAlign w:val="center"/>
          </w:tcPr>
          <w:p>
            <w:pPr>
              <w:rPr>
                <w:noProof/>
                <w:sz w:val="18"/>
              </w:rPr>
            </w:pPr>
            <w:r>
              <w:rPr>
                <w:noProof/>
                <w:sz w:val="18"/>
              </w:rPr>
              <w:t>Плащания</w:t>
            </w:r>
          </w:p>
        </w:tc>
        <w:tc>
          <w:tcPr>
            <w:tcW w:w="1134" w:type="dxa"/>
            <w:vAlign w:val="center"/>
          </w:tcPr>
          <w:p>
            <w:pPr>
              <w:ind w:left="-112" w:right="-107"/>
              <w:jc w:val="center"/>
              <w:rPr>
                <w:noProof/>
                <w:sz w:val="14"/>
              </w:rPr>
            </w:pPr>
            <w:r>
              <w:rPr>
                <w:noProof/>
                <w:sz w:val="14"/>
              </w:rPr>
              <w:t>=2 a+2б +3в</w:t>
            </w:r>
          </w:p>
        </w:tc>
        <w:tc>
          <w:tcPr>
            <w:tcW w:w="895" w:type="dxa"/>
            <w:vAlign w:val="bottom"/>
          </w:tcPr>
          <w:p>
            <w:pPr>
              <w:spacing w:before="40" w:after="40"/>
              <w:jc w:val="right"/>
              <w:rPr>
                <w:noProof/>
                <w:sz w:val="20"/>
                <w:highlight w:val="yellow"/>
              </w:rPr>
            </w:pPr>
            <w:r>
              <w:rPr>
                <w:noProof/>
                <w:color w:val="000000"/>
                <w:sz w:val="20"/>
                <w:szCs w:val="20"/>
              </w:rPr>
              <w:t xml:space="preserve">3,509 </w:t>
            </w:r>
          </w:p>
        </w:tc>
        <w:tc>
          <w:tcPr>
            <w:tcW w:w="924" w:type="dxa"/>
            <w:vAlign w:val="bottom"/>
          </w:tcPr>
          <w:p>
            <w:pPr>
              <w:spacing w:before="40" w:after="40"/>
              <w:jc w:val="right"/>
              <w:rPr>
                <w:noProof/>
                <w:sz w:val="20"/>
                <w:highlight w:val="yellow"/>
              </w:rPr>
            </w:pPr>
            <w:r>
              <w:rPr>
                <w:noProof/>
                <w:color w:val="000000"/>
                <w:sz w:val="20"/>
                <w:szCs w:val="20"/>
              </w:rPr>
              <w:t xml:space="preserve">   3,563   </w:t>
            </w:r>
          </w:p>
        </w:tc>
        <w:tc>
          <w:tcPr>
            <w:tcW w:w="924" w:type="dxa"/>
            <w:vAlign w:val="bottom"/>
          </w:tcPr>
          <w:p>
            <w:pPr>
              <w:spacing w:before="40" w:after="40"/>
              <w:jc w:val="right"/>
              <w:rPr>
                <w:noProof/>
                <w:sz w:val="20"/>
                <w:highlight w:val="yellow"/>
              </w:rPr>
            </w:pPr>
            <w:r>
              <w:rPr>
                <w:noProof/>
                <w:color w:val="000000"/>
                <w:sz w:val="20"/>
                <w:szCs w:val="20"/>
              </w:rPr>
              <w:t xml:space="preserve">    3,620   </w:t>
            </w:r>
          </w:p>
        </w:tc>
        <w:tc>
          <w:tcPr>
            <w:tcW w:w="924" w:type="dxa"/>
            <w:vAlign w:val="bottom"/>
          </w:tcPr>
          <w:p>
            <w:pPr>
              <w:spacing w:before="40" w:after="40"/>
              <w:jc w:val="right"/>
              <w:rPr>
                <w:noProof/>
                <w:sz w:val="20"/>
                <w:highlight w:val="yellow"/>
              </w:rPr>
            </w:pPr>
            <w:r>
              <w:rPr>
                <w:noProof/>
                <w:color w:val="000000"/>
                <w:sz w:val="20"/>
                <w:szCs w:val="20"/>
              </w:rPr>
              <w:t xml:space="preserve">    3,676   </w:t>
            </w:r>
          </w:p>
        </w:tc>
        <w:tc>
          <w:tcPr>
            <w:tcW w:w="924" w:type="dxa"/>
            <w:vAlign w:val="bottom"/>
          </w:tcPr>
          <w:p>
            <w:pPr>
              <w:spacing w:before="40" w:after="40"/>
              <w:jc w:val="right"/>
              <w:rPr>
                <w:noProof/>
                <w:sz w:val="20"/>
                <w:highlight w:val="yellow"/>
              </w:rPr>
            </w:pPr>
            <w:r>
              <w:rPr>
                <w:noProof/>
                <w:color w:val="000000"/>
                <w:sz w:val="20"/>
                <w:szCs w:val="20"/>
              </w:rPr>
              <w:t xml:space="preserve">    3,734  </w:t>
            </w:r>
          </w:p>
        </w:tc>
        <w:tc>
          <w:tcPr>
            <w:tcW w:w="924" w:type="dxa"/>
            <w:vAlign w:val="bottom"/>
          </w:tcPr>
          <w:p>
            <w:pPr>
              <w:spacing w:before="40" w:after="40"/>
              <w:jc w:val="right"/>
              <w:rPr>
                <w:noProof/>
                <w:sz w:val="20"/>
                <w:highlight w:val="yellow"/>
              </w:rPr>
            </w:pPr>
            <w:r>
              <w:rPr>
                <w:noProof/>
                <w:color w:val="000000"/>
                <w:sz w:val="20"/>
                <w:szCs w:val="20"/>
              </w:rPr>
              <w:t xml:space="preserve">    3,792  </w:t>
            </w:r>
          </w:p>
        </w:tc>
        <w:tc>
          <w:tcPr>
            <w:tcW w:w="925" w:type="dxa"/>
            <w:vAlign w:val="bottom"/>
          </w:tcPr>
          <w:p>
            <w:pPr>
              <w:spacing w:before="40" w:after="40"/>
              <w:jc w:val="right"/>
              <w:rPr>
                <w:noProof/>
                <w:sz w:val="20"/>
                <w:highlight w:val="yellow"/>
              </w:rPr>
            </w:pPr>
            <w:r>
              <w:rPr>
                <w:noProof/>
                <w:color w:val="000000"/>
                <w:sz w:val="20"/>
                <w:szCs w:val="20"/>
              </w:rPr>
              <w:t xml:space="preserve">    3,854   </w:t>
            </w:r>
          </w:p>
        </w:tc>
        <w:tc>
          <w:tcPr>
            <w:tcW w:w="970" w:type="dxa"/>
            <w:vAlign w:val="bottom"/>
          </w:tcPr>
          <w:p>
            <w:pPr>
              <w:spacing w:before="20" w:after="20"/>
              <w:jc w:val="right"/>
              <w:rPr>
                <w:b/>
                <w:noProof/>
                <w:sz w:val="20"/>
              </w:rPr>
            </w:pPr>
            <w:r>
              <w:rPr>
                <w:noProof/>
                <w:color w:val="000000"/>
                <w:sz w:val="20"/>
                <w:szCs w:val="20"/>
              </w:rPr>
              <w:t xml:space="preserve">25,748  </w:t>
            </w:r>
          </w:p>
        </w:tc>
      </w:tr>
    </w:tbl>
    <w:p>
      <w:pPr>
        <w:jc w:val="right"/>
        <w:rPr>
          <w:noProof/>
          <w:sz w:val="16"/>
        </w:rPr>
      </w:pPr>
    </w:p>
    <w:tbl>
      <w:tblPr>
        <w:tblW w:w="130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25"/>
        <w:gridCol w:w="970"/>
      </w:tblGrid>
      <w:tr>
        <w:tc>
          <w:tcPr>
            <w:tcW w:w="3195" w:type="dxa"/>
            <w:vAlign w:val="center"/>
          </w:tcPr>
          <w:p>
            <w:pPr>
              <w:jc w:val="center"/>
              <w:rPr>
                <w:noProof/>
              </w:rPr>
            </w:pPr>
            <w:r>
              <w:rPr>
                <w:noProof/>
                <w:sz w:val="22"/>
              </w:rPr>
              <w:t xml:space="preserve">ЕАОС: </w:t>
            </w:r>
            <w:r>
              <w:rPr>
                <w:noProof/>
              </w:rPr>
              <w:t>&lt;09.10.02&gt;</w:t>
            </w:r>
          </w:p>
        </w:tc>
        <w:tc>
          <w:tcPr>
            <w:tcW w:w="1560" w:type="dxa"/>
            <w:vAlign w:val="center"/>
          </w:tcPr>
          <w:p>
            <w:pPr>
              <w:rPr>
                <w:noProof/>
                <w:sz w:val="20"/>
              </w:rPr>
            </w:pPr>
          </w:p>
        </w:tc>
        <w:tc>
          <w:tcPr>
            <w:tcW w:w="850" w:type="dxa"/>
            <w:vAlign w:val="center"/>
          </w:tcPr>
          <w:p>
            <w:pPr>
              <w:jc w:val="center"/>
              <w:rPr>
                <w:noProof/>
                <w:sz w:val="20"/>
              </w:rPr>
            </w:pPr>
          </w:p>
        </w:tc>
        <w:tc>
          <w:tcPr>
            <w:tcW w:w="924" w:type="dxa"/>
            <w:vAlign w:val="center"/>
          </w:tcPr>
          <w:p>
            <w:pPr>
              <w:jc w:val="center"/>
              <w:rPr>
                <w:noProof/>
                <w:sz w:val="20"/>
              </w:rPr>
            </w:pPr>
            <w:r>
              <w:rPr>
                <w:noProof/>
                <w:sz w:val="20"/>
              </w:rPr>
              <w:t>2021 г.</w:t>
            </w:r>
          </w:p>
        </w:tc>
        <w:tc>
          <w:tcPr>
            <w:tcW w:w="924" w:type="dxa"/>
            <w:vAlign w:val="center"/>
          </w:tcPr>
          <w:p>
            <w:pPr>
              <w:jc w:val="center"/>
              <w:rPr>
                <w:noProof/>
                <w:sz w:val="20"/>
              </w:rPr>
            </w:pPr>
            <w:r>
              <w:rPr>
                <w:noProof/>
                <w:sz w:val="20"/>
              </w:rPr>
              <w:t>2022 г.</w:t>
            </w:r>
          </w:p>
        </w:tc>
        <w:tc>
          <w:tcPr>
            <w:tcW w:w="924" w:type="dxa"/>
            <w:vAlign w:val="center"/>
          </w:tcPr>
          <w:p>
            <w:pPr>
              <w:jc w:val="center"/>
              <w:rPr>
                <w:noProof/>
                <w:sz w:val="20"/>
              </w:rPr>
            </w:pPr>
            <w:r>
              <w:rPr>
                <w:noProof/>
                <w:sz w:val="20"/>
              </w:rPr>
              <w:t>2023 г.</w:t>
            </w:r>
          </w:p>
        </w:tc>
        <w:tc>
          <w:tcPr>
            <w:tcW w:w="924" w:type="dxa"/>
            <w:vAlign w:val="center"/>
          </w:tcPr>
          <w:p>
            <w:pPr>
              <w:jc w:val="center"/>
              <w:rPr>
                <w:noProof/>
                <w:sz w:val="20"/>
              </w:rPr>
            </w:pPr>
            <w:r>
              <w:rPr>
                <w:noProof/>
                <w:sz w:val="20"/>
              </w:rPr>
              <w:t>2024 г.</w:t>
            </w:r>
          </w:p>
        </w:tc>
        <w:tc>
          <w:tcPr>
            <w:tcW w:w="924" w:type="dxa"/>
            <w:vAlign w:val="center"/>
          </w:tcPr>
          <w:p>
            <w:pPr>
              <w:jc w:val="center"/>
              <w:rPr>
                <w:noProof/>
                <w:sz w:val="20"/>
              </w:rPr>
            </w:pPr>
            <w:r>
              <w:rPr>
                <w:noProof/>
                <w:sz w:val="20"/>
              </w:rPr>
              <w:t>2025 г.</w:t>
            </w:r>
          </w:p>
        </w:tc>
        <w:tc>
          <w:tcPr>
            <w:tcW w:w="924" w:type="dxa"/>
            <w:vAlign w:val="center"/>
          </w:tcPr>
          <w:p>
            <w:pPr>
              <w:jc w:val="center"/>
              <w:rPr>
                <w:noProof/>
                <w:sz w:val="20"/>
              </w:rPr>
            </w:pPr>
            <w:r>
              <w:rPr>
                <w:noProof/>
                <w:sz w:val="20"/>
              </w:rPr>
              <w:t>2026 г.</w:t>
            </w:r>
          </w:p>
        </w:tc>
        <w:tc>
          <w:tcPr>
            <w:tcW w:w="925" w:type="dxa"/>
            <w:vAlign w:val="center"/>
          </w:tcPr>
          <w:p>
            <w:pPr>
              <w:jc w:val="center"/>
              <w:rPr>
                <w:noProof/>
                <w:sz w:val="20"/>
              </w:rPr>
            </w:pPr>
            <w:r>
              <w:rPr>
                <w:noProof/>
                <w:sz w:val="20"/>
              </w:rPr>
              <w:t>2027 г.</w:t>
            </w:r>
          </w:p>
        </w:tc>
        <w:tc>
          <w:tcPr>
            <w:tcW w:w="970" w:type="dxa"/>
            <w:vAlign w:val="center"/>
          </w:tcPr>
          <w:p>
            <w:pPr>
              <w:jc w:val="center"/>
              <w:rPr>
                <w:b/>
                <w:noProof/>
                <w:sz w:val="20"/>
              </w:rPr>
            </w:pPr>
            <w:r>
              <w:rPr>
                <w:b/>
                <w:noProof/>
                <w:sz w:val="20"/>
              </w:rPr>
              <w:t>ОБЩО</w:t>
            </w:r>
          </w:p>
        </w:tc>
      </w:tr>
      <w:tr>
        <w:trPr>
          <w:trHeight w:val="277"/>
        </w:trPr>
        <w:tc>
          <w:tcPr>
            <w:tcW w:w="3195" w:type="dxa"/>
            <w:vMerge w:val="restart"/>
            <w:vAlign w:val="center"/>
          </w:tcPr>
          <w:p>
            <w:pPr>
              <w:rPr>
                <w:noProof/>
              </w:rPr>
            </w:pPr>
            <w:r>
              <w:rPr>
                <w:noProof/>
                <w:sz w:val="20"/>
              </w:rPr>
              <w:t>Дял 1:</w:t>
            </w:r>
          </w:p>
        </w:tc>
        <w:tc>
          <w:tcPr>
            <w:tcW w:w="1560" w:type="dxa"/>
            <w:vAlign w:val="center"/>
          </w:tcPr>
          <w:p>
            <w:pPr>
              <w:spacing w:before="20" w:after="20"/>
              <w:rPr>
                <w:noProof/>
              </w:rPr>
            </w:pPr>
            <w:r>
              <w:rPr>
                <w:noProof/>
                <w:sz w:val="18"/>
              </w:rPr>
              <w:t>Поети задължения</w:t>
            </w:r>
          </w:p>
        </w:tc>
        <w:tc>
          <w:tcPr>
            <w:tcW w:w="850" w:type="dxa"/>
            <w:vAlign w:val="center"/>
          </w:tcPr>
          <w:p>
            <w:pPr>
              <w:spacing w:before="20" w:after="20"/>
              <w:jc w:val="center"/>
              <w:rPr>
                <w:noProof/>
                <w:sz w:val="14"/>
              </w:rPr>
            </w:pPr>
            <w:r>
              <w:rPr>
                <w:noProof/>
                <w:sz w:val="14"/>
              </w:rPr>
              <w:t>(1)</w:t>
            </w:r>
          </w:p>
        </w:tc>
        <w:tc>
          <w:tcPr>
            <w:tcW w:w="924" w:type="dxa"/>
            <w:vAlign w:val="center"/>
          </w:tcPr>
          <w:p>
            <w:pPr>
              <w:spacing w:before="40" w:after="40"/>
              <w:jc w:val="right"/>
              <w:rPr>
                <w:noProof/>
                <w:sz w:val="20"/>
                <w:szCs w:val="20"/>
              </w:rPr>
            </w:pPr>
            <w:r>
              <w:rPr>
                <w:noProof/>
                <w:color w:val="000000"/>
                <w:sz w:val="20"/>
                <w:szCs w:val="20"/>
              </w:rPr>
              <w:t>2,462</w:t>
            </w:r>
          </w:p>
        </w:tc>
        <w:tc>
          <w:tcPr>
            <w:tcW w:w="924" w:type="dxa"/>
            <w:vAlign w:val="center"/>
          </w:tcPr>
          <w:p>
            <w:pPr>
              <w:spacing w:before="40" w:after="40"/>
              <w:jc w:val="right"/>
              <w:rPr>
                <w:noProof/>
                <w:sz w:val="20"/>
                <w:szCs w:val="20"/>
              </w:rPr>
            </w:pPr>
            <w:r>
              <w:rPr>
                <w:noProof/>
                <w:color w:val="000000"/>
                <w:sz w:val="20"/>
                <w:szCs w:val="20"/>
              </w:rPr>
              <w:t>2,511</w:t>
            </w:r>
          </w:p>
        </w:tc>
        <w:tc>
          <w:tcPr>
            <w:tcW w:w="924" w:type="dxa"/>
            <w:vAlign w:val="center"/>
          </w:tcPr>
          <w:p>
            <w:pPr>
              <w:spacing w:before="40" w:after="40"/>
              <w:jc w:val="right"/>
              <w:rPr>
                <w:noProof/>
                <w:sz w:val="20"/>
                <w:szCs w:val="20"/>
              </w:rPr>
            </w:pPr>
            <w:r>
              <w:rPr>
                <w:noProof/>
                <w:color w:val="000000"/>
                <w:sz w:val="20"/>
                <w:szCs w:val="20"/>
              </w:rPr>
              <w:t>2,562</w:t>
            </w:r>
          </w:p>
        </w:tc>
        <w:tc>
          <w:tcPr>
            <w:tcW w:w="924" w:type="dxa"/>
            <w:vAlign w:val="center"/>
          </w:tcPr>
          <w:p>
            <w:pPr>
              <w:spacing w:before="40" w:after="40"/>
              <w:jc w:val="right"/>
              <w:rPr>
                <w:noProof/>
                <w:sz w:val="20"/>
                <w:szCs w:val="20"/>
              </w:rPr>
            </w:pPr>
            <w:r>
              <w:rPr>
                <w:noProof/>
                <w:color w:val="000000"/>
                <w:sz w:val="20"/>
                <w:szCs w:val="20"/>
              </w:rPr>
              <w:t>2,613</w:t>
            </w:r>
          </w:p>
        </w:tc>
        <w:tc>
          <w:tcPr>
            <w:tcW w:w="924" w:type="dxa"/>
            <w:vAlign w:val="center"/>
          </w:tcPr>
          <w:p>
            <w:pPr>
              <w:spacing w:before="40" w:after="40"/>
              <w:jc w:val="right"/>
              <w:rPr>
                <w:noProof/>
                <w:sz w:val="20"/>
                <w:szCs w:val="20"/>
              </w:rPr>
            </w:pPr>
            <w:r>
              <w:rPr>
                <w:noProof/>
                <w:color w:val="000000"/>
                <w:sz w:val="20"/>
                <w:szCs w:val="20"/>
              </w:rPr>
              <w:t>2,665</w:t>
            </w:r>
          </w:p>
        </w:tc>
        <w:tc>
          <w:tcPr>
            <w:tcW w:w="924" w:type="dxa"/>
            <w:vAlign w:val="center"/>
          </w:tcPr>
          <w:p>
            <w:pPr>
              <w:spacing w:before="40" w:after="40"/>
              <w:jc w:val="right"/>
              <w:rPr>
                <w:noProof/>
                <w:sz w:val="20"/>
                <w:szCs w:val="20"/>
              </w:rPr>
            </w:pPr>
            <w:r>
              <w:rPr>
                <w:noProof/>
                <w:color w:val="000000"/>
                <w:sz w:val="20"/>
                <w:szCs w:val="20"/>
              </w:rPr>
              <w:t>2,718</w:t>
            </w:r>
          </w:p>
        </w:tc>
        <w:tc>
          <w:tcPr>
            <w:tcW w:w="925" w:type="dxa"/>
            <w:vAlign w:val="center"/>
          </w:tcPr>
          <w:p>
            <w:pPr>
              <w:spacing w:before="40" w:after="40"/>
              <w:jc w:val="right"/>
              <w:rPr>
                <w:noProof/>
                <w:sz w:val="20"/>
                <w:szCs w:val="20"/>
              </w:rPr>
            </w:pPr>
            <w:r>
              <w:rPr>
                <w:noProof/>
                <w:color w:val="000000"/>
                <w:sz w:val="20"/>
                <w:szCs w:val="20"/>
              </w:rPr>
              <w:t>2,773</w:t>
            </w:r>
          </w:p>
        </w:tc>
        <w:tc>
          <w:tcPr>
            <w:tcW w:w="970" w:type="dxa"/>
            <w:vAlign w:val="center"/>
          </w:tcPr>
          <w:p>
            <w:pPr>
              <w:spacing w:before="20" w:after="20"/>
              <w:jc w:val="right"/>
              <w:rPr>
                <w:b/>
                <w:noProof/>
                <w:sz w:val="20"/>
                <w:szCs w:val="20"/>
              </w:rPr>
            </w:pPr>
            <w:r>
              <w:rPr>
                <w:b/>
                <w:bCs/>
                <w:noProof/>
                <w:color w:val="000000"/>
                <w:sz w:val="20"/>
                <w:szCs w:val="20"/>
              </w:rPr>
              <w:t>18,304</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Плащания</w:t>
            </w:r>
          </w:p>
        </w:tc>
        <w:tc>
          <w:tcPr>
            <w:tcW w:w="850" w:type="dxa"/>
            <w:vAlign w:val="center"/>
          </w:tcPr>
          <w:p>
            <w:pPr>
              <w:spacing w:before="20" w:after="20"/>
              <w:jc w:val="center"/>
              <w:rPr>
                <w:noProof/>
                <w:sz w:val="14"/>
              </w:rPr>
            </w:pPr>
            <w:r>
              <w:rPr>
                <w:noProof/>
                <w:sz w:val="14"/>
              </w:rPr>
              <w:t>(2)</w:t>
            </w:r>
          </w:p>
        </w:tc>
        <w:tc>
          <w:tcPr>
            <w:tcW w:w="924" w:type="dxa"/>
            <w:vAlign w:val="center"/>
          </w:tcPr>
          <w:p>
            <w:pPr>
              <w:spacing w:before="40" w:after="40"/>
              <w:jc w:val="right"/>
              <w:rPr>
                <w:noProof/>
                <w:sz w:val="20"/>
              </w:rPr>
            </w:pPr>
            <w:r>
              <w:rPr>
                <w:noProof/>
                <w:color w:val="000000"/>
                <w:sz w:val="20"/>
                <w:szCs w:val="20"/>
              </w:rPr>
              <w:t>2,462</w:t>
            </w:r>
          </w:p>
        </w:tc>
        <w:tc>
          <w:tcPr>
            <w:tcW w:w="924" w:type="dxa"/>
            <w:vAlign w:val="center"/>
          </w:tcPr>
          <w:p>
            <w:pPr>
              <w:spacing w:before="40" w:after="40"/>
              <w:jc w:val="right"/>
              <w:rPr>
                <w:noProof/>
                <w:sz w:val="20"/>
              </w:rPr>
            </w:pPr>
            <w:r>
              <w:rPr>
                <w:noProof/>
                <w:color w:val="000000"/>
                <w:sz w:val="20"/>
                <w:szCs w:val="20"/>
              </w:rPr>
              <w:t>2,511</w:t>
            </w:r>
          </w:p>
        </w:tc>
        <w:tc>
          <w:tcPr>
            <w:tcW w:w="924" w:type="dxa"/>
            <w:vAlign w:val="center"/>
          </w:tcPr>
          <w:p>
            <w:pPr>
              <w:spacing w:before="40" w:after="40"/>
              <w:jc w:val="right"/>
              <w:rPr>
                <w:noProof/>
                <w:sz w:val="20"/>
              </w:rPr>
            </w:pPr>
            <w:r>
              <w:rPr>
                <w:noProof/>
                <w:color w:val="000000"/>
                <w:sz w:val="20"/>
                <w:szCs w:val="20"/>
              </w:rPr>
              <w:t>2,562</w:t>
            </w:r>
          </w:p>
        </w:tc>
        <w:tc>
          <w:tcPr>
            <w:tcW w:w="924" w:type="dxa"/>
            <w:vAlign w:val="center"/>
          </w:tcPr>
          <w:p>
            <w:pPr>
              <w:spacing w:before="40" w:after="40"/>
              <w:jc w:val="right"/>
              <w:rPr>
                <w:noProof/>
                <w:sz w:val="20"/>
              </w:rPr>
            </w:pPr>
            <w:r>
              <w:rPr>
                <w:noProof/>
                <w:color w:val="000000"/>
                <w:sz w:val="20"/>
                <w:szCs w:val="20"/>
              </w:rPr>
              <w:t>2,613</w:t>
            </w:r>
          </w:p>
        </w:tc>
        <w:tc>
          <w:tcPr>
            <w:tcW w:w="924" w:type="dxa"/>
            <w:vAlign w:val="center"/>
          </w:tcPr>
          <w:p>
            <w:pPr>
              <w:spacing w:before="40" w:after="40"/>
              <w:jc w:val="right"/>
              <w:rPr>
                <w:noProof/>
                <w:sz w:val="20"/>
              </w:rPr>
            </w:pPr>
            <w:r>
              <w:rPr>
                <w:noProof/>
                <w:color w:val="000000"/>
                <w:sz w:val="20"/>
                <w:szCs w:val="20"/>
              </w:rPr>
              <w:t>2,665</w:t>
            </w:r>
          </w:p>
        </w:tc>
        <w:tc>
          <w:tcPr>
            <w:tcW w:w="924" w:type="dxa"/>
            <w:vAlign w:val="center"/>
          </w:tcPr>
          <w:p>
            <w:pPr>
              <w:spacing w:before="40" w:after="40"/>
              <w:jc w:val="right"/>
              <w:rPr>
                <w:noProof/>
                <w:sz w:val="20"/>
              </w:rPr>
            </w:pPr>
            <w:r>
              <w:rPr>
                <w:noProof/>
                <w:color w:val="000000"/>
                <w:sz w:val="20"/>
                <w:szCs w:val="20"/>
              </w:rPr>
              <w:t>2,718</w:t>
            </w:r>
          </w:p>
        </w:tc>
        <w:tc>
          <w:tcPr>
            <w:tcW w:w="925" w:type="dxa"/>
            <w:vAlign w:val="center"/>
          </w:tcPr>
          <w:p>
            <w:pPr>
              <w:spacing w:before="40" w:after="40"/>
              <w:jc w:val="right"/>
              <w:rPr>
                <w:noProof/>
                <w:sz w:val="20"/>
              </w:rPr>
            </w:pPr>
            <w:r>
              <w:rPr>
                <w:noProof/>
                <w:color w:val="000000"/>
                <w:sz w:val="20"/>
                <w:szCs w:val="20"/>
              </w:rPr>
              <w:t>2,773</w:t>
            </w:r>
          </w:p>
        </w:tc>
        <w:tc>
          <w:tcPr>
            <w:tcW w:w="970" w:type="dxa"/>
            <w:vAlign w:val="center"/>
          </w:tcPr>
          <w:p>
            <w:pPr>
              <w:spacing w:before="40" w:after="40"/>
              <w:jc w:val="right"/>
              <w:rPr>
                <w:b/>
                <w:noProof/>
                <w:sz w:val="20"/>
              </w:rPr>
            </w:pPr>
            <w:r>
              <w:rPr>
                <w:b/>
                <w:bCs/>
                <w:noProof/>
                <w:color w:val="000000"/>
                <w:sz w:val="20"/>
                <w:szCs w:val="20"/>
              </w:rPr>
              <w:t>18,304</w:t>
            </w:r>
          </w:p>
        </w:tc>
      </w:tr>
      <w:tr>
        <w:tc>
          <w:tcPr>
            <w:tcW w:w="3195" w:type="dxa"/>
            <w:vMerge w:val="restart"/>
            <w:vAlign w:val="center"/>
          </w:tcPr>
          <w:p>
            <w:pPr>
              <w:rPr>
                <w:noProof/>
              </w:rPr>
            </w:pPr>
            <w:r>
              <w:rPr>
                <w:noProof/>
                <w:sz w:val="20"/>
              </w:rPr>
              <w:t>Дял 2:</w:t>
            </w:r>
          </w:p>
        </w:tc>
        <w:tc>
          <w:tcPr>
            <w:tcW w:w="1560" w:type="dxa"/>
            <w:vAlign w:val="center"/>
          </w:tcPr>
          <w:p>
            <w:pPr>
              <w:spacing w:before="20" w:after="20"/>
              <w:rPr>
                <w:noProof/>
                <w:sz w:val="18"/>
              </w:rPr>
            </w:pPr>
            <w:r>
              <w:rPr>
                <w:noProof/>
                <w:sz w:val="18"/>
              </w:rPr>
              <w:t>Поети задължения</w:t>
            </w:r>
          </w:p>
        </w:tc>
        <w:tc>
          <w:tcPr>
            <w:tcW w:w="850" w:type="dxa"/>
            <w:vAlign w:val="center"/>
          </w:tcPr>
          <w:p>
            <w:pPr>
              <w:spacing w:before="20" w:after="20"/>
              <w:jc w:val="center"/>
              <w:rPr>
                <w:noProof/>
                <w:sz w:val="14"/>
              </w:rPr>
            </w:pPr>
            <w:r>
              <w:rPr>
                <w:noProof/>
                <w:sz w:val="14"/>
              </w:rPr>
              <w:t>(1a)</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5" w:type="dxa"/>
            <w:vAlign w:val="center"/>
          </w:tcPr>
          <w:p>
            <w:pPr>
              <w:spacing w:before="40" w:after="40"/>
              <w:jc w:val="right"/>
              <w:rPr>
                <w:noProof/>
                <w:sz w:val="20"/>
              </w:rPr>
            </w:pPr>
            <w:r>
              <w:rPr>
                <w:noProof/>
                <w:sz w:val="20"/>
              </w:rPr>
              <w:t>0,225</w:t>
            </w:r>
          </w:p>
        </w:tc>
        <w:tc>
          <w:tcPr>
            <w:tcW w:w="970" w:type="dxa"/>
            <w:vAlign w:val="center"/>
          </w:tcPr>
          <w:p>
            <w:pPr>
              <w:spacing w:before="20" w:after="20"/>
              <w:jc w:val="right"/>
              <w:rPr>
                <w:b/>
                <w:noProof/>
                <w:sz w:val="20"/>
              </w:rPr>
            </w:pPr>
            <w:r>
              <w:rPr>
                <w:b/>
                <w:noProof/>
                <w:sz w:val="20"/>
              </w:rPr>
              <w:t>1,575</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Плащания</w:t>
            </w:r>
          </w:p>
        </w:tc>
        <w:tc>
          <w:tcPr>
            <w:tcW w:w="850" w:type="dxa"/>
            <w:vAlign w:val="center"/>
          </w:tcPr>
          <w:p>
            <w:pPr>
              <w:spacing w:before="20" w:after="20"/>
              <w:jc w:val="center"/>
              <w:rPr>
                <w:noProof/>
                <w:sz w:val="14"/>
              </w:rPr>
            </w:pPr>
            <w:r>
              <w:rPr>
                <w:noProof/>
                <w:sz w:val="14"/>
              </w:rPr>
              <w:t>(2a)</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4" w:type="dxa"/>
            <w:vAlign w:val="center"/>
          </w:tcPr>
          <w:p>
            <w:pPr>
              <w:spacing w:before="40" w:after="40"/>
              <w:jc w:val="right"/>
              <w:rPr>
                <w:noProof/>
                <w:sz w:val="20"/>
              </w:rPr>
            </w:pPr>
            <w:r>
              <w:rPr>
                <w:noProof/>
                <w:sz w:val="20"/>
              </w:rPr>
              <w:t>0,225</w:t>
            </w:r>
          </w:p>
        </w:tc>
        <w:tc>
          <w:tcPr>
            <w:tcW w:w="925" w:type="dxa"/>
            <w:vAlign w:val="center"/>
          </w:tcPr>
          <w:p>
            <w:pPr>
              <w:spacing w:before="40" w:after="40"/>
              <w:jc w:val="right"/>
              <w:rPr>
                <w:noProof/>
                <w:sz w:val="20"/>
              </w:rPr>
            </w:pPr>
            <w:r>
              <w:rPr>
                <w:noProof/>
                <w:sz w:val="20"/>
              </w:rPr>
              <w:t>0,225</w:t>
            </w:r>
          </w:p>
        </w:tc>
        <w:tc>
          <w:tcPr>
            <w:tcW w:w="970" w:type="dxa"/>
            <w:vAlign w:val="center"/>
          </w:tcPr>
          <w:p>
            <w:pPr>
              <w:spacing w:before="20" w:after="20"/>
              <w:jc w:val="right"/>
              <w:rPr>
                <w:b/>
                <w:noProof/>
                <w:sz w:val="20"/>
              </w:rPr>
            </w:pPr>
            <w:r>
              <w:rPr>
                <w:b/>
                <w:noProof/>
                <w:sz w:val="20"/>
              </w:rPr>
              <w:t>1,575</w:t>
            </w:r>
          </w:p>
        </w:tc>
      </w:tr>
      <w:tr>
        <w:trPr>
          <w:trHeight w:val="429"/>
        </w:trPr>
        <w:tc>
          <w:tcPr>
            <w:tcW w:w="3195" w:type="dxa"/>
            <w:vMerge w:val="restart"/>
            <w:vAlign w:val="center"/>
          </w:tcPr>
          <w:p>
            <w:pPr>
              <w:spacing w:before="60" w:after="60"/>
              <w:rPr>
                <w:noProof/>
              </w:rPr>
            </w:pPr>
            <w:r>
              <w:rPr>
                <w:noProof/>
                <w:sz w:val="20"/>
              </w:rPr>
              <w:t>Дял 3:</w:t>
            </w:r>
          </w:p>
        </w:tc>
        <w:tc>
          <w:tcPr>
            <w:tcW w:w="1560" w:type="dxa"/>
            <w:vAlign w:val="center"/>
          </w:tcPr>
          <w:p>
            <w:pPr>
              <w:spacing w:before="40" w:after="40"/>
              <w:rPr>
                <w:noProof/>
                <w:sz w:val="18"/>
              </w:rPr>
            </w:pPr>
            <w:r>
              <w:rPr>
                <w:noProof/>
                <w:sz w:val="18"/>
              </w:rPr>
              <w:t>Поети задължения</w:t>
            </w:r>
          </w:p>
        </w:tc>
        <w:tc>
          <w:tcPr>
            <w:tcW w:w="850" w:type="dxa"/>
            <w:vAlign w:val="center"/>
          </w:tcPr>
          <w:p>
            <w:pPr>
              <w:spacing w:before="40" w:after="40"/>
              <w:jc w:val="center"/>
              <w:rPr>
                <w:noProof/>
                <w:sz w:val="14"/>
              </w:rPr>
            </w:pPr>
            <w:r>
              <w:rPr>
                <w:noProof/>
                <w:sz w:val="14"/>
              </w:rPr>
              <w:t>(3a)</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5" w:type="dxa"/>
            <w:vAlign w:val="center"/>
          </w:tcPr>
          <w:p>
            <w:pPr>
              <w:spacing w:before="40" w:after="40"/>
              <w:jc w:val="right"/>
              <w:rPr>
                <w:noProof/>
                <w:sz w:val="20"/>
              </w:rPr>
            </w:pPr>
            <w:r>
              <w:rPr>
                <w:noProof/>
                <w:sz w:val="20"/>
              </w:rPr>
              <w:t>500</w:t>
            </w:r>
          </w:p>
        </w:tc>
        <w:tc>
          <w:tcPr>
            <w:tcW w:w="970" w:type="dxa"/>
            <w:vAlign w:val="center"/>
          </w:tcPr>
          <w:p>
            <w:pPr>
              <w:spacing w:before="20" w:after="20"/>
              <w:jc w:val="right"/>
              <w:rPr>
                <w:b/>
                <w:noProof/>
                <w:sz w:val="20"/>
              </w:rPr>
            </w:pPr>
            <w:r>
              <w:rPr>
                <w:b/>
                <w:noProof/>
                <w:sz w:val="20"/>
              </w:rPr>
              <w:t>3,500</w:t>
            </w:r>
          </w:p>
        </w:tc>
      </w:tr>
      <w:tr>
        <w:trPr>
          <w:trHeight w:val="319"/>
        </w:trPr>
        <w:tc>
          <w:tcPr>
            <w:tcW w:w="3195" w:type="dxa"/>
            <w:vMerge/>
            <w:vAlign w:val="center"/>
          </w:tcPr>
          <w:p>
            <w:pPr>
              <w:spacing w:before="60" w:after="60"/>
              <w:rPr>
                <w:b/>
                <w:noProof/>
                <w:sz w:val="20"/>
              </w:rPr>
            </w:pPr>
          </w:p>
        </w:tc>
        <w:tc>
          <w:tcPr>
            <w:tcW w:w="1560" w:type="dxa"/>
            <w:vAlign w:val="center"/>
          </w:tcPr>
          <w:p>
            <w:pPr>
              <w:spacing w:before="40" w:after="40"/>
              <w:rPr>
                <w:noProof/>
                <w:sz w:val="18"/>
              </w:rPr>
            </w:pPr>
            <w:r>
              <w:rPr>
                <w:noProof/>
                <w:sz w:val="18"/>
              </w:rPr>
              <w:t>Плащания</w:t>
            </w:r>
          </w:p>
        </w:tc>
        <w:tc>
          <w:tcPr>
            <w:tcW w:w="850" w:type="dxa"/>
            <w:vAlign w:val="center"/>
          </w:tcPr>
          <w:p>
            <w:pPr>
              <w:spacing w:before="40" w:after="40"/>
              <w:jc w:val="center"/>
              <w:rPr>
                <w:noProof/>
                <w:sz w:val="14"/>
              </w:rPr>
            </w:pPr>
            <w:r>
              <w:rPr>
                <w:noProof/>
                <w:sz w:val="14"/>
              </w:rPr>
              <w:t>(3б)</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4" w:type="dxa"/>
            <w:vAlign w:val="center"/>
          </w:tcPr>
          <w:p>
            <w:pPr>
              <w:spacing w:before="40" w:after="40"/>
              <w:jc w:val="right"/>
              <w:rPr>
                <w:noProof/>
                <w:sz w:val="20"/>
              </w:rPr>
            </w:pPr>
            <w:r>
              <w:rPr>
                <w:noProof/>
                <w:sz w:val="20"/>
              </w:rPr>
              <w:t>500</w:t>
            </w:r>
          </w:p>
        </w:tc>
        <w:tc>
          <w:tcPr>
            <w:tcW w:w="925" w:type="dxa"/>
            <w:vAlign w:val="center"/>
          </w:tcPr>
          <w:p>
            <w:pPr>
              <w:spacing w:before="40" w:after="40"/>
              <w:jc w:val="right"/>
              <w:rPr>
                <w:noProof/>
                <w:sz w:val="20"/>
              </w:rPr>
            </w:pPr>
            <w:r>
              <w:rPr>
                <w:noProof/>
                <w:sz w:val="20"/>
              </w:rPr>
              <w:t>500</w:t>
            </w:r>
          </w:p>
        </w:tc>
        <w:tc>
          <w:tcPr>
            <w:tcW w:w="970" w:type="dxa"/>
            <w:vAlign w:val="center"/>
          </w:tcPr>
          <w:p>
            <w:pPr>
              <w:spacing w:before="20" w:after="20"/>
              <w:jc w:val="right"/>
              <w:rPr>
                <w:b/>
                <w:noProof/>
                <w:sz w:val="20"/>
              </w:rPr>
            </w:pPr>
            <w:r>
              <w:rPr>
                <w:b/>
                <w:noProof/>
                <w:sz w:val="20"/>
              </w:rPr>
              <w:t>3,500</w:t>
            </w:r>
          </w:p>
        </w:tc>
      </w:tr>
      <w:tr>
        <w:tc>
          <w:tcPr>
            <w:tcW w:w="3195" w:type="dxa"/>
            <w:vMerge w:val="restart"/>
            <w:vAlign w:val="center"/>
          </w:tcPr>
          <w:p>
            <w:pPr>
              <w:jc w:val="center"/>
              <w:rPr>
                <w:noProof/>
              </w:rPr>
            </w:pPr>
            <w:r>
              <w:rPr>
                <w:b/>
                <w:noProof/>
                <w:sz w:val="22"/>
              </w:rPr>
              <w:t>ОБЩО бюджетни кредити</w:t>
            </w:r>
            <w:r>
              <w:rPr>
                <w:noProof/>
              </w:rPr>
              <w:t xml:space="preserve"> </w:t>
            </w:r>
            <w:r>
              <w:rPr>
                <w:noProof/>
              </w:rPr>
              <w:br/>
            </w:r>
            <w:r>
              <w:rPr>
                <w:b/>
                <w:noProof/>
                <w:sz w:val="22"/>
              </w:rPr>
              <w:t xml:space="preserve">За ЕАОС </w:t>
            </w:r>
            <w:r>
              <w:rPr>
                <w:noProof/>
              </w:rPr>
              <w:t>&lt;09.10.02&gt;</w:t>
            </w:r>
          </w:p>
        </w:tc>
        <w:tc>
          <w:tcPr>
            <w:tcW w:w="1560" w:type="dxa"/>
            <w:vAlign w:val="center"/>
          </w:tcPr>
          <w:p>
            <w:pPr>
              <w:rPr>
                <w:noProof/>
                <w:sz w:val="18"/>
              </w:rPr>
            </w:pPr>
            <w:r>
              <w:rPr>
                <w:noProof/>
                <w:sz w:val="18"/>
              </w:rPr>
              <w:t>Поети задължения</w:t>
            </w:r>
          </w:p>
        </w:tc>
        <w:tc>
          <w:tcPr>
            <w:tcW w:w="850" w:type="dxa"/>
            <w:vAlign w:val="center"/>
          </w:tcPr>
          <w:p>
            <w:pPr>
              <w:jc w:val="center"/>
              <w:rPr>
                <w:noProof/>
                <w:sz w:val="14"/>
              </w:rPr>
            </w:pPr>
            <w:r>
              <w:rPr>
                <w:noProof/>
                <w:sz w:val="14"/>
              </w:rPr>
              <w:t>=1+1a +3a</w:t>
            </w:r>
          </w:p>
        </w:tc>
        <w:tc>
          <w:tcPr>
            <w:tcW w:w="924" w:type="dxa"/>
            <w:vAlign w:val="center"/>
          </w:tcPr>
          <w:p>
            <w:pPr>
              <w:spacing w:before="40" w:after="40"/>
              <w:jc w:val="right"/>
              <w:rPr>
                <w:noProof/>
                <w:sz w:val="20"/>
              </w:rPr>
            </w:pPr>
            <w:r>
              <w:rPr>
                <w:noProof/>
                <w:sz w:val="20"/>
              </w:rPr>
              <w:t>3,187</w:t>
            </w:r>
          </w:p>
        </w:tc>
        <w:tc>
          <w:tcPr>
            <w:tcW w:w="924" w:type="dxa"/>
            <w:vAlign w:val="center"/>
          </w:tcPr>
          <w:p>
            <w:pPr>
              <w:spacing w:before="40" w:after="40"/>
              <w:jc w:val="right"/>
              <w:rPr>
                <w:noProof/>
                <w:sz w:val="20"/>
              </w:rPr>
            </w:pPr>
            <w:r>
              <w:rPr>
                <w:noProof/>
                <w:sz w:val="20"/>
              </w:rPr>
              <w:t>3,236</w:t>
            </w:r>
          </w:p>
        </w:tc>
        <w:tc>
          <w:tcPr>
            <w:tcW w:w="924" w:type="dxa"/>
            <w:vAlign w:val="center"/>
          </w:tcPr>
          <w:p>
            <w:pPr>
              <w:spacing w:before="40" w:after="40"/>
              <w:jc w:val="right"/>
              <w:rPr>
                <w:noProof/>
                <w:sz w:val="20"/>
              </w:rPr>
            </w:pPr>
            <w:r>
              <w:rPr>
                <w:noProof/>
                <w:sz w:val="20"/>
              </w:rPr>
              <w:t>3,287</w:t>
            </w:r>
          </w:p>
        </w:tc>
        <w:tc>
          <w:tcPr>
            <w:tcW w:w="924" w:type="dxa"/>
            <w:vAlign w:val="center"/>
          </w:tcPr>
          <w:p>
            <w:pPr>
              <w:spacing w:before="40" w:after="40"/>
              <w:jc w:val="right"/>
              <w:rPr>
                <w:noProof/>
                <w:sz w:val="20"/>
              </w:rPr>
            </w:pPr>
            <w:r>
              <w:rPr>
                <w:noProof/>
                <w:sz w:val="20"/>
              </w:rPr>
              <w:t>3,338</w:t>
            </w:r>
          </w:p>
        </w:tc>
        <w:tc>
          <w:tcPr>
            <w:tcW w:w="924" w:type="dxa"/>
            <w:vAlign w:val="center"/>
          </w:tcPr>
          <w:p>
            <w:pPr>
              <w:spacing w:before="40" w:after="40"/>
              <w:jc w:val="right"/>
              <w:rPr>
                <w:noProof/>
                <w:sz w:val="20"/>
              </w:rPr>
            </w:pPr>
            <w:r>
              <w:rPr>
                <w:noProof/>
                <w:sz w:val="20"/>
              </w:rPr>
              <w:t>3,390</w:t>
            </w:r>
          </w:p>
        </w:tc>
        <w:tc>
          <w:tcPr>
            <w:tcW w:w="924" w:type="dxa"/>
            <w:vAlign w:val="center"/>
          </w:tcPr>
          <w:p>
            <w:pPr>
              <w:spacing w:before="40" w:after="40"/>
              <w:jc w:val="right"/>
              <w:rPr>
                <w:noProof/>
                <w:sz w:val="20"/>
              </w:rPr>
            </w:pPr>
            <w:r>
              <w:rPr>
                <w:noProof/>
                <w:sz w:val="20"/>
              </w:rPr>
              <w:t>3,443</w:t>
            </w:r>
          </w:p>
        </w:tc>
        <w:tc>
          <w:tcPr>
            <w:tcW w:w="925" w:type="dxa"/>
            <w:vAlign w:val="center"/>
          </w:tcPr>
          <w:p>
            <w:pPr>
              <w:spacing w:before="40" w:after="40"/>
              <w:jc w:val="right"/>
              <w:rPr>
                <w:noProof/>
                <w:sz w:val="20"/>
              </w:rPr>
            </w:pPr>
            <w:r>
              <w:rPr>
                <w:noProof/>
                <w:sz w:val="20"/>
              </w:rPr>
              <w:t>3,498</w:t>
            </w:r>
          </w:p>
        </w:tc>
        <w:tc>
          <w:tcPr>
            <w:tcW w:w="970" w:type="dxa"/>
            <w:vAlign w:val="center"/>
          </w:tcPr>
          <w:p>
            <w:pPr>
              <w:spacing w:before="20" w:after="20"/>
              <w:jc w:val="right"/>
              <w:rPr>
                <w:b/>
                <w:noProof/>
                <w:sz w:val="20"/>
              </w:rPr>
            </w:pPr>
            <w:r>
              <w:rPr>
                <w:b/>
                <w:noProof/>
                <w:sz w:val="20"/>
              </w:rPr>
              <w:t>23,379</w:t>
            </w:r>
          </w:p>
        </w:tc>
      </w:tr>
      <w:tr>
        <w:tc>
          <w:tcPr>
            <w:tcW w:w="3195" w:type="dxa"/>
            <w:vMerge/>
            <w:vAlign w:val="center"/>
          </w:tcPr>
          <w:p>
            <w:pPr>
              <w:rPr>
                <w:b/>
                <w:noProof/>
              </w:rPr>
            </w:pPr>
          </w:p>
        </w:tc>
        <w:tc>
          <w:tcPr>
            <w:tcW w:w="1560" w:type="dxa"/>
            <w:vAlign w:val="center"/>
          </w:tcPr>
          <w:p>
            <w:pPr>
              <w:rPr>
                <w:noProof/>
                <w:sz w:val="18"/>
              </w:rPr>
            </w:pPr>
            <w:r>
              <w:rPr>
                <w:noProof/>
                <w:sz w:val="18"/>
              </w:rPr>
              <w:t>Плащания</w:t>
            </w:r>
          </w:p>
        </w:tc>
        <w:tc>
          <w:tcPr>
            <w:tcW w:w="850" w:type="dxa"/>
            <w:vAlign w:val="center"/>
          </w:tcPr>
          <w:p>
            <w:pPr>
              <w:jc w:val="center"/>
              <w:rPr>
                <w:noProof/>
                <w:sz w:val="14"/>
              </w:rPr>
            </w:pPr>
            <w:r>
              <w:rPr>
                <w:noProof/>
                <w:sz w:val="14"/>
              </w:rPr>
              <w:t>=2+2а</w:t>
            </w:r>
          </w:p>
          <w:p>
            <w:pPr>
              <w:jc w:val="center"/>
              <w:rPr>
                <w:noProof/>
                <w:sz w:val="14"/>
              </w:rPr>
            </w:pPr>
            <w:r>
              <w:rPr>
                <w:noProof/>
                <w:sz w:val="14"/>
              </w:rPr>
              <w:t>+3б</w:t>
            </w:r>
          </w:p>
        </w:tc>
        <w:tc>
          <w:tcPr>
            <w:tcW w:w="924" w:type="dxa"/>
            <w:vAlign w:val="center"/>
          </w:tcPr>
          <w:p>
            <w:pPr>
              <w:spacing w:before="40" w:after="40"/>
              <w:jc w:val="right"/>
              <w:rPr>
                <w:noProof/>
                <w:sz w:val="20"/>
              </w:rPr>
            </w:pPr>
            <w:r>
              <w:rPr>
                <w:noProof/>
                <w:sz w:val="20"/>
              </w:rPr>
              <w:t>3,187</w:t>
            </w:r>
          </w:p>
        </w:tc>
        <w:tc>
          <w:tcPr>
            <w:tcW w:w="924" w:type="dxa"/>
            <w:vAlign w:val="center"/>
          </w:tcPr>
          <w:p>
            <w:pPr>
              <w:spacing w:before="40" w:after="40"/>
              <w:jc w:val="right"/>
              <w:rPr>
                <w:noProof/>
                <w:sz w:val="20"/>
              </w:rPr>
            </w:pPr>
            <w:r>
              <w:rPr>
                <w:noProof/>
                <w:sz w:val="20"/>
              </w:rPr>
              <w:t>3,236</w:t>
            </w:r>
          </w:p>
        </w:tc>
        <w:tc>
          <w:tcPr>
            <w:tcW w:w="924" w:type="dxa"/>
            <w:vAlign w:val="center"/>
          </w:tcPr>
          <w:p>
            <w:pPr>
              <w:spacing w:before="40" w:after="40"/>
              <w:jc w:val="right"/>
              <w:rPr>
                <w:noProof/>
                <w:sz w:val="20"/>
              </w:rPr>
            </w:pPr>
            <w:r>
              <w:rPr>
                <w:noProof/>
                <w:sz w:val="20"/>
              </w:rPr>
              <w:t>3,287</w:t>
            </w:r>
          </w:p>
        </w:tc>
        <w:tc>
          <w:tcPr>
            <w:tcW w:w="924" w:type="dxa"/>
            <w:vAlign w:val="center"/>
          </w:tcPr>
          <w:p>
            <w:pPr>
              <w:spacing w:before="40" w:after="40"/>
              <w:jc w:val="right"/>
              <w:rPr>
                <w:noProof/>
                <w:sz w:val="20"/>
              </w:rPr>
            </w:pPr>
            <w:r>
              <w:rPr>
                <w:noProof/>
                <w:sz w:val="20"/>
              </w:rPr>
              <w:t>3,338</w:t>
            </w:r>
          </w:p>
        </w:tc>
        <w:tc>
          <w:tcPr>
            <w:tcW w:w="924" w:type="dxa"/>
            <w:vAlign w:val="center"/>
          </w:tcPr>
          <w:p>
            <w:pPr>
              <w:spacing w:before="40" w:after="40"/>
              <w:jc w:val="right"/>
              <w:rPr>
                <w:noProof/>
                <w:sz w:val="20"/>
              </w:rPr>
            </w:pPr>
            <w:r>
              <w:rPr>
                <w:noProof/>
                <w:sz w:val="20"/>
              </w:rPr>
              <w:t>3,390</w:t>
            </w:r>
          </w:p>
        </w:tc>
        <w:tc>
          <w:tcPr>
            <w:tcW w:w="924" w:type="dxa"/>
            <w:vAlign w:val="center"/>
          </w:tcPr>
          <w:p>
            <w:pPr>
              <w:spacing w:before="40" w:after="40"/>
              <w:jc w:val="right"/>
              <w:rPr>
                <w:noProof/>
                <w:sz w:val="20"/>
              </w:rPr>
            </w:pPr>
            <w:r>
              <w:rPr>
                <w:noProof/>
                <w:sz w:val="20"/>
              </w:rPr>
              <w:t>3,443</w:t>
            </w:r>
          </w:p>
        </w:tc>
        <w:tc>
          <w:tcPr>
            <w:tcW w:w="925" w:type="dxa"/>
            <w:vAlign w:val="center"/>
          </w:tcPr>
          <w:p>
            <w:pPr>
              <w:spacing w:before="40" w:after="40"/>
              <w:jc w:val="right"/>
              <w:rPr>
                <w:noProof/>
                <w:sz w:val="20"/>
              </w:rPr>
            </w:pPr>
            <w:r>
              <w:rPr>
                <w:noProof/>
                <w:sz w:val="20"/>
              </w:rPr>
              <w:t>3,498</w:t>
            </w:r>
          </w:p>
        </w:tc>
        <w:tc>
          <w:tcPr>
            <w:tcW w:w="970" w:type="dxa"/>
            <w:vAlign w:val="center"/>
          </w:tcPr>
          <w:p>
            <w:pPr>
              <w:spacing w:before="20" w:after="20"/>
              <w:jc w:val="right"/>
              <w:rPr>
                <w:b/>
                <w:noProof/>
                <w:sz w:val="20"/>
              </w:rPr>
            </w:pPr>
            <w:r>
              <w:rPr>
                <w:b/>
                <w:noProof/>
                <w:sz w:val="20"/>
              </w:rPr>
              <w:t>23,379</w:t>
            </w:r>
          </w:p>
        </w:tc>
      </w:tr>
      <w:tr>
        <w:tc>
          <w:tcPr>
            <w:tcW w:w="3195" w:type="dxa"/>
            <w:vAlign w:val="center"/>
          </w:tcPr>
          <w:p>
            <w:pPr>
              <w:jc w:val="center"/>
              <w:rPr>
                <w:noProof/>
              </w:rPr>
            </w:pPr>
            <w:r>
              <w:rPr>
                <w:noProof/>
              </w:rPr>
              <w:br w:type="page"/>
            </w:r>
            <w:r>
              <w:rPr>
                <w:noProof/>
                <w:sz w:val="22"/>
              </w:rPr>
              <w:t xml:space="preserve">ECHA: </w:t>
            </w:r>
            <w:r>
              <w:rPr>
                <w:noProof/>
              </w:rPr>
              <w:t>&lt;09.10.01&gt;</w:t>
            </w:r>
          </w:p>
        </w:tc>
        <w:tc>
          <w:tcPr>
            <w:tcW w:w="1560" w:type="dxa"/>
            <w:vAlign w:val="center"/>
          </w:tcPr>
          <w:p>
            <w:pPr>
              <w:rPr>
                <w:noProof/>
                <w:sz w:val="20"/>
              </w:rPr>
            </w:pPr>
          </w:p>
        </w:tc>
        <w:tc>
          <w:tcPr>
            <w:tcW w:w="850" w:type="dxa"/>
            <w:vAlign w:val="center"/>
          </w:tcPr>
          <w:p>
            <w:pPr>
              <w:jc w:val="center"/>
              <w:rPr>
                <w:noProof/>
                <w:sz w:val="20"/>
              </w:rPr>
            </w:pPr>
          </w:p>
        </w:tc>
        <w:tc>
          <w:tcPr>
            <w:tcW w:w="924" w:type="dxa"/>
            <w:vAlign w:val="center"/>
          </w:tcPr>
          <w:p>
            <w:pPr>
              <w:jc w:val="center"/>
              <w:rPr>
                <w:noProof/>
                <w:sz w:val="20"/>
              </w:rPr>
            </w:pPr>
            <w:r>
              <w:rPr>
                <w:noProof/>
                <w:sz w:val="20"/>
              </w:rPr>
              <w:t>2021 г.</w:t>
            </w:r>
          </w:p>
        </w:tc>
        <w:tc>
          <w:tcPr>
            <w:tcW w:w="924" w:type="dxa"/>
            <w:vAlign w:val="center"/>
          </w:tcPr>
          <w:p>
            <w:pPr>
              <w:jc w:val="center"/>
              <w:rPr>
                <w:noProof/>
                <w:sz w:val="20"/>
              </w:rPr>
            </w:pPr>
            <w:r>
              <w:rPr>
                <w:noProof/>
                <w:sz w:val="20"/>
              </w:rPr>
              <w:t>2022 г.</w:t>
            </w:r>
          </w:p>
        </w:tc>
        <w:tc>
          <w:tcPr>
            <w:tcW w:w="924" w:type="dxa"/>
            <w:vAlign w:val="center"/>
          </w:tcPr>
          <w:p>
            <w:pPr>
              <w:jc w:val="center"/>
              <w:rPr>
                <w:noProof/>
                <w:sz w:val="20"/>
              </w:rPr>
            </w:pPr>
            <w:r>
              <w:rPr>
                <w:noProof/>
                <w:sz w:val="20"/>
              </w:rPr>
              <w:t>2023 г.</w:t>
            </w:r>
          </w:p>
        </w:tc>
        <w:tc>
          <w:tcPr>
            <w:tcW w:w="924" w:type="dxa"/>
            <w:vAlign w:val="center"/>
          </w:tcPr>
          <w:p>
            <w:pPr>
              <w:jc w:val="center"/>
              <w:rPr>
                <w:noProof/>
                <w:sz w:val="20"/>
              </w:rPr>
            </w:pPr>
            <w:r>
              <w:rPr>
                <w:noProof/>
                <w:sz w:val="20"/>
              </w:rPr>
              <w:t>2024 г.</w:t>
            </w:r>
          </w:p>
        </w:tc>
        <w:tc>
          <w:tcPr>
            <w:tcW w:w="924" w:type="dxa"/>
            <w:vAlign w:val="center"/>
          </w:tcPr>
          <w:p>
            <w:pPr>
              <w:jc w:val="center"/>
              <w:rPr>
                <w:noProof/>
                <w:sz w:val="20"/>
              </w:rPr>
            </w:pPr>
            <w:r>
              <w:rPr>
                <w:noProof/>
                <w:sz w:val="20"/>
              </w:rPr>
              <w:t>2025 г.</w:t>
            </w:r>
          </w:p>
        </w:tc>
        <w:tc>
          <w:tcPr>
            <w:tcW w:w="924" w:type="dxa"/>
            <w:vAlign w:val="center"/>
          </w:tcPr>
          <w:p>
            <w:pPr>
              <w:jc w:val="center"/>
              <w:rPr>
                <w:noProof/>
                <w:sz w:val="20"/>
              </w:rPr>
            </w:pPr>
            <w:r>
              <w:rPr>
                <w:noProof/>
                <w:sz w:val="20"/>
              </w:rPr>
              <w:t>2026 г.</w:t>
            </w:r>
          </w:p>
        </w:tc>
        <w:tc>
          <w:tcPr>
            <w:tcW w:w="925" w:type="dxa"/>
            <w:vAlign w:val="center"/>
          </w:tcPr>
          <w:p>
            <w:pPr>
              <w:jc w:val="center"/>
              <w:rPr>
                <w:noProof/>
                <w:sz w:val="20"/>
              </w:rPr>
            </w:pPr>
            <w:r>
              <w:rPr>
                <w:noProof/>
                <w:sz w:val="20"/>
              </w:rPr>
              <w:t>2027 г.</w:t>
            </w:r>
          </w:p>
        </w:tc>
        <w:tc>
          <w:tcPr>
            <w:tcW w:w="970" w:type="dxa"/>
            <w:vAlign w:val="center"/>
          </w:tcPr>
          <w:p>
            <w:pPr>
              <w:jc w:val="center"/>
              <w:rPr>
                <w:b/>
                <w:noProof/>
                <w:sz w:val="20"/>
              </w:rPr>
            </w:pPr>
            <w:r>
              <w:rPr>
                <w:b/>
                <w:noProof/>
                <w:sz w:val="20"/>
              </w:rPr>
              <w:t>ОБЩО</w:t>
            </w:r>
          </w:p>
        </w:tc>
      </w:tr>
      <w:tr>
        <w:trPr>
          <w:trHeight w:val="277"/>
        </w:trPr>
        <w:tc>
          <w:tcPr>
            <w:tcW w:w="3195" w:type="dxa"/>
            <w:vMerge w:val="restart"/>
            <w:vAlign w:val="center"/>
          </w:tcPr>
          <w:p>
            <w:pPr>
              <w:rPr>
                <w:noProof/>
              </w:rPr>
            </w:pPr>
            <w:r>
              <w:rPr>
                <w:noProof/>
                <w:sz w:val="20"/>
              </w:rPr>
              <w:t>Дял 1:</w:t>
            </w:r>
          </w:p>
        </w:tc>
        <w:tc>
          <w:tcPr>
            <w:tcW w:w="1560" w:type="dxa"/>
            <w:vAlign w:val="center"/>
          </w:tcPr>
          <w:p>
            <w:pPr>
              <w:spacing w:before="20" w:after="20"/>
              <w:rPr>
                <w:noProof/>
              </w:rPr>
            </w:pPr>
            <w:r>
              <w:rPr>
                <w:noProof/>
                <w:sz w:val="18"/>
              </w:rPr>
              <w:t>Поети задължения</w:t>
            </w:r>
          </w:p>
        </w:tc>
        <w:tc>
          <w:tcPr>
            <w:tcW w:w="850" w:type="dxa"/>
            <w:vAlign w:val="center"/>
          </w:tcPr>
          <w:p>
            <w:pPr>
              <w:spacing w:before="20" w:after="20"/>
              <w:jc w:val="center"/>
              <w:rPr>
                <w:noProof/>
                <w:sz w:val="14"/>
              </w:rPr>
            </w:pPr>
            <w:r>
              <w:rPr>
                <w:noProof/>
                <w:sz w:val="14"/>
              </w:rPr>
              <w:t>(1)</w:t>
            </w:r>
          </w:p>
        </w:tc>
        <w:tc>
          <w:tcPr>
            <w:tcW w:w="924" w:type="dxa"/>
            <w:vAlign w:val="center"/>
          </w:tcPr>
          <w:p>
            <w:pPr>
              <w:spacing w:before="40" w:after="40"/>
              <w:jc w:val="right"/>
              <w:rPr>
                <w:noProof/>
                <w:sz w:val="20"/>
              </w:rPr>
            </w:pPr>
            <w:r>
              <w:rPr>
                <w:noProof/>
                <w:sz w:val="20"/>
              </w:rPr>
              <w:t>0,272</w:t>
            </w:r>
          </w:p>
        </w:tc>
        <w:tc>
          <w:tcPr>
            <w:tcW w:w="924" w:type="dxa"/>
            <w:vAlign w:val="center"/>
          </w:tcPr>
          <w:p>
            <w:pPr>
              <w:spacing w:before="40" w:after="40"/>
              <w:jc w:val="right"/>
              <w:rPr>
                <w:noProof/>
                <w:sz w:val="20"/>
              </w:rPr>
            </w:pPr>
            <w:r>
              <w:rPr>
                <w:noProof/>
                <w:sz w:val="20"/>
              </w:rPr>
              <w:t>0,277</w:t>
            </w:r>
          </w:p>
        </w:tc>
        <w:tc>
          <w:tcPr>
            <w:tcW w:w="924" w:type="dxa"/>
            <w:vAlign w:val="center"/>
          </w:tcPr>
          <w:p>
            <w:pPr>
              <w:spacing w:before="40" w:after="40"/>
              <w:jc w:val="right"/>
              <w:rPr>
                <w:noProof/>
                <w:sz w:val="20"/>
              </w:rPr>
            </w:pPr>
            <w:r>
              <w:rPr>
                <w:noProof/>
                <w:sz w:val="20"/>
              </w:rPr>
              <w:t>0,283</w:t>
            </w:r>
          </w:p>
        </w:tc>
        <w:tc>
          <w:tcPr>
            <w:tcW w:w="924" w:type="dxa"/>
            <w:vAlign w:val="center"/>
          </w:tcPr>
          <w:p>
            <w:pPr>
              <w:spacing w:before="40" w:after="40"/>
              <w:jc w:val="right"/>
              <w:rPr>
                <w:noProof/>
                <w:sz w:val="20"/>
              </w:rPr>
            </w:pPr>
            <w:r>
              <w:rPr>
                <w:noProof/>
                <w:sz w:val="20"/>
              </w:rPr>
              <w:t>0,288</w:t>
            </w:r>
          </w:p>
        </w:tc>
        <w:tc>
          <w:tcPr>
            <w:tcW w:w="924" w:type="dxa"/>
            <w:vAlign w:val="center"/>
          </w:tcPr>
          <w:p>
            <w:pPr>
              <w:spacing w:before="40" w:after="40"/>
              <w:jc w:val="right"/>
              <w:rPr>
                <w:noProof/>
                <w:sz w:val="20"/>
              </w:rPr>
            </w:pPr>
            <w:r>
              <w:rPr>
                <w:noProof/>
                <w:sz w:val="20"/>
              </w:rPr>
              <w:t>0,294</w:t>
            </w:r>
          </w:p>
        </w:tc>
        <w:tc>
          <w:tcPr>
            <w:tcW w:w="924" w:type="dxa"/>
            <w:vAlign w:val="center"/>
          </w:tcPr>
          <w:p>
            <w:pPr>
              <w:spacing w:before="40" w:after="40"/>
              <w:jc w:val="right"/>
              <w:rPr>
                <w:noProof/>
                <w:sz w:val="20"/>
              </w:rPr>
            </w:pPr>
            <w:r>
              <w:rPr>
                <w:noProof/>
                <w:sz w:val="20"/>
              </w:rPr>
              <w:t>0,300</w:t>
            </w:r>
          </w:p>
        </w:tc>
        <w:tc>
          <w:tcPr>
            <w:tcW w:w="925" w:type="dxa"/>
            <w:vAlign w:val="center"/>
          </w:tcPr>
          <w:p>
            <w:pPr>
              <w:spacing w:before="40" w:after="40"/>
              <w:jc w:val="right"/>
              <w:rPr>
                <w:noProof/>
                <w:sz w:val="20"/>
              </w:rPr>
            </w:pPr>
            <w:r>
              <w:rPr>
                <w:noProof/>
                <w:sz w:val="20"/>
              </w:rPr>
              <w:t>0,306</w:t>
            </w:r>
          </w:p>
        </w:tc>
        <w:tc>
          <w:tcPr>
            <w:tcW w:w="970" w:type="dxa"/>
            <w:vAlign w:val="center"/>
          </w:tcPr>
          <w:p>
            <w:pPr>
              <w:spacing w:before="20" w:after="20"/>
              <w:jc w:val="right"/>
              <w:rPr>
                <w:b/>
                <w:noProof/>
                <w:sz w:val="20"/>
              </w:rPr>
            </w:pPr>
            <w:r>
              <w:rPr>
                <w:b/>
                <w:noProof/>
                <w:sz w:val="20"/>
              </w:rPr>
              <w:t>2,019</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Плащания</w:t>
            </w:r>
          </w:p>
        </w:tc>
        <w:tc>
          <w:tcPr>
            <w:tcW w:w="850" w:type="dxa"/>
            <w:vAlign w:val="center"/>
          </w:tcPr>
          <w:p>
            <w:pPr>
              <w:spacing w:before="20" w:after="20"/>
              <w:jc w:val="center"/>
              <w:rPr>
                <w:noProof/>
                <w:sz w:val="14"/>
              </w:rPr>
            </w:pPr>
            <w:r>
              <w:rPr>
                <w:noProof/>
                <w:sz w:val="14"/>
              </w:rPr>
              <w:t>(2)</w:t>
            </w:r>
          </w:p>
        </w:tc>
        <w:tc>
          <w:tcPr>
            <w:tcW w:w="924" w:type="dxa"/>
            <w:vAlign w:val="center"/>
          </w:tcPr>
          <w:p>
            <w:pPr>
              <w:spacing w:before="40" w:after="40"/>
              <w:jc w:val="right"/>
              <w:rPr>
                <w:noProof/>
                <w:sz w:val="20"/>
              </w:rPr>
            </w:pPr>
            <w:r>
              <w:rPr>
                <w:noProof/>
                <w:sz w:val="20"/>
              </w:rPr>
              <w:t>0,272</w:t>
            </w:r>
          </w:p>
        </w:tc>
        <w:tc>
          <w:tcPr>
            <w:tcW w:w="924" w:type="dxa"/>
            <w:vAlign w:val="center"/>
          </w:tcPr>
          <w:p>
            <w:pPr>
              <w:spacing w:before="40" w:after="40"/>
              <w:jc w:val="right"/>
              <w:rPr>
                <w:noProof/>
                <w:sz w:val="20"/>
              </w:rPr>
            </w:pPr>
            <w:r>
              <w:rPr>
                <w:noProof/>
                <w:sz w:val="20"/>
              </w:rPr>
              <w:t>0,277</w:t>
            </w:r>
          </w:p>
        </w:tc>
        <w:tc>
          <w:tcPr>
            <w:tcW w:w="924" w:type="dxa"/>
            <w:vAlign w:val="center"/>
          </w:tcPr>
          <w:p>
            <w:pPr>
              <w:spacing w:before="40" w:after="40"/>
              <w:jc w:val="right"/>
              <w:rPr>
                <w:noProof/>
                <w:sz w:val="20"/>
              </w:rPr>
            </w:pPr>
            <w:r>
              <w:rPr>
                <w:noProof/>
                <w:sz w:val="20"/>
              </w:rPr>
              <w:t>0,283</w:t>
            </w:r>
          </w:p>
        </w:tc>
        <w:tc>
          <w:tcPr>
            <w:tcW w:w="924" w:type="dxa"/>
            <w:vAlign w:val="center"/>
          </w:tcPr>
          <w:p>
            <w:pPr>
              <w:spacing w:before="40" w:after="40"/>
              <w:jc w:val="right"/>
              <w:rPr>
                <w:noProof/>
                <w:sz w:val="20"/>
              </w:rPr>
            </w:pPr>
            <w:r>
              <w:rPr>
                <w:noProof/>
                <w:sz w:val="20"/>
              </w:rPr>
              <w:t>0,288</w:t>
            </w:r>
          </w:p>
        </w:tc>
        <w:tc>
          <w:tcPr>
            <w:tcW w:w="924" w:type="dxa"/>
            <w:vAlign w:val="center"/>
          </w:tcPr>
          <w:p>
            <w:pPr>
              <w:spacing w:before="40" w:after="40"/>
              <w:jc w:val="right"/>
              <w:rPr>
                <w:noProof/>
                <w:sz w:val="20"/>
              </w:rPr>
            </w:pPr>
            <w:r>
              <w:rPr>
                <w:noProof/>
                <w:sz w:val="20"/>
              </w:rPr>
              <w:t>0,294</w:t>
            </w:r>
          </w:p>
        </w:tc>
        <w:tc>
          <w:tcPr>
            <w:tcW w:w="924" w:type="dxa"/>
            <w:vAlign w:val="center"/>
          </w:tcPr>
          <w:p>
            <w:pPr>
              <w:spacing w:before="40" w:after="40"/>
              <w:jc w:val="right"/>
              <w:rPr>
                <w:noProof/>
                <w:sz w:val="20"/>
              </w:rPr>
            </w:pPr>
            <w:r>
              <w:rPr>
                <w:noProof/>
                <w:sz w:val="20"/>
              </w:rPr>
              <w:t>0,300</w:t>
            </w:r>
          </w:p>
        </w:tc>
        <w:tc>
          <w:tcPr>
            <w:tcW w:w="925" w:type="dxa"/>
            <w:vAlign w:val="center"/>
          </w:tcPr>
          <w:p>
            <w:pPr>
              <w:spacing w:before="40" w:after="40"/>
              <w:jc w:val="right"/>
              <w:rPr>
                <w:noProof/>
                <w:sz w:val="20"/>
              </w:rPr>
            </w:pPr>
            <w:r>
              <w:rPr>
                <w:noProof/>
                <w:sz w:val="20"/>
              </w:rPr>
              <w:t>0,306</w:t>
            </w:r>
          </w:p>
        </w:tc>
        <w:tc>
          <w:tcPr>
            <w:tcW w:w="970" w:type="dxa"/>
            <w:vAlign w:val="center"/>
          </w:tcPr>
          <w:p>
            <w:pPr>
              <w:spacing w:before="40" w:after="40"/>
              <w:jc w:val="right"/>
              <w:rPr>
                <w:b/>
                <w:noProof/>
                <w:sz w:val="20"/>
              </w:rPr>
            </w:pPr>
            <w:r>
              <w:rPr>
                <w:b/>
                <w:noProof/>
                <w:sz w:val="20"/>
              </w:rPr>
              <w:t>2,019</w:t>
            </w:r>
          </w:p>
        </w:tc>
      </w:tr>
      <w:tr>
        <w:tc>
          <w:tcPr>
            <w:tcW w:w="3195" w:type="dxa"/>
            <w:vMerge w:val="restart"/>
            <w:vAlign w:val="center"/>
          </w:tcPr>
          <w:p>
            <w:pPr>
              <w:rPr>
                <w:noProof/>
              </w:rPr>
            </w:pPr>
            <w:r>
              <w:rPr>
                <w:noProof/>
                <w:sz w:val="20"/>
              </w:rPr>
              <w:t>Дял 2:</w:t>
            </w:r>
          </w:p>
        </w:tc>
        <w:tc>
          <w:tcPr>
            <w:tcW w:w="1560" w:type="dxa"/>
            <w:vAlign w:val="center"/>
          </w:tcPr>
          <w:p>
            <w:pPr>
              <w:spacing w:before="20" w:after="20"/>
              <w:rPr>
                <w:noProof/>
                <w:sz w:val="18"/>
              </w:rPr>
            </w:pPr>
            <w:r>
              <w:rPr>
                <w:noProof/>
                <w:sz w:val="18"/>
              </w:rPr>
              <w:t>Поети задължения</w:t>
            </w:r>
          </w:p>
        </w:tc>
        <w:tc>
          <w:tcPr>
            <w:tcW w:w="850" w:type="dxa"/>
            <w:vAlign w:val="center"/>
          </w:tcPr>
          <w:p>
            <w:pPr>
              <w:spacing w:before="20" w:after="20"/>
              <w:jc w:val="center"/>
              <w:rPr>
                <w:noProof/>
                <w:sz w:val="14"/>
              </w:rPr>
            </w:pPr>
            <w:r>
              <w:rPr>
                <w:noProof/>
                <w:sz w:val="14"/>
              </w:rPr>
              <w:t>(1a)</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5" w:type="dxa"/>
            <w:vAlign w:val="center"/>
          </w:tcPr>
          <w:p>
            <w:pPr>
              <w:spacing w:before="40" w:after="40"/>
              <w:jc w:val="right"/>
              <w:rPr>
                <w:noProof/>
                <w:sz w:val="20"/>
              </w:rPr>
            </w:pPr>
            <w:r>
              <w:rPr>
                <w:noProof/>
                <w:sz w:val="20"/>
              </w:rPr>
              <w:t>0,050</w:t>
            </w:r>
          </w:p>
        </w:tc>
        <w:tc>
          <w:tcPr>
            <w:tcW w:w="970" w:type="dxa"/>
            <w:vAlign w:val="center"/>
          </w:tcPr>
          <w:p>
            <w:pPr>
              <w:spacing w:before="20" w:after="20"/>
              <w:jc w:val="right"/>
              <w:rPr>
                <w:b/>
                <w:noProof/>
                <w:sz w:val="20"/>
              </w:rPr>
            </w:pPr>
            <w:r>
              <w:rPr>
                <w:b/>
                <w:noProof/>
                <w:sz w:val="20"/>
              </w:rPr>
              <w:t>0,350</w:t>
            </w:r>
          </w:p>
        </w:tc>
      </w:tr>
      <w:tr>
        <w:tc>
          <w:tcPr>
            <w:tcW w:w="3195" w:type="dxa"/>
            <w:vMerge/>
            <w:vAlign w:val="center"/>
          </w:tcPr>
          <w:p>
            <w:pPr>
              <w:rPr>
                <w:noProof/>
              </w:rPr>
            </w:pPr>
          </w:p>
        </w:tc>
        <w:tc>
          <w:tcPr>
            <w:tcW w:w="1560" w:type="dxa"/>
            <w:vAlign w:val="center"/>
          </w:tcPr>
          <w:p>
            <w:pPr>
              <w:spacing w:before="20" w:after="20"/>
              <w:rPr>
                <w:noProof/>
                <w:sz w:val="18"/>
              </w:rPr>
            </w:pPr>
            <w:r>
              <w:rPr>
                <w:noProof/>
                <w:sz w:val="18"/>
              </w:rPr>
              <w:t>Плащания</w:t>
            </w:r>
          </w:p>
        </w:tc>
        <w:tc>
          <w:tcPr>
            <w:tcW w:w="850" w:type="dxa"/>
            <w:vAlign w:val="center"/>
          </w:tcPr>
          <w:p>
            <w:pPr>
              <w:spacing w:before="20" w:after="20"/>
              <w:jc w:val="center"/>
              <w:rPr>
                <w:noProof/>
                <w:sz w:val="14"/>
              </w:rPr>
            </w:pPr>
            <w:r>
              <w:rPr>
                <w:noProof/>
                <w:sz w:val="14"/>
              </w:rPr>
              <w:t>(2a)</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4" w:type="dxa"/>
            <w:vAlign w:val="center"/>
          </w:tcPr>
          <w:p>
            <w:pPr>
              <w:spacing w:before="40" w:after="40"/>
              <w:jc w:val="right"/>
              <w:rPr>
                <w:noProof/>
                <w:sz w:val="20"/>
              </w:rPr>
            </w:pPr>
            <w:r>
              <w:rPr>
                <w:noProof/>
                <w:sz w:val="20"/>
              </w:rPr>
              <w:t>0,050</w:t>
            </w:r>
          </w:p>
        </w:tc>
        <w:tc>
          <w:tcPr>
            <w:tcW w:w="925" w:type="dxa"/>
            <w:vAlign w:val="center"/>
          </w:tcPr>
          <w:p>
            <w:pPr>
              <w:spacing w:before="40" w:after="40"/>
              <w:jc w:val="right"/>
              <w:rPr>
                <w:noProof/>
                <w:sz w:val="20"/>
              </w:rPr>
            </w:pPr>
            <w:r>
              <w:rPr>
                <w:noProof/>
                <w:sz w:val="20"/>
              </w:rPr>
              <w:t>0,050</w:t>
            </w:r>
          </w:p>
        </w:tc>
        <w:tc>
          <w:tcPr>
            <w:tcW w:w="970" w:type="dxa"/>
            <w:vAlign w:val="center"/>
          </w:tcPr>
          <w:p>
            <w:pPr>
              <w:spacing w:before="20" w:after="20"/>
              <w:jc w:val="right"/>
              <w:rPr>
                <w:b/>
                <w:noProof/>
                <w:sz w:val="20"/>
              </w:rPr>
            </w:pPr>
            <w:r>
              <w:rPr>
                <w:b/>
                <w:noProof/>
                <w:sz w:val="20"/>
              </w:rPr>
              <w:t>0,350</w:t>
            </w:r>
          </w:p>
        </w:tc>
      </w:tr>
      <w:tr>
        <w:trPr>
          <w:trHeight w:val="319"/>
        </w:trPr>
        <w:tc>
          <w:tcPr>
            <w:tcW w:w="3195" w:type="dxa"/>
            <w:vMerge w:val="restart"/>
            <w:vAlign w:val="center"/>
          </w:tcPr>
          <w:p>
            <w:pPr>
              <w:spacing w:before="60" w:after="60"/>
              <w:rPr>
                <w:noProof/>
              </w:rPr>
            </w:pPr>
            <w:r>
              <w:rPr>
                <w:noProof/>
                <w:sz w:val="20"/>
              </w:rPr>
              <w:t>Дял 3:</w:t>
            </w:r>
          </w:p>
        </w:tc>
        <w:tc>
          <w:tcPr>
            <w:tcW w:w="1560" w:type="dxa"/>
            <w:vAlign w:val="center"/>
          </w:tcPr>
          <w:p>
            <w:pPr>
              <w:spacing w:before="40" w:after="40"/>
              <w:rPr>
                <w:noProof/>
                <w:sz w:val="18"/>
              </w:rPr>
            </w:pPr>
            <w:r>
              <w:rPr>
                <w:noProof/>
                <w:sz w:val="18"/>
              </w:rPr>
              <w:t>Поети задължения</w:t>
            </w:r>
          </w:p>
        </w:tc>
        <w:tc>
          <w:tcPr>
            <w:tcW w:w="850" w:type="dxa"/>
            <w:vAlign w:val="center"/>
          </w:tcPr>
          <w:p>
            <w:pPr>
              <w:spacing w:before="40" w:after="40"/>
              <w:jc w:val="center"/>
              <w:rPr>
                <w:noProof/>
                <w:sz w:val="14"/>
              </w:rPr>
            </w:pPr>
            <w:r>
              <w:rPr>
                <w:noProof/>
                <w:sz w:val="14"/>
              </w:rPr>
              <w:t>(3a)</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5" w:type="dxa"/>
            <w:vAlign w:val="center"/>
          </w:tcPr>
          <w:p>
            <w:pPr>
              <w:spacing w:before="40" w:after="40"/>
              <w:jc w:val="right"/>
              <w:rPr>
                <w:noProof/>
                <w:sz w:val="20"/>
              </w:rPr>
            </w:pPr>
            <w:r>
              <w:rPr>
                <w:noProof/>
                <w:sz w:val="20"/>
              </w:rPr>
              <w:t>0,000</w:t>
            </w:r>
          </w:p>
        </w:tc>
        <w:tc>
          <w:tcPr>
            <w:tcW w:w="970" w:type="dxa"/>
            <w:vAlign w:val="center"/>
          </w:tcPr>
          <w:p>
            <w:pPr>
              <w:spacing w:before="20" w:after="20"/>
              <w:jc w:val="right"/>
              <w:rPr>
                <w:b/>
                <w:noProof/>
                <w:sz w:val="20"/>
              </w:rPr>
            </w:pPr>
            <w:r>
              <w:rPr>
                <w:b/>
                <w:noProof/>
                <w:sz w:val="20"/>
              </w:rPr>
              <w:t>0,000</w:t>
            </w:r>
          </w:p>
        </w:tc>
      </w:tr>
      <w:tr>
        <w:trPr>
          <w:trHeight w:val="319"/>
        </w:trPr>
        <w:tc>
          <w:tcPr>
            <w:tcW w:w="3195" w:type="dxa"/>
            <w:vMerge/>
            <w:vAlign w:val="center"/>
          </w:tcPr>
          <w:p>
            <w:pPr>
              <w:spacing w:before="60" w:after="60"/>
              <w:rPr>
                <w:b/>
                <w:noProof/>
                <w:sz w:val="20"/>
              </w:rPr>
            </w:pPr>
          </w:p>
        </w:tc>
        <w:tc>
          <w:tcPr>
            <w:tcW w:w="1560" w:type="dxa"/>
            <w:vAlign w:val="center"/>
          </w:tcPr>
          <w:p>
            <w:pPr>
              <w:spacing w:before="40" w:after="40"/>
              <w:rPr>
                <w:noProof/>
                <w:sz w:val="18"/>
              </w:rPr>
            </w:pPr>
            <w:r>
              <w:rPr>
                <w:noProof/>
                <w:sz w:val="18"/>
              </w:rPr>
              <w:t>Плащания</w:t>
            </w:r>
          </w:p>
        </w:tc>
        <w:tc>
          <w:tcPr>
            <w:tcW w:w="850" w:type="dxa"/>
            <w:vAlign w:val="center"/>
          </w:tcPr>
          <w:p>
            <w:pPr>
              <w:spacing w:before="40" w:after="40"/>
              <w:jc w:val="center"/>
              <w:rPr>
                <w:noProof/>
                <w:sz w:val="14"/>
              </w:rPr>
            </w:pPr>
            <w:r>
              <w:rPr>
                <w:noProof/>
                <w:sz w:val="14"/>
              </w:rPr>
              <w:t>(3б)</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4" w:type="dxa"/>
            <w:vAlign w:val="center"/>
          </w:tcPr>
          <w:p>
            <w:pPr>
              <w:spacing w:before="40" w:after="40"/>
              <w:jc w:val="right"/>
              <w:rPr>
                <w:noProof/>
                <w:sz w:val="20"/>
              </w:rPr>
            </w:pPr>
            <w:r>
              <w:rPr>
                <w:noProof/>
                <w:sz w:val="20"/>
              </w:rPr>
              <w:t>0,000</w:t>
            </w:r>
          </w:p>
        </w:tc>
        <w:tc>
          <w:tcPr>
            <w:tcW w:w="925" w:type="dxa"/>
            <w:vAlign w:val="center"/>
          </w:tcPr>
          <w:p>
            <w:pPr>
              <w:spacing w:before="40" w:after="40"/>
              <w:jc w:val="right"/>
              <w:rPr>
                <w:noProof/>
                <w:sz w:val="20"/>
              </w:rPr>
            </w:pPr>
            <w:r>
              <w:rPr>
                <w:noProof/>
                <w:sz w:val="20"/>
              </w:rPr>
              <w:t>0,000</w:t>
            </w:r>
          </w:p>
        </w:tc>
        <w:tc>
          <w:tcPr>
            <w:tcW w:w="970" w:type="dxa"/>
            <w:vAlign w:val="center"/>
          </w:tcPr>
          <w:p>
            <w:pPr>
              <w:spacing w:before="20" w:after="20"/>
              <w:jc w:val="right"/>
              <w:rPr>
                <w:b/>
                <w:noProof/>
                <w:sz w:val="20"/>
              </w:rPr>
            </w:pPr>
            <w:r>
              <w:rPr>
                <w:b/>
                <w:noProof/>
                <w:sz w:val="20"/>
              </w:rPr>
              <w:t>0,000</w:t>
            </w:r>
          </w:p>
        </w:tc>
      </w:tr>
      <w:tr>
        <w:tc>
          <w:tcPr>
            <w:tcW w:w="3195" w:type="dxa"/>
            <w:vMerge w:val="restart"/>
            <w:vAlign w:val="center"/>
          </w:tcPr>
          <w:p>
            <w:pPr>
              <w:jc w:val="center"/>
              <w:rPr>
                <w:noProof/>
              </w:rPr>
            </w:pPr>
            <w:r>
              <w:rPr>
                <w:b/>
                <w:noProof/>
                <w:sz w:val="22"/>
              </w:rPr>
              <w:t>ОБЩО бюджетни кредити</w:t>
            </w:r>
            <w:r>
              <w:rPr>
                <w:noProof/>
              </w:rPr>
              <w:t xml:space="preserve"> </w:t>
            </w:r>
            <w:r>
              <w:rPr>
                <w:noProof/>
              </w:rPr>
              <w:br/>
            </w:r>
            <w:r>
              <w:rPr>
                <w:b/>
                <w:noProof/>
                <w:sz w:val="22"/>
              </w:rPr>
              <w:t xml:space="preserve">за ECHA </w:t>
            </w:r>
            <w:r>
              <w:rPr>
                <w:noProof/>
              </w:rPr>
              <w:t>&lt;09.10.01&gt;</w:t>
            </w:r>
          </w:p>
        </w:tc>
        <w:tc>
          <w:tcPr>
            <w:tcW w:w="1560" w:type="dxa"/>
            <w:vAlign w:val="center"/>
          </w:tcPr>
          <w:p>
            <w:pPr>
              <w:rPr>
                <w:noProof/>
                <w:sz w:val="18"/>
              </w:rPr>
            </w:pPr>
            <w:r>
              <w:rPr>
                <w:noProof/>
                <w:sz w:val="18"/>
              </w:rPr>
              <w:t>Поети задължения</w:t>
            </w:r>
          </w:p>
        </w:tc>
        <w:tc>
          <w:tcPr>
            <w:tcW w:w="850" w:type="dxa"/>
            <w:vAlign w:val="center"/>
          </w:tcPr>
          <w:p>
            <w:pPr>
              <w:jc w:val="center"/>
              <w:rPr>
                <w:noProof/>
                <w:sz w:val="14"/>
              </w:rPr>
            </w:pPr>
            <w:r>
              <w:rPr>
                <w:noProof/>
                <w:sz w:val="14"/>
              </w:rPr>
              <w:t>=1+1a +3a</w:t>
            </w:r>
          </w:p>
        </w:tc>
        <w:tc>
          <w:tcPr>
            <w:tcW w:w="924" w:type="dxa"/>
            <w:vAlign w:val="center"/>
          </w:tcPr>
          <w:p>
            <w:pPr>
              <w:spacing w:before="40" w:after="40"/>
              <w:jc w:val="right"/>
              <w:rPr>
                <w:noProof/>
                <w:sz w:val="20"/>
                <w:highlight w:val="yellow"/>
              </w:rPr>
            </w:pPr>
            <w:r>
              <w:rPr>
                <w:noProof/>
                <w:sz w:val="20"/>
              </w:rPr>
              <w:t>0,322</w:t>
            </w:r>
          </w:p>
        </w:tc>
        <w:tc>
          <w:tcPr>
            <w:tcW w:w="924" w:type="dxa"/>
            <w:vAlign w:val="center"/>
          </w:tcPr>
          <w:p>
            <w:pPr>
              <w:spacing w:before="40" w:after="40"/>
              <w:jc w:val="right"/>
              <w:rPr>
                <w:noProof/>
                <w:sz w:val="20"/>
                <w:highlight w:val="yellow"/>
              </w:rPr>
            </w:pPr>
            <w:r>
              <w:rPr>
                <w:noProof/>
                <w:sz w:val="20"/>
              </w:rPr>
              <w:t>0,327</w:t>
            </w:r>
          </w:p>
        </w:tc>
        <w:tc>
          <w:tcPr>
            <w:tcW w:w="924" w:type="dxa"/>
            <w:vAlign w:val="center"/>
          </w:tcPr>
          <w:p>
            <w:pPr>
              <w:spacing w:before="40" w:after="40"/>
              <w:jc w:val="right"/>
              <w:rPr>
                <w:noProof/>
                <w:sz w:val="20"/>
                <w:highlight w:val="yellow"/>
              </w:rPr>
            </w:pPr>
            <w:r>
              <w:rPr>
                <w:noProof/>
                <w:sz w:val="20"/>
              </w:rPr>
              <w:t>0,333</w:t>
            </w:r>
          </w:p>
        </w:tc>
        <w:tc>
          <w:tcPr>
            <w:tcW w:w="924" w:type="dxa"/>
            <w:vAlign w:val="center"/>
          </w:tcPr>
          <w:p>
            <w:pPr>
              <w:spacing w:before="40" w:after="40"/>
              <w:jc w:val="right"/>
              <w:rPr>
                <w:noProof/>
                <w:sz w:val="20"/>
                <w:highlight w:val="yellow"/>
              </w:rPr>
            </w:pPr>
            <w:r>
              <w:rPr>
                <w:noProof/>
                <w:sz w:val="20"/>
              </w:rPr>
              <w:t>0,338</w:t>
            </w:r>
          </w:p>
        </w:tc>
        <w:tc>
          <w:tcPr>
            <w:tcW w:w="924" w:type="dxa"/>
            <w:vAlign w:val="center"/>
          </w:tcPr>
          <w:p>
            <w:pPr>
              <w:spacing w:before="40" w:after="40"/>
              <w:jc w:val="right"/>
              <w:rPr>
                <w:noProof/>
                <w:sz w:val="20"/>
                <w:highlight w:val="yellow"/>
              </w:rPr>
            </w:pPr>
            <w:r>
              <w:rPr>
                <w:noProof/>
                <w:sz w:val="20"/>
              </w:rPr>
              <w:t>0,344</w:t>
            </w:r>
          </w:p>
        </w:tc>
        <w:tc>
          <w:tcPr>
            <w:tcW w:w="924" w:type="dxa"/>
            <w:vAlign w:val="center"/>
          </w:tcPr>
          <w:p>
            <w:pPr>
              <w:spacing w:before="40" w:after="40"/>
              <w:jc w:val="right"/>
              <w:rPr>
                <w:noProof/>
                <w:sz w:val="20"/>
                <w:highlight w:val="yellow"/>
              </w:rPr>
            </w:pPr>
            <w:r>
              <w:rPr>
                <w:noProof/>
                <w:sz w:val="20"/>
              </w:rPr>
              <w:t>0,350</w:t>
            </w:r>
          </w:p>
        </w:tc>
        <w:tc>
          <w:tcPr>
            <w:tcW w:w="925" w:type="dxa"/>
            <w:vAlign w:val="center"/>
          </w:tcPr>
          <w:p>
            <w:pPr>
              <w:spacing w:before="40" w:after="40"/>
              <w:jc w:val="right"/>
              <w:rPr>
                <w:noProof/>
                <w:sz w:val="20"/>
                <w:highlight w:val="yellow"/>
              </w:rPr>
            </w:pPr>
            <w:r>
              <w:rPr>
                <w:noProof/>
                <w:sz w:val="20"/>
              </w:rPr>
              <w:t>0,356</w:t>
            </w:r>
          </w:p>
        </w:tc>
        <w:tc>
          <w:tcPr>
            <w:tcW w:w="970" w:type="dxa"/>
            <w:vAlign w:val="center"/>
          </w:tcPr>
          <w:p>
            <w:pPr>
              <w:spacing w:before="20" w:after="20"/>
              <w:jc w:val="right"/>
              <w:rPr>
                <w:b/>
                <w:noProof/>
                <w:sz w:val="20"/>
                <w:highlight w:val="yellow"/>
              </w:rPr>
            </w:pPr>
            <w:r>
              <w:rPr>
                <w:b/>
                <w:noProof/>
                <w:sz w:val="20"/>
              </w:rPr>
              <w:t>2,369</w:t>
            </w:r>
          </w:p>
        </w:tc>
      </w:tr>
      <w:tr>
        <w:tc>
          <w:tcPr>
            <w:tcW w:w="3195" w:type="dxa"/>
            <w:vMerge/>
            <w:vAlign w:val="center"/>
          </w:tcPr>
          <w:p>
            <w:pPr>
              <w:rPr>
                <w:b/>
                <w:noProof/>
              </w:rPr>
            </w:pPr>
          </w:p>
        </w:tc>
        <w:tc>
          <w:tcPr>
            <w:tcW w:w="1560" w:type="dxa"/>
            <w:vAlign w:val="center"/>
          </w:tcPr>
          <w:p>
            <w:pPr>
              <w:rPr>
                <w:noProof/>
                <w:sz w:val="18"/>
              </w:rPr>
            </w:pPr>
            <w:r>
              <w:rPr>
                <w:noProof/>
                <w:sz w:val="18"/>
              </w:rPr>
              <w:t>Плащания</w:t>
            </w:r>
          </w:p>
        </w:tc>
        <w:tc>
          <w:tcPr>
            <w:tcW w:w="850" w:type="dxa"/>
            <w:vAlign w:val="center"/>
          </w:tcPr>
          <w:p>
            <w:pPr>
              <w:jc w:val="center"/>
              <w:rPr>
                <w:noProof/>
                <w:sz w:val="14"/>
              </w:rPr>
            </w:pPr>
            <w:r>
              <w:rPr>
                <w:noProof/>
                <w:sz w:val="14"/>
              </w:rPr>
              <w:t>=2+2а</w:t>
            </w:r>
          </w:p>
          <w:p>
            <w:pPr>
              <w:jc w:val="center"/>
              <w:rPr>
                <w:noProof/>
                <w:sz w:val="14"/>
              </w:rPr>
            </w:pPr>
            <w:r>
              <w:rPr>
                <w:noProof/>
                <w:sz w:val="14"/>
              </w:rPr>
              <w:t>+3б</w:t>
            </w:r>
          </w:p>
        </w:tc>
        <w:tc>
          <w:tcPr>
            <w:tcW w:w="924" w:type="dxa"/>
            <w:vAlign w:val="center"/>
          </w:tcPr>
          <w:p>
            <w:pPr>
              <w:spacing w:before="40" w:after="40"/>
              <w:jc w:val="right"/>
              <w:rPr>
                <w:noProof/>
                <w:sz w:val="20"/>
                <w:highlight w:val="yellow"/>
              </w:rPr>
            </w:pPr>
            <w:r>
              <w:rPr>
                <w:noProof/>
                <w:sz w:val="20"/>
              </w:rPr>
              <w:t>0,322</w:t>
            </w:r>
          </w:p>
        </w:tc>
        <w:tc>
          <w:tcPr>
            <w:tcW w:w="924" w:type="dxa"/>
            <w:vAlign w:val="center"/>
          </w:tcPr>
          <w:p>
            <w:pPr>
              <w:spacing w:before="40" w:after="40"/>
              <w:jc w:val="right"/>
              <w:rPr>
                <w:noProof/>
                <w:sz w:val="20"/>
                <w:highlight w:val="yellow"/>
              </w:rPr>
            </w:pPr>
            <w:r>
              <w:rPr>
                <w:noProof/>
                <w:sz w:val="20"/>
              </w:rPr>
              <w:t>0,327</w:t>
            </w:r>
          </w:p>
        </w:tc>
        <w:tc>
          <w:tcPr>
            <w:tcW w:w="924" w:type="dxa"/>
            <w:vAlign w:val="center"/>
          </w:tcPr>
          <w:p>
            <w:pPr>
              <w:spacing w:before="40" w:after="40"/>
              <w:jc w:val="right"/>
              <w:rPr>
                <w:noProof/>
                <w:sz w:val="20"/>
                <w:highlight w:val="yellow"/>
              </w:rPr>
            </w:pPr>
            <w:r>
              <w:rPr>
                <w:noProof/>
                <w:sz w:val="20"/>
              </w:rPr>
              <w:t>0,333</w:t>
            </w:r>
          </w:p>
        </w:tc>
        <w:tc>
          <w:tcPr>
            <w:tcW w:w="924" w:type="dxa"/>
            <w:vAlign w:val="center"/>
          </w:tcPr>
          <w:p>
            <w:pPr>
              <w:spacing w:before="40" w:after="40"/>
              <w:jc w:val="right"/>
              <w:rPr>
                <w:noProof/>
                <w:sz w:val="20"/>
                <w:highlight w:val="yellow"/>
              </w:rPr>
            </w:pPr>
            <w:r>
              <w:rPr>
                <w:noProof/>
                <w:sz w:val="20"/>
              </w:rPr>
              <w:t>0,338</w:t>
            </w:r>
          </w:p>
        </w:tc>
        <w:tc>
          <w:tcPr>
            <w:tcW w:w="924" w:type="dxa"/>
            <w:vAlign w:val="center"/>
          </w:tcPr>
          <w:p>
            <w:pPr>
              <w:spacing w:before="40" w:after="40"/>
              <w:jc w:val="right"/>
              <w:rPr>
                <w:noProof/>
                <w:sz w:val="20"/>
                <w:highlight w:val="yellow"/>
              </w:rPr>
            </w:pPr>
            <w:r>
              <w:rPr>
                <w:noProof/>
                <w:sz w:val="20"/>
              </w:rPr>
              <w:t>0,344</w:t>
            </w:r>
          </w:p>
        </w:tc>
        <w:tc>
          <w:tcPr>
            <w:tcW w:w="924" w:type="dxa"/>
            <w:vAlign w:val="center"/>
          </w:tcPr>
          <w:p>
            <w:pPr>
              <w:spacing w:before="40" w:after="40"/>
              <w:jc w:val="right"/>
              <w:rPr>
                <w:noProof/>
                <w:sz w:val="20"/>
                <w:highlight w:val="yellow"/>
              </w:rPr>
            </w:pPr>
            <w:r>
              <w:rPr>
                <w:noProof/>
                <w:sz w:val="20"/>
              </w:rPr>
              <w:t>0,350</w:t>
            </w:r>
          </w:p>
        </w:tc>
        <w:tc>
          <w:tcPr>
            <w:tcW w:w="925" w:type="dxa"/>
            <w:vAlign w:val="center"/>
          </w:tcPr>
          <w:p>
            <w:pPr>
              <w:spacing w:before="40" w:after="40"/>
              <w:jc w:val="right"/>
              <w:rPr>
                <w:noProof/>
                <w:sz w:val="20"/>
                <w:highlight w:val="yellow"/>
              </w:rPr>
            </w:pPr>
            <w:r>
              <w:rPr>
                <w:noProof/>
                <w:sz w:val="20"/>
              </w:rPr>
              <w:t>0,356</w:t>
            </w:r>
          </w:p>
        </w:tc>
        <w:tc>
          <w:tcPr>
            <w:tcW w:w="970" w:type="dxa"/>
            <w:vAlign w:val="center"/>
          </w:tcPr>
          <w:p>
            <w:pPr>
              <w:spacing w:before="20" w:after="20"/>
              <w:jc w:val="right"/>
              <w:rPr>
                <w:b/>
                <w:noProof/>
                <w:sz w:val="20"/>
                <w:highlight w:val="yellow"/>
              </w:rPr>
            </w:pPr>
            <w:r>
              <w:rPr>
                <w:b/>
                <w:noProof/>
                <w:sz w:val="20"/>
              </w:rPr>
              <w:t>2,369</w:t>
            </w:r>
          </w:p>
        </w:tc>
      </w:tr>
    </w:tbl>
    <w:p>
      <w:pPr>
        <w:rPr>
          <w:noProof/>
        </w:rPr>
        <w:sectPr>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p>
    <w:p>
      <w:pPr>
        <w:pStyle w:val="ManualHeading3"/>
        <w:rPr>
          <w:bCs/>
          <w:noProof/>
          <w:szCs w:val="24"/>
        </w:rPr>
      </w:pPr>
      <w:bookmarkStart w:id="111" w:name="_Toc514938687"/>
      <w:bookmarkStart w:id="112" w:name="_Toc520485446"/>
      <w:bookmarkStart w:id="113" w:name="_Toc52892485"/>
      <w:bookmarkStart w:id="114" w:name="_Toc54602323"/>
      <w:r>
        <w:t>3.2.2.</w:t>
      </w:r>
      <w:r>
        <w:tab/>
      </w:r>
      <w:r>
        <w:rPr>
          <w:noProof/>
        </w:rPr>
        <w:t>Очаквано отражение върху бюджетните кредити за ЕАОС и ЕСНА</w:t>
      </w:r>
      <w:bookmarkEnd w:id="111"/>
      <w:bookmarkEnd w:id="112"/>
      <w:bookmarkEnd w:id="113"/>
      <w:bookmarkEnd w:id="114"/>
    </w:p>
    <w:p>
      <w:pPr>
        <w:pStyle w:val="ListDash1"/>
        <w:rPr>
          <w:noProof/>
        </w:rPr>
      </w:pPr>
      <w:r>
        <w:rPr>
          <w:noProof/>
        </w:rPr>
        <w:sym w:font="Wingdings" w:char="F0FE"/>
      </w:r>
      <w:r>
        <w:rPr>
          <w:noProof/>
        </w:rPr>
        <w:tab/>
        <w:t>Предложението/инициативата не налага използване на бюджетни кредити за оперативни разходи</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 в постоянни цени</w:t>
      </w:r>
    </w:p>
    <w:tbl>
      <w:tblPr>
        <w:tblW w:w="12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4"/>
        <w:gridCol w:w="593"/>
        <w:gridCol w:w="593"/>
        <w:gridCol w:w="594"/>
        <w:gridCol w:w="593"/>
        <w:gridCol w:w="593"/>
        <w:gridCol w:w="594"/>
        <w:gridCol w:w="593"/>
        <w:gridCol w:w="564"/>
        <w:gridCol w:w="623"/>
        <w:gridCol w:w="593"/>
        <w:gridCol w:w="593"/>
        <w:gridCol w:w="594"/>
        <w:gridCol w:w="593"/>
        <w:gridCol w:w="851"/>
        <w:gridCol w:w="804"/>
      </w:tblGrid>
      <w:tr>
        <w:trPr>
          <w:jc w:val="center"/>
        </w:trPr>
        <w:tc>
          <w:tcPr>
            <w:tcW w:w="1054"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rPr>
            </w:pPr>
          </w:p>
        </w:tc>
        <w:tc>
          <w:tcPr>
            <w:tcW w:w="595" w:type="dxa"/>
            <w:tcBorders>
              <w:bottom w:val="single" w:sz="4" w:space="0" w:color="auto"/>
            </w:tcBorders>
            <w:vAlign w:val="center"/>
          </w:tcPr>
          <w:p>
            <w:pPr>
              <w:ind w:right="-29"/>
              <w:jc w:val="center"/>
              <w:rPr>
                <w:noProof/>
                <w:sz w:val="18"/>
              </w:rPr>
            </w:pPr>
          </w:p>
        </w:tc>
        <w:tc>
          <w:tcPr>
            <w:tcW w:w="1187" w:type="dxa"/>
            <w:gridSpan w:val="2"/>
            <w:tcBorders>
              <w:left w:val="nil"/>
              <w:bottom w:val="single" w:sz="4" w:space="0" w:color="auto"/>
            </w:tcBorders>
            <w:vAlign w:val="center"/>
          </w:tcPr>
          <w:p>
            <w:pPr>
              <w:jc w:val="center"/>
              <w:rPr>
                <w:noProof/>
                <w:sz w:val="18"/>
              </w:rPr>
            </w:pPr>
            <w:r>
              <w:rPr>
                <w:noProof/>
                <w:sz w:val="18"/>
              </w:rPr>
              <w:t>2021 г.</w:t>
            </w:r>
          </w:p>
        </w:tc>
        <w:tc>
          <w:tcPr>
            <w:tcW w:w="1187" w:type="dxa"/>
            <w:gridSpan w:val="2"/>
            <w:tcBorders>
              <w:left w:val="nil"/>
              <w:bottom w:val="single" w:sz="4" w:space="0" w:color="auto"/>
            </w:tcBorders>
            <w:vAlign w:val="center"/>
          </w:tcPr>
          <w:p>
            <w:pPr>
              <w:jc w:val="center"/>
              <w:rPr>
                <w:noProof/>
                <w:sz w:val="18"/>
              </w:rPr>
            </w:pPr>
            <w:r>
              <w:rPr>
                <w:noProof/>
                <w:sz w:val="18"/>
              </w:rPr>
              <w:t>2022 г.</w:t>
            </w:r>
          </w:p>
        </w:tc>
        <w:tc>
          <w:tcPr>
            <w:tcW w:w="1186" w:type="dxa"/>
            <w:gridSpan w:val="2"/>
            <w:tcBorders>
              <w:left w:val="nil"/>
              <w:bottom w:val="single" w:sz="4" w:space="0" w:color="auto"/>
            </w:tcBorders>
            <w:vAlign w:val="center"/>
          </w:tcPr>
          <w:p>
            <w:pPr>
              <w:jc w:val="center"/>
              <w:rPr>
                <w:noProof/>
                <w:sz w:val="18"/>
              </w:rPr>
            </w:pPr>
            <w:r>
              <w:rPr>
                <w:noProof/>
                <w:sz w:val="18"/>
              </w:rPr>
              <w:t>2023 г.</w:t>
            </w:r>
          </w:p>
        </w:tc>
        <w:tc>
          <w:tcPr>
            <w:tcW w:w="1187" w:type="dxa"/>
            <w:gridSpan w:val="2"/>
            <w:tcBorders>
              <w:left w:val="nil"/>
              <w:bottom w:val="single" w:sz="4" w:space="0" w:color="auto"/>
            </w:tcBorders>
            <w:vAlign w:val="center"/>
          </w:tcPr>
          <w:p>
            <w:pPr>
              <w:jc w:val="center"/>
              <w:rPr>
                <w:noProof/>
                <w:sz w:val="18"/>
              </w:rPr>
            </w:pPr>
            <w:r>
              <w:rPr>
                <w:noProof/>
                <w:sz w:val="18"/>
              </w:rPr>
              <w:t>2024 г.</w:t>
            </w:r>
          </w:p>
        </w:tc>
        <w:tc>
          <w:tcPr>
            <w:tcW w:w="1187" w:type="dxa"/>
            <w:gridSpan w:val="2"/>
            <w:tcBorders>
              <w:left w:val="nil"/>
              <w:bottom w:val="single" w:sz="4" w:space="0" w:color="auto"/>
            </w:tcBorders>
            <w:vAlign w:val="center"/>
          </w:tcPr>
          <w:p>
            <w:pPr>
              <w:jc w:val="center"/>
              <w:rPr>
                <w:noProof/>
                <w:sz w:val="18"/>
              </w:rPr>
            </w:pPr>
            <w:r>
              <w:rPr>
                <w:noProof/>
                <w:sz w:val="18"/>
              </w:rPr>
              <w:t>2025 г.</w:t>
            </w:r>
          </w:p>
        </w:tc>
        <w:tc>
          <w:tcPr>
            <w:tcW w:w="1186" w:type="dxa"/>
            <w:gridSpan w:val="2"/>
            <w:tcBorders>
              <w:left w:val="nil"/>
              <w:bottom w:val="single" w:sz="4" w:space="0" w:color="auto"/>
            </w:tcBorders>
            <w:vAlign w:val="center"/>
          </w:tcPr>
          <w:p>
            <w:pPr>
              <w:jc w:val="center"/>
              <w:rPr>
                <w:noProof/>
                <w:sz w:val="18"/>
              </w:rPr>
            </w:pPr>
            <w:r>
              <w:rPr>
                <w:noProof/>
                <w:sz w:val="18"/>
              </w:rPr>
              <w:t>2026 г.</w:t>
            </w:r>
          </w:p>
        </w:tc>
        <w:tc>
          <w:tcPr>
            <w:tcW w:w="1187" w:type="dxa"/>
            <w:gridSpan w:val="2"/>
            <w:tcBorders>
              <w:left w:val="nil"/>
              <w:bottom w:val="single" w:sz="4" w:space="0" w:color="auto"/>
            </w:tcBorders>
          </w:tcPr>
          <w:p>
            <w:pPr>
              <w:jc w:val="center"/>
              <w:rPr>
                <w:noProof/>
                <w:sz w:val="18"/>
              </w:rPr>
            </w:pPr>
            <w:r>
              <w:rPr>
                <w:noProof/>
                <w:sz w:val="18"/>
              </w:rPr>
              <w:t>2027 г.</w:t>
            </w:r>
          </w:p>
        </w:tc>
        <w:tc>
          <w:tcPr>
            <w:tcW w:w="1655" w:type="dxa"/>
            <w:gridSpan w:val="2"/>
            <w:tcBorders>
              <w:left w:val="nil"/>
              <w:bottom w:val="single" w:sz="4" w:space="0" w:color="auto"/>
            </w:tcBorders>
            <w:vAlign w:val="center"/>
          </w:tcPr>
          <w:p>
            <w:pPr>
              <w:ind w:right="-29"/>
              <w:jc w:val="center"/>
              <w:rPr>
                <w:noProof/>
                <w:sz w:val="18"/>
              </w:rPr>
            </w:pPr>
            <w:r>
              <w:rPr>
                <w:b/>
                <w:noProof/>
                <w:sz w:val="18"/>
              </w:rPr>
              <w:t>ОБЩО</w:t>
            </w:r>
          </w:p>
        </w:tc>
      </w:tr>
      <w:tr>
        <w:trPr>
          <w:jc w:val="center"/>
        </w:trPr>
        <w:tc>
          <w:tcPr>
            <w:tcW w:w="1054" w:type="dxa"/>
            <w:vMerge/>
            <w:vAlign w:val="center"/>
          </w:tcPr>
          <w:p>
            <w:pPr>
              <w:rPr>
                <w:noProof/>
                <w:sz w:val="18"/>
              </w:rPr>
            </w:pPr>
          </w:p>
        </w:tc>
        <w:tc>
          <w:tcPr>
            <w:tcW w:w="1157" w:type="dxa"/>
            <w:gridSpan w:val="2"/>
            <w:tcBorders>
              <w:right w:val="nil"/>
            </w:tcBorders>
            <w:vAlign w:val="center"/>
          </w:tcPr>
          <w:p>
            <w:pPr>
              <w:spacing w:before="60" w:after="60"/>
              <w:ind w:right="-29"/>
              <w:jc w:val="center"/>
              <w:rPr>
                <w:noProof/>
                <w:sz w:val="18"/>
              </w:rPr>
            </w:pPr>
            <w:r>
              <w:rPr>
                <w:b/>
                <w:noProof/>
                <w:sz w:val="18"/>
              </w:rPr>
              <w:t>РЕЗУЛТАТИ</w:t>
            </w:r>
          </w:p>
        </w:tc>
        <w:tc>
          <w:tcPr>
            <w:tcW w:w="594" w:type="dxa"/>
            <w:tcBorders>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64" w:type="dxa"/>
            <w:tcBorders>
              <w:left w:val="nil"/>
              <w:right w:val="nil"/>
            </w:tcBorders>
            <w:vAlign w:val="center"/>
          </w:tcPr>
          <w:p>
            <w:pPr>
              <w:spacing w:before="60" w:after="60"/>
              <w:ind w:right="-29"/>
              <w:jc w:val="center"/>
              <w:rPr>
                <w:noProof/>
                <w:sz w:val="18"/>
              </w:rPr>
            </w:pPr>
          </w:p>
        </w:tc>
        <w:tc>
          <w:tcPr>
            <w:tcW w:w="62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3" w:type="dxa"/>
            <w:tcBorders>
              <w:left w:val="nil"/>
              <w:right w:val="nil"/>
            </w:tcBorders>
            <w:vAlign w:val="center"/>
          </w:tcPr>
          <w:p>
            <w:pPr>
              <w:spacing w:before="60" w:after="60"/>
              <w:ind w:right="-29"/>
              <w:jc w:val="center"/>
              <w:rPr>
                <w:noProof/>
                <w:sz w:val="18"/>
              </w:rPr>
            </w:pPr>
          </w:p>
        </w:tc>
        <w:tc>
          <w:tcPr>
            <w:tcW w:w="594" w:type="dxa"/>
            <w:tcBorders>
              <w:left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851" w:type="dxa"/>
            <w:tcBorders>
              <w:left w:val="nil"/>
              <w:right w:val="nil"/>
            </w:tcBorders>
            <w:vAlign w:val="center"/>
          </w:tcPr>
          <w:p>
            <w:pPr>
              <w:spacing w:before="60" w:after="60"/>
              <w:ind w:right="-29"/>
              <w:jc w:val="center"/>
              <w:rPr>
                <w:noProof/>
                <w:sz w:val="18"/>
              </w:rPr>
            </w:pPr>
          </w:p>
        </w:tc>
        <w:tc>
          <w:tcPr>
            <w:tcW w:w="804" w:type="dxa"/>
            <w:tcBorders>
              <w:left w:val="nil"/>
            </w:tcBorders>
            <w:vAlign w:val="center"/>
          </w:tcPr>
          <w:p>
            <w:pPr>
              <w:spacing w:before="60" w:after="60"/>
              <w:ind w:right="-29"/>
              <w:jc w:val="center"/>
              <w:rPr>
                <w:noProof/>
                <w:sz w:val="18"/>
              </w:rPr>
            </w:pPr>
          </w:p>
        </w:tc>
      </w:tr>
      <w:tr>
        <w:trPr>
          <w:cantSplit/>
          <w:trHeight w:val="1134"/>
          <w:jc w:val="center"/>
        </w:trPr>
        <w:tc>
          <w:tcPr>
            <w:tcW w:w="1054" w:type="dxa"/>
            <w:vMerge/>
            <w:vAlign w:val="center"/>
          </w:tcPr>
          <w:p>
            <w:pPr>
              <w:rPr>
                <w:noProof/>
                <w:sz w:val="18"/>
              </w:rPr>
            </w:pPr>
          </w:p>
        </w:tc>
        <w:tc>
          <w:tcPr>
            <w:tcW w:w="562" w:type="dxa"/>
            <w:textDirection w:val="btLr"/>
            <w:vAlign w:val="center"/>
          </w:tcPr>
          <w:p>
            <w:pPr>
              <w:ind w:left="113" w:right="113"/>
              <w:jc w:val="center"/>
              <w:rPr>
                <w:noProof/>
                <w:sz w:val="18"/>
              </w:rPr>
            </w:pPr>
            <w:r>
              <w:rPr>
                <w:noProof/>
                <w:sz w:val="18"/>
              </w:rPr>
              <w:t>Вид</w:t>
            </w:r>
            <w:r>
              <w:rPr>
                <w:rStyle w:val="FootnoteReference"/>
                <w:noProof/>
                <w:sz w:val="18"/>
              </w:rPr>
              <w:footnoteReference w:id="44"/>
            </w:r>
          </w:p>
        </w:tc>
        <w:tc>
          <w:tcPr>
            <w:tcW w:w="595" w:type="dxa"/>
            <w:textDirection w:val="btLr"/>
            <w:vAlign w:val="center"/>
          </w:tcPr>
          <w:p>
            <w:pPr>
              <w:ind w:left="113" w:right="113"/>
              <w:jc w:val="center"/>
              <w:rPr>
                <w:noProof/>
              </w:rPr>
            </w:pPr>
            <w:r>
              <w:rPr>
                <w:noProof/>
                <w:sz w:val="18"/>
              </w:rPr>
              <w:t>Средни разходи</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593" w:type="dxa"/>
            <w:tcBorders>
              <w:left w:val="dashSmallGap" w:sz="4" w:space="0" w:color="auto"/>
            </w:tcBorders>
            <w:shd w:val="pct10" w:color="auto" w:fill="auto"/>
            <w:vAlign w:val="center"/>
          </w:tcPr>
          <w:p>
            <w:pPr>
              <w:jc w:val="center"/>
              <w:rPr>
                <w:noProof/>
                <w:sz w:val="18"/>
              </w:rPr>
            </w:pPr>
            <w:r>
              <w:rPr>
                <w:noProof/>
                <w:sz w:val="18"/>
              </w:rPr>
              <w:t>Разходи</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594" w:type="dxa"/>
            <w:tcBorders>
              <w:left w:val="dashSmallGap" w:sz="4" w:space="0" w:color="auto"/>
            </w:tcBorders>
            <w:shd w:val="pct10" w:color="auto" w:fill="auto"/>
            <w:vAlign w:val="center"/>
          </w:tcPr>
          <w:p>
            <w:pPr>
              <w:jc w:val="center"/>
              <w:rPr>
                <w:noProof/>
                <w:sz w:val="18"/>
              </w:rPr>
            </w:pPr>
            <w:r>
              <w:rPr>
                <w:noProof/>
                <w:sz w:val="18"/>
              </w:rPr>
              <w:t>Разходи</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593" w:type="dxa"/>
            <w:tcBorders>
              <w:left w:val="dashSmallGap" w:sz="4" w:space="0" w:color="auto"/>
            </w:tcBorders>
            <w:shd w:val="pct10" w:color="auto" w:fill="auto"/>
            <w:vAlign w:val="center"/>
          </w:tcPr>
          <w:p>
            <w:pPr>
              <w:jc w:val="center"/>
              <w:rPr>
                <w:noProof/>
                <w:sz w:val="18"/>
              </w:rPr>
            </w:pPr>
            <w:r>
              <w:rPr>
                <w:noProof/>
                <w:sz w:val="18"/>
              </w:rPr>
              <w:t>Разходи</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593" w:type="dxa"/>
            <w:tcBorders>
              <w:left w:val="dashSmallGap" w:sz="4" w:space="0" w:color="auto"/>
            </w:tcBorders>
            <w:shd w:val="pct10" w:color="auto" w:fill="auto"/>
            <w:vAlign w:val="center"/>
          </w:tcPr>
          <w:p>
            <w:pPr>
              <w:jc w:val="center"/>
              <w:rPr>
                <w:noProof/>
                <w:sz w:val="18"/>
              </w:rPr>
            </w:pPr>
            <w:r>
              <w:rPr>
                <w:noProof/>
                <w:sz w:val="18"/>
              </w:rPr>
              <w:t>Разходи</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23" w:type="dxa"/>
            <w:tcBorders>
              <w:left w:val="dashSmallGap" w:sz="4" w:space="0" w:color="auto"/>
            </w:tcBorders>
            <w:shd w:val="pct10" w:color="auto" w:fill="auto"/>
            <w:vAlign w:val="center"/>
          </w:tcPr>
          <w:p>
            <w:pPr>
              <w:jc w:val="center"/>
              <w:rPr>
                <w:noProof/>
                <w:sz w:val="18"/>
              </w:rPr>
            </w:pPr>
            <w:r>
              <w:rPr>
                <w:noProof/>
                <w:sz w:val="18"/>
              </w:rPr>
              <w:t>Разходи</w:t>
            </w:r>
          </w:p>
        </w:tc>
        <w:tc>
          <w:tcPr>
            <w:tcW w:w="593" w:type="dxa"/>
            <w:shd w:val="pct10" w:color="auto" w:fill="auto"/>
            <w:textDirection w:val="btLr"/>
            <w:vAlign w:val="center"/>
          </w:tcPr>
          <w:p>
            <w:pPr>
              <w:ind w:left="113" w:right="113"/>
              <w:jc w:val="center"/>
              <w:rPr>
                <w:noProof/>
              </w:rPr>
            </w:pPr>
            <w:r>
              <w:rPr>
                <w:noProof/>
                <w:sz w:val="18"/>
              </w:rPr>
              <w:t>Брой</w:t>
            </w:r>
          </w:p>
        </w:tc>
        <w:tc>
          <w:tcPr>
            <w:tcW w:w="593" w:type="dxa"/>
            <w:shd w:val="pct10" w:color="auto" w:fill="FFFFFF"/>
            <w:vAlign w:val="center"/>
          </w:tcPr>
          <w:p>
            <w:pPr>
              <w:jc w:val="center"/>
              <w:rPr>
                <w:noProof/>
                <w:sz w:val="18"/>
              </w:rPr>
            </w:pPr>
            <w:r>
              <w:rPr>
                <w:noProof/>
                <w:sz w:val="18"/>
              </w:rPr>
              <w:t>Разходи</w:t>
            </w:r>
          </w:p>
        </w:tc>
        <w:tc>
          <w:tcPr>
            <w:tcW w:w="594" w:type="dxa"/>
            <w:shd w:val="pct10" w:color="auto" w:fill="FFFFFF"/>
            <w:textDirection w:val="btLr"/>
            <w:vAlign w:val="center"/>
          </w:tcPr>
          <w:p>
            <w:pPr>
              <w:jc w:val="center"/>
              <w:rPr>
                <w:noProof/>
                <w:sz w:val="18"/>
              </w:rPr>
            </w:pPr>
            <w:r>
              <w:rPr>
                <w:noProof/>
                <w:sz w:val="18"/>
              </w:rPr>
              <w:t>Брой</w:t>
            </w:r>
          </w:p>
        </w:tc>
        <w:tc>
          <w:tcPr>
            <w:tcW w:w="593" w:type="dxa"/>
            <w:shd w:val="pct10" w:color="auto" w:fill="FFFFFF"/>
            <w:vAlign w:val="center"/>
          </w:tcPr>
          <w:p>
            <w:pPr>
              <w:jc w:val="center"/>
              <w:rPr>
                <w:noProof/>
                <w:sz w:val="18"/>
              </w:rPr>
            </w:pPr>
            <w:r>
              <w:rPr>
                <w:noProof/>
                <w:sz w:val="18"/>
              </w:rPr>
              <w:t>Разходи</w:t>
            </w:r>
          </w:p>
        </w:tc>
        <w:tc>
          <w:tcPr>
            <w:tcW w:w="851" w:type="dxa"/>
            <w:tcBorders>
              <w:right w:val="dashSmallGap" w:sz="4" w:space="0" w:color="auto"/>
            </w:tcBorders>
            <w:shd w:val="pct10" w:color="auto" w:fill="auto"/>
            <w:vAlign w:val="center"/>
          </w:tcPr>
          <w:p>
            <w:pPr>
              <w:jc w:val="center"/>
              <w:rPr>
                <w:noProof/>
                <w:sz w:val="18"/>
              </w:rPr>
            </w:pPr>
            <w:r>
              <w:rPr>
                <w:noProof/>
                <w:sz w:val="18"/>
              </w:rPr>
              <w:t>Общо брой</w:t>
            </w:r>
          </w:p>
        </w:tc>
        <w:tc>
          <w:tcPr>
            <w:tcW w:w="804"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211" w:type="dxa"/>
            <w:gridSpan w:val="3"/>
            <w:vAlign w:val="center"/>
          </w:tcPr>
          <w:p>
            <w:pPr>
              <w:spacing w:before="60" w:after="60"/>
              <w:ind w:right="-29"/>
              <w:jc w:val="center"/>
              <w:rPr>
                <w:noProof/>
                <w:sz w:val="18"/>
              </w:rPr>
            </w:pPr>
            <w:r>
              <w:rPr>
                <w:noProof/>
                <w:sz w:val="18"/>
              </w:rPr>
              <w:t>КОНКРЕТНА ЦЕЛ № 1</w:t>
            </w:r>
            <w:r>
              <w:rPr>
                <w:rStyle w:val="FootnoteReference"/>
                <w:noProof/>
                <w:sz w:val="18"/>
              </w:rPr>
              <w:footnoteReference w:id="45"/>
            </w:r>
            <w:r>
              <w:rPr>
                <w:noProof/>
                <w:sz w:val="18"/>
              </w:rPr>
              <w:t>…</w:t>
            </w:r>
          </w:p>
        </w:tc>
        <w:tc>
          <w:tcPr>
            <w:tcW w:w="594" w:type="dxa"/>
            <w:tcBorders>
              <w:top w:val="nil"/>
              <w:bottom w:val="nil"/>
              <w:right w:val="dashSmallGap" w:sz="4" w:space="0" w:color="auto"/>
            </w:tcBorders>
          </w:tcPr>
          <w:p>
            <w:pPr>
              <w:spacing w:before="60" w:after="60"/>
              <w:ind w:right="-29"/>
              <w:jc w:val="center"/>
              <w:rPr>
                <w:noProof/>
                <w:sz w:val="18"/>
              </w:rPr>
            </w:pPr>
          </w:p>
        </w:tc>
        <w:tc>
          <w:tcPr>
            <w:tcW w:w="593" w:type="dxa"/>
            <w:tcBorders>
              <w:left w:val="dashSmallGap" w:sz="4" w:space="0" w:color="auto"/>
              <w:bottom w:val="nil"/>
            </w:tcBorders>
          </w:tcPr>
          <w:p>
            <w:pPr>
              <w:spacing w:before="60" w:after="60"/>
              <w:ind w:right="-29"/>
              <w:jc w:val="center"/>
              <w:rPr>
                <w:noProof/>
                <w:sz w:val="18"/>
              </w:rPr>
            </w:pPr>
          </w:p>
        </w:tc>
        <w:tc>
          <w:tcPr>
            <w:tcW w:w="593" w:type="dxa"/>
            <w:tcBorders>
              <w:top w:val="single" w:sz="4" w:space="0" w:color="auto"/>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64" w:type="dxa"/>
            <w:tcBorders>
              <w:top w:val="nil"/>
              <w:left w:val="nil"/>
              <w:bottom w:val="nil"/>
              <w:right w:val="nil"/>
            </w:tcBorders>
          </w:tcPr>
          <w:p>
            <w:pPr>
              <w:spacing w:before="60" w:after="60"/>
              <w:ind w:right="-29"/>
              <w:jc w:val="center"/>
              <w:rPr>
                <w:noProof/>
                <w:sz w:val="18"/>
              </w:rPr>
            </w:pPr>
          </w:p>
        </w:tc>
        <w:tc>
          <w:tcPr>
            <w:tcW w:w="62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594" w:type="dxa"/>
            <w:tcBorders>
              <w:left w:val="nil"/>
              <w:right w:val="nil"/>
            </w:tcBorders>
          </w:tcPr>
          <w:p>
            <w:pPr>
              <w:spacing w:before="60" w:after="60"/>
              <w:ind w:right="-29"/>
              <w:jc w:val="center"/>
              <w:rPr>
                <w:noProof/>
                <w:sz w:val="18"/>
              </w:rPr>
            </w:pPr>
          </w:p>
        </w:tc>
        <w:tc>
          <w:tcPr>
            <w:tcW w:w="593" w:type="dxa"/>
            <w:tcBorders>
              <w:left w:val="nil"/>
              <w:right w:val="nil"/>
            </w:tcBorders>
          </w:tcPr>
          <w:p>
            <w:pPr>
              <w:spacing w:before="60" w:after="60"/>
              <w:ind w:right="-29"/>
              <w:jc w:val="center"/>
              <w:rPr>
                <w:noProof/>
                <w:sz w:val="18"/>
              </w:rPr>
            </w:pPr>
          </w:p>
        </w:tc>
        <w:tc>
          <w:tcPr>
            <w:tcW w:w="851" w:type="dxa"/>
            <w:tcBorders>
              <w:top w:val="nil"/>
              <w:left w:val="nil"/>
              <w:bottom w:val="nil"/>
              <w:right w:val="nil"/>
            </w:tcBorders>
          </w:tcPr>
          <w:p>
            <w:pPr>
              <w:spacing w:before="60" w:after="60"/>
              <w:ind w:right="-29"/>
              <w:jc w:val="center"/>
              <w:rPr>
                <w:noProof/>
                <w:sz w:val="18"/>
              </w:rPr>
            </w:pPr>
          </w:p>
        </w:tc>
        <w:tc>
          <w:tcPr>
            <w:tcW w:w="804" w:type="dxa"/>
            <w:tcBorders>
              <w:top w:val="nil"/>
              <w:left w:val="nil"/>
              <w:bottom w:val="nil"/>
              <w:right w:val="nil"/>
            </w:tcBorders>
          </w:tcPr>
          <w:p>
            <w:pPr>
              <w:spacing w:before="60" w:after="60"/>
              <w:ind w:right="-29"/>
              <w:jc w:val="center"/>
              <w:rPr>
                <w:noProof/>
                <w:sz w:val="18"/>
              </w:rPr>
            </w:pPr>
          </w:p>
        </w:tc>
      </w:tr>
      <w:tr>
        <w:trPr>
          <w:trHeight w:hRule="exact" w:val="387"/>
          <w:jc w:val="center"/>
        </w:trPr>
        <w:tc>
          <w:tcPr>
            <w:tcW w:w="1054" w:type="dxa"/>
          </w:tcPr>
          <w:p>
            <w:pPr>
              <w:ind w:right="-29"/>
              <w:jc w:val="center"/>
              <w:rPr>
                <w:noProof/>
                <w:sz w:val="18"/>
              </w:rPr>
            </w:pPr>
            <w:r>
              <w:rPr>
                <w:noProof/>
                <w:sz w:val="18"/>
              </w:rPr>
              <w:t>– Резултат</w:t>
            </w:r>
          </w:p>
        </w:tc>
        <w:tc>
          <w:tcPr>
            <w:tcW w:w="562" w:type="dxa"/>
          </w:tcPr>
          <w:p>
            <w:pPr>
              <w:ind w:right="-29"/>
              <w:jc w:val="center"/>
              <w:rPr>
                <w:noProof/>
                <w:sz w:val="18"/>
              </w:rPr>
            </w:pPr>
          </w:p>
        </w:tc>
        <w:tc>
          <w:tcPr>
            <w:tcW w:w="595" w:type="dxa"/>
          </w:tcPr>
          <w:p>
            <w:pPr>
              <w:ind w:right="-29"/>
              <w:jc w:val="center"/>
              <w:rPr>
                <w:noProof/>
                <w:sz w:val="18"/>
              </w:rPr>
            </w:pPr>
          </w:p>
        </w:tc>
        <w:tc>
          <w:tcPr>
            <w:tcW w:w="594" w:type="dxa"/>
            <w:tcBorders>
              <w:right w:val="dashSmallGap" w:sz="4" w:space="0" w:color="auto"/>
            </w:tcBorders>
            <w:vAlign w:val="center"/>
          </w:tcPr>
          <w:p>
            <w:pPr>
              <w:ind w:right="-29"/>
              <w:jc w:val="center"/>
              <w:rPr>
                <w:noProof/>
                <w:sz w:val="18"/>
              </w:rPr>
            </w:pPr>
          </w:p>
        </w:tc>
        <w:tc>
          <w:tcPr>
            <w:tcW w:w="593" w:type="dxa"/>
            <w:vMerge w:val="restart"/>
            <w:tcBorders>
              <w:left w:val="dashSmallGap" w:sz="4" w:space="0" w:color="auto"/>
            </w:tcBorders>
            <w:vAlign w:val="center"/>
          </w:tcPr>
          <w:p>
            <w:pPr>
              <w:ind w:right="-29"/>
              <w:jc w:val="center"/>
              <w:rPr>
                <w:noProof/>
                <w:sz w:val="18"/>
              </w:rPr>
            </w:pPr>
          </w:p>
        </w:tc>
        <w:tc>
          <w:tcPr>
            <w:tcW w:w="593" w:type="dxa"/>
            <w:tcBorders>
              <w:right w:val="dashSmallGap" w:sz="4" w:space="0" w:color="auto"/>
            </w:tcBorders>
            <w:vAlign w:val="center"/>
          </w:tcPr>
          <w:p>
            <w:pPr>
              <w:ind w:right="-29"/>
              <w:jc w:val="center"/>
              <w:rPr>
                <w:noProof/>
                <w:sz w:val="18"/>
              </w:rPr>
            </w:pPr>
          </w:p>
        </w:tc>
        <w:tc>
          <w:tcPr>
            <w:tcW w:w="594" w:type="dxa"/>
            <w:tcBorders>
              <w:left w:val="dashSmallGap" w:sz="4" w:space="0" w:color="auto"/>
            </w:tcBorders>
            <w:vAlign w:val="center"/>
          </w:tcPr>
          <w:p>
            <w:pPr>
              <w:ind w:right="-29"/>
              <w:jc w:val="center"/>
              <w:rPr>
                <w:noProof/>
                <w:sz w:val="18"/>
              </w:rPr>
            </w:pPr>
          </w:p>
        </w:tc>
        <w:tc>
          <w:tcPr>
            <w:tcW w:w="593" w:type="dxa"/>
            <w:tcBorders>
              <w:right w:val="dashSmallGap" w:sz="4" w:space="0" w:color="auto"/>
            </w:tcBorders>
            <w:vAlign w:val="center"/>
          </w:tcPr>
          <w:p>
            <w:pPr>
              <w:ind w:right="-29"/>
              <w:jc w:val="center"/>
              <w:rPr>
                <w:noProof/>
                <w:sz w:val="18"/>
              </w:rPr>
            </w:pPr>
          </w:p>
        </w:tc>
        <w:tc>
          <w:tcPr>
            <w:tcW w:w="593" w:type="dxa"/>
            <w:tcBorders>
              <w:left w:val="dashSmallGap" w:sz="4" w:space="0" w:color="auto"/>
            </w:tcBorders>
            <w:vAlign w:val="center"/>
          </w:tcPr>
          <w:p>
            <w:pPr>
              <w:ind w:right="-29"/>
              <w:jc w:val="center"/>
              <w:rPr>
                <w:noProof/>
                <w:sz w:val="18"/>
              </w:rPr>
            </w:pPr>
          </w:p>
        </w:tc>
        <w:tc>
          <w:tcPr>
            <w:tcW w:w="594" w:type="dxa"/>
            <w:tcBorders>
              <w:right w:val="dashSmallGap" w:sz="4" w:space="0" w:color="auto"/>
            </w:tcBorders>
            <w:vAlign w:val="center"/>
          </w:tcPr>
          <w:p>
            <w:pPr>
              <w:ind w:right="-29"/>
              <w:jc w:val="center"/>
              <w:rPr>
                <w:noProof/>
                <w:sz w:val="18"/>
              </w:rPr>
            </w:pPr>
          </w:p>
        </w:tc>
        <w:tc>
          <w:tcPr>
            <w:tcW w:w="593" w:type="dxa"/>
            <w:tcBorders>
              <w:left w:val="dashSmallGap" w:sz="4" w:space="0" w:color="auto"/>
            </w:tcBorders>
            <w:vAlign w:val="center"/>
          </w:tcPr>
          <w:p>
            <w:pPr>
              <w:ind w:right="-29"/>
              <w:jc w:val="center"/>
              <w:rPr>
                <w:noProof/>
                <w:sz w:val="18"/>
              </w:rPr>
            </w:pPr>
          </w:p>
        </w:tc>
        <w:tc>
          <w:tcPr>
            <w:tcW w:w="564" w:type="dxa"/>
            <w:tcBorders>
              <w:right w:val="dashSmallGap" w:sz="4" w:space="0" w:color="auto"/>
            </w:tcBorders>
            <w:vAlign w:val="center"/>
          </w:tcPr>
          <w:p>
            <w:pPr>
              <w:ind w:right="-29"/>
              <w:jc w:val="center"/>
              <w:rPr>
                <w:noProof/>
                <w:sz w:val="18"/>
              </w:rPr>
            </w:pPr>
          </w:p>
        </w:tc>
        <w:tc>
          <w:tcPr>
            <w:tcW w:w="623" w:type="dxa"/>
            <w:tcBorders>
              <w:left w:val="dashSmallGap" w:sz="4" w:space="0" w:color="auto"/>
            </w:tcBorders>
            <w:vAlign w:val="center"/>
          </w:tcPr>
          <w:p>
            <w:pPr>
              <w:ind w:right="-29"/>
              <w:jc w:val="center"/>
              <w:rPr>
                <w:noProof/>
                <w:sz w:val="18"/>
              </w:rPr>
            </w:pPr>
          </w:p>
        </w:tc>
        <w:tc>
          <w:tcPr>
            <w:tcW w:w="593" w:type="dxa"/>
            <w:vAlign w:val="center"/>
          </w:tcPr>
          <w:p>
            <w:pPr>
              <w:ind w:right="-29"/>
              <w:jc w:val="center"/>
              <w:rPr>
                <w:noProof/>
                <w:sz w:val="18"/>
              </w:rPr>
            </w:pPr>
          </w:p>
        </w:tc>
        <w:tc>
          <w:tcPr>
            <w:tcW w:w="593" w:type="dxa"/>
            <w:tcBorders>
              <w:bottom w:val="single" w:sz="4" w:space="0" w:color="auto"/>
            </w:tcBorders>
            <w:vAlign w:val="center"/>
          </w:tcPr>
          <w:p>
            <w:pPr>
              <w:ind w:right="-29"/>
              <w:jc w:val="center"/>
              <w:rPr>
                <w:noProof/>
                <w:sz w:val="18"/>
              </w:rPr>
            </w:pPr>
          </w:p>
        </w:tc>
        <w:tc>
          <w:tcPr>
            <w:tcW w:w="594" w:type="dxa"/>
            <w:tcBorders>
              <w:bottom w:val="single" w:sz="4" w:space="0" w:color="auto"/>
            </w:tcBorders>
            <w:vAlign w:val="center"/>
          </w:tcPr>
          <w:p>
            <w:pPr>
              <w:ind w:right="-29"/>
              <w:jc w:val="center"/>
              <w:rPr>
                <w:noProof/>
                <w:sz w:val="18"/>
              </w:rPr>
            </w:pPr>
          </w:p>
        </w:tc>
        <w:tc>
          <w:tcPr>
            <w:tcW w:w="593" w:type="dxa"/>
            <w:tcBorders>
              <w:bottom w:val="single" w:sz="4" w:space="0" w:color="auto"/>
            </w:tcBorders>
            <w:vAlign w:val="center"/>
          </w:tcPr>
          <w:p>
            <w:pPr>
              <w:ind w:right="-29"/>
              <w:jc w:val="center"/>
              <w:rPr>
                <w:noProof/>
                <w:sz w:val="18"/>
              </w:rPr>
            </w:pPr>
          </w:p>
        </w:tc>
        <w:tc>
          <w:tcPr>
            <w:tcW w:w="851" w:type="dxa"/>
            <w:vAlign w:val="center"/>
          </w:tcPr>
          <w:p>
            <w:pPr>
              <w:ind w:right="-29"/>
              <w:jc w:val="center"/>
              <w:rPr>
                <w:noProof/>
                <w:sz w:val="18"/>
              </w:rPr>
            </w:pPr>
          </w:p>
        </w:tc>
        <w:tc>
          <w:tcPr>
            <w:tcW w:w="804" w:type="dxa"/>
            <w:vAlign w:val="center"/>
          </w:tcPr>
          <w:p>
            <w:pPr>
              <w:ind w:right="-29"/>
              <w:jc w:val="center"/>
              <w:rPr>
                <w:noProof/>
                <w:sz w:val="18"/>
              </w:rPr>
            </w:pP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94" w:type="dxa"/>
            <w:tcBorders>
              <w:bottom w:val="single" w:sz="12" w:space="0" w:color="auto"/>
              <w:right w:val="dashSmallGap" w:sz="4" w:space="0" w:color="auto"/>
            </w:tcBorders>
            <w:vAlign w:val="center"/>
          </w:tcPr>
          <w:p>
            <w:pPr>
              <w:ind w:right="-29"/>
              <w:jc w:val="center"/>
              <w:rPr>
                <w:noProof/>
                <w:sz w:val="18"/>
              </w:rPr>
            </w:pPr>
          </w:p>
        </w:tc>
        <w:tc>
          <w:tcPr>
            <w:tcW w:w="593" w:type="dxa"/>
            <w:vMerge/>
            <w:tcBorders>
              <w:left w:val="dashSmallGap" w:sz="4" w:space="0" w:color="auto"/>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4"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94" w:type="dxa"/>
            <w:tcBorders>
              <w:bottom w:val="single" w:sz="12" w:space="0" w:color="auto"/>
            </w:tcBorders>
            <w:vAlign w:val="center"/>
          </w:tcPr>
          <w:p>
            <w:pPr>
              <w:ind w:right="-29"/>
              <w:jc w:val="center"/>
              <w:rPr>
                <w:noProof/>
                <w:sz w:val="18"/>
              </w:rPr>
            </w:pPr>
          </w:p>
        </w:tc>
        <w:tc>
          <w:tcPr>
            <w:tcW w:w="593" w:type="dxa"/>
            <w:tcBorders>
              <w:bottom w:val="single" w:sz="12" w:space="0" w:color="auto"/>
            </w:tcBorders>
            <w:vAlign w:val="center"/>
          </w:tcPr>
          <w:p>
            <w:pPr>
              <w:ind w:right="-29"/>
              <w:jc w:val="center"/>
              <w:rPr>
                <w:noProof/>
                <w:sz w:val="18"/>
              </w:rPr>
            </w:pPr>
          </w:p>
        </w:tc>
        <w:tc>
          <w:tcPr>
            <w:tcW w:w="564" w:type="dxa"/>
            <w:tcBorders>
              <w:bottom w:val="single" w:sz="12" w:space="0" w:color="auto"/>
            </w:tcBorders>
            <w:vAlign w:val="center"/>
          </w:tcPr>
          <w:p>
            <w:pPr>
              <w:ind w:right="-29"/>
              <w:jc w:val="center"/>
              <w:rPr>
                <w:noProof/>
                <w:sz w:val="18"/>
              </w:rPr>
            </w:pPr>
          </w:p>
        </w:tc>
        <w:tc>
          <w:tcPr>
            <w:tcW w:w="623" w:type="dxa"/>
            <w:tcBorders>
              <w:bottom w:val="single" w:sz="12" w:space="0" w:color="auto"/>
            </w:tcBorders>
            <w:vAlign w:val="center"/>
          </w:tcPr>
          <w:p>
            <w:pPr>
              <w:ind w:right="-29"/>
              <w:jc w:val="center"/>
              <w:rPr>
                <w:noProof/>
                <w:sz w:val="18"/>
              </w:rPr>
            </w:pPr>
          </w:p>
        </w:tc>
        <w:tc>
          <w:tcPr>
            <w:tcW w:w="593" w:type="dxa"/>
            <w:tcBorders>
              <w:bottom w:val="single" w:sz="12" w:space="0" w:color="auto"/>
              <w:right w:val="single" w:sz="4" w:space="0" w:color="auto"/>
            </w:tcBorders>
            <w:vAlign w:val="center"/>
          </w:tcPr>
          <w:p>
            <w:pPr>
              <w:ind w:right="-29"/>
              <w:jc w:val="center"/>
              <w:rPr>
                <w:noProof/>
                <w:sz w:val="18"/>
              </w:rPr>
            </w:pPr>
          </w:p>
        </w:tc>
        <w:tc>
          <w:tcPr>
            <w:tcW w:w="593"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rPr>
            </w:pPr>
          </w:p>
        </w:tc>
        <w:tc>
          <w:tcPr>
            <w:tcW w:w="594"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rPr>
            </w:pPr>
          </w:p>
        </w:tc>
        <w:tc>
          <w:tcPr>
            <w:tcW w:w="593" w:type="dxa"/>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p>
        </w:tc>
        <w:tc>
          <w:tcPr>
            <w:tcW w:w="851" w:type="dxa"/>
            <w:tcBorders>
              <w:left w:val="single" w:sz="4" w:space="0" w:color="auto"/>
              <w:bottom w:val="single" w:sz="12" w:space="0" w:color="auto"/>
            </w:tcBorders>
            <w:vAlign w:val="center"/>
          </w:tcPr>
          <w:p>
            <w:pPr>
              <w:ind w:right="-29"/>
              <w:jc w:val="center"/>
              <w:rPr>
                <w:noProof/>
                <w:sz w:val="18"/>
              </w:rPr>
            </w:pPr>
          </w:p>
        </w:tc>
        <w:tc>
          <w:tcPr>
            <w:tcW w:w="804" w:type="dxa"/>
            <w:tcBorders>
              <w:bottom w:val="single" w:sz="12" w:space="0" w:color="auto"/>
            </w:tcBorders>
            <w:vAlign w:val="center"/>
          </w:tcPr>
          <w:p>
            <w:pPr>
              <w:ind w:right="-29"/>
              <w:jc w:val="center"/>
              <w:rPr>
                <w:noProof/>
                <w:sz w:val="18"/>
              </w:rPr>
            </w:pPr>
          </w:p>
        </w:tc>
      </w:tr>
      <w:tr>
        <w:trPr>
          <w:jc w:val="center"/>
        </w:trPr>
        <w:tc>
          <w:tcPr>
            <w:tcW w:w="2211" w:type="dxa"/>
            <w:gridSpan w:val="3"/>
            <w:vAlign w:val="center"/>
          </w:tcPr>
          <w:p>
            <w:pPr>
              <w:spacing w:before="60" w:after="60"/>
              <w:ind w:right="-29"/>
              <w:jc w:val="center"/>
              <w:rPr>
                <w:noProof/>
                <w:sz w:val="18"/>
              </w:rPr>
            </w:pPr>
            <w:r>
              <w:rPr>
                <w:noProof/>
                <w:sz w:val="18"/>
              </w:rPr>
              <w:t>КОНКРЕТНА ЦЕЛ № 2…</w:t>
            </w:r>
          </w:p>
        </w:tc>
        <w:tc>
          <w:tcPr>
            <w:tcW w:w="594" w:type="dxa"/>
            <w:tcBorders>
              <w:top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4"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64" w:type="dxa"/>
            <w:tcBorders>
              <w:top w:val="nil"/>
              <w:left w:val="nil"/>
              <w:bottom w:val="nil"/>
              <w:right w:val="nil"/>
            </w:tcBorders>
          </w:tcPr>
          <w:p>
            <w:pPr>
              <w:spacing w:before="60" w:after="60"/>
              <w:ind w:right="-29"/>
              <w:jc w:val="center"/>
              <w:rPr>
                <w:noProof/>
                <w:sz w:val="18"/>
              </w:rPr>
            </w:pPr>
          </w:p>
        </w:tc>
        <w:tc>
          <w:tcPr>
            <w:tcW w:w="623" w:type="dxa"/>
            <w:tcBorders>
              <w:top w:val="nil"/>
              <w:left w:val="nil"/>
              <w:bottom w:val="nil"/>
              <w:right w:val="nil"/>
            </w:tcBorders>
          </w:tcPr>
          <w:p>
            <w:pPr>
              <w:spacing w:before="60" w:after="60"/>
              <w:ind w:right="-29"/>
              <w:jc w:val="center"/>
              <w:rPr>
                <w:noProof/>
                <w:sz w:val="18"/>
              </w:rPr>
            </w:pPr>
          </w:p>
        </w:tc>
        <w:tc>
          <w:tcPr>
            <w:tcW w:w="593" w:type="dxa"/>
            <w:tcBorders>
              <w:top w:val="nil"/>
              <w:left w:val="nil"/>
              <w:bottom w:val="nil"/>
              <w:right w:val="nil"/>
            </w:tcBorders>
          </w:tcPr>
          <w:p>
            <w:pPr>
              <w:spacing w:before="60" w:after="60"/>
              <w:ind w:right="-29"/>
              <w:jc w:val="center"/>
              <w:rPr>
                <w:noProof/>
                <w:sz w:val="18"/>
              </w:rPr>
            </w:pPr>
          </w:p>
        </w:tc>
        <w:tc>
          <w:tcPr>
            <w:tcW w:w="593" w:type="dxa"/>
            <w:tcBorders>
              <w:top w:val="single" w:sz="12" w:space="0" w:color="auto"/>
              <w:left w:val="nil"/>
              <w:right w:val="nil"/>
            </w:tcBorders>
          </w:tcPr>
          <w:p>
            <w:pPr>
              <w:spacing w:before="60" w:after="60"/>
              <w:ind w:right="-29"/>
              <w:jc w:val="center"/>
              <w:rPr>
                <w:noProof/>
                <w:sz w:val="18"/>
              </w:rPr>
            </w:pPr>
          </w:p>
        </w:tc>
        <w:tc>
          <w:tcPr>
            <w:tcW w:w="594" w:type="dxa"/>
            <w:tcBorders>
              <w:top w:val="single" w:sz="12" w:space="0" w:color="auto"/>
              <w:left w:val="nil"/>
              <w:right w:val="nil"/>
            </w:tcBorders>
          </w:tcPr>
          <w:p>
            <w:pPr>
              <w:spacing w:before="60" w:after="60"/>
              <w:ind w:right="-29"/>
              <w:jc w:val="center"/>
              <w:rPr>
                <w:noProof/>
                <w:sz w:val="18"/>
              </w:rPr>
            </w:pPr>
          </w:p>
        </w:tc>
        <w:tc>
          <w:tcPr>
            <w:tcW w:w="593" w:type="dxa"/>
            <w:tcBorders>
              <w:top w:val="single" w:sz="12" w:space="0" w:color="auto"/>
              <w:left w:val="nil"/>
              <w:right w:val="nil"/>
            </w:tcBorders>
          </w:tcPr>
          <w:p>
            <w:pPr>
              <w:spacing w:before="60" w:after="60"/>
              <w:ind w:right="-29"/>
              <w:jc w:val="center"/>
              <w:rPr>
                <w:noProof/>
                <w:sz w:val="18"/>
              </w:rPr>
            </w:pPr>
          </w:p>
        </w:tc>
        <w:tc>
          <w:tcPr>
            <w:tcW w:w="851" w:type="dxa"/>
            <w:tcBorders>
              <w:top w:val="single" w:sz="12" w:space="0" w:color="auto"/>
              <w:left w:val="nil"/>
              <w:bottom w:val="nil"/>
              <w:right w:val="nil"/>
            </w:tcBorders>
          </w:tcPr>
          <w:p>
            <w:pPr>
              <w:spacing w:before="60" w:after="60"/>
              <w:ind w:right="-29"/>
              <w:jc w:val="center"/>
              <w:rPr>
                <w:noProof/>
                <w:sz w:val="18"/>
              </w:rPr>
            </w:pPr>
          </w:p>
        </w:tc>
        <w:tc>
          <w:tcPr>
            <w:tcW w:w="804"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054" w:type="dxa"/>
          </w:tcPr>
          <w:p>
            <w:pPr>
              <w:ind w:right="-29"/>
              <w:jc w:val="center"/>
              <w:rPr>
                <w:noProof/>
                <w:sz w:val="18"/>
              </w:rPr>
            </w:pPr>
            <w:r>
              <w:rPr>
                <w:noProof/>
                <w:sz w:val="18"/>
              </w:rPr>
              <w:t>– Резултат</w:t>
            </w:r>
          </w:p>
        </w:tc>
        <w:tc>
          <w:tcPr>
            <w:tcW w:w="562" w:type="dxa"/>
          </w:tcPr>
          <w:p>
            <w:pPr>
              <w:ind w:right="-29"/>
              <w:jc w:val="center"/>
              <w:rPr>
                <w:noProof/>
                <w:sz w:val="18"/>
              </w:rPr>
            </w:pPr>
          </w:p>
        </w:tc>
        <w:tc>
          <w:tcPr>
            <w:tcW w:w="595"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564" w:type="dxa"/>
          </w:tcPr>
          <w:p>
            <w:pPr>
              <w:ind w:right="-29"/>
              <w:jc w:val="center"/>
              <w:rPr>
                <w:noProof/>
                <w:sz w:val="18"/>
              </w:rPr>
            </w:pPr>
          </w:p>
        </w:tc>
        <w:tc>
          <w:tcPr>
            <w:tcW w:w="623" w:type="dxa"/>
          </w:tcPr>
          <w:p>
            <w:pPr>
              <w:ind w:right="-29"/>
              <w:jc w:val="center"/>
              <w:rPr>
                <w:noProof/>
                <w:sz w:val="18"/>
              </w:rPr>
            </w:pPr>
          </w:p>
        </w:tc>
        <w:tc>
          <w:tcPr>
            <w:tcW w:w="593" w:type="dxa"/>
          </w:tcPr>
          <w:p>
            <w:pPr>
              <w:ind w:right="-29"/>
              <w:jc w:val="center"/>
              <w:rPr>
                <w:noProof/>
                <w:sz w:val="18"/>
              </w:rPr>
            </w:pPr>
          </w:p>
        </w:tc>
        <w:tc>
          <w:tcPr>
            <w:tcW w:w="593" w:type="dxa"/>
          </w:tcPr>
          <w:p>
            <w:pPr>
              <w:ind w:right="-29"/>
              <w:jc w:val="center"/>
              <w:rPr>
                <w:noProof/>
                <w:sz w:val="18"/>
              </w:rPr>
            </w:pPr>
          </w:p>
        </w:tc>
        <w:tc>
          <w:tcPr>
            <w:tcW w:w="594" w:type="dxa"/>
          </w:tcPr>
          <w:p>
            <w:pPr>
              <w:ind w:right="-29"/>
              <w:jc w:val="center"/>
              <w:rPr>
                <w:noProof/>
                <w:sz w:val="18"/>
              </w:rPr>
            </w:pPr>
          </w:p>
        </w:tc>
        <w:tc>
          <w:tcPr>
            <w:tcW w:w="593" w:type="dxa"/>
          </w:tcPr>
          <w:p>
            <w:pPr>
              <w:ind w:right="-29"/>
              <w:jc w:val="center"/>
              <w:rPr>
                <w:noProof/>
                <w:sz w:val="18"/>
              </w:rPr>
            </w:pPr>
          </w:p>
        </w:tc>
        <w:tc>
          <w:tcPr>
            <w:tcW w:w="851" w:type="dxa"/>
          </w:tcPr>
          <w:p>
            <w:pPr>
              <w:ind w:right="-29"/>
              <w:jc w:val="center"/>
              <w:rPr>
                <w:noProof/>
                <w:sz w:val="18"/>
              </w:rPr>
            </w:pPr>
          </w:p>
        </w:tc>
        <w:tc>
          <w:tcPr>
            <w:tcW w:w="804" w:type="dxa"/>
          </w:tcPr>
          <w:p>
            <w:pPr>
              <w:ind w:right="-29"/>
              <w:jc w:val="center"/>
              <w:rPr>
                <w:noProof/>
                <w:sz w:val="18"/>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64" w:type="dxa"/>
            <w:tcBorders>
              <w:bottom w:val="single" w:sz="12" w:space="0" w:color="auto"/>
            </w:tcBorders>
          </w:tcPr>
          <w:p>
            <w:pPr>
              <w:ind w:right="-29"/>
              <w:jc w:val="center"/>
              <w:rPr>
                <w:noProof/>
                <w:sz w:val="18"/>
              </w:rPr>
            </w:pPr>
          </w:p>
        </w:tc>
        <w:tc>
          <w:tcPr>
            <w:tcW w:w="62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594" w:type="dxa"/>
            <w:tcBorders>
              <w:bottom w:val="single" w:sz="12" w:space="0" w:color="auto"/>
            </w:tcBorders>
          </w:tcPr>
          <w:p>
            <w:pPr>
              <w:ind w:right="-29"/>
              <w:jc w:val="center"/>
              <w:rPr>
                <w:noProof/>
                <w:sz w:val="18"/>
              </w:rPr>
            </w:pPr>
          </w:p>
        </w:tc>
        <w:tc>
          <w:tcPr>
            <w:tcW w:w="593" w:type="dxa"/>
            <w:tcBorders>
              <w:bottom w:val="single" w:sz="12" w:space="0" w:color="auto"/>
            </w:tcBorders>
          </w:tcPr>
          <w:p>
            <w:pPr>
              <w:ind w:right="-29"/>
              <w:jc w:val="center"/>
              <w:rPr>
                <w:noProof/>
                <w:sz w:val="18"/>
              </w:rPr>
            </w:pPr>
          </w:p>
        </w:tc>
        <w:tc>
          <w:tcPr>
            <w:tcW w:w="851" w:type="dxa"/>
            <w:tcBorders>
              <w:bottom w:val="single" w:sz="12" w:space="0" w:color="auto"/>
            </w:tcBorders>
          </w:tcPr>
          <w:p>
            <w:pPr>
              <w:ind w:right="-29"/>
              <w:jc w:val="center"/>
              <w:rPr>
                <w:noProof/>
                <w:sz w:val="18"/>
              </w:rPr>
            </w:pPr>
          </w:p>
        </w:tc>
        <w:tc>
          <w:tcPr>
            <w:tcW w:w="804" w:type="dxa"/>
            <w:tcBorders>
              <w:bottom w:val="single" w:sz="12" w:space="0" w:color="auto"/>
            </w:tcBorders>
          </w:tcPr>
          <w:p>
            <w:pPr>
              <w:ind w:right="-29"/>
              <w:jc w:val="center"/>
              <w:rPr>
                <w:noProof/>
                <w:sz w:val="18"/>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64" w:type="dxa"/>
            <w:tcBorders>
              <w:top w:val="single" w:sz="12" w:space="0" w:color="auto"/>
              <w:bottom w:val="single" w:sz="12" w:space="0" w:color="auto"/>
            </w:tcBorders>
            <w:vAlign w:val="center"/>
          </w:tcPr>
          <w:p>
            <w:pPr>
              <w:spacing w:before="180" w:after="180"/>
              <w:ind w:right="-29"/>
              <w:jc w:val="center"/>
              <w:rPr>
                <w:b/>
                <w:noProof/>
                <w:sz w:val="18"/>
              </w:rPr>
            </w:pPr>
          </w:p>
        </w:tc>
        <w:tc>
          <w:tcPr>
            <w:tcW w:w="62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594" w:type="dxa"/>
            <w:tcBorders>
              <w:top w:val="single" w:sz="12" w:space="0" w:color="auto"/>
              <w:bottom w:val="single" w:sz="12" w:space="0" w:color="auto"/>
            </w:tcBorders>
            <w:vAlign w:val="center"/>
          </w:tcPr>
          <w:p>
            <w:pPr>
              <w:spacing w:before="180" w:after="180"/>
              <w:ind w:right="-29"/>
              <w:jc w:val="center"/>
              <w:rPr>
                <w:b/>
                <w:noProof/>
                <w:sz w:val="18"/>
              </w:rPr>
            </w:pPr>
          </w:p>
        </w:tc>
        <w:tc>
          <w:tcPr>
            <w:tcW w:w="593" w:type="dxa"/>
            <w:tcBorders>
              <w:top w:val="single" w:sz="12" w:space="0" w:color="auto"/>
              <w:bottom w:val="single" w:sz="12" w:space="0" w:color="auto"/>
            </w:tcBorders>
            <w:vAlign w:val="center"/>
          </w:tcPr>
          <w:p>
            <w:pPr>
              <w:spacing w:before="180" w:after="180"/>
              <w:ind w:right="-29"/>
              <w:jc w:val="center"/>
              <w:rPr>
                <w:b/>
                <w:noProof/>
                <w:sz w:val="18"/>
              </w:rPr>
            </w:pPr>
          </w:p>
        </w:tc>
        <w:tc>
          <w:tcPr>
            <w:tcW w:w="851" w:type="dxa"/>
            <w:tcBorders>
              <w:top w:val="single" w:sz="12" w:space="0" w:color="auto"/>
              <w:bottom w:val="single" w:sz="12" w:space="0" w:color="auto"/>
            </w:tcBorders>
            <w:vAlign w:val="center"/>
          </w:tcPr>
          <w:p>
            <w:pPr>
              <w:spacing w:before="180" w:after="180"/>
              <w:ind w:right="-29"/>
              <w:jc w:val="center"/>
              <w:rPr>
                <w:b/>
                <w:noProof/>
                <w:sz w:val="18"/>
              </w:rPr>
            </w:pPr>
          </w:p>
        </w:tc>
        <w:tc>
          <w:tcPr>
            <w:tcW w:w="804" w:type="dxa"/>
            <w:tcBorders>
              <w:top w:val="single" w:sz="12" w:space="0" w:color="auto"/>
              <w:bottom w:val="single" w:sz="12" w:space="0" w:color="auto"/>
              <w:right w:val="single" w:sz="12" w:space="0" w:color="auto"/>
            </w:tcBorders>
            <w:vAlign w:val="center"/>
          </w:tcPr>
          <w:p>
            <w:pPr>
              <w:spacing w:before="180" w:after="180"/>
              <w:ind w:right="-29"/>
              <w:jc w:val="center"/>
              <w:rPr>
                <w:b/>
                <w:noProof/>
                <w:sz w:val="18"/>
              </w:rPr>
            </w:pPr>
          </w:p>
        </w:tc>
      </w:tr>
    </w:tbl>
    <w:p>
      <w:pPr>
        <w:rPr>
          <w:noProof/>
        </w:rPr>
        <w:sectPr>
          <w:headerReference w:type="default" r:id="rId19"/>
          <w:footerReference w:type="default" r:id="rId20"/>
          <w:headerReference w:type="first" r:id="rId21"/>
          <w:footerReference w:type="first" r:id="rId22"/>
          <w:pgSz w:w="15840" w:h="12240" w:orient="landscape"/>
          <w:pgMar w:top="1418" w:right="902" w:bottom="902" w:left="567" w:header="709" w:footer="709" w:gutter="0"/>
          <w:cols w:space="720"/>
          <w:docGrid w:linePitch="326"/>
        </w:sectPr>
      </w:pPr>
    </w:p>
    <w:p>
      <w:pPr>
        <w:pStyle w:val="ManualHeading3"/>
        <w:rPr>
          <w:bCs/>
          <w:noProof/>
          <w:szCs w:val="24"/>
        </w:rPr>
      </w:pPr>
      <w:bookmarkStart w:id="115" w:name="_Toc514938688"/>
      <w:bookmarkStart w:id="116" w:name="_Toc520485447"/>
      <w:bookmarkStart w:id="117" w:name="_Toc52892486"/>
      <w:bookmarkStart w:id="118" w:name="_Toc54602324"/>
      <w:r>
        <w:t>3.2.3.</w:t>
      </w:r>
      <w:r>
        <w:tab/>
      </w:r>
      <w:r>
        <w:rPr>
          <w:noProof/>
        </w:rPr>
        <w:t>Очаквано отражение върху бюджетните кредити за ЕАОС и ЕСНА</w:t>
      </w:r>
      <w:bookmarkEnd w:id="115"/>
      <w:bookmarkEnd w:id="116"/>
      <w:bookmarkEnd w:id="117"/>
      <w:bookmarkEnd w:id="118"/>
    </w:p>
    <w:p>
      <w:pPr>
        <w:pStyle w:val="ManualHeading4"/>
        <w:rPr>
          <w:bCs/>
          <w:noProof/>
          <w:szCs w:val="24"/>
        </w:rPr>
      </w:pPr>
      <w:r>
        <w:t>3.2.3.1.</w:t>
      </w:r>
      <w:r>
        <w:tab/>
      </w:r>
      <w:r>
        <w:rPr>
          <w:noProof/>
        </w:rPr>
        <w:t>Резюме</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 в постоянни цени</w:t>
      </w:r>
    </w:p>
    <w:tbl>
      <w:tblPr>
        <w:tblW w:w="96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gridCol w:w="960"/>
      </w:tblGrid>
      <w:tr>
        <w:trPr>
          <w:trHeight w:val="585"/>
        </w:trPr>
        <w:tc>
          <w:tcPr>
            <w:tcW w:w="1980" w:type="dxa"/>
          </w:tcPr>
          <w:p>
            <w:pPr>
              <w:spacing w:before="60" w:after="60"/>
              <w:rPr>
                <w:b/>
                <w:noProof/>
                <w:sz w:val="20"/>
              </w:rPr>
            </w:pPr>
            <w:r>
              <w:rPr>
                <w:b/>
                <w:noProof/>
                <w:sz w:val="20"/>
              </w:rPr>
              <w:t>ЕАОС и ЕСНА</w:t>
            </w:r>
          </w:p>
        </w:tc>
        <w:tc>
          <w:tcPr>
            <w:tcW w:w="960" w:type="dxa"/>
            <w:vAlign w:val="center"/>
          </w:tcPr>
          <w:p>
            <w:pPr>
              <w:spacing w:before="60" w:after="60"/>
              <w:jc w:val="center"/>
              <w:rPr>
                <w:b/>
                <w:noProof/>
                <w:sz w:val="20"/>
              </w:rPr>
            </w:pPr>
            <w:r>
              <w:rPr>
                <w:b/>
                <w:noProof/>
                <w:sz w:val="20"/>
              </w:rPr>
              <w:t>2021 г.</w:t>
            </w:r>
          </w:p>
        </w:tc>
        <w:tc>
          <w:tcPr>
            <w:tcW w:w="960" w:type="dxa"/>
            <w:vAlign w:val="center"/>
          </w:tcPr>
          <w:p>
            <w:pPr>
              <w:spacing w:before="60" w:after="60"/>
              <w:jc w:val="center"/>
              <w:rPr>
                <w:b/>
                <w:noProof/>
                <w:sz w:val="20"/>
              </w:rPr>
            </w:pPr>
            <w:r>
              <w:rPr>
                <w:b/>
                <w:noProof/>
                <w:sz w:val="20"/>
              </w:rPr>
              <w:t>2022 г.</w:t>
            </w:r>
          </w:p>
        </w:tc>
        <w:tc>
          <w:tcPr>
            <w:tcW w:w="960" w:type="dxa"/>
            <w:vAlign w:val="center"/>
          </w:tcPr>
          <w:p>
            <w:pPr>
              <w:spacing w:before="60" w:after="60"/>
              <w:jc w:val="center"/>
              <w:rPr>
                <w:b/>
                <w:noProof/>
                <w:sz w:val="20"/>
              </w:rPr>
            </w:pPr>
            <w:r>
              <w:rPr>
                <w:b/>
                <w:noProof/>
                <w:sz w:val="20"/>
              </w:rPr>
              <w:t>2023 г.</w:t>
            </w:r>
          </w:p>
        </w:tc>
        <w:tc>
          <w:tcPr>
            <w:tcW w:w="960" w:type="dxa"/>
            <w:vAlign w:val="center"/>
          </w:tcPr>
          <w:p>
            <w:pPr>
              <w:jc w:val="center"/>
              <w:rPr>
                <w:b/>
                <w:noProof/>
                <w:sz w:val="20"/>
              </w:rPr>
            </w:pPr>
            <w:r>
              <w:rPr>
                <w:b/>
                <w:noProof/>
                <w:sz w:val="20"/>
              </w:rPr>
              <w:t>2024 г.</w:t>
            </w:r>
          </w:p>
        </w:tc>
        <w:tc>
          <w:tcPr>
            <w:tcW w:w="960" w:type="dxa"/>
            <w:vAlign w:val="center"/>
          </w:tcPr>
          <w:p>
            <w:pPr>
              <w:jc w:val="center"/>
              <w:rPr>
                <w:b/>
                <w:noProof/>
                <w:sz w:val="20"/>
              </w:rPr>
            </w:pPr>
            <w:r>
              <w:rPr>
                <w:b/>
                <w:noProof/>
                <w:sz w:val="20"/>
              </w:rPr>
              <w:t>2025 г.</w:t>
            </w:r>
          </w:p>
        </w:tc>
        <w:tc>
          <w:tcPr>
            <w:tcW w:w="960" w:type="dxa"/>
            <w:vAlign w:val="center"/>
          </w:tcPr>
          <w:p>
            <w:pPr>
              <w:jc w:val="center"/>
              <w:rPr>
                <w:b/>
                <w:noProof/>
                <w:sz w:val="20"/>
              </w:rPr>
            </w:pPr>
            <w:r>
              <w:rPr>
                <w:b/>
                <w:noProof/>
                <w:sz w:val="20"/>
              </w:rPr>
              <w:t>2026 г.</w:t>
            </w:r>
          </w:p>
        </w:tc>
        <w:tc>
          <w:tcPr>
            <w:tcW w:w="960" w:type="dxa"/>
            <w:vAlign w:val="center"/>
          </w:tcPr>
          <w:p>
            <w:pPr>
              <w:jc w:val="center"/>
              <w:rPr>
                <w:b/>
                <w:noProof/>
                <w:sz w:val="20"/>
              </w:rPr>
            </w:pPr>
            <w:r>
              <w:rPr>
                <w:b/>
                <w:noProof/>
                <w:sz w:val="20"/>
              </w:rPr>
              <w:t>2027 г.</w:t>
            </w:r>
          </w:p>
        </w:tc>
        <w:tc>
          <w:tcPr>
            <w:tcW w:w="960" w:type="dxa"/>
            <w:vAlign w:val="center"/>
          </w:tcPr>
          <w:p>
            <w:pPr>
              <w:spacing w:before="60" w:after="60"/>
              <w:jc w:val="center"/>
              <w:rPr>
                <w:b/>
                <w:noProof/>
                <w:sz w:val="20"/>
              </w:rPr>
            </w:pPr>
            <w:r>
              <w:rPr>
                <w:b/>
                <w:noProof/>
                <w:sz w:val="20"/>
              </w:rPr>
              <w:t>ОБЩО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pPr>
              <w:spacing w:before="60" w:after="60"/>
              <w:jc w:val="center"/>
              <w:rPr>
                <w:noProof/>
                <w:sz w:val="20"/>
              </w:rPr>
            </w:pPr>
            <w:r>
              <w:rPr>
                <w:noProof/>
                <w:sz w:val="20"/>
              </w:rPr>
              <w:t>Срочно наети служители (степени AD)</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1,993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2,033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2,074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2,115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2,158 </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2,201</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r>
              <w:rPr>
                <w:noProof/>
                <w:color w:val="000000"/>
                <w:sz w:val="20"/>
              </w:rPr>
              <w:t xml:space="preserve">    2,245</w:t>
            </w:r>
          </w:p>
        </w:tc>
        <w:tc>
          <w:tcPr>
            <w:tcW w:w="960" w:type="dxa"/>
            <w:tcBorders>
              <w:top w:val="single" w:sz="12" w:space="0" w:color="auto"/>
              <w:left w:val="single" w:sz="2" w:space="0" w:color="auto"/>
              <w:bottom w:val="single" w:sz="12" w:space="0" w:color="auto"/>
              <w:right w:val="single" w:sz="12" w:space="0" w:color="auto"/>
            </w:tcBorders>
            <w:vAlign w:val="bottom"/>
          </w:tcPr>
          <w:p>
            <w:pPr>
              <w:spacing w:before="60" w:after="60"/>
              <w:jc w:val="right"/>
              <w:rPr>
                <w:noProof/>
                <w:sz w:val="20"/>
              </w:rPr>
            </w:pPr>
            <w:r>
              <w:rPr>
                <w:noProof/>
                <w:sz w:val="20"/>
              </w:rPr>
              <w:t>14,820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noProof/>
                <w:sz w:val="20"/>
              </w:rPr>
            </w:pPr>
            <w:r>
              <w:rPr>
                <w:noProof/>
                <w:sz w:val="20"/>
              </w:rPr>
              <w:t>Срочно наети служители (ниво AST)</w:t>
            </w: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noProof/>
                <w:sz w:val="20"/>
              </w:rPr>
            </w:pPr>
          </w:p>
        </w:tc>
        <w:tc>
          <w:tcPr>
            <w:tcW w:w="960" w:type="dxa"/>
            <w:tcBorders>
              <w:top w:val="single" w:sz="12" w:space="0" w:color="auto"/>
              <w:left w:val="single" w:sz="2" w:space="0" w:color="auto"/>
              <w:bottom w:val="single" w:sz="12" w:space="0" w:color="auto"/>
              <w:right w:val="single" w:sz="12" w:space="0" w:color="auto"/>
            </w:tcBorders>
            <w:vAlign w:val="bottom"/>
          </w:tcPr>
          <w:p>
            <w:pPr>
              <w:spacing w:before="60" w:after="60"/>
              <w:jc w:val="right"/>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noProof/>
                <w:sz w:val="20"/>
              </w:rPr>
            </w:pPr>
            <w:r>
              <w:rPr>
                <w:noProof/>
                <w:sz w:val="20"/>
              </w:rPr>
              <w:t>Договорно нает персонал</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740</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755</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770</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786</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801</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817</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noProof/>
                <w:sz w:val="20"/>
              </w:rPr>
            </w:pPr>
            <w:r>
              <w:rPr>
                <w:noProof/>
                <w:color w:val="000000"/>
                <w:sz w:val="20"/>
              </w:rPr>
              <w:t>834</w:t>
            </w:r>
          </w:p>
        </w:tc>
        <w:tc>
          <w:tcPr>
            <w:tcW w:w="960" w:type="dxa"/>
            <w:tcBorders>
              <w:top w:val="single" w:sz="12" w:space="0" w:color="auto"/>
              <w:left w:val="single" w:sz="2" w:space="0" w:color="auto"/>
              <w:bottom w:val="single" w:sz="12" w:space="0" w:color="auto"/>
              <w:right w:val="single" w:sz="12" w:space="0" w:color="auto"/>
            </w:tcBorders>
            <w:shd w:val="clear" w:color="auto" w:fill="BFBFBF" w:themeFill="background1" w:themeFillShade="BF"/>
            <w:vAlign w:val="center"/>
          </w:tcPr>
          <w:p>
            <w:pPr>
              <w:spacing w:before="60" w:after="60"/>
              <w:jc w:val="right"/>
              <w:rPr>
                <w:noProof/>
                <w:sz w:val="20"/>
              </w:rPr>
            </w:pPr>
            <w:r>
              <w:rPr>
                <w:bCs/>
                <w:noProof/>
                <w:color w:val="000000"/>
                <w:sz w:val="20"/>
              </w:rPr>
              <w:t>5,503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tcPr>
          <w:p>
            <w:pPr>
              <w:spacing w:before="60" w:after="60"/>
              <w:jc w:val="center"/>
              <w:rPr>
                <w:noProof/>
                <w:sz w:val="20"/>
              </w:rPr>
            </w:pPr>
            <w:r>
              <w:rPr>
                <w:noProof/>
                <w:sz w:val="20"/>
              </w:rPr>
              <w:t>Командировани национални експерти</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bCs/>
                <w:noProof/>
                <w:color w:val="000000"/>
                <w:sz w:val="20"/>
              </w:rPr>
              <w:t xml:space="preserve"> </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noProof/>
                <w:sz w:val="20"/>
              </w:rPr>
            </w:pPr>
            <w:r>
              <w:rPr>
                <w:bCs/>
                <w:noProof/>
                <w:color w:val="000000"/>
                <w:sz w:val="20"/>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right"/>
              <w:rPr>
                <w:noProof/>
                <w:sz w:val="20"/>
              </w:rPr>
            </w:pPr>
            <w:r>
              <w:rPr>
                <w:noProof/>
                <w:sz w:val="20"/>
              </w:rPr>
              <w:t>ОБЩО</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2,734</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2,778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2,844</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2,901</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2,959</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2,018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color w:val="000000"/>
                <w:sz w:val="20"/>
              </w:rPr>
              <w:t>3,087</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color w:val="000000"/>
                <w:sz w:val="20"/>
              </w:rPr>
              <w:t>20,323</w:t>
            </w:r>
          </w:p>
        </w:tc>
      </w:tr>
    </w:tbl>
    <w:p>
      <w:pPr>
        <w:rPr>
          <w:i/>
          <w:noProof/>
        </w:rPr>
      </w:pPr>
      <w:r>
        <w:rPr>
          <w:b/>
          <w:i/>
          <w:noProof/>
        </w:rPr>
        <w:t>Забележка:</w:t>
      </w:r>
      <w:r>
        <w:rPr>
          <w:i/>
          <w:noProof/>
        </w:rPr>
        <w:t xml:space="preserve"> При цените се приемат адаптация с 31,9 % за длъжности в ЕАОС (в Копенхаген) и индексация на заплатите с 2 % за целия период на МФР (както за длъжностите в ЕАОС, така и за тези в ECHA).</w:t>
      </w:r>
    </w:p>
    <w:p>
      <w:pPr>
        <w:rPr>
          <w:noProof/>
          <w:sz w:val="20"/>
        </w:rPr>
      </w:pPr>
      <w:r>
        <w:rPr>
          <w:noProof/>
          <w:sz w:val="20"/>
        </w:rPr>
        <w:t>Изисквания по отношение на персонала (ЕПРВ):</w:t>
      </w:r>
    </w:p>
    <w:tbl>
      <w:tblPr>
        <w:tblW w:w="96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gridCol w:w="960"/>
      </w:tblGrid>
      <w:tr>
        <w:trPr>
          <w:trHeight w:val="585"/>
        </w:trPr>
        <w:tc>
          <w:tcPr>
            <w:tcW w:w="1980" w:type="dxa"/>
          </w:tcPr>
          <w:p>
            <w:pPr>
              <w:spacing w:before="60" w:after="60"/>
              <w:rPr>
                <w:b/>
                <w:noProof/>
                <w:sz w:val="20"/>
              </w:rPr>
            </w:pPr>
            <w:r>
              <w:rPr>
                <w:b/>
                <w:noProof/>
                <w:sz w:val="20"/>
              </w:rPr>
              <w:t>ЕАОС и ЕСНА</w:t>
            </w:r>
          </w:p>
        </w:tc>
        <w:tc>
          <w:tcPr>
            <w:tcW w:w="960" w:type="dxa"/>
            <w:vAlign w:val="center"/>
          </w:tcPr>
          <w:p>
            <w:pPr>
              <w:spacing w:before="60" w:after="60"/>
              <w:jc w:val="center"/>
              <w:rPr>
                <w:b/>
                <w:noProof/>
                <w:sz w:val="20"/>
              </w:rPr>
            </w:pPr>
            <w:r>
              <w:rPr>
                <w:b/>
                <w:noProof/>
                <w:sz w:val="20"/>
              </w:rPr>
              <w:t>2021 г.</w:t>
            </w:r>
          </w:p>
        </w:tc>
        <w:tc>
          <w:tcPr>
            <w:tcW w:w="960" w:type="dxa"/>
            <w:vAlign w:val="center"/>
          </w:tcPr>
          <w:p>
            <w:pPr>
              <w:spacing w:before="60" w:after="60"/>
              <w:jc w:val="center"/>
              <w:rPr>
                <w:b/>
                <w:noProof/>
                <w:sz w:val="20"/>
              </w:rPr>
            </w:pPr>
            <w:r>
              <w:rPr>
                <w:b/>
                <w:noProof/>
                <w:sz w:val="20"/>
              </w:rPr>
              <w:t>2022 г.</w:t>
            </w:r>
          </w:p>
        </w:tc>
        <w:tc>
          <w:tcPr>
            <w:tcW w:w="960" w:type="dxa"/>
            <w:vAlign w:val="center"/>
          </w:tcPr>
          <w:p>
            <w:pPr>
              <w:spacing w:before="60" w:after="60"/>
              <w:jc w:val="center"/>
              <w:rPr>
                <w:b/>
                <w:noProof/>
                <w:sz w:val="20"/>
              </w:rPr>
            </w:pPr>
            <w:r>
              <w:rPr>
                <w:b/>
                <w:noProof/>
                <w:sz w:val="20"/>
              </w:rPr>
              <w:t>2023 г.</w:t>
            </w:r>
          </w:p>
        </w:tc>
        <w:tc>
          <w:tcPr>
            <w:tcW w:w="960" w:type="dxa"/>
            <w:vAlign w:val="center"/>
          </w:tcPr>
          <w:p>
            <w:pPr>
              <w:jc w:val="center"/>
              <w:rPr>
                <w:b/>
                <w:noProof/>
                <w:sz w:val="20"/>
              </w:rPr>
            </w:pPr>
            <w:r>
              <w:rPr>
                <w:b/>
                <w:noProof/>
                <w:sz w:val="20"/>
              </w:rPr>
              <w:t>2024 г.</w:t>
            </w:r>
          </w:p>
        </w:tc>
        <w:tc>
          <w:tcPr>
            <w:tcW w:w="960" w:type="dxa"/>
            <w:vAlign w:val="center"/>
          </w:tcPr>
          <w:p>
            <w:pPr>
              <w:jc w:val="center"/>
              <w:rPr>
                <w:b/>
                <w:noProof/>
                <w:sz w:val="20"/>
              </w:rPr>
            </w:pPr>
            <w:r>
              <w:rPr>
                <w:b/>
                <w:noProof/>
                <w:sz w:val="20"/>
              </w:rPr>
              <w:t>2025 г.</w:t>
            </w:r>
          </w:p>
        </w:tc>
        <w:tc>
          <w:tcPr>
            <w:tcW w:w="960" w:type="dxa"/>
            <w:vAlign w:val="center"/>
          </w:tcPr>
          <w:p>
            <w:pPr>
              <w:jc w:val="center"/>
              <w:rPr>
                <w:b/>
                <w:noProof/>
                <w:sz w:val="20"/>
              </w:rPr>
            </w:pPr>
            <w:r>
              <w:rPr>
                <w:b/>
                <w:noProof/>
                <w:sz w:val="20"/>
              </w:rPr>
              <w:t>2026 г.</w:t>
            </w:r>
          </w:p>
        </w:tc>
        <w:tc>
          <w:tcPr>
            <w:tcW w:w="960" w:type="dxa"/>
            <w:vAlign w:val="center"/>
          </w:tcPr>
          <w:p>
            <w:pPr>
              <w:jc w:val="center"/>
              <w:rPr>
                <w:b/>
                <w:noProof/>
                <w:sz w:val="20"/>
              </w:rPr>
            </w:pPr>
            <w:r>
              <w:rPr>
                <w:b/>
                <w:noProof/>
                <w:sz w:val="20"/>
              </w:rPr>
              <w:t>2027 г.</w:t>
            </w:r>
          </w:p>
        </w:tc>
        <w:tc>
          <w:tcPr>
            <w:tcW w:w="960" w:type="dxa"/>
            <w:vAlign w:val="center"/>
          </w:tcPr>
          <w:p>
            <w:pPr>
              <w:spacing w:before="60" w:after="60"/>
              <w:jc w:val="center"/>
              <w:rPr>
                <w:b/>
                <w:noProof/>
                <w:sz w:val="20"/>
              </w:rPr>
            </w:pPr>
            <w:r>
              <w:rPr>
                <w:b/>
                <w:noProof/>
                <w:sz w:val="20"/>
              </w:rPr>
              <w:t>ОБЩО</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Срочно наети служители (степени AD)</w:t>
            </w:r>
          </w:p>
          <w:p>
            <w:pPr>
              <w:spacing w:before="60" w:after="60"/>
              <w:jc w:val="center"/>
              <w:rPr>
                <w:noProof/>
              </w:rPr>
            </w:pPr>
            <w:r>
              <w:rPr>
                <w:noProof/>
                <w:sz w:val="18"/>
              </w:rPr>
              <w:t>ЕАОС=9, ЕСНА=1</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r>
              <w:rPr>
                <w:noProof/>
                <w:sz w:val="20"/>
              </w:rPr>
              <w:t>10</w:t>
            </w:r>
          </w:p>
        </w:tc>
        <w:tc>
          <w:tcPr>
            <w:tcW w:w="960" w:type="dxa"/>
            <w:vAlign w:val="center"/>
          </w:tcPr>
          <w:p>
            <w:pPr>
              <w:spacing w:before="60" w:after="60"/>
              <w:jc w:val="center"/>
              <w:rPr>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Срочно наети служители (ниво AST)</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tcPr>
          <w:p>
            <w:pPr>
              <w:spacing w:before="60" w:after="60"/>
              <w:jc w:val="right"/>
              <w:rPr>
                <w:b/>
                <w:noProof/>
                <w:sz w:val="20"/>
              </w:rPr>
            </w:pPr>
          </w:p>
        </w:tc>
        <w:tc>
          <w:tcPr>
            <w:tcW w:w="960" w:type="dxa"/>
          </w:tcPr>
          <w:p>
            <w:pPr>
              <w:spacing w:before="60" w:after="60"/>
              <w:jc w:val="right"/>
              <w:rPr>
                <w:b/>
                <w:noProof/>
                <w:sz w:val="20"/>
              </w:rPr>
            </w:pP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sz w:val="20"/>
              </w:rPr>
            </w:pPr>
            <w:r>
              <w:rPr>
                <w:noProof/>
                <w:sz w:val="20"/>
              </w:rPr>
              <w:t>Договорно нает персонал</w:t>
            </w:r>
          </w:p>
          <w:p>
            <w:pPr>
              <w:spacing w:before="60" w:after="60"/>
              <w:ind w:left="72"/>
              <w:rPr>
                <w:noProof/>
              </w:rPr>
            </w:pPr>
            <w:r>
              <w:rPr>
                <w:noProof/>
                <w:sz w:val="20"/>
              </w:rPr>
              <w:t xml:space="preserve">ЕАОС=6, ЕСНА=1 </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center"/>
              <w:rPr>
                <w:noProof/>
                <w:sz w:val="20"/>
              </w:rPr>
            </w:pPr>
            <w:r>
              <w:rPr>
                <w:noProof/>
                <w:sz w:val="20"/>
              </w:rPr>
              <w:t>7</w:t>
            </w:r>
          </w:p>
        </w:tc>
        <w:tc>
          <w:tcPr>
            <w:tcW w:w="96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p>
        </w:tc>
        <w:tc>
          <w:tcPr>
            <w:tcW w:w="960" w:type="dxa"/>
          </w:tcPr>
          <w:p>
            <w:pPr>
              <w:spacing w:before="60" w:after="60"/>
              <w:jc w:val="right"/>
              <w:rPr>
                <w:b/>
                <w:noProof/>
                <w:sz w:val="20"/>
              </w:rPr>
            </w:pPr>
          </w:p>
        </w:tc>
        <w:tc>
          <w:tcPr>
            <w:tcW w:w="960" w:type="dxa"/>
          </w:tcPr>
          <w:p>
            <w:pPr>
              <w:spacing w:before="60" w:after="60"/>
              <w:jc w:val="right"/>
              <w:rPr>
                <w:b/>
                <w:noProof/>
                <w:sz w:val="20"/>
              </w:rPr>
            </w:pP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17</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(отговарящите) ГД</w:t>
      </w:r>
    </w:p>
    <w:p>
      <w:pPr>
        <w:pStyle w:val="ListDash1"/>
        <w:rPr>
          <w:noProof/>
        </w:rPr>
      </w:pPr>
      <w:r>
        <w:rPr>
          <w:noProof/>
        </w:rPr>
        <w:sym w:font="Wingdings" w:char="F0FE"/>
      </w:r>
      <w:r>
        <w:rPr>
          <w:noProof/>
        </w:rPr>
        <w:tab/>
        <w:t xml:space="preserve">Предложението/инициативата не налага използване на </w:t>
      </w:r>
      <w:r>
        <w:rPr>
          <w:b/>
          <w:noProof/>
        </w:rPr>
        <w:t>допълнителни</w:t>
      </w:r>
      <w:r>
        <w:rPr>
          <w:noProof/>
        </w:rPr>
        <w:t xml:space="preserve"> човешки ресурси.</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9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39"/>
        <w:gridCol w:w="2061"/>
        <w:gridCol w:w="865"/>
        <w:gridCol w:w="865"/>
        <w:gridCol w:w="865"/>
        <w:gridCol w:w="865"/>
        <w:gridCol w:w="865"/>
        <w:gridCol w:w="869"/>
        <w:gridCol w:w="7"/>
        <w:gridCol w:w="874"/>
        <w:gridCol w:w="858"/>
      </w:tblGrid>
      <w:tr>
        <w:trPr>
          <w:trHeight w:val="289"/>
          <w:jc w:val="center"/>
        </w:trPr>
        <w:tc>
          <w:tcPr>
            <w:tcW w:w="1858" w:type="pct"/>
            <w:gridSpan w:val="2"/>
            <w:shd w:val="clear" w:color="auto" w:fill="auto"/>
            <w:vAlign w:val="center"/>
          </w:tcPr>
          <w:p>
            <w:pPr>
              <w:pStyle w:val="Text1"/>
              <w:spacing w:before="40" w:after="40"/>
              <w:ind w:left="0"/>
              <w:jc w:val="center"/>
              <w:rPr>
                <w:i/>
                <w:noProof/>
                <w:sz w:val="20"/>
              </w:rPr>
            </w:pPr>
          </w:p>
        </w:tc>
        <w:tc>
          <w:tcPr>
            <w:tcW w:w="392" w:type="pct"/>
            <w:shd w:val="clear" w:color="auto" w:fill="auto"/>
            <w:vAlign w:val="center"/>
          </w:tcPr>
          <w:p>
            <w:pPr>
              <w:spacing w:before="20" w:after="20"/>
              <w:jc w:val="center"/>
              <w:rPr>
                <w:noProof/>
                <w:sz w:val="20"/>
              </w:rPr>
            </w:pPr>
            <w:r>
              <w:rPr>
                <w:noProof/>
                <w:sz w:val="20"/>
              </w:rPr>
              <w:t>2020 г.</w:t>
            </w:r>
          </w:p>
        </w:tc>
        <w:tc>
          <w:tcPr>
            <w:tcW w:w="392" w:type="pct"/>
            <w:shd w:val="clear" w:color="auto" w:fill="auto"/>
            <w:vAlign w:val="center"/>
          </w:tcPr>
          <w:p>
            <w:pPr>
              <w:spacing w:before="20" w:after="20"/>
              <w:jc w:val="center"/>
              <w:rPr>
                <w:noProof/>
                <w:sz w:val="20"/>
              </w:rPr>
            </w:pPr>
            <w:r>
              <w:rPr>
                <w:noProof/>
                <w:sz w:val="20"/>
              </w:rPr>
              <w:t>2021 г.</w:t>
            </w:r>
          </w:p>
        </w:tc>
        <w:tc>
          <w:tcPr>
            <w:tcW w:w="392" w:type="pct"/>
            <w:shd w:val="clear" w:color="auto" w:fill="auto"/>
            <w:vAlign w:val="center"/>
          </w:tcPr>
          <w:p>
            <w:pPr>
              <w:spacing w:before="20" w:after="20"/>
              <w:jc w:val="center"/>
              <w:rPr>
                <w:noProof/>
                <w:sz w:val="20"/>
              </w:rPr>
            </w:pPr>
            <w:r>
              <w:rPr>
                <w:noProof/>
                <w:sz w:val="20"/>
              </w:rPr>
              <w:t>2022 г.</w:t>
            </w:r>
          </w:p>
        </w:tc>
        <w:tc>
          <w:tcPr>
            <w:tcW w:w="392" w:type="pct"/>
            <w:vAlign w:val="center"/>
          </w:tcPr>
          <w:p>
            <w:pPr>
              <w:spacing w:before="20" w:after="20"/>
              <w:jc w:val="center"/>
              <w:rPr>
                <w:noProof/>
                <w:sz w:val="20"/>
              </w:rPr>
            </w:pPr>
            <w:r>
              <w:rPr>
                <w:noProof/>
                <w:sz w:val="20"/>
              </w:rPr>
              <w:t>2023 г.</w:t>
            </w:r>
          </w:p>
        </w:tc>
        <w:tc>
          <w:tcPr>
            <w:tcW w:w="392" w:type="pct"/>
            <w:shd w:val="clear" w:color="auto" w:fill="auto"/>
            <w:vAlign w:val="center"/>
          </w:tcPr>
          <w:p>
            <w:pPr>
              <w:spacing w:before="20" w:after="20"/>
              <w:jc w:val="center"/>
              <w:rPr>
                <w:noProof/>
                <w:sz w:val="20"/>
              </w:rPr>
            </w:pPr>
            <w:r>
              <w:rPr>
                <w:noProof/>
                <w:sz w:val="20"/>
              </w:rPr>
              <w:t>2024 г.</w:t>
            </w:r>
          </w:p>
        </w:tc>
        <w:tc>
          <w:tcPr>
            <w:tcW w:w="394" w:type="pct"/>
            <w:shd w:val="clear" w:color="auto" w:fill="auto"/>
            <w:vAlign w:val="center"/>
          </w:tcPr>
          <w:p>
            <w:pPr>
              <w:spacing w:before="20" w:after="20"/>
              <w:jc w:val="center"/>
              <w:rPr>
                <w:noProof/>
                <w:sz w:val="20"/>
              </w:rPr>
            </w:pPr>
            <w:r>
              <w:rPr>
                <w:noProof/>
                <w:sz w:val="20"/>
              </w:rPr>
              <w:t>2025 г.</w:t>
            </w:r>
          </w:p>
        </w:tc>
        <w:tc>
          <w:tcPr>
            <w:tcW w:w="399" w:type="pct"/>
            <w:gridSpan w:val="2"/>
            <w:shd w:val="clear" w:color="auto" w:fill="auto"/>
            <w:vAlign w:val="center"/>
          </w:tcPr>
          <w:p>
            <w:pPr>
              <w:spacing w:before="20" w:after="20"/>
              <w:jc w:val="center"/>
              <w:rPr>
                <w:noProof/>
                <w:sz w:val="20"/>
              </w:rPr>
            </w:pPr>
            <w:r>
              <w:rPr>
                <w:noProof/>
                <w:sz w:val="20"/>
              </w:rPr>
              <w:t>2026 г.</w:t>
            </w:r>
          </w:p>
        </w:tc>
        <w:tc>
          <w:tcPr>
            <w:tcW w:w="389" w:type="pct"/>
            <w:shd w:val="clear" w:color="auto" w:fill="auto"/>
            <w:vAlign w:val="center"/>
          </w:tcPr>
          <w:p>
            <w:pPr>
              <w:spacing w:before="20" w:after="20"/>
              <w:jc w:val="center"/>
              <w:rPr>
                <w:noProof/>
                <w:sz w:val="20"/>
              </w:rPr>
            </w:pPr>
            <w:r>
              <w:rPr>
                <w:noProof/>
                <w:sz w:val="20"/>
              </w:rPr>
              <w:t>2027 г.</w:t>
            </w:r>
          </w:p>
        </w:tc>
      </w:tr>
      <w:tr>
        <w:trPr>
          <w:trHeight w:val="289"/>
          <w:jc w:val="center"/>
        </w:trPr>
        <w:tc>
          <w:tcPr>
            <w:tcW w:w="1858" w:type="pct"/>
            <w:gridSpan w:val="2"/>
            <w:shd w:val="clear" w:color="auto" w:fill="auto"/>
            <w:vAlign w:val="center"/>
          </w:tcPr>
          <w:p>
            <w:pPr>
              <w:pStyle w:val="Text1"/>
              <w:numPr>
                <w:ilvl w:val="0"/>
                <w:numId w:val="22"/>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срочно наети служители)</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b/>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7" w:type="pct"/>
            <w:gridSpan w:val="2"/>
            <w:shd w:val="clear" w:color="auto" w:fill="auto"/>
            <w:vAlign w:val="center"/>
          </w:tcPr>
          <w:p>
            <w:pPr>
              <w:spacing w:beforeLines="20" w:before="48" w:afterLines="20" w:after="48"/>
              <w:jc w:val="center"/>
              <w:rPr>
                <w:noProof/>
                <w:sz w:val="20"/>
                <w:highlight w:val="yellow"/>
              </w:rPr>
            </w:pPr>
          </w:p>
        </w:tc>
        <w:tc>
          <w:tcPr>
            <w:tcW w:w="396" w:type="pct"/>
            <w:shd w:val="clear" w:color="auto" w:fill="auto"/>
            <w:vAlign w:val="center"/>
          </w:tcPr>
          <w:p>
            <w:pPr>
              <w:spacing w:beforeLines="20" w:before="48" w:afterLines="20" w:after="48"/>
              <w:jc w:val="center"/>
              <w:rPr>
                <w:noProof/>
                <w:sz w:val="20"/>
                <w:highlight w:val="yellow"/>
              </w:rPr>
            </w:pPr>
          </w:p>
        </w:tc>
        <w:tc>
          <w:tcPr>
            <w:tcW w:w="389" w:type="pct"/>
            <w:shd w:val="clear" w:color="auto" w:fill="auto"/>
            <w:vAlign w:val="center"/>
          </w:tcPr>
          <w:p>
            <w:pPr>
              <w:spacing w:beforeLines="20" w:before="48" w:afterLines="20" w:after="48"/>
              <w:jc w:val="center"/>
              <w:rPr>
                <w:noProof/>
                <w:sz w:val="20"/>
                <w:highlight w:val="yellow"/>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b/>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2" w:type="pct"/>
            <w:vAlign w:val="center"/>
          </w:tcPr>
          <w:p>
            <w:pPr>
              <w:spacing w:beforeLines="20" w:before="48" w:afterLines="20" w:after="48"/>
              <w:jc w:val="center"/>
              <w:rPr>
                <w:noProof/>
                <w:sz w:val="20"/>
                <w:highlight w:val="yellow"/>
              </w:rPr>
            </w:pPr>
          </w:p>
        </w:tc>
        <w:tc>
          <w:tcPr>
            <w:tcW w:w="392" w:type="pct"/>
            <w:shd w:val="clear" w:color="auto" w:fill="auto"/>
            <w:vAlign w:val="center"/>
          </w:tcPr>
          <w:p>
            <w:pPr>
              <w:spacing w:beforeLines="20" w:before="48" w:afterLines="20" w:after="48"/>
              <w:jc w:val="center"/>
              <w:rPr>
                <w:noProof/>
                <w:sz w:val="20"/>
                <w:highlight w:val="yellow"/>
              </w:rPr>
            </w:pPr>
          </w:p>
        </w:tc>
        <w:tc>
          <w:tcPr>
            <w:tcW w:w="394" w:type="pct"/>
            <w:shd w:val="clear" w:color="auto" w:fill="auto"/>
            <w:vAlign w:val="center"/>
          </w:tcPr>
          <w:p>
            <w:pPr>
              <w:spacing w:beforeLines="20" w:before="48" w:afterLines="20" w:after="48"/>
              <w:jc w:val="center"/>
              <w:rPr>
                <w:noProof/>
                <w:sz w:val="20"/>
                <w:highlight w:val="yellow"/>
              </w:rPr>
            </w:pPr>
          </w:p>
        </w:tc>
        <w:tc>
          <w:tcPr>
            <w:tcW w:w="399" w:type="pct"/>
            <w:gridSpan w:val="2"/>
            <w:shd w:val="clear" w:color="auto" w:fill="auto"/>
            <w:vAlign w:val="center"/>
          </w:tcPr>
          <w:p>
            <w:pPr>
              <w:spacing w:beforeLines="20" w:before="48" w:afterLines="20" w:after="48"/>
              <w:jc w:val="center"/>
              <w:rPr>
                <w:noProof/>
                <w:sz w:val="20"/>
                <w:highlight w:val="yellow"/>
              </w:rPr>
            </w:pPr>
          </w:p>
        </w:tc>
        <w:tc>
          <w:tcPr>
            <w:tcW w:w="389" w:type="pct"/>
            <w:shd w:val="clear" w:color="auto" w:fill="auto"/>
            <w:vAlign w:val="center"/>
          </w:tcPr>
          <w:p>
            <w:pPr>
              <w:spacing w:beforeLines="20" w:before="48" w:afterLines="20" w:after="48"/>
              <w:jc w:val="center"/>
              <w:rPr>
                <w:noProof/>
                <w:sz w:val="20"/>
                <w:highlight w:val="yellow"/>
              </w:rPr>
            </w:pPr>
          </w:p>
        </w:tc>
      </w:tr>
      <w:tr>
        <w:trPr>
          <w:trHeight w:val="289"/>
          <w:jc w:val="center"/>
        </w:trPr>
        <w:tc>
          <w:tcPr>
            <w:tcW w:w="1858" w:type="pct"/>
            <w:gridSpan w:val="2"/>
            <w:shd w:val="clear" w:color="auto" w:fill="auto"/>
            <w:vAlign w:val="center"/>
          </w:tcPr>
          <w:p>
            <w:pPr>
              <w:pStyle w:val="Text1"/>
              <w:spacing w:beforeLines="20" w:before="48" w:afterLines="20" w:after="48"/>
              <w:ind w:left="984"/>
              <w:jc w:val="left"/>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Външен персонал (в еквивалент на пълно работно време — (ЕПРВ)</w:t>
            </w:r>
            <w:r>
              <w:rPr>
                <w:rStyle w:val="FootnoteReference"/>
                <w:b/>
                <w:noProof/>
                <w:sz w:val="20"/>
              </w:rPr>
              <w:footnoteReference w:id="46"/>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924"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гг</w:t>
            </w:r>
            <w:r>
              <w:rPr>
                <w:rStyle w:val="FootnoteReference"/>
                <w:b/>
                <w:i/>
                <w:noProof/>
                <w:sz w:val="20"/>
              </w:rPr>
              <w:footnoteReference w:id="47"/>
            </w:r>
          </w:p>
        </w:tc>
        <w:tc>
          <w:tcPr>
            <w:tcW w:w="934"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sz w:val="20"/>
              </w:rPr>
              <w:footnoteReference w:id="48"/>
            </w:r>
            <w:r>
              <w:rPr>
                <w:noProof/>
              </w:rPr>
              <w:t xml:space="preserve"> </w:t>
            </w:r>
            <w:r>
              <w:rPr>
                <w:noProof/>
              </w:rPr>
              <w:br/>
            </w:r>
          </w:p>
        </w:tc>
        <w:tc>
          <w:tcPr>
            <w:tcW w:w="392" w:type="pct"/>
            <w:shd w:val="clear" w:color="auto" w:fill="auto"/>
            <w:vAlign w:val="center"/>
          </w:tcPr>
          <w:p>
            <w:pPr>
              <w:pStyle w:val="Text1"/>
              <w:spacing w:beforeLines="20" w:before="48" w:afterLines="20" w:after="48"/>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924" w:type="pct"/>
            <w:vMerge/>
            <w:shd w:val="clear" w:color="auto" w:fill="auto"/>
            <w:vAlign w:val="center"/>
          </w:tcPr>
          <w:p>
            <w:pPr>
              <w:rPr>
                <w:b/>
                <w:noProof/>
                <w:sz w:val="20"/>
              </w:rPr>
            </w:pPr>
          </w:p>
        </w:tc>
        <w:tc>
          <w:tcPr>
            <w:tcW w:w="934"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92" w:type="pct"/>
            <w:shd w:val="clear" w:color="auto" w:fill="auto"/>
            <w:vAlign w:val="center"/>
          </w:tcPr>
          <w:p>
            <w:pPr>
              <w:pStyle w:val="Text1"/>
              <w:spacing w:beforeLines="20" w:before="48" w:afterLines="20" w:after="48"/>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(ДНП, КНЕ, ПНА – непреки научни изследвания)</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КНЕ и ПНА — преки научни изследвания)</w:t>
            </w: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2" w:type="pct"/>
            <w:vAlign w:val="center"/>
          </w:tcPr>
          <w:p>
            <w:pPr>
              <w:spacing w:beforeLines="20" w:before="48" w:afterLines="20" w:after="48"/>
              <w:jc w:val="center"/>
              <w:rPr>
                <w:noProof/>
                <w:sz w:val="20"/>
              </w:rPr>
            </w:pPr>
          </w:p>
        </w:tc>
        <w:tc>
          <w:tcPr>
            <w:tcW w:w="392" w:type="pct"/>
            <w:shd w:val="clear" w:color="auto" w:fill="auto"/>
            <w:vAlign w:val="center"/>
          </w:tcPr>
          <w:p>
            <w:pPr>
              <w:spacing w:beforeLines="20" w:before="48" w:afterLines="20" w:after="48"/>
              <w:jc w:val="center"/>
              <w:rPr>
                <w:noProof/>
                <w:sz w:val="20"/>
              </w:rPr>
            </w:pPr>
          </w:p>
        </w:tc>
        <w:tc>
          <w:tcPr>
            <w:tcW w:w="397" w:type="pct"/>
            <w:gridSpan w:val="2"/>
            <w:shd w:val="clear" w:color="auto" w:fill="auto"/>
            <w:vAlign w:val="center"/>
          </w:tcPr>
          <w:p>
            <w:pPr>
              <w:spacing w:beforeLines="20" w:before="48" w:afterLines="20" w:after="48"/>
              <w:jc w:val="center"/>
              <w:rPr>
                <w:noProof/>
                <w:sz w:val="20"/>
              </w:rPr>
            </w:pPr>
          </w:p>
        </w:tc>
        <w:tc>
          <w:tcPr>
            <w:tcW w:w="396" w:type="pct"/>
            <w:shd w:val="clear" w:color="auto" w:fill="auto"/>
            <w:vAlign w:val="center"/>
          </w:tcPr>
          <w:p>
            <w:pPr>
              <w:spacing w:beforeLines="20" w:before="48" w:afterLines="20" w:after="48"/>
              <w:jc w:val="center"/>
              <w:rPr>
                <w:noProof/>
                <w:sz w:val="20"/>
              </w:rPr>
            </w:pPr>
          </w:p>
        </w:tc>
        <w:tc>
          <w:tcPr>
            <w:tcW w:w="389" w:type="pct"/>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2" w:type="pct"/>
            <w:tcBorders>
              <w:bottom w:val="double" w:sz="4" w:space="0" w:color="auto"/>
            </w:tcBorders>
            <w:vAlign w:val="center"/>
          </w:tcPr>
          <w:p>
            <w:pPr>
              <w:spacing w:beforeLines="20" w:before="48" w:afterLines="20" w:after="48"/>
              <w:jc w:val="center"/>
              <w:rPr>
                <w:noProof/>
                <w:sz w:val="20"/>
              </w:rPr>
            </w:pPr>
          </w:p>
        </w:tc>
        <w:tc>
          <w:tcPr>
            <w:tcW w:w="392" w:type="pct"/>
            <w:tcBorders>
              <w:bottom w:val="double" w:sz="4" w:space="0" w:color="auto"/>
            </w:tcBorders>
            <w:shd w:val="clear" w:color="auto" w:fill="auto"/>
            <w:vAlign w:val="center"/>
          </w:tcPr>
          <w:p>
            <w:pPr>
              <w:spacing w:beforeLines="20" w:before="48" w:afterLines="20" w:after="48"/>
              <w:jc w:val="center"/>
              <w:rPr>
                <w:noProof/>
                <w:sz w:val="20"/>
              </w:rPr>
            </w:pPr>
          </w:p>
        </w:tc>
        <w:tc>
          <w:tcPr>
            <w:tcW w:w="397"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396" w:type="pct"/>
            <w:tcBorders>
              <w:bottom w:val="double" w:sz="4" w:space="0" w:color="auto"/>
            </w:tcBorders>
            <w:shd w:val="clear" w:color="auto" w:fill="auto"/>
            <w:vAlign w:val="center"/>
          </w:tcPr>
          <w:p>
            <w:pPr>
              <w:spacing w:beforeLines="20" w:before="48" w:afterLines="20" w:after="48"/>
              <w:jc w:val="center"/>
              <w:rPr>
                <w:noProof/>
                <w:sz w:val="20"/>
              </w:rPr>
            </w:pPr>
          </w:p>
        </w:tc>
        <w:tc>
          <w:tcPr>
            <w:tcW w:w="389" w:type="pct"/>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1858"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2" w:type="pct"/>
            <w:tcBorders>
              <w:top w:val="double" w:sz="4" w:space="0" w:color="auto"/>
            </w:tcBorders>
            <w:vAlign w:val="center"/>
          </w:tcPr>
          <w:p>
            <w:pPr>
              <w:spacing w:beforeLines="20" w:before="48" w:afterLines="20" w:after="48"/>
              <w:jc w:val="center"/>
              <w:rPr>
                <w:b/>
                <w:noProof/>
                <w:sz w:val="20"/>
              </w:rPr>
            </w:pPr>
          </w:p>
        </w:tc>
        <w:tc>
          <w:tcPr>
            <w:tcW w:w="392" w:type="pct"/>
            <w:tcBorders>
              <w:top w:val="double" w:sz="4" w:space="0" w:color="auto"/>
            </w:tcBorders>
            <w:shd w:val="clear" w:color="auto" w:fill="auto"/>
            <w:vAlign w:val="center"/>
          </w:tcPr>
          <w:p>
            <w:pPr>
              <w:spacing w:beforeLines="20" w:before="48" w:afterLines="20" w:after="48"/>
              <w:jc w:val="center"/>
              <w:rPr>
                <w:b/>
                <w:noProof/>
                <w:sz w:val="20"/>
              </w:rPr>
            </w:pPr>
          </w:p>
        </w:tc>
        <w:tc>
          <w:tcPr>
            <w:tcW w:w="397"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396" w:type="pct"/>
            <w:tcBorders>
              <w:top w:val="double" w:sz="4" w:space="0" w:color="auto"/>
            </w:tcBorders>
            <w:shd w:val="clear" w:color="auto" w:fill="auto"/>
            <w:vAlign w:val="center"/>
          </w:tcPr>
          <w:p>
            <w:pPr>
              <w:spacing w:beforeLines="20" w:before="48" w:afterLines="20" w:after="48"/>
              <w:jc w:val="center"/>
              <w:rPr>
                <w:b/>
                <w:noProof/>
                <w:sz w:val="20"/>
              </w:rPr>
            </w:pPr>
          </w:p>
        </w:tc>
        <w:tc>
          <w:tcPr>
            <w:tcW w:w="389" w:type="pct"/>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политиката или съответният бюджетен дял.</w:t>
      </w:r>
    </w:p>
    <w:p>
      <w:pPr>
        <w:pStyle w:val="Text1"/>
        <w:rPr>
          <w:b/>
          <w:i/>
          <w:noProof/>
          <w:sz w:val="22"/>
        </w:rPr>
      </w:pPr>
      <w:r>
        <w:rPr>
          <w:b/>
          <w:noProof/>
          <w:sz w:val="22"/>
        </w:rPr>
        <w:t>Нуждите от човешки ресурси за това действие и по-специално за подобрената рамка за мониторинг, която ще бъде създадена,</w:t>
      </w:r>
      <w:r>
        <w:rPr>
          <w:noProof/>
          <w:sz w:val="22"/>
        </w:rPr>
        <w:t xml:space="preserve"> ще бъдат покрити от персонала на ГД, на който вече е възложено управлението на действието и/или който е преразпределен в рамките на ГД. </w:t>
      </w:r>
      <w:r>
        <w:rPr>
          <w:b/>
          <w:i/>
          <w:noProof/>
          <w:sz w:val="22"/>
        </w:rPr>
        <w:t>При необходимост ще се добавят допълнителни средства, които могат да бъдат предоставени на управляващите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r>
        <w:rPr>
          <w:noProof/>
        </w:rPr>
        <w:t>Описание на изчисляването на разходите за еквивалента на пълно работно време (ЕПРВ) следва да бъде включено в раздел 3 от приложение V.</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119" w:name="_Toc514938689"/>
      <w:bookmarkStart w:id="120" w:name="_Toc520485448"/>
      <w:bookmarkStart w:id="121" w:name="_Toc52892487"/>
      <w:bookmarkStart w:id="122" w:name="_Toc54602325"/>
      <w:r>
        <w:t>3.2.4.</w:t>
      </w:r>
      <w:r>
        <w:tab/>
      </w:r>
      <w:r>
        <w:rPr>
          <w:noProof/>
        </w:rPr>
        <w:t>Съвместимост с настоящата многогодишна финансова рамка</w:t>
      </w:r>
      <w:bookmarkEnd w:id="119"/>
      <w:bookmarkEnd w:id="120"/>
      <w:bookmarkEnd w:id="121"/>
      <w:bookmarkEnd w:id="122"/>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FE"/>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4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123" w:name="_Toc514938690"/>
      <w:bookmarkStart w:id="124" w:name="_Toc520485449"/>
      <w:bookmarkStart w:id="125" w:name="_Toc52892488"/>
      <w:bookmarkStart w:id="126" w:name="_Toc54602326"/>
      <w:r>
        <w:t>3.2.5.</w:t>
      </w:r>
      <w:r>
        <w:tab/>
      </w:r>
      <w:r>
        <w:rPr>
          <w:noProof/>
        </w:rPr>
        <w:t>Финансов принос от трети страни</w:t>
      </w:r>
      <w:bookmarkEnd w:id="123"/>
      <w:bookmarkEnd w:id="124"/>
      <w:bookmarkEnd w:id="125"/>
      <w:bookmarkEnd w:id="126"/>
    </w:p>
    <w:p>
      <w:pPr>
        <w:pStyle w:val="ListDash1"/>
        <w:rPr>
          <w:noProof/>
        </w:rPr>
      </w:pPr>
      <w:r>
        <w:rPr>
          <w:noProof/>
        </w:rPr>
        <w:sym w:font="Wingdings" w:char="F0FE"/>
      </w:r>
      <w:r>
        <w:rPr>
          <w:noProof/>
        </w:rPr>
        <w:tab/>
        <w:t>Предложението/инициативата не предвижда съфинансиране от трети страни.</w:t>
      </w:r>
    </w:p>
    <w:p>
      <w:pPr>
        <w:pStyle w:val="ListDash1"/>
        <w:rPr>
          <w:noProof/>
        </w:rPr>
      </w:pPr>
      <w:r>
        <w:rPr>
          <w:noProof/>
        </w:rPr>
        <w:sym w:font="Wingdings" w:char="F0A8"/>
      </w:r>
      <w:r>
        <w:rPr>
          <w:noProof/>
        </w:rPr>
        <w:tab/>
        <w:t>Предложението/инициативата предвижда съфинансиране съгласно следните прогнози:</w:t>
      </w:r>
    </w:p>
    <w:p>
      <w:pPr>
        <w:jc w:val="right"/>
        <w:rPr>
          <w:noProof/>
          <w:sz w:val="20"/>
        </w:rPr>
      </w:pPr>
      <w:r>
        <w:rPr>
          <w:noProof/>
          <w:sz w:val="20"/>
        </w:rPr>
        <w:t>млн. евро (до 3-тия знак след десетичната запетая)</w:t>
      </w:r>
    </w:p>
    <w:tbl>
      <w:tblPr>
        <w:tblW w:w="936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9"/>
        <w:gridCol w:w="878"/>
        <w:gridCol w:w="879"/>
        <w:gridCol w:w="878"/>
        <w:gridCol w:w="879"/>
        <w:gridCol w:w="878"/>
        <w:gridCol w:w="879"/>
      </w:tblGrid>
      <w:tr>
        <w:trPr>
          <w:cantSplit/>
        </w:trPr>
        <w:tc>
          <w:tcPr>
            <w:tcW w:w="2340" w:type="dxa"/>
            <w:vAlign w:val="center"/>
          </w:tcPr>
          <w:p>
            <w:pPr>
              <w:spacing w:before="60" w:after="60"/>
              <w:rPr>
                <w:noProof/>
                <w:sz w:val="20"/>
              </w:rPr>
            </w:pPr>
          </w:p>
        </w:tc>
        <w:tc>
          <w:tcPr>
            <w:tcW w:w="878" w:type="dxa"/>
            <w:vAlign w:val="center"/>
          </w:tcPr>
          <w:p>
            <w:pPr>
              <w:jc w:val="center"/>
              <w:rPr>
                <w:noProof/>
                <w:sz w:val="20"/>
              </w:rPr>
            </w:pPr>
            <w:r>
              <w:rPr>
                <w:noProof/>
                <w:sz w:val="20"/>
              </w:rPr>
              <w:t>2021 г.</w:t>
            </w:r>
          </w:p>
        </w:tc>
        <w:tc>
          <w:tcPr>
            <w:tcW w:w="879" w:type="dxa"/>
            <w:vAlign w:val="center"/>
          </w:tcPr>
          <w:p>
            <w:pPr>
              <w:jc w:val="center"/>
              <w:rPr>
                <w:noProof/>
                <w:sz w:val="20"/>
              </w:rPr>
            </w:pPr>
            <w:r>
              <w:rPr>
                <w:noProof/>
                <w:sz w:val="20"/>
              </w:rPr>
              <w:t>2022 г.</w:t>
            </w:r>
          </w:p>
        </w:tc>
        <w:tc>
          <w:tcPr>
            <w:tcW w:w="878" w:type="dxa"/>
            <w:vAlign w:val="center"/>
          </w:tcPr>
          <w:p>
            <w:pPr>
              <w:jc w:val="center"/>
              <w:rPr>
                <w:noProof/>
                <w:sz w:val="20"/>
              </w:rPr>
            </w:pPr>
            <w:r>
              <w:rPr>
                <w:noProof/>
                <w:sz w:val="20"/>
              </w:rPr>
              <w:t>2023 г.</w:t>
            </w:r>
          </w:p>
        </w:tc>
        <w:tc>
          <w:tcPr>
            <w:tcW w:w="879" w:type="dxa"/>
            <w:vAlign w:val="center"/>
          </w:tcPr>
          <w:p>
            <w:pPr>
              <w:jc w:val="center"/>
              <w:rPr>
                <w:noProof/>
                <w:sz w:val="20"/>
              </w:rPr>
            </w:pPr>
            <w:r>
              <w:rPr>
                <w:noProof/>
                <w:sz w:val="20"/>
              </w:rPr>
              <w:t>2024 г.</w:t>
            </w:r>
          </w:p>
        </w:tc>
        <w:tc>
          <w:tcPr>
            <w:tcW w:w="878" w:type="dxa"/>
            <w:vAlign w:val="center"/>
          </w:tcPr>
          <w:p>
            <w:pPr>
              <w:jc w:val="center"/>
              <w:rPr>
                <w:noProof/>
                <w:sz w:val="20"/>
              </w:rPr>
            </w:pPr>
            <w:r>
              <w:rPr>
                <w:noProof/>
                <w:sz w:val="20"/>
              </w:rPr>
              <w:t>2025 г.</w:t>
            </w:r>
          </w:p>
        </w:tc>
        <w:tc>
          <w:tcPr>
            <w:tcW w:w="879" w:type="dxa"/>
            <w:vAlign w:val="center"/>
          </w:tcPr>
          <w:p>
            <w:pPr>
              <w:jc w:val="center"/>
              <w:rPr>
                <w:noProof/>
                <w:sz w:val="20"/>
              </w:rPr>
            </w:pPr>
            <w:r>
              <w:rPr>
                <w:noProof/>
                <w:sz w:val="20"/>
              </w:rPr>
              <w:t>2026 г.</w:t>
            </w:r>
          </w:p>
        </w:tc>
        <w:tc>
          <w:tcPr>
            <w:tcW w:w="878" w:type="dxa"/>
            <w:vAlign w:val="center"/>
          </w:tcPr>
          <w:p>
            <w:pPr>
              <w:jc w:val="center"/>
              <w:rPr>
                <w:noProof/>
                <w:sz w:val="20"/>
              </w:rPr>
            </w:pPr>
            <w:r>
              <w:rPr>
                <w:noProof/>
                <w:sz w:val="20"/>
              </w:rPr>
              <w:t>2027 г.</w:t>
            </w:r>
          </w:p>
        </w:tc>
        <w:tc>
          <w:tcPr>
            <w:tcW w:w="879" w:type="dxa"/>
            <w:vAlign w:val="center"/>
          </w:tcPr>
          <w:p>
            <w:pPr>
              <w:spacing w:before="60" w:after="60"/>
              <w:jc w:val="center"/>
              <w:rPr>
                <w:noProof/>
                <w:sz w:val="20"/>
              </w:rPr>
            </w:pPr>
            <w:r>
              <w:rPr>
                <w:noProof/>
                <w:sz w:val="20"/>
              </w:rPr>
              <w:t>Общо</w:t>
            </w:r>
          </w:p>
        </w:tc>
      </w:tr>
      <w:tr>
        <w:trPr>
          <w:cantSplit/>
        </w:trPr>
        <w:tc>
          <w:tcPr>
            <w:tcW w:w="2340" w:type="dxa"/>
            <w:vAlign w:val="center"/>
          </w:tcPr>
          <w:p>
            <w:pPr>
              <w:rPr>
                <w:noProof/>
              </w:rPr>
            </w:pPr>
            <w:r>
              <w:rPr>
                <w:noProof/>
              </w:rPr>
              <w:t>Xxxxx</w:t>
            </w: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r>
      <w:tr>
        <w:trPr>
          <w:cantSplit/>
        </w:trPr>
        <w:tc>
          <w:tcPr>
            <w:tcW w:w="2340" w:type="dxa"/>
            <w:vAlign w:val="center"/>
          </w:tcPr>
          <w:p>
            <w:pPr>
              <w:spacing w:before="60" w:after="60"/>
              <w:rPr>
                <w:noProof/>
                <w:sz w:val="20"/>
              </w:rPr>
            </w:pPr>
            <w:r>
              <w:rPr>
                <w:noProof/>
                <w:sz w:val="20"/>
              </w:rPr>
              <w:t xml:space="preserve">ОБЩО съфинансирани бюджетни кредити </w:t>
            </w: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c>
          <w:tcPr>
            <w:tcW w:w="878" w:type="dxa"/>
            <w:vAlign w:val="center"/>
          </w:tcPr>
          <w:p>
            <w:pPr>
              <w:spacing w:before="60" w:after="60"/>
              <w:jc w:val="center"/>
              <w:rPr>
                <w:noProof/>
                <w:sz w:val="20"/>
              </w:rPr>
            </w:pPr>
          </w:p>
        </w:tc>
        <w:tc>
          <w:tcPr>
            <w:tcW w:w="879" w:type="dxa"/>
            <w:vAlign w:val="center"/>
          </w:tcPr>
          <w:p>
            <w:pPr>
              <w:spacing w:before="60" w:after="60"/>
              <w:jc w:val="center"/>
              <w:rPr>
                <w:noProof/>
                <w:sz w:val="20"/>
              </w:rPr>
            </w:pPr>
          </w:p>
        </w:tc>
      </w:tr>
    </w:tbl>
    <w:p>
      <w:pPr>
        <w:pStyle w:val="ManualHeading2"/>
        <w:rPr>
          <w:bCs/>
          <w:noProof/>
          <w:szCs w:val="24"/>
        </w:rPr>
      </w:pPr>
      <w:bookmarkStart w:id="127" w:name="_Toc514938691"/>
      <w:bookmarkStart w:id="128" w:name="_Toc520485450"/>
      <w:bookmarkStart w:id="129" w:name="_Toc52892489"/>
      <w:bookmarkStart w:id="130" w:name="_Toc54602327"/>
      <w:r>
        <w:t>3.3.</w:t>
      </w:r>
      <w:r>
        <w:tab/>
      </w:r>
      <w:r>
        <w:rPr>
          <w:noProof/>
        </w:rPr>
        <w:t>Очаквано отражение върху приходите</w:t>
      </w:r>
      <w:bookmarkEnd w:id="127"/>
      <w:bookmarkEnd w:id="128"/>
      <w:bookmarkEnd w:id="129"/>
      <w:bookmarkEnd w:id="130"/>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t>-</w:t>
      </w:r>
      <w:r>
        <w:rPr>
          <w:noProof/>
        </w:rPr>
        <w:tab/>
      </w:r>
      <w:r>
        <w:rPr>
          <w:noProof/>
        </w:rPr>
        <w:sym w:font="Wingdings" w:char="F0A8"/>
      </w:r>
      <w:r>
        <w:rPr>
          <w:noProof/>
        </w:rPr>
        <w:tab/>
        <w:t>върху собствените ресурси</w:t>
      </w:r>
    </w:p>
    <w:p>
      <w:pPr>
        <w:pStyle w:val="ListNumberLevel3"/>
        <w:rPr>
          <w:noProof/>
        </w:rPr>
      </w:pPr>
      <w:r>
        <w:rPr>
          <w:noProof/>
        </w:rPr>
        <w:t>-</w:t>
      </w:r>
      <w:r>
        <w:rPr>
          <w:noProof/>
        </w:rPr>
        <w:tab/>
      </w:r>
      <w:r>
        <w:rPr>
          <w:noProof/>
        </w:rPr>
        <w:sym w:font="Wingdings" w:char="F0A8"/>
      </w:r>
      <w:r>
        <w:rPr>
          <w:noProof/>
        </w:rPr>
        <w:tab/>
        <w:t>върху разните приходи</w:t>
      </w:r>
    </w:p>
    <w:p>
      <w:pPr>
        <w:pStyle w:val="ListNumberLevel3"/>
        <w:rPr>
          <w:noProof/>
        </w:rPr>
      </w:pPr>
      <w:r>
        <w:rPr>
          <w:noProof/>
        </w:rPr>
        <w:t>-</w:t>
      </w:r>
      <w:r>
        <w:rPr>
          <w:noProof/>
        </w:rPr>
        <w:tab/>
      </w:r>
      <w:r>
        <w:rPr>
          <w:noProof/>
        </w:rPr>
        <w:sym w:font="Wingdings" w:char="F0A8"/>
      </w:r>
      <w:r>
        <w:rPr>
          <w:noProof/>
        </w:rPr>
        <w:tab/>
        <w:t>Моля, посочете дали приходите са записани по разходни бюджетни редове.</w:t>
      </w:r>
    </w:p>
    <w:p>
      <w:pPr>
        <w:jc w:val="right"/>
        <w:rPr>
          <w:i/>
          <w:noProof/>
          <w:sz w:val="20"/>
        </w:rPr>
      </w:pPr>
      <w:r>
        <w:rPr>
          <w:noProof/>
          <w:sz w:val="20"/>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5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Доклад на Европейската агенция за околна среда: </w:t>
      </w:r>
      <w:r>
        <w:rPr>
          <w:i/>
          <w:lang w:val="ru-RU"/>
        </w:rPr>
        <w:t>Европейската околна среда – състояние и перспективи (2020 г.): знания за прехода към устойчива Европа</w:t>
      </w:r>
      <w:r>
        <w:rPr>
          <w:lang w:val="ru-RU"/>
        </w:rPr>
        <w:t xml:space="preserve"> (2019 г.).</w:t>
      </w:r>
    </w:p>
  </w:footnote>
  <w:footnote w:id="2">
    <w:p>
      <w:pPr>
        <w:pStyle w:val="FootnoteText"/>
        <w:rPr>
          <w:lang w:val="ru-RU"/>
        </w:rPr>
      </w:pPr>
      <w:r>
        <w:rPr>
          <w:rStyle w:val="FootnoteReference"/>
        </w:rPr>
        <w:footnoteRef/>
      </w:r>
      <w:r>
        <w:rPr>
          <w:lang w:val="ru-RU"/>
        </w:rPr>
        <w:tab/>
        <w:t>СОМ(2019)</w:t>
      </w:r>
      <w:r>
        <w:t> </w:t>
      </w:r>
      <w:r>
        <w:rPr>
          <w:lang w:val="ru-RU"/>
        </w:rPr>
        <w:t xml:space="preserve">640 </w:t>
      </w:r>
      <w:r>
        <w:t>final</w:t>
      </w:r>
      <w:r>
        <w:rPr>
          <w:lang w:val="ru-RU"/>
        </w:rPr>
        <w:t>.</w:t>
      </w:r>
    </w:p>
  </w:footnote>
  <w:footnote w:id="3">
    <w:p>
      <w:pPr>
        <w:pStyle w:val="FootnoteText"/>
        <w:rPr>
          <w:lang w:val="ru-RU"/>
        </w:rPr>
      </w:pPr>
      <w:r>
        <w:rPr>
          <w:rStyle w:val="FootnoteReference"/>
        </w:rPr>
        <w:footnoteRef/>
      </w:r>
      <w:r>
        <w:rPr>
          <w:lang w:val="ru-RU"/>
        </w:rPr>
        <w:tab/>
      </w:r>
      <w:r>
        <w:t>COM</w:t>
      </w:r>
      <w:r>
        <w:rPr>
          <w:lang w:val="ru-RU"/>
        </w:rPr>
        <w:t xml:space="preserve">(2018) 773 </w:t>
      </w:r>
      <w:r>
        <w:t>final</w:t>
      </w:r>
      <w:r>
        <w:rPr>
          <w:lang w:val="ru-RU"/>
        </w:rPr>
        <w:t>.</w:t>
      </w:r>
    </w:p>
  </w:footnote>
  <w:footnote w:id="4">
    <w:p>
      <w:pPr>
        <w:pStyle w:val="FootnoteText"/>
        <w:rPr>
          <w:lang w:val="ru-RU"/>
        </w:rPr>
      </w:pPr>
      <w:r>
        <w:rPr>
          <w:rStyle w:val="FootnoteReference"/>
        </w:rPr>
        <w:footnoteRef/>
      </w:r>
      <w:r>
        <w:rPr>
          <w:lang w:val="ru-RU"/>
        </w:rPr>
        <w:tab/>
      </w:r>
      <w:r>
        <w:rPr>
          <w:i/>
          <w:lang w:val="ru-RU"/>
        </w:rPr>
        <w:t>Дългосрочна стратегия на Европейския съюз и неговите държави членки за развитие при ниски емисии на парникови газове</w:t>
      </w:r>
      <w:r>
        <w:rPr>
          <w:lang w:val="ru-RU"/>
        </w:rPr>
        <w:t xml:space="preserve">, представена от Хърватия и Европейската комисия от името на Европейския съюз и неговите държави членки (2020 г., </w:t>
      </w:r>
      <w:hyperlink r:id="rId1" w:history="1">
        <w:r>
          <w:rPr>
            <w:rStyle w:val="Hyperlink"/>
          </w:rPr>
          <w:t>https</w:t>
        </w:r>
        <w:r>
          <w:rPr>
            <w:rStyle w:val="Hyperlink"/>
            <w:lang w:val="ru-RU"/>
          </w:rPr>
          <w:t>://</w:t>
        </w:r>
        <w:r>
          <w:rPr>
            <w:rStyle w:val="Hyperlink"/>
          </w:rPr>
          <w:t>unfccc</w:t>
        </w:r>
        <w:r>
          <w:rPr>
            <w:rStyle w:val="Hyperlink"/>
            <w:lang w:val="ru-RU"/>
          </w:rPr>
          <w:t>.</w:t>
        </w:r>
        <w:r>
          <w:rPr>
            <w:rStyle w:val="Hyperlink"/>
          </w:rPr>
          <w:t>int</w:t>
        </w:r>
        <w:r>
          <w:rPr>
            <w:rStyle w:val="Hyperlink"/>
            <w:lang w:val="ru-RU"/>
          </w:rPr>
          <w:t>/</w:t>
        </w:r>
        <w:r>
          <w:rPr>
            <w:rStyle w:val="Hyperlink"/>
          </w:rPr>
          <w:t>sites</w:t>
        </w:r>
        <w:r>
          <w:rPr>
            <w:rStyle w:val="Hyperlink"/>
            <w:lang w:val="ru-RU"/>
          </w:rPr>
          <w:t>/</w:t>
        </w:r>
        <w:r>
          <w:rPr>
            <w:rStyle w:val="Hyperlink"/>
          </w:rPr>
          <w:t>default</w:t>
        </w:r>
        <w:r>
          <w:rPr>
            <w:rStyle w:val="Hyperlink"/>
            <w:lang w:val="ru-RU"/>
          </w:rPr>
          <w:t>/</w:t>
        </w:r>
        <w:r>
          <w:rPr>
            <w:rStyle w:val="Hyperlink"/>
          </w:rPr>
          <w:t>files</w:t>
        </w:r>
        <w:r>
          <w:rPr>
            <w:rStyle w:val="Hyperlink"/>
            <w:lang w:val="ru-RU"/>
          </w:rPr>
          <w:t>/</w:t>
        </w:r>
        <w:r>
          <w:rPr>
            <w:rStyle w:val="Hyperlink"/>
          </w:rPr>
          <w:t>resource</w:t>
        </w:r>
        <w:r>
          <w:rPr>
            <w:rStyle w:val="Hyperlink"/>
            <w:lang w:val="ru-RU"/>
          </w:rPr>
          <w:t>/</w:t>
        </w:r>
        <w:r>
          <w:rPr>
            <w:rStyle w:val="Hyperlink"/>
          </w:rPr>
          <w:t>HR</w:t>
        </w:r>
        <w:r>
          <w:rPr>
            <w:rStyle w:val="Hyperlink"/>
            <w:lang w:val="ru-RU"/>
          </w:rPr>
          <w:t>-03-06-2020%20</w:t>
        </w:r>
        <w:r>
          <w:rPr>
            <w:rStyle w:val="Hyperlink"/>
          </w:rPr>
          <w:t>EU</w:t>
        </w:r>
        <w:r>
          <w:rPr>
            <w:rStyle w:val="Hyperlink"/>
            <w:lang w:val="ru-RU"/>
          </w:rPr>
          <w:t>%20</w:t>
        </w:r>
        <w:r>
          <w:rPr>
            <w:rStyle w:val="Hyperlink"/>
          </w:rPr>
          <w:t>Submission</w:t>
        </w:r>
        <w:r>
          <w:rPr>
            <w:rStyle w:val="Hyperlink"/>
            <w:lang w:val="ru-RU"/>
          </w:rPr>
          <w:t>%20</w:t>
        </w:r>
        <w:r>
          <w:rPr>
            <w:rStyle w:val="Hyperlink"/>
          </w:rPr>
          <w:t>on</w:t>
        </w:r>
        <w:r>
          <w:rPr>
            <w:rStyle w:val="Hyperlink"/>
            <w:lang w:val="ru-RU"/>
          </w:rPr>
          <w:t>%20</w:t>
        </w:r>
        <w:r>
          <w:rPr>
            <w:rStyle w:val="Hyperlink"/>
          </w:rPr>
          <w:t>Long</w:t>
        </w:r>
        <w:r>
          <w:rPr>
            <w:rStyle w:val="Hyperlink"/>
            <w:lang w:val="ru-RU"/>
          </w:rPr>
          <w:t>%20</w:t>
        </w:r>
        <w:r>
          <w:rPr>
            <w:rStyle w:val="Hyperlink"/>
          </w:rPr>
          <w:t>term</w:t>
        </w:r>
        <w:r>
          <w:rPr>
            <w:rStyle w:val="Hyperlink"/>
            <w:lang w:val="ru-RU"/>
          </w:rPr>
          <w:t>%20</w:t>
        </w:r>
        <w:r>
          <w:rPr>
            <w:rStyle w:val="Hyperlink"/>
          </w:rPr>
          <w:t>strategy</w:t>
        </w:r>
        <w:r>
          <w:rPr>
            <w:rStyle w:val="Hyperlink"/>
            <w:lang w:val="ru-RU"/>
          </w:rPr>
          <w:t>.</w:t>
        </w:r>
        <w:r>
          <w:rPr>
            <w:rStyle w:val="Hyperlink"/>
          </w:rPr>
          <w:t>pdf</w:t>
        </w:r>
      </w:hyperlink>
      <w:r>
        <w:rPr>
          <w:lang w:val="ru-RU"/>
        </w:rPr>
        <w:t>).</w:t>
      </w:r>
    </w:p>
  </w:footnote>
  <w:footnote w:id="5">
    <w:p>
      <w:pPr>
        <w:pStyle w:val="FootnoteText"/>
        <w:rPr>
          <w:lang w:val="es-ES"/>
        </w:rPr>
      </w:pPr>
      <w:r>
        <w:rPr>
          <w:rStyle w:val="FootnoteReference"/>
        </w:rPr>
        <w:footnoteRef/>
      </w:r>
      <w:r>
        <w:rPr>
          <w:lang w:val="es-ES"/>
        </w:rPr>
        <w:tab/>
      </w:r>
      <w:r>
        <w:t>СОМ</w:t>
      </w:r>
      <w:r>
        <w:rPr>
          <w:lang w:val="es-ES"/>
        </w:rPr>
        <w:t>(2020) 80 final.</w:t>
      </w:r>
    </w:p>
  </w:footnote>
  <w:footnote w:id="6">
    <w:p>
      <w:pPr>
        <w:pStyle w:val="FootnoteText"/>
        <w:rPr>
          <w:lang w:val="es-ES"/>
        </w:rPr>
      </w:pPr>
      <w:r>
        <w:rPr>
          <w:rStyle w:val="FootnoteReference"/>
        </w:rPr>
        <w:footnoteRef/>
      </w:r>
      <w:r>
        <w:rPr>
          <w:lang w:val="es-ES"/>
        </w:rPr>
        <w:tab/>
        <w:t>COM(2020) 98 final.</w:t>
      </w:r>
    </w:p>
  </w:footnote>
  <w:footnote w:id="7">
    <w:p>
      <w:pPr>
        <w:pStyle w:val="FootnoteText"/>
        <w:rPr>
          <w:rStyle w:val="FootnoteReference"/>
          <w:lang w:val="es-ES"/>
        </w:rPr>
      </w:pPr>
      <w:r>
        <w:rPr>
          <w:rStyle w:val="FootnoteReference"/>
        </w:rPr>
        <w:footnoteRef/>
      </w:r>
      <w:r>
        <w:rPr>
          <w:lang w:val="es-ES"/>
        </w:rPr>
        <w:tab/>
      </w:r>
      <w:r>
        <w:t>СОМ</w:t>
      </w:r>
      <w:r>
        <w:rPr>
          <w:lang w:val="es-ES"/>
        </w:rPr>
        <w:t>(2020) 380 final.</w:t>
      </w:r>
    </w:p>
  </w:footnote>
  <w:footnote w:id="8">
    <w:p>
      <w:pPr>
        <w:pStyle w:val="FootnoteText"/>
        <w:rPr>
          <w:lang w:val="ru-RU"/>
        </w:rPr>
      </w:pPr>
      <w:r>
        <w:rPr>
          <w:rStyle w:val="FootnoteReference"/>
        </w:rPr>
        <w:footnoteRef/>
      </w:r>
      <w:r>
        <w:rPr>
          <w:lang w:val="ru-RU"/>
        </w:rPr>
        <w:tab/>
        <w:t xml:space="preserve">СОМ(2020) 381 </w:t>
      </w:r>
      <w:r>
        <w:t>final</w:t>
      </w:r>
      <w:r>
        <w:rPr>
          <w:lang w:val="ru-RU"/>
        </w:rPr>
        <w:t>.</w:t>
      </w:r>
    </w:p>
  </w:footnote>
  <w:footnote w:id="9">
    <w:p>
      <w:pPr>
        <w:pStyle w:val="FootnoteText"/>
        <w:rPr>
          <w:lang w:val="ru-RU"/>
        </w:rPr>
      </w:pPr>
      <w:r>
        <w:rPr>
          <w:rStyle w:val="FootnoteReference"/>
        </w:rPr>
        <w:footnoteRef/>
      </w:r>
      <w:r>
        <w:rPr>
          <w:lang w:val="ru-RU"/>
        </w:rPr>
        <w:tab/>
      </w:r>
      <w:r>
        <w:t>COM</w:t>
      </w:r>
      <w:r>
        <w:rPr>
          <w:lang w:val="ru-RU"/>
        </w:rPr>
        <w:t xml:space="preserve">(2019) 233 </w:t>
      </w:r>
      <w:r>
        <w:t>final</w:t>
      </w:r>
      <w:r>
        <w:rPr>
          <w:lang w:val="ru-RU"/>
        </w:rPr>
        <w:t>.</w:t>
      </w:r>
    </w:p>
  </w:footnote>
  <w:footnote w:id="10">
    <w:p>
      <w:pPr>
        <w:pStyle w:val="FootnoteText"/>
        <w:rPr>
          <w:lang w:val="ru-RU"/>
        </w:rPr>
      </w:pPr>
      <w:r>
        <w:rPr>
          <w:rStyle w:val="FootnoteReference"/>
        </w:rPr>
        <w:footnoteRef/>
      </w:r>
      <w:r>
        <w:rPr>
          <w:lang w:val="ru-RU"/>
        </w:rPr>
        <w:tab/>
        <w:t>Европейска оценка на въздействието, изготвена от Европейския парламент:</w:t>
      </w:r>
      <w:r>
        <w:rPr>
          <w:i/>
          <w:lang w:val="ru-RU"/>
        </w:rPr>
        <w:t xml:space="preserve"> Изпълнение на 7-ата програма за действие за околната среда — междинен преглед</w:t>
      </w:r>
      <w:r>
        <w:rPr>
          <w:lang w:val="ru-RU"/>
        </w:rPr>
        <w:t xml:space="preserve"> (2017 г.).</w:t>
      </w:r>
    </w:p>
  </w:footnote>
  <w:footnote w:id="11">
    <w:p>
      <w:pPr>
        <w:pStyle w:val="FootnoteText"/>
        <w:rPr>
          <w:lang w:val="ru-RU"/>
        </w:rPr>
      </w:pPr>
      <w:r>
        <w:rPr>
          <w:rStyle w:val="FootnoteReference"/>
        </w:rPr>
        <w:footnoteRef/>
      </w:r>
      <w:r>
        <w:rPr>
          <w:lang w:val="ru-RU"/>
        </w:rPr>
        <w:tab/>
        <w:t>Резолюция на Европейския парламент от 17 април 2018 г. относно прилагането на Седмата програма за действие за околната среда (2017/2030(</w:t>
      </w:r>
      <w:r>
        <w:t>INI</w:t>
      </w:r>
      <w:r>
        <w:rPr>
          <w:lang w:val="ru-RU"/>
        </w:rPr>
        <w:t>).</w:t>
      </w:r>
    </w:p>
  </w:footnote>
  <w:footnote w:id="12">
    <w:p>
      <w:pPr>
        <w:pStyle w:val="FootnoteText"/>
        <w:rPr>
          <w:lang w:val="ru-RU"/>
        </w:rPr>
      </w:pPr>
      <w:r>
        <w:rPr>
          <w:rStyle w:val="FootnoteReference"/>
        </w:rPr>
        <w:footnoteRef/>
      </w:r>
      <w:r>
        <w:rPr>
          <w:lang w:val="ru-RU"/>
        </w:rPr>
        <w:tab/>
        <w:t xml:space="preserve">Комитет на регионите: </w:t>
      </w:r>
      <w:r>
        <w:rPr>
          <w:i/>
          <w:lang w:val="ru-RU"/>
        </w:rPr>
        <w:t>Към Осма програма за действие за околната среда“ — местното и регионалното измерение</w:t>
      </w:r>
      <w:r>
        <w:rPr>
          <w:lang w:val="ru-RU"/>
        </w:rPr>
        <w:t xml:space="preserve"> (2018 г.) </w:t>
      </w:r>
    </w:p>
  </w:footnote>
  <w:footnote w:id="13">
    <w:p>
      <w:pPr>
        <w:pStyle w:val="FootnoteText"/>
        <w:rPr>
          <w:lang w:val="ru-RU"/>
        </w:rPr>
      </w:pPr>
      <w:r>
        <w:rPr>
          <w:rStyle w:val="FootnoteReference"/>
        </w:rPr>
        <w:footnoteRef/>
      </w:r>
      <w:r>
        <w:rPr>
          <w:lang w:val="ru-RU"/>
        </w:rPr>
        <w:tab/>
        <w:t xml:space="preserve">ОВ </w:t>
      </w:r>
      <w:r>
        <w:t>C </w:t>
      </w:r>
      <w:r>
        <w:rPr>
          <w:lang w:val="ru-RU"/>
        </w:rPr>
        <w:t>168, 16.5.2019</w:t>
      </w:r>
      <w:r>
        <w:t> </w:t>
      </w:r>
      <w:r>
        <w:rPr>
          <w:lang w:val="ru-RU"/>
        </w:rPr>
        <w:t>г., стр.</w:t>
      </w:r>
      <w:r>
        <w:t> </w:t>
      </w:r>
      <w:r>
        <w:rPr>
          <w:lang w:val="ru-RU"/>
        </w:rPr>
        <w:t>27—36.</w:t>
      </w:r>
    </w:p>
  </w:footnote>
  <w:footnote w:id="14">
    <w:p>
      <w:pPr>
        <w:pStyle w:val="FootnoteText"/>
        <w:rPr>
          <w:lang w:val="ru-RU"/>
        </w:rPr>
      </w:pPr>
      <w:r>
        <w:rPr>
          <w:rStyle w:val="FootnoteReference"/>
        </w:rPr>
        <w:footnoteRef/>
      </w:r>
      <w:r>
        <w:rPr>
          <w:lang w:val="ru-RU"/>
        </w:rPr>
        <w:tab/>
        <w:t>Заключения на Съвета от 4 октомври 2019 г. (12795/19).</w:t>
      </w:r>
    </w:p>
  </w:footnote>
  <w:footnote w:id="15">
    <w:p>
      <w:pPr>
        <w:pStyle w:val="FootnoteText"/>
        <w:rPr>
          <w:lang w:val="ru-RU"/>
        </w:rPr>
      </w:pPr>
      <w:r>
        <w:rPr>
          <w:rStyle w:val="FootnoteReference"/>
        </w:rPr>
        <w:footnoteRef/>
      </w:r>
      <w:r>
        <w:rPr>
          <w:lang w:val="ru-RU"/>
        </w:rPr>
        <w:tab/>
        <w:t>шеи</w:t>
      </w:r>
      <w:r>
        <w:rPr>
          <w:lang w:val="ru-RU"/>
        </w:rPr>
        <w:tab/>
        <w:t xml:space="preserve">Вж. например </w:t>
      </w:r>
      <w:hyperlink r:id="rId2" w:history="1">
        <w:r>
          <w:rPr>
            <w:rStyle w:val="Hyperlink"/>
          </w:rPr>
          <w:t>https</w:t>
        </w:r>
        <w:r>
          <w:rPr>
            <w:rStyle w:val="Hyperlink"/>
            <w:lang w:val="ru-RU"/>
          </w:rPr>
          <w:t>://</w:t>
        </w:r>
        <w:r>
          <w:rPr>
            <w:rStyle w:val="Hyperlink"/>
          </w:rPr>
          <w:t>data</w:t>
        </w:r>
        <w:r>
          <w:rPr>
            <w:rStyle w:val="Hyperlink"/>
            <w:lang w:val="ru-RU"/>
          </w:rPr>
          <w:t>.</w:t>
        </w:r>
        <w:r>
          <w:rPr>
            <w:rStyle w:val="Hyperlink"/>
          </w:rPr>
          <w:t>consilium</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w:t>
        </w:r>
        <w:r>
          <w:rPr>
            <w:rStyle w:val="Hyperlink"/>
            <w:lang w:val="ru-RU"/>
          </w:rPr>
          <w:t>/</w:t>
        </w:r>
        <w:r>
          <w:rPr>
            <w:rStyle w:val="Hyperlink"/>
          </w:rPr>
          <w:t>document</w:t>
        </w:r>
        <w:r>
          <w:rPr>
            <w:rStyle w:val="Hyperlink"/>
            <w:lang w:val="ru-RU"/>
          </w:rPr>
          <w:t>/</w:t>
        </w:r>
        <w:r>
          <w:rPr>
            <w:rStyle w:val="Hyperlink"/>
          </w:rPr>
          <w:t>ST</w:t>
        </w:r>
        <w:r>
          <w:rPr>
            <w:rStyle w:val="Hyperlink"/>
            <w:lang w:val="ru-RU"/>
          </w:rPr>
          <w:t>-10414-2019-</w:t>
        </w:r>
        <w:r>
          <w:rPr>
            <w:rStyle w:val="Hyperlink"/>
          </w:rPr>
          <w:t>INIT</w:t>
        </w:r>
        <w:r>
          <w:rPr>
            <w:rStyle w:val="Hyperlink"/>
            <w:lang w:val="ru-RU"/>
          </w:rPr>
          <w:t>/</w:t>
        </w:r>
        <w:r>
          <w:rPr>
            <w:rStyle w:val="Hyperlink"/>
          </w:rPr>
          <w:t>bg</w:t>
        </w:r>
        <w:r>
          <w:rPr>
            <w:rStyle w:val="Hyperlink"/>
            <w:lang w:val="ru-RU"/>
          </w:rPr>
          <w:t>/</w:t>
        </w:r>
        <w:r>
          <w:rPr>
            <w:rStyle w:val="Hyperlink"/>
          </w:rPr>
          <w:t>pdf</w:t>
        </w:r>
      </w:hyperlink>
      <w:r>
        <w:rPr>
          <w:rStyle w:val="Hyperlink"/>
          <w:lang w:val="ru-RU"/>
        </w:rPr>
        <w:t>.</w:t>
      </w:r>
    </w:p>
  </w:footnote>
  <w:footnote w:id="16">
    <w:p>
      <w:pPr>
        <w:pStyle w:val="CommentText"/>
        <w:ind w:left="720" w:hanging="720"/>
      </w:pPr>
      <w:r>
        <w:rPr>
          <w:rStyle w:val="FootnoteReference"/>
        </w:rPr>
        <w:footnoteRef/>
      </w:r>
      <w:r>
        <w:tab/>
      </w:r>
      <w:hyperlink r:id="rId3" w:history="1">
        <w:r>
          <w:rPr>
            <w:rStyle w:val="Hyperlink"/>
          </w:rPr>
          <w:t>https://www.eesc.europa.eu/bg/our-work/opinions-information-reports/opinions/reflection-paper-towards-sustainable-europe-2030</w:t>
        </w:r>
      </w:hyperlink>
      <w:r>
        <w:rPr>
          <w:rStyle w:val="Hyperlink"/>
        </w:rPr>
        <w:t>.</w:t>
      </w:r>
    </w:p>
  </w:footnote>
  <w:footnote w:id="17">
    <w:p>
      <w:pPr>
        <w:pStyle w:val="FootnoteText"/>
        <w:rPr>
          <w:lang w:val="ru-RU"/>
        </w:rPr>
      </w:pPr>
      <w:r>
        <w:rPr>
          <w:rStyle w:val="FootnoteReference"/>
        </w:rPr>
        <w:footnoteRef/>
      </w:r>
      <w:r>
        <w:rPr>
          <w:lang w:val="ru-RU"/>
        </w:rPr>
        <w:tab/>
        <w:t xml:space="preserve">Вж. например </w:t>
      </w:r>
      <w:r>
        <w:rPr>
          <w:i/>
          <w:lang w:val="ru-RU"/>
        </w:rPr>
        <w:t>рамката на ОИСР за благоденствие</w:t>
      </w:r>
      <w:r>
        <w:rPr>
          <w:lang w:val="ru-RU"/>
        </w:rPr>
        <w:t xml:space="preserve">, </w:t>
      </w:r>
      <w:r>
        <w:rPr>
          <w:i/>
          <w:lang w:val="ru-RU"/>
        </w:rPr>
        <w:t>рамката на ОИСР за действия на политиката за приобщаващ растеж</w:t>
      </w:r>
      <w:r>
        <w:rPr>
          <w:lang w:val="ru-RU"/>
        </w:rPr>
        <w:t xml:space="preserve">, </w:t>
      </w:r>
      <w:r>
        <w:rPr>
          <w:i/>
          <w:lang w:val="ru-RU"/>
        </w:rPr>
        <w:t>инициативата „По-добър живот“</w:t>
      </w:r>
      <w:r>
        <w:rPr>
          <w:lang w:val="ru-RU"/>
        </w:rPr>
        <w:t xml:space="preserve"> и </w:t>
      </w:r>
      <w:r>
        <w:rPr>
          <w:i/>
          <w:lang w:val="ru-RU"/>
        </w:rPr>
        <w:t>инициативата „Нови подходи към икономическите предизвикателства“</w:t>
      </w:r>
      <w:r>
        <w:rPr>
          <w:lang w:val="ru-RU"/>
        </w:rPr>
        <w:t>.</w:t>
      </w:r>
    </w:p>
  </w:footnote>
  <w:footnote w:id="18">
    <w:p>
      <w:pPr>
        <w:pStyle w:val="FootnoteText"/>
        <w:rPr>
          <w:lang w:val="ru-RU"/>
        </w:rPr>
      </w:pPr>
      <w:r>
        <w:rPr>
          <w:rStyle w:val="FootnoteReference"/>
        </w:rPr>
        <w:footnoteRef/>
      </w:r>
      <w:r>
        <w:rPr>
          <w:lang w:val="ru-RU"/>
        </w:rPr>
        <w:tab/>
      </w:r>
      <w:r>
        <w:t>https</w:t>
      </w:r>
      <w:r>
        <w:rPr>
          <w:lang w:val="ru-RU"/>
        </w:rPr>
        <w:t>://</w:t>
      </w:r>
      <w:r>
        <w:t>www</w:t>
      </w:r>
      <w:r>
        <w:rPr>
          <w:lang w:val="ru-RU"/>
        </w:rPr>
        <w:t>.</w:t>
      </w:r>
      <w:r>
        <w:t>postgrowth</w:t>
      </w:r>
      <w:r>
        <w:rPr>
          <w:lang w:val="ru-RU"/>
        </w:rPr>
        <w:t>2018.</w:t>
      </w:r>
      <w:r>
        <w:t>eu</w:t>
      </w:r>
      <w:r>
        <w:rPr>
          <w:lang w:val="ru-RU"/>
        </w:rPr>
        <w:t>/</w:t>
      </w:r>
    </w:p>
  </w:footnote>
  <w:footnote w:id="19">
    <w:p>
      <w:pPr>
        <w:pStyle w:val="FootnoteText"/>
        <w:rPr>
          <w:lang w:val="ru-RU"/>
        </w:rPr>
      </w:pPr>
      <w:r>
        <w:rPr>
          <w:rStyle w:val="FootnoteReference"/>
        </w:rPr>
        <w:footnoteRef/>
      </w:r>
      <w:r>
        <w:rPr>
          <w:lang w:val="ru-RU"/>
        </w:rPr>
        <w:tab/>
        <w:t xml:space="preserve">Вж. например </w:t>
      </w:r>
      <w:hyperlink r:id="rId4" w:history="1">
        <w:r>
          <w:rPr>
            <w:rStyle w:val="Hyperlink"/>
          </w:rPr>
          <w:t>https</w:t>
        </w:r>
        <w:r>
          <w:rPr>
            <w:rStyle w:val="Hyperlink"/>
            <w:lang w:val="ru-RU"/>
          </w:rPr>
          <w:t>://</w:t>
        </w:r>
        <w:r>
          <w:rPr>
            <w:rStyle w:val="Hyperlink"/>
          </w:rPr>
          <w:t>www</w:t>
        </w:r>
        <w:r>
          <w:rPr>
            <w:rStyle w:val="Hyperlink"/>
            <w:lang w:val="ru-RU"/>
          </w:rPr>
          <w:t>.</w:t>
        </w:r>
        <w:r>
          <w:rPr>
            <w:rStyle w:val="Hyperlink"/>
          </w:rPr>
          <w:t>eea</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publications</w:t>
        </w:r>
        <w:r>
          <w:rPr>
            <w:rStyle w:val="Hyperlink"/>
            <w:lang w:val="ru-RU"/>
          </w:rPr>
          <w:t>/</w:t>
        </w:r>
        <w:r>
          <w:rPr>
            <w:rStyle w:val="Hyperlink"/>
          </w:rPr>
          <w:t>environmental</w:t>
        </w:r>
        <w:r>
          <w:rPr>
            <w:rStyle w:val="Hyperlink"/>
            <w:lang w:val="ru-RU"/>
          </w:rPr>
          <w:t>-</w:t>
        </w:r>
        <w:r>
          <w:rPr>
            <w:rStyle w:val="Hyperlink"/>
          </w:rPr>
          <w:t>indicator</w:t>
        </w:r>
        <w:r>
          <w:rPr>
            <w:rStyle w:val="Hyperlink"/>
            <w:lang w:val="ru-RU"/>
          </w:rPr>
          <w:t>-</w:t>
        </w:r>
        <w:r>
          <w:rPr>
            <w:rStyle w:val="Hyperlink"/>
          </w:rPr>
          <w:t>report</w:t>
        </w:r>
        <w:r>
          <w:rPr>
            <w:rStyle w:val="Hyperlink"/>
            <w:lang w:val="ru-RU"/>
          </w:rPr>
          <w:t>-2018</w:t>
        </w:r>
      </w:hyperlink>
      <w:r>
        <w:rPr>
          <w:lang w:val="ru-RU"/>
        </w:rPr>
        <w:t>.</w:t>
      </w:r>
    </w:p>
  </w:footnote>
  <w:footnote w:id="20">
    <w:p>
      <w:pPr>
        <w:pStyle w:val="FootnoteText"/>
        <w:rPr>
          <w:lang w:val="ru-RU"/>
        </w:rPr>
      </w:pPr>
      <w:r>
        <w:rPr>
          <w:rStyle w:val="FootnoteReference"/>
        </w:rPr>
        <w:footnoteRef/>
      </w:r>
      <w:r>
        <w:rPr>
          <w:lang w:val="ru-RU"/>
        </w:rPr>
        <w:tab/>
      </w:r>
      <w:r>
        <w:t>COM</w:t>
      </w:r>
      <w:r>
        <w:rPr>
          <w:lang w:val="ru-RU"/>
        </w:rPr>
        <w:t xml:space="preserve">(2020) 98 </w:t>
      </w:r>
      <w:r>
        <w:t>final</w:t>
      </w:r>
      <w:r>
        <w:rPr>
          <w:lang w:val="ru-RU"/>
        </w:rPr>
        <w:t>, стр.</w:t>
      </w:r>
      <w:r>
        <w:t> </w:t>
      </w:r>
      <w:r>
        <w:rPr>
          <w:lang w:val="ru-RU"/>
        </w:rPr>
        <w:t>18.</w:t>
      </w:r>
    </w:p>
  </w:footnote>
  <w:footnote w:id="21">
    <w:p>
      <w:pPr>
        <w:pStyle w:val="FootnoteText"/>
        <w:rPr>
          <w:lang w:val="ru-RU"/>
        </w:rPr>
      </w:pPr>
      <w:r>
        <w:rPr>
          <w:rStyle w:val="FootnoteReference"/>
        </w:rPr>
        <w:footnoteRef/>
      </w:r>
      <w:r>
        <w:rPr>
          <w:lang w:val="ru-RU"/>
        </w:rPr>
        <w:tab/>
        <w:t>Да се добави, ако ЕИСК приеме становище относно предложението.</w:t>
      </w:r>
    </w:p>
  </w:footnote>
  <w:footnote w:id="22">
    <w:p>
      <w:pPr>
        <w:pStyle w:val="FootnoteText"/>
        <w:rPr>
          <w:lang w:val="ru-RU"/>
        </w:rPr>
      </w:pPr>
      <w:r>
        <w:rPr>
          <w:rStyle w:val="FootnoteReference"/>
        </w:rPr>
        <w:footnoteRef/>
      </w:r>
      <w:r>
        <w:rPr>
          <w:lang w:val="ru-RU"/>
        </w:rPr>
        <w:tab/>
        <w:t>Да се добави, ако КР приеме становище относно предложението.</w:t>
      </w:r>
    </w:p>
  </w:footnote>
  <w:footnote w:id="23">
    <w:p>
      <w:pPr>
        <w:pStyle w:val="FootnoteText"/>
        <w:rPr>
          <w:lang w:val="ru-RU"/>
        </w:rPr>
      </w:pPr>
      <w:r>
        <w:rPr>
          <w:rStyle w:val="FootnoteReference"/>
        </w:rPr>
        <w:footnoteRef/>
      </w:r>
      <w:r>
        <w:rPr>
          <w:lang w:val="ru-RU"/>
        </w:rPr>
        <w:tab/>
        <w:t xml:space="preserve">ОВ </w:t>
      </w:r>
      <w:r>
        <w:t>L </w:t>
      </w:r>
      <w:r>
        <w:rPr>
          <w:lang w:val="ru-RU"/>
        </w:rPr>
        <w:t>354, 28.12.2013 г., стр.</w:t>
      </w:r>
      <w:r>
        <w:t> </w:t>
      </w:r>
      <w:r>
        <w:rPr>
          <w:lang w:val="ru-RU"/>
        </w:rPr>
        <w:t>171.</w:t>
      </w:r>
    </w:p>
  </w:footnote>
  <w:footnote w:id="24">
    <w:p>
      <w:pPr>
        <w:pStyle w:val="FootnoteText"/>
        <w:rPr>
          <w:lang w:val="ru-RU"/>
        </w:rPr>
      </w:pPr>
      <w:r>
        <w:rPr>
          <w:rStyle w:val="FootnoteReference"/>
        </w:rPr>
        <w:footnoteRef/>
      </w:r>
      <w:r>
        <w:rPr>
          <w:lang w:val="ru-RU"/>
        </w:rPr>
        <w:tab/>
        <w:t>СОМ(2019)</w:t>
      </w:r>
      <w:r>
        <w:t> </w:t>
      </w:r>
      <w:r>
        <w:rPr>
          <w:lang w:val="ru-RU"/>
        </w:rPr>
        <w:t xml:space="preserve">233 </w:t>
      </w:r>
      <w:r>
        <w:t>final</w:t>
      </w:r>
      <w:r>
        <w:rPr>
          <w:lang w:val="ru-RU"/>
        </w:rPr>
        <w:t>.</w:t>
      </w:r>
    </w:p>
  </w:footnote>
  <w:footnote w:id="25">
    <w:p>
      <w:pPr>
        <w:pStyle w:val="FootnoteText"/>
        <w:rPr>
          <w:lang w:val="ru-RU"/>
        </w:rPr>
      </w:pPr>
      <w:r>
        <w:rPr>
          <w:rStyle w:val="FootnoteReference"/>
        </w:rPr>
        <w:footnoteRef/>
      </w:r>
      <w:r>
        <w:rPr>
          <w:lang w:val="ru-RU"/>
        </w:rPr>
        <w:tab/>
        <w:t>СОМ(2019)</w:t>
      </w:r>
      <w:r>
        <w:t> </w:t>
      </w:r>
      <w:r>
        <w:rPr>
          <w:lang w:val="ru-RU"/>
        </w:rPr>
        <w:t xml:space="preserve">640 </w:t>
      </w:r>
      <w:r>
        <w:t>final</w:t>
      </w:r>
      <w:r>
        <w:rPr>
          <w:lang w:val="ru-RU"/>
        </w:rPr>
        <w:t>.</w:t>
      </w:r>
    </w:p>
  </w:footnote>
  <w:footnote w:id="26">
    <w:p>
      <w:pPr>
        <w:pStyle w:val="FootnoteText"/>
        <w:rPr>
          <w:lang w:val="ru-RU"/>
        </w:rPr>
      </w:pPr>
      <w:r>
        <w:rPr>
          <w:rStyle w:val="FootnoteReference"/>
        </w:rPr>
        <w:footnoteRef/>
      </w:r>
      <w:r>
        <w:rPr>
          <w:lang w:val="ru-RU"/>
        </w:rPr>
        <w:tab/>
        <w:t xml:space="preserve">СОМ(2020) 80 </w:t>
      </w:r>
      <w:r>
        <w:t>final</w:t>
      </w:r>
      <w:r>
        <w:rPr>
          <w:lang w:val="ru-RU"/>
        </w:rPr>
        <w:t>.</w:t>
      </w:r>
    </w:p>
  </w:footnote>
  <w:footnote w:id="27">
    <w:p>
      <w:pPr>
        <w:pStyle w:val="FootnoteText"/>
        <w:rPr>
          <w:lang w:val="ru-RU"/>
        </w:rPr>
      </w:pPr>
      <w:r>
        <w:rPr>
          <w:rStyle w:val="FootnoteReference"/>
        </w:rPr>
        <w:footnoteRef/>
      </w:r>
      <w:r>
        <w:rPr>
          <w:lang w:val="ru-RU"/>
        </w:rPr>
        <w:tab/>
        <w:t xml:space="preserve">Вж. например </w:t>
      </w:r>
      <w:r>
        <w:t>https</w:t>
      </w:r>
      <w:r>
        <w:rPr>
          <w:lang w:val="ru-RU"/>
        </w:rPr>
        <w:t>://</w:t>
      </w:r>
      <w:r>
        <w:t>data</w:t>
      </w:r>
      <w:r>
        <w:rPr>
          <w:lang w:val="ru-RU"/>
        </w:rPr>
        <w:t>.</w:t>
      </w:r>
      <w:r>
        <w:t>consilium</w:t>
      </w:r>
      <w:r>
        <w:rPr>
          <w:lang w:val="ru-RU"/>
        </w:rPr>
        <w:t>.</w:t>
      </w:r>
      <w:r>
        <w:t>europa</w:t>
      </w:r>
      <w:r>
        <w:rPr>
          <w:lang w:val="ru-RU"/>
        </w:rPr>
        <w:t>.</w:t>
      </w:r>
      <w:r>
        <w:t>eu</w:t>
      </w:r>
      <w:r>
        <w:rPr>
          <w:lang w:val="ru-RU"/>
        </w:rPr>
        <w:t>/</w:t>
      </w:r>
      <w:r>
        <w:t>doc</w:t>
      </w:r>
      <w:r>
        <w:rPr>
          <w:lang w:val="ru-RU"/>
        </w:rPr>
        <w:t>/</w:t>
      </w:r>
      <w:r>
        <w:t>document</w:t>
      </w:r>
      <w:r>
        <w:rPr>
          <w:lang w:val="ru-RU"/>
        </w:rPr>
        <w:t>/</w:t>
      </w:r>
      <w:r>
        <w:t>ST</w:t>
      </w:r>
      <w:r>
        <w:rPr>
          <w:lang w:val="ru-RU"/>
        </w:rPr>
        <w:t>-10414-2019-</w:t>
      </w:r>
      <w:r>
        <w:t>INIT</w:t>
      </w:r>
      <w:r>
        <w:rPr>
          <w:lang w:val="ru-RU"/>
        </w:rPr>
        <w:t>/</w:t>
      </w:r>
      <w:r>
        <w:t>bg</w:t>
      </w:r>
      <w:r>
        <w:rPr>
          <w:lang w:val="ru-RU"/>
        </w:rPr>
        <w:t>/</w:t>
      </w:r>
      <w:r>
        <w:t>pdf</w:t>
      </w:r>
      <w:r>
        <w:rPr>
          <w:lang w:val="ru-RU"/>
        </w:rPr>
        <w:t xml:space="preserve">. </w:t>
      </w:r>
    </w:p>
  </w:footnote>
  <w:footnote w:id="28">
    <w:p>
      <w:pPr>
        <w:pStyle w:val="FootnoteText"/>
        <w:rPr>
          <w:lang w:val="ru-RU"/>
        </w:rPr>
      </w:pPr>
      <w:r>
        <w:rPr>
          <w:rStyle w:val="FootnoteReference"/>
        </w:rPr>
        <w:footnoteRef/>
      </w:r>
      <w:r>
        <w:rPr>
          <w:lang w:val="ru-RU"/>
        </w:rPr>
        <w:tab/>
      </w:r>
      <w:r>
        <w:t>https</w:t>
      </w:r>
      <w:r>
        <w:rPr>
          <w:lang w:val="ru-RU"/>
        </w:rPr>
        <w:t>://</w:t>
      </w:r>
      <w:r>
        <w:t>www</w:t>
      </w:r>
      <w:r>
        <w:rPr>
          <w:lang w:val="ru-RU"/>
        </w:rPr>
        <w:t>.</w:t>
      </w:r>
      <w:r>
        <w:t>eesc</w:t>
      </w:r>
      <w:r>
        <w:rPr>
          <w:lang w:val="ru-RU"/>
        </w:rPr>
        <w:t>.</w:t>
      </w:r>
      <w:r>
        <w:t>europa</w:t>
      </w:r>
      <w:r>
        <w:rPr>
          <w:lang w:val="ru-RU"/>
        </w:rPr>
        <w:t>.</w:t>
      </w:r>
      <w:r>
        <w:t>eu</w:t>
      </w:r>
      <w:r>
        <w:rPr>
          <w:lang w:val="ru-RU"/>
        </w:rPr>
        <w:t>/</w:t>
      </w:r>
      <w:r>
        <w:t>bg</w:t>
      </w:r>
      <w:r>
        <w:rPr>
          <w:lang w:val="ru-RU"/>
        </w:rPr>
        <w:t>/</w:t>
      </w:r>
      <w:r>
        <w:t>our</w:t>
      </w:r>
      <w:r>
        <w:rPr>
          <w:lang w:val="ru-RU"/>
        </w:rPr>
        <w:t>-</w:t>
      </w:r>
      <w:r>
        <w:t>work</w:t>
      </w:r>
      <w:r>
        <w:rPr>
          <w:lang w:val="ru-RU"/>
        </w:rPr>
        <w:t>/</w:t>
      </w:r>
      <w:r>
        <w:t>opinions</w:t>
      </w:r>
      <w:r>
        <w:rPr>
          <w:lang w:val="ru-RU"/>
        </w:rPr>
        <w:t>-</w:t>
      </w:r>
      <w:r>
        <w:t>information</w:t>
      </w:r>
      <w:r>
        <w:rPr>
          <w:lang w:val="ru-RU"/>
        </w:rPr>
        <w:t>-</w:t>
      </w:r>
      <w:r>
        <w:t>reports</w:t>
      </w:r>
      <w:r>
        <w:rPr>
          <w:lang w:val="ru-RU"/>
        </w:rPr>
        <w:t>/</w:t>
      </w:r>
      <w:r>
        <w:t>opinions</w:t>
      </w:r>
      <w:r>
        <w:rPr>
          <w:lang w:val="ru-RU"/>
        </w:rPr>
        <w:t>/</w:t>
      </w:r>
      <w:r>
        <w:t>reflection</w:t>
      </w:r>
      <w:r>
        <w:rPr>
          <w:lang w:val="ru-RU"/>
        </w:rPr>
        <w:t>-</w:t>
      </w:r>
      <w:r>
        <w:t>paper</w:t>
      </w:r>
      <w:r>
        <w:rPr>
          <w:lang w:val="ru-RU"/>
        </w:rPr>
        <w:t>-</w:t>
      </w:r>
      <w:r>
        <w:t>towards</w:t>
      </w:r>
      <w:r>
        <w:rPr>
          <w:lang w:val="ru-RU"/>
        </w:rPr>
        <w:t>-</w:t>
      </w:r>
      <w:r>
        <w:t>sustainable</w:t>
      </w:r>
      <w:r>
        <w:rPr>
          <w:lang w:val="ru-RU"/>
        </w:rPr>
        <w:t>-</w:t>
      </w:r>
      <w:r>
        <w:t>europe</w:t>
      </w:r>
      <w:r>
        <w:rPr>
          <w:lang w:val="ru-RU"/>
        </w:rPr>
        <w:t>-2030.</w:t>
      </w:r>
    </w:p>
  </w:footnote>
  <w:footnote w:id="29">
    <w:p>
      <w:pPr>
        <w:pStyle w:val="FootnoteText"/>
        <w:rPr>
          <w:lang w:val="ru-RU"/>
        </w:rPr>
      </w:pPr>
      <w:r>
        <w:rPr>
          <w:rStyle w:val="FootnoteReference"/>
        </w:rPr>
        <w:footnoteRef/>
      </w:r>
      <w:r>
        <w:rPr>
          <w:lang w:val="ru-RU"/>
        </w:rPr>
        <w:tab/>
        <w:t>Вж. например рамката на ОИСР за благоденствие, рамката на ОИСР за действия на политиката за приобщаващ растеж, инициативата „По-добър живот“ и инициативата „Нови подходи към икономическите предизвикателства“.</w:t>
      </w:r>
    </w:p>
  </w:footnote>
  <w:footnote w:id="30">
    <w:p>
      <w:pPr>
        <w:pStyle w:val="FootnoteText"/>
        <w:rPr>
          <w:lang w:val="ru-RU"/>
        </w:rPr>
      </w:pPr>
      <w:r>
        <w:rPr>
          <w:rStyle w:val="FootnoteReference"/>
        </w:rPr>
        <w:footnoteRef/>
      </w:r>
      <w:r>
        <w:rPr>
          <w:lang w:val="ru-RU"/>
        </w:rPr>
        <w:tab/>
        <w:t xml:space="preserve">Регламент (ЕС) 2018/1999 на Европейския парламент и на Съвета от 11 декември 2018 г. относно управлението на Енергийния съюз и действията в областта на климата, </w:t>
      </w:r>
      <w:r>
        <w:t>O</w:t>
      </w:r>
      <w:r>
        <w:rPr>
          <w:lang w:val="ru-RU"/>
        </w:rPr>
        <w:t xml:space="preserve">В </w:t>
      </w:r>
      <w:r>
        <w:t>L </w:t>
      </w:r>
      <w:r>
        <w:rPr>
          <w:lang w:val="ru-RU"/>
        </w:rPr>
        <w:t>328, 21.12.2018</w:t>
      </w:r>
      <w:r>
        <w:t> </w:t>
      </w:r>
      <w:r>
        <w:rPr>
          <w:lang w:val="ru-RU"/>
        </w:rPr>
        <w:t>г., стр.</w:t>
      </w:r>
      <w:r>
        <w:t> </w:t>
      </w:r>
      <w:r>
        <w:rPr>
          <w:lang w:val="ru-RU"/>
        </w:rPr>
        <w:t>1—77.</w:t>
      </w:r>
    </w:p>
  </w:footnote>
  <w:footnote w:id="31">
    <w:p>
      <w:pPr>
        <w:pStyle w:val="FootnoteText"/>
        <w:rPr>
          <w:lang w:val="ru-RU"/>
        </w:rPr>
      </w:pPr>
      <w:r>
        <w:rPr>
          <w:rStyle w:val="FootnoteReference"/>
        </w:rPr>
        <w:footnoteRef/>
      </w:r>
      <w:r>
        <w:rPr>
          <w:lang w:val="ru-RU"/>
        </w:rPr>
        <w:tab/>
        <w:t xml:space="preserve">СОМ(2020) 493 </w:t>
      </w:r>
      <w:r>
        <w:t>final</w:t>
      </w:r>
      <w:r>
        <w:rPr>
          <w:lang w:val="ru-RU"/>
        </w:rPr>
        <w:t>.</w:t>
      </w:r>
    </w:p>
  </w:footnote>
  <w:footnote w:id="32">
    <w:p>
      <w:pPr>
        <w:pStyle w:val="FootnoteText"/>
        <w:rPr>
          <w:lang w:val="ru-RU"/>
        </w:rPr>
      </w:pPr>
      <w:r>
        <w:rPr>
          <w:rStyle w:val="FootnoteReference"/>
        </w:rPr>
        <w:footnoteRef/>
      </w:r>
      <w:r>
        <w:rPr>
          <w:lang w:val="ru-RU"/>
        </w:rPr>
        <w:tab/>
        <w:t xml:space="preserve">СОМ(2020) 80 </w:t>
      </w:r>
      <w:r>
        <w:t>final</w:t>
      </w:r>
      <w:r>
        <w:rPr>
          <w:lang w:val="ru-RU"/>
        </w:rPr>
        <w:t>.</w:t>
      </w:r>
    </w:p>
  </w:footnote>
  <w:footnote w:id="33">
    <w:p>
      <w:pPr>
        <w:pStyle w:val="FootnoteText"/>
        <w:rPr>
          <w:lang w:val="ru-RU"/>
        </w:rPr>
      </w:pPr>
      <w:r>
        <w:rPr>
          <w:rStyle w:val="FootnoteReference"/>
        </w:rPr>
        <w:footnoteRef/>
      </w:r>
      <w:r>
        <w:rPr>
          <w:lang w:val="ru-RU"/>
        </w:rPr>
        <w:tab/>
        <w:t>Директива 2014/52/ЕС на Европейския парламент и на Съвета от 16 април 2014</w:t>
      </w:r>
      <w:r>
        <w:t> </w:t>
      </w:r>
      <w:r>
        <w:rPr>
          <w:lang w:val="ru-RU"/>
        </w:rPr>
        <w:t xml:space="preserve">г. за изменение на Директива 2011/92/ЕС относно оценката на въздействието на някои публични и частни проекти върху околната среда (текст от значение за ЕИП), ОВ </w:t>
      </w:r>
      <w:r>
        <w:t>L </w:t>
      </w:r>
      <w:r>
        <w:rPr>
          <w:lang w:val="ru-RU"/>
        </w:rPr>
        <w:t>124, 25.4.2014</w:t>
      </w:r>
      <w:r>
        <w:t> </w:t>
      </w:r>
      <w:r>
        <w:rPr>
          <w:lang w:val="ru-RU"/>
        </w:rPr>
        <w:t>г., стр.</w:t>
      </w:r>
      <w:r>
        <w:t> </w:t>
      </w:r>
      <w:r>
        <w:rPr>
          <w:lang w:val="ru-RU"/>
        </w:rPr>
        <w:t xml:space="preserve">1—18. </w:t>
      </w:r>
    </w:p>
  </w:footnote>
  <w:footnote w:id="34">
    <w:p>
      <w:pPr>
        <w:pStyle w:val="FootnoteText"/>
        <w:rPr>
          <w:lang w:val="ru-RU"/>
        </w:rPr>
      </w:pPr>
      <w:r>
        <w:rPr>
          <w:rStyle w:val="FootnoteReference"/>
        </w:rPr>
        <w:footnoteRef/>
      </w:r>
      <w:r>
        <w:rPr>
          <w:lang w:val="ru-RU"/>
        </w:rPr>
        <w:tab/>
        <w:t>Директива</w:t>
      </w:r>
      <w:r>
        <w:t> </w:t>
      </w:r>
      <w:r>
        <w:rPr>
          <w:lang w:val="ru-RU"/>
        </w:rPr>
        <w:t>2001/42/ЕО на Европейския парламент и на Съвета от 27</w:t>
      </w:r>
      <w:r>
        <w:t> </w:t>
      </w:r>
      <w:r>
        <w:rPr>
          <w:lang w:val="ru-RU"/>
        </w:rPr>
        <w:t>юни</w:t>
      </w:r>
      <w:r>
        <w:t> </w:t>
      </w:r>
      <w:r>
        <w:rPr>
          <w:lang w:val="ru-RU"/>
        </w:rPr>
        <w:t>2001</w:t>
      </w:r>
      <w:r>
        <w:t> </w:t>
      </w:r>
      <w:r>
        <w:rPr>
          <w:lang w:val="ru-RU"/>
        </w:rPr>
        <w:t xml:space="preserve">г. относно оценката на последиците на някои планове и програми върху околната среда, ОВ </w:t>
      </w:r>
      <w:r>
        <w:t>L</w:t>
      </w:r>
      <w:r>
        <w:rPr>
          <w:lang w:val="ru-RU"/>
        </w:rPr>
        <w:t xml:space="preserve"> 197, 21.7.2001</w:t>
      </w:r>
      <w:r>
        <w:t> </w:t>
      </w:r>
      <w:r>
        <w:rPr>
          <w:lang w:val="ru-RU"/>
        </w:rPr>
        <w:t>г., стр. 30—37.</w:t>
      </w:r>
    </w:p>
  </w:footnote>
  <w:footnote w:id="35">
    <w:p>
      <w:pPr>
        <w:pStyle w:val="FootnoteText"/>
        <w:rPr>
          <w:lang w:val="ru-RU"/>
        </w:rPr>
      </w:pPr>
      <w:r>
        <w:rPr>
          <w:rStyle w:val="FootnoteReference"/>
        </w:rPr>
        <w:footnoteRef/>
      </w:r>
      <w:r>
        <w:rPr>
          <w:lang w:val="ru-RU"/>
        </w:rPr>
        <w:tab/>
      </w:r>
      <w:r>
        <w:t>https</w:t>
      </w:r>
      <w:r>
        <w:rPr>
          <w:lang w:val="ru-RU"/>
        </w:rPr>
        <w:t>://</w:t>
      </w:r>
      <w:r>
        <w:t>www</w:t>
      </w:r>
      <w:r>
        <w:rPr>
          <w:lang w:val="ru-RU"/>
        </w:rPr>
        <w:t>.</w:t>
      </w:r>
      <w:r>
        <w:t>unece</w:t>
      </w:r>
      <w:r>
        <w:rPr>
          <w:lang w:val="ru-RU"/>
        </w:rPr>
        <w:t>.</w:t>
      </w:r>
      <w:r>
        <w:t>org</w:t>
      </w:r>
      <w:r>
        <w:rPr>
          <w:lang w:val="ru-RU"/>
        </w:rPr>
        <w:t>/</w:t>
      </w:r>
      <w:r>
        <w:t>fileadmin</w:t>
      </w:r>
      <w:r>
        <w:rPr>
          <w:lang w:val="ru-RU"/>
        </w:rPr>
        <w:t>/</w:t>
      </w:r>
      <w:r>
        <w:t>DAM</w:t>
      </w:r>
      <w:r>
        <w:rPr>
          <w:lang w:val="ru-RU"/>
        </w:rPr>
        <w:t>/</w:t>
      </w:r>
      <w:r>
        <w:t>env</w:t>
      </w:r>
      <w:r>
        <w:rPr>
          <w:lang w:val="ru-RU"/>
        </w:rPr>
        <w:t>/</w:t>
      </w:r>
      <w:r>
        <w:t>pp</w:t>
      </w:r>
      <w:r>
        <w:rPr>
          <w:lang w:val="ru-RU"/>
        </w:rPr>
        <w:t>/</w:t>
      </w:r>
      <w:r>
        <w:t>documents</w:t>
      </w:r>
      <w:r>
        <w:rPr>
          <w:lang w:val="ru-RU"/>
        </w:rPr>
        <w:t>/</w:t>
      </w:r>
      <w:r>
        <w:t>cep</w:t>
      </w:r>
      <w:r>
        <w:rPr>
          <w:lang w:val="ru-RU"/>
        </w:rPr>
        <w:t>43</w:t>
      </w:r>
      <w:r>
        <w:t>e</w:t>
      </w:r>
      <w:r>
        <w:rPr>
          <w:lang w:val="ru-RU"/>
        </w:rPr>
        <w:t>.</w:t>
      </w:r>
      <w:r>
        <w:t>pdf</w:t>
      </w:r>
      <w:r>
        <w:rPr>
          <w:lang w:val="ru-RU"/>
        </w:rPr>
        <w:t>.</w:t>
      </w:r>
    </w:p>
  </w:footnote>
  <w:footnote w:id="36">
    <w:p>
      <w:pPr>
        <w:pStyle w:val="FootnoteText"/>
        <w:rPr>
          <w:szCs w:val="24"/>
          <w:lang w:val="ru-RU"/>
        </w:rPr>
      </w:pPr>
      <w:r>
        <w:rPr>
          <w:rStyle w:val="FootnoteReference"/>
        </w:rPr>
        <w:footnoteRef/>
      </w:r>
      <w:r>
        <w:rPr>
          <w:lang w:val="ru-RU"/>
        </w:rPr>
        <w:tab/>
        <w:t>Съгласно член 58, параграф 2, буква а) или б) от Финансовия регламент.</w:t>
      </w:r>
    </w:p>
  </w:footnote>
  <w:footnote w:id="37">
    <w:p>
      <w:pPr>
        <w:pStyle w:val="FootnoteText"/>
        <w:rPr>
          <w:lang w:val="ru-RU"/>
        </w:rPr>
      </w:pPr>
      <w:r>
        <w:rPr>
          <w:rStyle w:val="FootnoteReference"/>
        </w:rPr>
        <w:footnoteRef/>
      </w:r>
      <w:r>
        <w:rPr>
          <w:lang w:val="ru-RU"/>
        </w:rPr>
        <w:tab/>
        <w:t xml:space="preserve">Вж. </w:t>
      </w:r>
      <w:hyperlink r:id="rId5" w:history="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environment</w:t>
        </w:r>
        <w:r>
          <w:rPr>
            <w:rStyle w:val="Hyperlink"/>
            <w:lang w:val="ru-RU"/>
          </w:rPr>
          <w:t>/</w:t>
        </w:r>
        <w:r>
          <w:rPr>
            <w:rStyle w:val="Hyperlink"/>
          </w:rPr>
          <w:t>legal</w:t>
        </w:r>
        <w:r>
          <w:rPr>
            <w:rStyle w:val="Hyperlink"/>
            <w:lang w:val="ru-RU"/>
          </w:rPr>
          <w:t>/</w:t>
        </w:r>
        <w:r>
          <w:rPr>
            <w:rStyle w:val="Hyperlink"/>
          </w:rPr>
          <w:t>reporting</w:t>
        </w:r>
        <w:r>
          <w:rPr>
            <w:rStyle w:val="Hyperlink"/>
            <w:lang w:val="ru-RU"/>
          </w:rPr>
          <w:t>/</w:t>
        </w:r>
        <w:r>
          <w:rPr>
            <w:rStyle w:val="Hyperlink"/>
          </w:rPr>
          <w:t>fc</w:t>
        </w:r>
        <w:r>
          <w:rPr>
            <w:rStyle w:val="Hyperlink"/>
            <w:lang w:val="ru-RU"/>
          </w:rPr>
          <w:t>_</w:t>
        </w:r>
        <w:r>
          <w:rPr>
            <w:rStyle w:val="Hyperlink"/>
          </w:rPr>
          <w:t>actions</w:t>
        </w:r>
        <w:r>
          <w:rPr>
            <w:rStyle w:val="Hyperlink"/>
            <w:lang w:val="ru-RU"/>
          </w:rPr>
          <w:t>_</w:t>
        </w:r>
        <w:r>
          <w:rPr>
            <w:rStyle w:val="Hyperlink"/>
          </w:rPr>
          <w:t>en</w:t>
        </w:r>
        <w:r>
          <w:rPr>
            <w:rStyle w:val="Hyperlink"/>
            <w:lang w:val="ru-RU"/>
          </w:rPr>
          <w:t>.</w:t>
        </w:r>
        <w:r>
          <w:rPr>
            <w:rStyle w:val="Hyperlink"/>
          </w:rPr>
          <w:t>htm</w:t>
        </w:r>
      </w:hyperlink>
    </w:p>
  </w:footnote>
  <w:footnote w:id="38">
    <w:p>
      <w:pPr>
        <w:pStyle w:val="FootnoteText"/>
        <w:rPr>
          <w:szCs w:val="24"/>
          <w:lang w:val="ru-RU"/>
        </w:rPr>
      </w:pPr>
      <w:r>
        <w:rPr>
          <w:rStyle w:val="FootnoteReference"/>
        </w:rPr>
        <w:footnoteRef/>
      </w:r>
      <w:r>
        <w:rPr>
          <w:lang w:val="ru-RU"/>
        </w:rPr>
        <w:tab/>
        <w:t xml:space="preserve">Подробности във връзка с методите на управление и позоваванията на Финансовия регламент могат да бъдат намерени на уебсайта </w:t>
      </w:r>
      <w:r>
        <w:t>BudgWeb</w:t>
      </w:r>
      <w:r>
        <w:rPr>
          <w:lang w:val="ru-RU"/>
        </w:rPr>
        <w:t xml:space="preserve">: </w:t>
      </w:r>
      <w:hyperlink r:id="rId6" w:history="1">
        <w:r>
          <w:rPr>
            <w:rStyle w:val="Hyperlink"/>
          </w:rPr>
          <w:t>https</w:t>
        </w:r>
        <w:r>
          <w:rPr>
            <w:rStyle w:val="Hyperlink"/>
            <w:lang w:val="ru-RU"/>
          </w:rPr>
          <w:t>://</w:t>
        </w:r>
        <w:r>
          <w:rPr>
            <w:rStyle w:val="Hyperlink"/>
          </w:rPr>
          <w:t>myintracomm</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budgweb</w:t>
        </w:r>
        <w:r>
          <w:rPr>
            <w:rStyle w:val="Hyperlink"/>
            <w:lang w:val="ru-RU"/>
          </w:rPr>
          <w:t>/</w:t>
        </w:r>
        <w:r>
          <w:rPr>
            <w:rStyle w:val="Hyperlink"/>
          </w:rPr>
          <w:t>EN</w:t>
        </w:r>
        <w:r>
          <w:rPr>
            <w:rStyle w:val="Hyperlink"/>
            <w:lang w:val="ru-RU"/>
          </w:rPr>
          <w:t>/</w:t>
        </w:r>
        <w:r>
          <w:rPr>
            <w:rStyle w:val="Hyperlink"/>
          </w:rPr>
          <w:t>man</w:t>
        </w:r>
        <w:r>
          <w:rPr>
            <w:rStyle w:val="Hyperlink"/>
            <w:lang w:val="ru-RU"/>
          </w:rPr>
          <w:t>/</w:t>
        </w:r>
        <w:r>
          <w:rPr>
            <w:rStyle w:val="Hyperlink"/>
          </w:rPr>
          <w:t>budgmanag</w:t>
        </w:r>
        <w:r>
          <w:rPr>
            <w:rStyle w:val="Hyperlink"/>
            <w:lang w:val="ru-RU"/>
          </w:rPr>
          <w:t>/</w:t>
        </w:r>
        <w:r>
          <w:rPr>
            <w:rStyle w:val="Hyperlink"/>
          </w:rPr>
          <w:t>Pages</w:t>
        </w:r>
        <w:r>
          <w:rPr>
            <w:rStyle w:val="Hyperlink"/>
            <w:lang w:val="ru-RU"/>
          </w:rPr>
          <w:t>/</w:t>
        </w:r>
        <w:r>
          <w:rPr>
            <w:rStyle w:val="Hyperlink"/>
          </w:rPr>
          <w:t>budgmanag</w:t>
        </w:r>
        <w:r>
          <w:rPr>
            <w:rStyle w:val="Hyperlink"/>
            <w:lang w:val="ru-RU"/>
          </w:rPr>
          <w:t>.</w:t>
        </w:r>
        <w:r>
          <w:rPr>
            <w:rStyle w:val="Hyperlink"/>
          </w:rPr>
          <w:t>aspx</w:t>
        </w:r>
      </w:hyperlink>
      <w:r>
        <w:rPr>
          <w:lang w:val="ru-RU"/>
        </w:rPr>
        <w:t>.</w:t>
      </w:r>
    </w:p>
  </w:footnote>
  <w:footnote w:id="39">
    <w:p>
      <w:pPr>
        <w:ind w:left="720" w:hanging="720"/>
        <w:rPr>
          <w:sz w:val="20"/>
          <w:szCs w:val="20"/>
          <w:lang w:val="ru-RU"/>
        </w:rPr>
      </w:pPr>
      <w:r>
        <w:rPr>
          <w:rStyle w:val="FootnoteReference"/>
        </w:rPr>
        <w:footnoteRef/>
      </w:r>
      <w:r>
        <w:rPr>
          <w:lang w:val="ru-RU"/>
        </w:rPr>
        <w:tab/>
        <w:t xml:space="preserve">Посочените бюджетни стойности са ориентировъчни и не засягат бюджетните процедури след приемането на Многогодишната финансова рамка 2021—2027 г. </w:t>
      </w:r>
    </w:p>
  </w:footnote>
  <w:footnote w:id="40">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41">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42">
    <w:p>
      <w:pPr>
        <w:pStyle w:val="FootnoteText"/>
        <w:rPr>
          <w:szCs w:val="24"/>
          <w:lang w:val="ru-RU"/>
        </w:rPr>
      </w:pPr>
      <w:r>
        <w:rPr>
          <w:rStyle w:val="FootnoteReference"/>
        </w:rPr>
        <w:footnoteRef/>
      </w:r>
      <w:r>
        <w:rPr>
          <w:lang w:val="ru-RU"/>
        </w:rPr>
        <w:tab/>
        <w:t>Държави кандидатки и, ако е приложимо, потенциални кандидатки от Западните Балкани.</w:t>
      </w:r>
    </w:p>
  </w:footnote>
  <w:footnote w:id="43">
    <w:p>
      <w:pPr>
        <w:ind w:left="720" w:hanging="720"/>
        <w:rPr>
          <w:sz w:val="20"/>
          <w:szCs w:val="20"/>
          <w:lang w:val="ru-RU"/>
        </w:rPr>
      </w:pPr>
      <w:r>
        <w:rPr>
          <w:rStyle w:val="FootnoteReference"/>
        </w:rPr>
        <w:footnoteRef/>
      </w:r>
      <w:r>
        <w:rPr>
          <w:lang w:val="ru-RU"/>
        </w:rPr>
        <w:tab/>
      </w:r>
      <w:r>
        <w:rPr>
          <w:sz w:val="20"/>
          <w:szCs w:val="20"/>
          <w:lang w:val="ru-RU"/>
        </w:rPr>
        <w:t>Посочените бюджетни стойности са ориентировъчни и не засягат бюджетните процедури след приемането на Многогодишната финансова рамка 2021—2027 г.</w:t>
      </w:r>
    </w:p>
  </w:footnote>
  <w:footnote w:id="44">
    <w:p>
      <w:pPr>
        <w:pStyle w:val="FootnoteText"/>
        <w:rPr>
          <w:szCs w:val="24"/>
          <w:lang w:val="ru-RU"/>
        </w:rPr>
      </w:pPr>
      <w:r>
        <w:rPr>
          <w:rStyle w:val="FootnoteReference"/>
        </w:rPr>
        <w:footnoteRef/>
      </w:r>
      <w:r>
        <w:rPr>
          <w:lang w:val="ru-RU"/>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5">
    <w:p>
      <w:pPr>
        <w:pStyle w:val="FootnoteText"/>
        <w:rPr>
          <w:szCs w:val="24"/>
          <w:lang w:val="ru-RU"/>
        </w:rPr>
      </w:pPr>
      <w:r>
        <w:rPr>
          <w:rStyle w:val="FootnoteReference"/>
        </w:rPr>
        <w:footnoteRef/>
      </w:r>
      <w:r>
        <w:rPr>
          <w:lang w:val="ru-RU"/>
        </w:rPr>
        <w:tab/>
        <w:t>Съгласно описанието в точка 1.4.2. „Конкретни цели...“</w:t>
      </w:r>
    </w:p>
  </w:footnote>
  <w:footnote w:id="46">
    <w:p>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7">
    <w:p>
      <w:pPr>
        <w:pStyle w:val="FootnoteText"/>
        <w:rPr>
          <w:szCs w:val="24"/>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 w:id="48">
    <w:p>
      <w:pPr>
        <w:pStyle w:val="FootnoteText"/>
        <w:rPr>
          <w:szCs w:val="24"/>
          <w:lang w:val="ru-RU"/>
        </w:rPr>
      </w:pPr>
      <w:r>
        <w:rPr>
          <w:rStyle w:val="FootnoteReference"/>
        </w:rPr>
        <w:footnoteRef/>
      </w:r>
      <w:r>
        <w:rPr>
          <w:lang w:val="ru-RU"/>
        </w:rP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49">
    <w:p>
      <w:pPr>
        <w:pStyle w:val="FootnoteText"/>
        <w:rPr>
          <w:szCs w:val="24"/>
          <w:lang w:val="ru-RU"/>
        </w:rPr>
      </w:pPr>
      <w:r>
        <w:rPr>
          <w:rStyle w:val="FootnoteReference"/>
        </w:rPr>
        <w:footnoteRef/>
      </w:r>
      <w:r>
        <w:rPr>
          <w:lang w:val="ru-RU"/>
        </w:rPr>
        <w:tab/>
        <w:t>Вж. членове 11 и 17 от Регламент (</w:t>
      </w:r>
      <w:r>
        <w:t>EC</w:t>
      </w:r>
      <w:r>
        <w:rPr>
          <w:lang w:val="ru-RU"/>
        </w:rPr>
        <w:t>, Евратом) № 1311/2013 на Съвета за определяне на многогодишната финансова рамка за годините 2014—2020.</w:t>
      </w:r>
    </w:p>
  </w:footnote>
  <w:footnote w:id="50">
    <w:p>
      <w:pPr>
        <w:pStyle w:val="FootnoteText"/>
        <w:rPr>
          <w:szCs w:val="24"/>
          <w:lang w:val="ru-RU"/>
        </w:rPr>
      </w:pPr>
      <w:r>
        <w:rPr>
          <w:rStyle w:val="FootnoteReference"/>
        </w:rPr>
        <w:footnoteRef/>
      </w:r>
      <w:r>
        <w:rPr>
          <w:lang w:val="ru-RU"/>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w:t>
      </w:r>
      <w:r>
        <w:t> </w:t>
      </w:r>
      <w:r>
        <w:rPr>
          <w:lang w:val="ru-RU"/>
        </w:rPr>
        <w:t>%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E883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C2C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580E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48E1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8E2C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D4C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84E212"/>
    <w:lvl w:ilvl="0">
      <w:start w:val="1"/>
      <w:numFmt w:val="decimal"/>
      <w:pStyle w:val="ListNumber"/>
      <w:lvlText w:val="%1."/>
      <w:lvlJc w:val="left"/>
      <w:pPr>
        <w:tabs>
          <w:tab w:val="num" w:pos="360"/>
        </w:tabs>
        <w:ind w:left="360" w:hanging="360"/>
      </w:pPr>
    </w:lvl>
  </w:abstractNum>
  <w:abstractNum w:abstractNumId="7">
    <w:nsid w:val="FFFFFF89"/>
    <w:multiLevelType w:val="singleLevel"/>
    <w:tmpl w:val="7396D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5284920"/>
    <w:multiLevelType w:val="hybridMultilevel"/>
    <w:tmpl w:val="4F3C1990"/>
    <w:styleLink w:val="ImportedStyle6"/>
    <w:lvl w:ilvl="0" w:tplc="7B1C87AA">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8090001">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8090001">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8090003">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8090005">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2">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D54ACF"/>
    <w:multiLevelType w:val="hybridMultilevel"/>
    <w:tmpl w:val="1D26AC0C"/>
    <w:styleLink w:val="ImportedStyle5"/>
    <w:lvl w:ilvl="0" w:tplc="9B78C452">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2D2E8A5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5D3C1D48">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772359E">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EC78E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70C7C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7004BB22">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9703C86">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262A8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3"/>
    <w:lvlOverride w:ilvl="0">
      <w:startOverride w:val="1"/>
    </w:lvlOverride>
  </w:num>
  <w:num w:numId="16">
    <w:abstractNumId w:val="27"/>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lvlOverride w:ilvl="0">
      <w:startOverride w:val="1"/>
    </w:lvlOverride>
  </w:num>
  <w:num w:numId="24">
    <w:abstractNumId w:val="20"/>
  </w:num>
  <w:num w:numId="25">
    <w:abstractNumId w:val="13"/>
  </w:num>
  <w:num w:numId="26">
    <w:abstractNumId w:val="25"/>
  </w:num>
  <w:num w:numId="27">
    <w:abstractNumId w:val="12"/>
  </w:num>
  <w:num w:numId="28">
    <w:abstractNumId w:val="14"/>
  </w:num>
  <w:num w:numId="29">
    <w:abstractNumId w:val="10"/>
  </w:num>
  <w:num w:numId="30">
    <w:abstractNumId w:val="23"/>
  </w:num>
  <w:num w:numId="31">
    <w:abstractNumId w:val="9"/>
  </w:num>
  <w:num w:numId="32">
    <w:abstractNumId w:val="15"/>
  </w:num>
  <w:num w:numId="33">
    <w:abstractNumId w:val="18"/>
  </w:num>
  <w:num w:numId="34">
    <w:abstractNumId w:val="19"/>
  </w:num>
  <w:num w:numId="35">
    <w:abstractNumId w:val="11"/>
  </w:num>
  <w:num w:numId="36">
    <w:abstractNumId w:val="1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21:53:08"/>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9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F8B7BBEB-8404-49CF-861D-F5B1BCA1B2FB"/>
    <w:docVar w:name="LW_COVERPAGE_TYPE" w:val="1"/>
    <w:docVar w:name="LW_CROSSREFERENCE" w:val="&lt;UNUSED&gt;"/>
    <w:docVar w:name="LW_DocType" w:val="COM"/>
    <w:docVar w:name="LW_EMISSION" w:val="14.10.2020"/>
    <w:docVar w:name="LW_EMISSION_ISODATE" w:val="2020-10-14"/>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0"/>
    <w:docVar w:name="LW_REF.II.NEW.CP_YEAR" w:val="2020"/>
    <w:docVar w:name="LW_REF.INST.NEW" w:val="COM"/>
    <w:docVar w:name="LW_REF.INST.NEW_ADOPTED" w:val="final"/>
    <w:docVar w:name="LW_REF.INST.NEW_TEXT" w:val="(2020)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54?\u1073?\u1097?\u1072? \u1087?\u1088?\u1086?\u1075?\u1088?\u1072?\u1084?\u1072? \u1085?\u1072? \u1045?\u1074?\u1088?\u1086?\u1087?\u1077?\u1081?\u1089?\u1082?\u1080?\u1103? \u1089?\u1098?\u1102?\u1079? \u1079?\u1072? \u1076?\u1077?\u1081?\u1089?\u1090?\u1074?\u1080?\u1077? \u1079?\u1072? \u1086?\u1082?\u1086?\u1083?\u1085?\u1072?\u1090?\u1072? \u1089?\u1088?\u1077?\u1076?\u1072? \u1076?\u1086? 2030 \u1075?\u1086?\u1076?\u1080?\u1085?\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numbering" w:customStyle="1" w:styleId="ImportedStyle5">
    <w:name w:val="Imported Style 5"/>
    <w:pPr>
      <w:numPr>
        <w:numId w:val="1"/>
      </w:numPr>
    </w:pPr>
  </w:style>
  <w:style w:type="numbering" w:customStyle="1" w:styleId="ImportedStyle6">
    <w:name w:val="Imported Style 6"/>
    <w:pPr>
      <w:numPr>
        <w:numId w:val="2"/>
      </w:numPr>
    </w:pPr>
  </w:style>
  <w:style w:type="paragraph" w:customStyle="1" w:styleId="t">
    <w:name w:val="t"/>
    <w:basedOn w:val="CommentText"/>
    <w:rPr>
      <w:rFonts w:cs="Arial Unicode MS"/>
      <w:i/>
      <w:iCs/>
      <w:color w:val="000000"/>
      <w:sz w:val="24"/>
      <w:szCs w:val="24"/>
      <w:u w:color="000000"/>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7"/>
      </w:numPr>
      <w:contextualSpacing/>
    </w:pPr>
  </w:style>
  <w:style w:type="paragraph" w:styleId="ListBullet2">
    <w:name w:val="List Bullet 2"/>
    <w:basedOn w:val="Normal"/>
    <w:unhideWhenUsed/>
    <w:pPr>
      <w:numPr>
        <w:numId w:val="8"/>
      </w:numPr>
      <w:contextualSpacing/>
    </w:p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contextualSpacing/>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rPr>
      <w:rFonts w:ascii="Times New Roman" w:eastAsia="Arial Unicode MS" w:hAnsi="Times New Roman" w:cs="Times New Roman"/>
      <w:b/>
      <w:bCs/>
      <w:sz w:val="20"/>
      <w:szCs w:val="20"/>
      <w:bdr w:val="nil"/>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ListBullet1">
    <w:name w:val="List Bullet 1"/>
    <w:basedOn w:val="Normal"/>
    <w:pPr>
      <w:numPr>
        <w:numId w:val="18"/>
      </w:numPr>
    </w:pPr>
    <w:rPr>
      <w:lang w:eastAsia="en-GB"/>
    </w:rPr>
  </w:style>
  <w:style w:type="paragraph" w:customStyle="1" w:styleId="ListDash1">
    <w:name w:val="List Dash 1"/>
    <w:basedOn w:val="Normal"/>
    <w:pPr>
      <w:numPr>
        <w:numId w:val="19"/>
      </w:numPr>
    </w:pPr>
    <w:rPr>
      <w:lang w:eastAsia="en-GB"/>
    </w:rPr>
  </w:style>
  <w:style w:type="paragraph" w:customStyle="1" w:styleId="ListDash2">
    <w:name w:val="List Dash 2"/>
    <w:basedOn w:val="Normal"/>
    <w:pPr>
      <w:numPr>
        <w:numId w:val="20"/>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jc w:val="left"/>
    </w:pPr>
    <w:rPr>
      <w:rFonts w:eastAsia="Times New Roman"/>
      <w:szCs w:val="24"/>
      <w:lang w:eastAsia="en-GB"/>
    </w:rPr>
  </w:style>
  <w:style w:type="paragraph" w:customStyle="1" w:styleId="xmsolistparagraph">
    <w:name w:val="x_msolistparagraph"/>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numbering" w:customStyle="1" w:styleId="ImportedStyle5">
    <w:name w:val="Imported Style 5"/>
    <w:pPr>
      <w:numPr>
        <w:numId w:val="1"/>
      </w:numPr>
    </w:pPr>
  </w:style>
  <w:style w:type="numbering" w:customStyle="1" w:styleId="ImportedStyle6">
    <w:name w:val="Imported Style 6"/>
    <w:pPr>
      <w:numPr>
        <w:numId w:val="2"/>
      </w:numPr>
    </w:pPr>
  </w:style>
  <w:style w:type="paragraph" w:customStyle="1" w:styleId="t">
    <w:name w:val="t"/>
    <w:basedOn w:val="CommentText"/>
    <w:rPr>
      <w:rFonts w:cs="Arial Unicode MS"/>
      <w:i/>
      <w:iCs/>
      <w:color w:val="000000"/>
      <w:sz w:val="24"/>
      <w:szCs w:val="24"/>
      <w:u w:color="000000"/>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7"/>
      </w:numPr>
      <w:contextualSpacing/>
    </w:pPr>
  </w:style>
  <w:style w:type="paragraph" w:styleId="ListBullet2">
    <w:name w:val="List Bullet 2"/>
    <w:basedOn w:val="Normal"/>
    <w:unhideWhenUsed/>
    <w:pPr>
      <w:numPr>
        <w:numId w:val="8"/>
      </w:numPr>
      <w:contextualSpacing/>
    </w:p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contextualSpacing/>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rPr>
      <w:rFonts w:ascii="Times New Roman" w:eastAsia="Arial Unicode MS" w:hAnsi="Times New Roman" w:cs="Times New Roman"/>
      <w:b/>
      <w:bCs/>
      <w:sz w:val="20"/>
      <w:szCs w:val="20"/>
      <w:bdr w:val="nil"/>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ListBullet1">
    <w:name w:val="List Bullet 1"/>
    <w:basedOn w:val="Normal"/>
    <w:pPr>
      <w:numPr>
        <w:numId w:val="18"/>
      </w:numPr>
    </w:pPr>
    <w:rPr>
      <w:lang w:eastAsia="en-GB"/>
    </w:rPr>
  </w:style>
  <w:style w:type="paragraph" w:customStyle="1" w:styleId="ListDash1">
    <w:name w:val="List Dash 1"/>
    <w:basedOn w:val="Normal"/>
    <w:pPr>
      <w:numPr>
        <w:numId w:val="19"/>
      </w:numPr>
    </w:pPr>
    <w:rPr>
      <w:lang w:eastAsia="en-GB"/>
    </w:rPr>
  </w:style>
  <w:style w:type="paragraph" w:customStyle="1" w:styleId="ListDash2">
    <w:name w:val="List Dash 2"/>
    <w:basedOn w:val="Normal"/>
    <w:pPr>
      <w:numPr>
        <w:numId w:val="20"/>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jc w:val="left"/>
    </w:pPr>
    <w:rPr>
      <w:rFonts w:eastAsia="Times New Roman"/>
      <w:szCs w:val="24"/>
      <w:lang w:eastAsia="en-GB"/>
    </w:rPr>
  </w:style>
  <w:style w:type="paragraph" w:customStyle="1" w:styleId="xmsolistparagraph">
    <w:name w:val="x_msolistparagraph"/>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159">
      <w:bodyDiv w:val="1"/>
      <w:marLeft w:val="0"/>
      <w:marRight w:val="0"/>
      <w:marTop w:val="0"/>
      <w:marBottom w:val="0"/>
      <w:divBdr>
        <w:top w:val="none" w:sz="0" w:space="0" w:color="auto"/>
        <w:left w:val="none" w:sz="0" w:space="0" w:color="auto"/>
        <w:bottom w:val="none" w:sz="0" w:space="0" w:color="auto"/>
        <w:right w:val="none" w:sz="0" w:space="0" w:color="auto"/>
      </w:divBdr>
    </w:div>
    <w:div w:id="64768329">
      <w:bodyDiv w:val="1"/>
      <w:marLeft w:val="0"/>
      <w:marRight w:val="0"/>
      <w:marTop w:val="0"/>
      <w:marBottom w:val="0"/>
      <w:divBdr>
        <w:top w:val="none" w:sz="0" w:space="0" w:color="auto"/>
        <w:left w:val="none" w:sz="0" w:space="0" w:color="auto"/>
        <w:bottom w:val="none" w:sz="0" w:space="0" w:color="auto"/>
        <w:right w:val="none" w:sz="0" w:space="0" w:color="auto"/>
      </w:divBdr>
    </w:div>
    <w:div w:id="720249822">
      <w:bodyDiv w:val="1"/>
      <w:marLeft w:val="0"/>
      <w:marRight w:val="0"/>
      <w:marTop w:val="0"/>
      <w:marBottom w:val="0"/>
      <w:divBdr>
        <w:top w:val="none" w:sz="0" w:space="0" w:color="auto"/>
        <w:left w:val="none" w:sz="0" w:space="0" w:color="auto"/>
        <w:bottom w:val="none" w:sz="0" w:space="0" w:color="auto"/>
        <w:right w:val="none" w:sz="0" w:space="0" w:color="auto"/>
      </w:divBdr>
      <w:divsChild>
        <w:div w:id="1246376704">
          <w:marLeft w:val="208"/>
          <w:marRight w:val="0"/>
          <w:marTop w:val="15"/>
          <w:marBottom w:val="0"/>
          <w:divBdr>
            <w:top w:val="none" w:sz="0" w:space="0" w:color="auto"/>
            <w:left w:val="none" w:sz="0" w:space="0" w:color="auto"/>
            <w:bottom w:val="none" w:sz="0" w:space="0" w:color="auto"/>
            <w:right w:val="none" w:sz="0" w:space="0" w:color="auto"/>
          </w:divBdr>
          <w:divsChild>
            <w:div w:id="1007947986">
              <w:marLeft w:val="0"/>
              <w:marRight w:val="0"/>
              <w:marTop w:val="0"/>
              <w:marBottom w:val="0"/>
              <w:divBdr>
                <w:top w:val="none" w:sz="0" w:space="0" w:color="auto"/>
                <w:left w:val="none" w:sz="0" w:space="0" w:color="auto"/>
                <w:bottom w:val="none" w:sz="0" w:space="0" w:color="auto"/>
                <w:right w:val="none" w:sz="0" w:space="0" w:color="auto"/>
              </w:divBdr>
              <w:divsChild>
                <w:div w:id="1626154404">
                  <w:marLeft w:val="0"/>
                  <w:marRight w:val="0"/>
                  <w:marTop w:val="0"/>
                  <w:marBottom w:val="0"/>
                  <w:divBdr>
                    <w:top w:val="none" w:sz="0" w:space="0" w:color="auto"/>
                    <w:left w:val="none" w:sz="0" w:space="0" w:color="auto"/>
                    <w:bottom w:val="none" w:sz="0" w:space="0" w:color="auto"/>
                    <w:right w:val="none" w:sz="0" w:space="0" w:color="auto"/>
                  </w:divBdr>
                </w:div>
                <w:div w:id="5920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9599">
      <w:bodyDiv w:val="1"/>
      <w:marLeft w:val="0"/>
      <w:marRight w:val="0"/>
      <w:marTop w:val="0"/>
      <w:marBottom w:val="0"/>
      <w:divBdr>
        <w:top w:val="none" w:sz="0" w:space="0" w:color="auto"/>
        <w:left w:val="none" w:sz="0" w:space="0" w:color="auto"/>
        <w:bottom w:val="none" w:sz="0" w:space="0" w:color="auto"/>
        <w:right w:val="none" w:sz="0" w:space="0" w:color="auto"/>
      </w:divBdr>
    </w:div>
    <w:div w:id="16413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p.org/content/undp/en/home/sustainable-development-goals.html"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c.europa.eu/clima/policies/international/negotiations/paris/index_bg.htm" TargetMode="Externa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esc.europa.eu/bg/our-work/opinions-information-reports/opinions/reflection-paper-towards-sustainable-europe-2030" TargetMode="External"/><Relationship Id="rId2" Type="http://schemas.openxmlformats.org/officeDocument/2006/relationships/hyperlink" Target="https://data.consilium.europa.eu/doc/document/ST-10414-2019-INIT/bg/pdf" TargetMode="External"/><Relationship Id="rId1" Type="http://schemas.openxmlformats.org/officeDocument/2006/relationships/hyperlink" Target="https://unfccc.int/sites/default/files/resource/HR-03-06-2020%20EU%20Submission%20on%20Long%20term%20strategy.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c.europa.eu/environment/legal/reporting/fc_actions_en.htm" TargetMode="External"/><Relationship Id="rId4" Type="http://schemas.openxmlformats.org/officeDocument/2006/relationships/hyperlink" Target="https://www.eea.europa.eu/publications/environmental-indicator-report-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1E65C3-A531-4138-98E2-0878DF01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40</Pages>
  <Words>12481</Words>
  <Characters>71521</Characters>
  <Application>Microsoft Office Word</Application>
  <DocSecurity>0</DocSecurity>
  <Lines>2235</Lines>
  <Paragraphs>1012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2020-10-11T12:01:00Z</cp:lastPrinted>
  <dcterms:created xsi:type="dcterms:W3CDTF">2020-10-26T10:03:00Z</dcterms:created>
  <dcterms:modified xsi:type="dcterms:W3CDTF">2020-10-29T20:53:00Z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