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28A878-DA06-4F71-899A-9B2928C0D725" style="width:451pt;height:365.5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Международния съвет за захарта („МСЗ“) във връзка с присъединяването на Обединеното кралство към </w:t>
      </w:r>
      <w:r>
        <w:rPr>
          <w:b/>
          <w:noProof/>
        </w:rPr>
        <w:t>Международното споразумение за захарта от 1992 г.</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Международното споразумение за захарта от 1992 г.</w:t>
      </w:r>
    </w:p>
    <w:p>
      <w:pPr>
        <w:rPr>
          <w:rFonts w:eastAsia="Arial Unicode MS"/>
          <w:noProof/>
        </w:rPr>
      </w:pPr>
      <w:r>
        <w:rPr>
          <w:noProof/>
        </w:rPr>
        <w:t>Целта на Международното споразумение за захарта от 1992 г.</w:t>
      </w:r>
      <w:r>
        <w:rPr>
          <w:rStyle w:val="FootnoteReference"/>
          <w:rFonts w:eastAsia="Arial Unicode MS"/>
          <w:noProof/>
        </w:rPr>
        <w:footnoteReference w:id="1"/>
      </w:r>
      <w:r>
        <w:rPr>
          <w:noProof/>
        </w:rPr>
        <w:t xml:space="preserve"> (наричано по-долу „споразумението“) е засилване на международното сътрудничество по въпросите с пряко или непряко отношение към световната захарна промишленост, създаване на рамка за междуправителствени консултации по въпросите на захарта и начините да се подобри световната захарна промишленост, улесняване на търговията чрез събиране и предоставяне на информация за световния пазар на захар и други подсладители и насърчаване на търсенето на захар, по-специално за нетрадиционни начини на употреба.</w:t>
      </w:r>
    </w:p>
    <w:p>
      <w:pPr>
        <w:rPr>
          <w:rFonts w:eastAsia="Arial Unicode MS"/>
          <w:noProof/>
        </w:rPr>
      </w:pPr>
      <w:r>
        <w:rPr>
          <w:noProof/>
        </w:rPr>
        <w:t xml:space="preserve">Споразумението влезе в сила на 1 януари 1993 г. </w:t>
      </w:r>
    </w:p>
    <w:p>
      <w:pPr>
        <w:rPr>
          <w:rFonts w:eastAsia="Arial Unicode MS"/>
          <w:noProof/>
        </w:rPr>
      </w:pPr>
      <w:r>
        <w:rPr>
          <w:noProof/>
        </w:rPr>
        <w:t>Съюзът е страна по споразумението</w:t>
      </w:r>
      <w:r>
        <w:rPr>
          <w:rStyle w:val="FootnoteReference"/>
          <w:rFonts w:eastAsia="Arial Unicode MS"/>
          <w:noProof/>
        </w:rPr>
        <w:footnoteReference w:id="2"/>
      </w:r>
      <w:r>
        <w:rPr>
          <w:noProof/>
        </w:rPr>
        <w:t>.</w:t>
      </w:r>
    </w:p>
    <w:p>
      <w:pPr>
        <w:pStyle w:val="ManualHeading2"/>
        <w:rPr>
          <w:noProof/>
        </w:rPr>
      </w:pPr>
      <w:r>
        <w:t>2.2.</w:t>
      </w:r>
      <w:r>
        <w:tab/>
      </w:r>
      <w:r>
        <w:rPr>
          <w:noProof/>
        </w:rPr>
        <w:t>Международна организация за захарта</w:t>
      </w:r>
    </w:p>
    <w:p>
      <w:pPr>
        <w:rPr>
          <w:noProof/>
        </w:rPr>
      </w:pPr>
      <w:r>
        <w:rPr>
          <w:noProof/>
        </w:rPr>
        <w:t>Международна организация за захарта („МОЗ“) е междуправителствена организация със седалище в Лондон, която прилага споразумението и работи за постигането на целите по член 1 от него.</w:t>
      </w:r>
    </w:p>
    <w:p>
      <w:pPr>
        <w:rPr>
          <w:rFonts w:eastAsia="Arial Unicode MS"/>
          <w:noProof/>
        </w:rPr>
      </w:pPr>
      <w:r>
        <w:rPr>
          <w:noProof/>
        </w:rPr>
        <w:t>Тези цели се преследват чрез подобряване на прозрачността на пазара благодарение на събирането и публикуването на статистическа информация и проучвания относно световното производство, цените, износа и вноса, потреблението и запасите от захар.</w:t>
      </w:r>
    </w:p>
    <w:p>
      <w:pPr>
        <w:rPr>
          <w:noProof/>
        </w:rPr>
      </w:pPr>
      <w:r>
        <w:rPr>
          <w:noProof/>
        </w:rPr>
        <w:t xml:space="preserve">Понастоящем в МОЗ членуват 87 държави и организации. Сред тях фигурират много от най-крупните производители и вносители на захар в света. Освен Съюза, нейни членове са, наред с други, Бразилия, Индия, Тайланд, Австралия, Руската федерация и Куба. Последната присъединила се към МОЗ държава бе Шри Ланка, която стана член на 6 август 2013 г. 87-те членове на МОЗ имат общо 2000 гласа. </w:t>
      </w:r>
    </w:p>
    <w:p>
      <w:pPr>
        <w:rPr>
          <w:noProof/>
        </w:rPr>
      </w:pPr>
      <w:r>
        <w:rPr>
          <w:noProof/>
        </w:rPr>
        <w:t>За бюджетните процедури (вж. член 25 от споразумението), т.е. за определянето на годишните вноски от членовете, през 2020 г. Съюзът разполага с 538 гласа</w:t>
      </w:r>
      <w:r>
        <w:rPr>
          <w:rStyle w:val="FootnoteReference"/>
          <w:rFonts w:eastAsia="Arial Unicode MS"/>
          <w:noProof/>
        </w:rPr>
        <w:footnoteReference w:id="3"/>
      </w:r>
      <w:r>
        <w:rPr>
          <w:noProof/>
        </w:rPr>
        <w:t xml:space="preserve">. Броят на гласовете се определя в съответствие с член 25 и се коригира ежегодно въз основа на промяната в частта на всеки член в общата стойност на съставните основи за тонаж спрямо тази за същото членство за предходната година. Съставният тонаж се изчислява като 35 % от износа на члена за свободния пазар плюс 15 % от общия износ на този член при специалeн режим плюс 35 % от вноса на този член на свободния пазар плюс 15 % от общия внос на този член при специален режим. При изчислението на </w:t>
      </w:r>
      <w:r>
        <w:rPr>
          <w:noProof/>
        </w:rPr>
        <w:lastRenderedPageBreak/>
        <w:t xml:space="preserve">съставната основа за тонаж на всеки член се използват, за всяка гореспомената категория, усреднените данни в категорията за трите най-силни години от последните четири години, включени в последното издание на „Годишник на захарта“ на Организацията. </w:t>
      </w:r>
    </w:p>
    <w:p>
      <w:pPr>
        <w:rPr>
          <w:noProof/>
        </w:rPr>
      </w:pPr>
      <w:r>
        <w:rPr>
          <w:noProof/>
        </w:rPr>
        <w:t xml:space="preserve">При вземането на решения правата на глас се разпределят съгласно член 11 от Международното споразумение за захарта, като при това се взема предвид преразпределението на гласовете на членовете, чието право на глас е спряно поради неплащане на вноската им в административния бюджет. Съгласно последното разпределение на гласовете по член 11 Европейският съюз има 697 гласа. </w:t>
      </w:r>
    </w:p>
    <w:p>
      <w:pPr>
        <w:rPr>
          <w:rFonts w:eastAsia="Arial Unicode MS"/>
          <w:noProof/>
        </w:rPr>
      </w:pPr>
      <w:r>
        <w:rPr>
          <w:noProof/>
        </w:rPr>
        <w:t>На заседанията на МОЗ Съюзът се представлява от Комисията по силата на член 17 от ДЕС. Държавите членки могат да присъстват на заседанията на МОЗ, и по-специално на сесиите на МСЗ.</w:t>
      </w:r>
    </w:p>
    <w:p>
      <w:pPr>
        <w:pStyle w:val="ManualHeading2"/>
        <w:rPr>
          <w:noProof/>
        </w:rPr>
      </w:pPr>
      <w:r>
        <w:t>2.3.</w:t>
      </w:r>
      <w:r>
        <w:tab/>
      </w:r>
      <w:r>
        <w:rPr>
          <w:noProof/>
        </w:rPr>
        <w:t>Предвиденият акт на Международния съвет по захарта (МСЗ)</w:t>
      </w:r>
    </w:p>
    <w:p>
      <w:pPr>
        <w:rPr>
          <w:rFonts w:eastAsia="Arial Unicode MS"/>
          <w:noProof/>
        </w:rPr>
      </w:pPr>
      <w:r>
        <w:rPr>
          <w:noProof/>
        </w:rPr>
        <w:t>На 2 октомври 2020 г. Обединеното кралство</w:t>
      </w:r>
      <w:r>
        <w:rPr>
          <w:rStyle w:val="FootnoteReference"/>
          <w:rFonts w:eastAsia="Arial Unicode MS"/>
          <w:noProof/>
        </w:rPr>
        <w:footnoteReference w:id="4"/>
      </w:r>
      <w:r>
        <w:rPr>
          <w:noProof/>
        </w:rPr>
        <w:t xml:space="preserve"> официално подаде молба за присъединяване към споразумението. На 9 октомври 2020 г. секретариатът на МОЗ информира членовете си относно кандидатурата на Обединеното кралство. Обединеното кралство кандидатства за членство в МОЗ от 1 януари 2021 г., т.е. след изтичането на преходния период, следващ оттеглянето на Обединеното кралство от Европейския съюз.</w:t>
      </w:r>
    </w:p>
    <w:p>
      <w:pPr>
        <w:rPr>
          <w:rFonts w:eastAsia="Arial Unicode MS"/>
          <w:noProof/>
        </w:rPr>
      </w:pPr>
      <w:r>
        <w:rPr>
          <w:noProof/>
        </w:rPr>
        <w:t>Съгласно член 8 от споразумението МСЗ изпълнява или гарантира изпълнението на всички функции, необходими за прилагането на разпоредбите на споразумението.</w:t>
      </w:r>
    </w:p>
    <w:p>
      <w:pPr>
        <w:rPr>
          <w:rFonts w:eastAsia="Arial Unicode MS"/>
          <w:noProof/>
        </w:rPr>
      </w:pPr>
      <w:r>
        <w:rPr>
          <w:noProof/>
        </w:rPr>
        <w:t>Съгласно член 41 от споразумението присъединяването е отворено за правителствата на всички държави, при условията, които МСЗ счете за целесъобразни. Съгласно член 25, параграф 4 от споразумението в случай на присъединяване на член след влизането в сила на споразумението, когато присъединяващият се член не е посочен в приложението към споразумението, МСЗ решава броя на гласовете, които да бъдат разпределени на този член. След като присъединяващият се член приеме броя на гласовете, разпределени от МСЗ, гласовете на съществуващите членове се преизчисляват така, че общият брой гласове да остане 2000. Въз основа на настоящото разпределение на гласовете разпределените на Обединеното кралство гласове ще бъдат 55 и ще се приспаднат от гласовете, разпределени на Европейския съюз в съответствие с член 25 от споразумението. Следователно финансовото участие на Европейския съюз ще бъде съответно намалено за финансовата 2021 година.</w:t>
      </w:r>
    </w:p>
    <w:p>
      <w:pPr>
        <w:rPr>
          <w:rFonts w:eastAsia="Arial Unicode MS"/>
          <w:noProof/>
        </w:rPr>
      </w:pPr>
      <w:r>
        <w:rPr>
          <w:noProof/>
        </w:rPr>
        <w:t>Преди уведомлението от 9 октомври 2020 г.</w:t>
      </w:r>
      <w:r>
        <w:rPr>
          <w:rStyle w:val="FootnoteReference"/>
          <w:rFonts w:eastAsia="Arial Unicode MS"/>
          <w:noProof/>
        </w:rPr>
        <w:footnoteReference w:id="5"/>
      </w:r>
      <w:r>
        <w:rPr>
          <w:noProof/>
        </w:rPr>
        <w:t xml:space="preserve">, публикувано от секретариата на МОЗ, относно писмото от 2 октомври 2020 г. на правителството на Обединеното кралство Великобритания и Северна Ирландия, в рамките на Административния комитет на МОЗ или на заседанията на МСЗ не е провеждана официална дискусия относно кандидатурата на Обединеното кралство. По време на своята 57-а сесия на 27 ноември 2020 г. МСЗ ще определи условията за присъединяване на Обединеното кралство Великобритания и Северна Ирландия в съответствие с член 41 от споразумението. </w:t>
      </w:r>
    </w:p>
    <w:p>
      <w:pPr>
        <w:keepNext/>
        <w:outlineLvl w:val="1"/>
        <w:rPr>
          <w:rFonts w:eastAsia="Arial Unicode MS"/>
          <w:b/>
          <w:bCs/>
          <w:noProof/>
          <w:szCs w:val="26"/>
        </w:rPr>
      </w:pPr>
      <w:r>
        <w:rPr>
          <w:b/>
          <w:bCs/>
          <w:noProof/>
          <w:szCs w:val="26"/>
        </w:rPr>
        <w:t>Споразумението за оттегляне</w:t>
      </w:r>
    </w:p>
    <w:p>
      <w:pPr>
        <w:rPr>
          <w:noProof/>
        </w:rPr>
      </w:pPr>
      <w:r>
        <w:rPr>
          <w:noProof/>
        </w:rPr>
        <w:t xml:space="preserve">В съответствие с член 129, параграф 2 от Споразумението за оттегляне на Обединеното кралство Великобритания и Северна Ирландия от Европейския съюз и Европейската </w:t>
      </w:r>
      <w:r>
        <w:rPr>
          <w:noProof/>
        </w:rPr>
        <w:lastRenderedPageBreak/>
        <w:t>общност за атомна енергия</w:t>
      </w:r>
      <w:r>
        <w:rPr>
          <w:rStyle w:val="FootnoteReference"/>
          <w:noProof/>
        </w:rPr>
        <w:footnoteReference w:id="6"/>
      </w:r>
      <w:r>
        <w:rPr>
          <w:noProof/>
        </w:rPr>
        <w:t xml:space="preserve"> („Споразумението за оттегляне“) по време на преходния период Съюзът ще продължи да представлява Обединеното кралство в работата на всеки орган, създаден по силата на сключените от Съюза международни споразумения. По време на преходния период Обединеното кралство трябва да се въздържа от каквито и да било действия или инициативи, които могат да засегнат интересите на Съюза. Въпреки това съгласно член 129, параграф 4 от Споразумението за оттегляне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областите на изключителна компетентност на Съюза, при условие че тези споразумения не влизат в сила нито се прилагат по време на преходния период.</w:t>
      </w:r>
    </w:p>
    <w:p>
      <w:pPr>
        <w:pStyle w:val="ManualHeading1"/>
        <w:rPr>
          <w:rFonts w:eastAsia="Arial Unicode MS"/>
          <w:noProof/>
        </w:rPr>
      </w:pPr>
      <w:r>
        <w:t>3.</w:t>
      </w:r>
      <w:r>
        <w:tab/>
      </w:r>
      <w:r>
        <w:rPr>
          <w:noProof/>
        </w:rPr>
        <w:t>Позиция, която трябва да се заеме от името на Съюза</w:t>
      </w:r>
    </w:p>
    <w:p>
      <w:pPr>
        <w:pBdr>
          <w:top w:val="nil"/>
          <w:left w:val="nil"/>
          <w:bottom w:val="nil"/>
          <w:right w:val="nil"/>
          <w:between w:val="nil"/>
          <w:bar w:val="nil"/>
        </w:pBdr>
        <w:spacing w:before="0" w:after="240"/>
        <w:rPr>
          <w:rFonts w:eastAsia="Arial Unicode MS"/>
          <w:noProof/>
        </w:rPr>
      </w:pPr>
      <w:r>
        <w:rPr>
          <w:b/>
          <w:noProof/>
        </w:rPr>
        <w:t>Международното споразумение за захарта от 1992 г.</w:t>
      </w:r>
      <w:r>
        <w:rPr>
          <w:noProof/>
        </w:rPr>
        <w:t xml:space="preserve"> бе сключено от Съюза с Решение 92/580/EИO на Съвета</w:t>
      </w:r>
      <w:r>
        <w:rPr>
          <w:rStyle w:val="FootnoteReference"/>
          <w:noProof/>
        </w:rPr>
        <w:footnoteReference w:id="7"/>
      </w:r>
      <w:r>
        <w:rPr>
          <w:noProof/>
        </w:rPr>
        <w:t xml:space="preserve"> за срок до 31 декември 1995 г. При всяко изтичане на срока на действие на споразумението, той бе удължаван за период от най-много две години, в съответствие с член 45, параграф 2 от споразумението. На 19 юли 2019 г. МСЗ взе решение за удължаване на срока на действие на споразумението с две години — до 31 декември 2021 г.</w:t>
      </w:r>
      <w:r>
        <w:rPr>
          <w:rStyle w:val="FootnoteReference"/>
          <w:rFonts w:eastAsia="Arial Unicode MS"/>
          <w:noProof/>
          <w:lang w:eastAsia="en-GB"/>
        </w:rPr>
        <w:footnoteReference w:id="8"/>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Съюзът винаги е бил активен член на МОЗ и подкрепя разширяването на организацията. </w:t>
      </w:r>
    </w:p>
    <w:p>
      <w:pPr>
        <w:pBdr>
          <w:top w:val="nil"/>
          <w:left w:val="nil"/>
          <w:bottom w:val="nil"/>
          <w:right w:val="nil"/>
          <w:between w:val="nil"/>
          <w:bar w:val="nil"/>
        </w:pBdr>
        <w:spacing w:before="0" w:after="240"/>
        <w:rPr>
          <w:rFonts w:eastAsia="Arial Unicode MS"/>
          <w:noProof/>
        </w:rPr>
      </w:pPr>
      <w:r>
        <w:rPr>
          <w:noProof/>
        </w:rPr>
        <w:t>Обединеното кралство е важен производител на селскостопански продукти, включително захар — основния продукт, обхванат от МОЗ. Докато беше член на Съюза, Обединеното кралство извършваше значителна търговия със захар и съдържащи захар продукти с другите държави — членки на ЕС.</w:t>
      </w:r>
    </w:p>
    <w:p>
      <w:pPr>
        <w:pBdr>
          <w:top w:val="nil"/>
          <w:left w:val="nil"/>
          <w:bottom w:val="nil"/>
          <w:right w:val="nil"/>
          <w:between w:val="nil"/>
          <w:bar w:val="nil"/>
        </w:pBdr>
        <w:spacing w:before="0" w:after="240"/>
        <w:rPr>
          <w:rFonts w:eastAsia="Arial Unicode MS"/>
          <w:noProof/>
        </w:rPr>
      </w:pPr>
      <w:r>
        <w:rPr>
          <w:noProof/>
        </w:rPr>
        <w:t xml:space="preserve">По време на преходния период, следващ оттеглянето на Обединеното кралство от Съюза, Обединеното кралство продължава да бъде обвързано от международните споразумения на Съюза и Съюзът ще продължи да представлява Обединеното кралство в рамките на МОЗ. </w:t>
      </w:r>
    </w:p>
    <w:p>
      <w:pPr>
        <w:pBdr>
          <w:top w:val="nil"/>
          <w:left w:val="nil"/>
          <w:bottom w:val="nil"/>
          <w:right w:val="nil"/>
          <w:between w:val="nil"/>
          <w:bar w:val="nil"/>
        </w:pBdr>
        <w:spacing w:before="0" w:after="240"/>
        <w:rPr>
          <w:rFonts w:eastAsia="Arial Unicode MS"/>
          <w:noProof/>
        </w:rPr>
      </w:pPr>
      <w:r>
        <w:rPr>
          <w:noProof/>
        </w:rPr>
        <w:t>В съответствие с член 26, параграф 1 от споразумението годишните финансови вноски на членовете стават дължими на първия ден от финансовата година, докато вноските на членовете за годината, в която те се присъединяват към МОЗ, стават дължими на датата, на която стават членове. Поради това Съюзът плаща своите годишни вноски на МОЗ в началото на януари за цялата съответна финансова година, която започва през януари и приключва през декември. Вноската на Съюза за 2020 г. бе платена от бюджета на Съюза за 2020 г., за който Обединеното кралство също допринася. Вследствие на това по отношение на цялата финансова 2020 година приносът на Съюза към МОЗ обхваща и Обединеното кралство. С присъединяването на Обединеното кралство на 1 януари 2021 г. вноската на Съюза в МОЗ за финансовата 2021 година вече няма да обхваща Обединеното кралство.</w:t>
      </w:r>
    </w:p>
    <w:p>
      <w:pPr>
        <w:pBdr>
          <w:top w:val="nil"/>
          <w:left w:val="nil"/>
          <w:bottom w:val="nil"/>
          <w:right w:val="nil"/>
          <w:between w:val="nil"/>
          <w:bar w:val="nil"/>
        </w:pBdr>
        <w:spacing w:before="0" w:after="240"/>
        <w:rPr>
          <w:rFonts w:eastAsia="Arial Unicode MS"/>
          <w:noProof/>
        </w:rPr>
      </w:pPr>
      <w:r>
        <w:rPr>
          <w:noProof/>
        </w:rPr>
        <w:lastRenderedPageBreak/>
        <w:t xml:space="preserve">Настоящото предложение цели да се установи позицията на Съюза в рамките на МОЗ относно присъединяването на Обединеното кралство към споразумението, считано от 1 януари 2021 г. Като се има предвид, че процедурата по присъединяване съгласно разпоредбите на споразумението подлежи на решение на МСЗ, позицията на Съюза ще бъде установена въз основа на член 218, параграф 9 от Договора за функционирането на Европейския съюз (ДФЕС).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 </w:t>
      </w:r>
    </w:p>
    <w:p>
      <w:pPr>
        <w:pStyle w:val="ManualHeading3"/>
        <w:rPr>
          <w:noProof/>
        </w:rPr>
      </w:pPr>
      <w:r>
        <w:t>4.1.2.</w:t>
      </w:r>
      <w:r>
        <w:tab/>
      </w:r>
      <w:r>
        <w:rPr>
          <w:noProof/>
        </w:rPr>
        <w:t>Приложение в конкретния случай</w:t>
      </w:r>
    </w:p>
    <w:p>
      <w:pPr>
        <w:rPr>
          <w:i/>
          <w:noProof/>
        </w:rPr>
      </w:pPr>
      <w:r>
        <w:rPr>
          <w:noProof/>
        </w:rPr>
        <w:t>Предвиденият акт на МСЗ ще доведе до увеличаване на броя на членовете на Международното споразумение за захарта от 1992 г. Предвиденият акт на МСЗ има правно действие, тъй като с него ще се установят условията за това присъединяване, по-специално с него ще се засегне балансът при вземане на решения в рамките на МСЗ, чиито решения и препоръките по принцип се приемат чрез консенсус. При липсата на консенсус решенията и препоръките се приемат с обикновено мнозинство, освен ако споразумението не предвижда специално гласуване</w:t>
      </w:r>
      <w:r>
        <w:rPr>
          <w:rStyle w:val="FootnoteReference"/>
          <w:noProof/>
        </w:rPr>
        <w:footnoteReference w:id="9"/>
      </w:r>
      <w:r>
        <w:rPr>
          <w:noProof/>
        </w:rPr>
        <w:t>, и са задължителни за неговите членове, както е посочено в член 13 от споразумението. Съответните финансови вноски на членовете също ще бъдат засегнати от разширяването на членството в Международното споразумение за захарта от 1992 г. Поради това трябва да бъде установена позицията на Съюза.</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w:t>
      </w:r>
      <w:r>
        <w:rPr>
          <w:noProof/>
        </w:rPr>
        <w:lastRenderedPageBreak/>
        <w:t>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 xml:space="preserve">Основната цел и съдържание на предвидения акт са свързани с търговията със селскостопански продукти. </w:t>
      </w:r>
    </w:p>
    <w:p>
      <w:pPr>
        <w:rPr>
          <w:noProof/>
        </w:rPr>
      </w:pPr>
      <w:r>
        <w:rPr>
          <w:noProof/>
        </w:rPr>
        <w:t>Поради това материалноправното основание за предложеното решение е член 207, параграф 4, първа линея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ДФЕС.</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трябва да се заеме от името на Европейския съюз в рамките на Международния съвет по захарта, относно присъединяването на Обединеното кралство към Международното споразумение за захарта от 1992 г.</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Международното споразумение за захарта от 1992 г. („споразумението“) бе сключено от Съюза с Решение 92/580/EИO на Съвета</w:t>
      </w:r>
      <w:r>
        <w:rPr>
          <w:rStyle w:val="FootnoteReference"/>
          <w:noProof/>
        </w:rPr>
        <w:footnoteReference w:id="10"/>
      </w:r>
      <w:r>
        <w:rPr>
          <w:noProof/>
        </w:rPr>
        <w:t xml:space="preserve"> и влезе в сила на 1 януари 1993 г. Първоначално споразумението бе сключено за период от три години.</w:t>
      </w:r>
    </w:p>
    <w:p>
      <w:pPr>
        <w:pStyle w:val="ManualConsidrant"/>
        <w:rPr>
          <w:noProof/>
        </w:rPr>
      </w:pPr>
      <w:r>
        <w:t>(2)</w:t>
      </w:r>
      <w:r>
        <w:tab/>
      </w:r>
      <w:r>
        <w:rPr>
          <w:noProof/>
        </w:rPr>
        <w:t>Съгласно член 45, параграф 2 от споразумението Международният съвет по захарта може да продължава срока на действие на споразумението с последователни периоди, всеки от които не превишава две години. От самото сключване на споразумението срокът на неговото действие редовно бе удължаван с допълнителни периоди от по две години. За последно срокът на действие на споразумението беше удължен с решение на Международния съвет по захарта от 10 юли 2019 г.</w:t>
      </w:r>
      <w:r>
        <w:rPr>
          <w:rStyle w:val="FootnoteReference"/>
          <w:noProof/>
        </w:rPr>
        <w:footnoteReference w:id="11"/>
      </w:r>
      <w:r>
        <w:rPr>
          <w:noProof/>
        </w:rPr>
        <w:t xml:space="preserve"> и то продължава да е в сила до 31 декември 2021 г.</w:t>
      </w:r>
    </w:p>
    <w:p>
      <w:pPr>
        <w:pStyle w:val="ManualConsidrant"/>
        <w:rPr>
          <w:noProof/>
        </w:rPr>
      </w:pPr>
      <w:r>
        <w:t>(3)</w:t>
      </w:r>
      <w:r>
        <w:tab/>
      </w:r>
      <w:r>
        <w:rPr>
          <w:noProof/>
        </w:rPr>
        <w:t>Съгласно член 41 от споразумението присъединяването към него е отворено за правителствата на всички държави при условията, установени от Международния съвет по захарта.</w:t>
      </w:r>
    </w:p>
    <w:p>
      <w:pPr>
        <w:pStyle w:val="ManualConsidrant"/>
        <w:rPr>
          <w:noProof/>
        </w:rPr>
      </w:pPr>
      <w:r>
        <w:t>(4)</w:t>
      </w:r>
      <w:r>
        <w:tab/>
      </w:r>
      <w:r>
        <w:rPr>
          <w:noProof/>
        </w:rPr>
        <w:t>На 2 октомври 2020 г. Обединеното кралство официално подаде молба за присъединяване към споразумението, считано от 1 януари 2021 г.</w:t>
      </w:r>
    </w:p>
    <w:p>
      <w:pPr>
        <w:pStyle w:val="ManualConsidrant"/>
        <w:rPr>
          <w:noProof/>
        </w:rPr>
      </w:pPr>
      <w:r>
        <w:t>(5)</w:t>
      </w:r>
      <w:r>
        <w:tab/>
      </w:r>
      <w:r>
        <w:rPr>
          <w:noProof/>
        </w:rPr>
        <w:t>По време на своята 57-а сесия на 27 ноември 2020 г. Международният съвет по захарта ще определи условията за присъединяване на Обединеното кралство Великобритания и Северна Ирландия в съответствие с член 41 от споразумението.</w:t>
      </w:r>
    </w:p>
    <w:p>
      <w:pPr>
        <w:pStyle w:val="ManualConsidrant"/>
        <w:rPr>
          <w:noProof/>
        </w:rPr>
      </w:pPr>
      <w:r>
        <w:t>(6)</w:t>
      </w:r>
      <w:r>
        <w:tab/>
      </w:r>
      <w:r>
        <w:rPr>
          <w:noProof/>
        </w:rPr>
        <w:t>Поради това е целесъобразно да се определи позицията, която трябва да се заеме от името на Съюза в рамките на Международния съвет по захарта.</w:t>
      </w:r>
    </w:p>
    <w:p>
      <w:pPr>
        <w:pStyle w:val="ManualConsidrant"/>
        <w:rPr>
          <w:noProof/>
        </w:rPr>
      </w:pPr>
      <w:r>
        <w:lastRenderedPageBreak/>
        <w:t>(7)</w:t>
      </w:r>
      <w:r>
        <w:tab/>
      </w:r>
      <w:r>
        <w:rPr>
          <w:noProof/>
        </w:rPr>
        <w:t>Обединеното кралство е основен производител на захар. Одобряването на присъединяването на Обединеното кралство към споразумението при условията, определени в настоящото решение, е в интерес на Съюза.</w:t>
      </w:r>
    </w:p>
    <w:p>
      <w:pPr>
        <w:pStyle w:val="ManualConsidrant"/>
        <w:rPr>
          <w:noProof/>
        </w:rPr>
      </w:pPr>
      <w:r>
        <w:t>(8)</w:t>
      </w:r>
      <w:r>
        <w:tab/>
      </w:r>
      <w:r>
        <w:rPr>
          <w:noProof/>
        </w:rPr>
        <w:t>Разпределените на Обединеното кралство гласове от датата на присъединяването му към споразумението ще бъдат приспаднати от гласовете, разпределени на Съюза в съответствие с член 25 от споразумението. Следователно финансовото участие на Европейския съюз ще бъде съответно намалено от финансовата 2021 година.</w:t>
      </w:r>
    </w:p>
    <w:p>
      <w:pPr>
        <w:pStyle w:val="ManualConsidrant"/>
        <w:rPr>
          <w:noProof/>
        </w:rPr>
      </w:pPr>
      <w:r>
        <w:t>(9)</w:t>
      </w:r>
      <w:r>
        <w:tab/>
      </w:r>
      <w:r>
        <w:rPr>
          <w:noProof/>
        </w:rPr>
        <w:t>Присъединяването на Обединеното кралство към споразумението следва да влезе в сила едва след края на преходния период, посочен в член 126 от Споразумението за оттегляне на Обединеното кралство Великобритания и Северна Ирландия от Европейския съюз и Европейската общност за атомна енергия, и споразумението не следва да се прилага временно по отношение на Обединеното кралство преди края на този период,</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 xml:space="preserve">Позицията, която трябва да се заеме от името на Съюза по време на 57-ата сесия на Международния съвет по захарта на 27 ноември 2020 г., е да се одобри присъединяването на Обединеното кралство към Международното споразумение за захарта от 1992 г. („споразумението“) при спазване на условията, установени в параграфи 2, 3 и 4. </w:t>
      </w:r>
    </w:p>
    <w:p>
      <w:pPr>
        <w:pStyle w:val="ManualNumPar1"/>
        <w:rPr>
          <w:noProof/>
        </w:rPr>
      </w:pPr>
      <w:r>
        <w:t>2.</w:t>
      </w:r>
      <w:r>
        <w:tab/>
      </w:r>
      <w:r>
        <w:rPr>
          <w:noProof/>
        </w:rPr>
        <w:t>Присъединяването не поражда действие и споразумението не се прилага временно по отношение на Обединеното кралство преди края на преходния период, посочен в член 126 от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p>
    <w:p>
      <w:pPr>
        <w:pStyle w:val="ManualNumPar1"/>
        <w:rPr>
          <w:noProof/>
        </w:rPr>
      </w:pPr>
      <w:r>
        <w:t>3.</w:t>
      </w:r>
      <w:r>
        <w:tab/>
      </w:r>
      <w:r>
        <w:rPr>
          <w:noProof/>
        </w:rPr>
        <w:t>От датата на присъединяването му към споразумението на Обединеното кралство ще бъде предоставен съответен брой гласове, определен съгласно член 25 от споразумението и установен по време на 57-ата сесия на Международния съвет по захарта на 27 ноември 2020 г., който ще бъде приспаднат от гласовете, разпределени на Европейския съюз.</w:t>
      </w:r>
    </w:p>
    <w:p>
      <w:pPr>
        <w:pStyle w:val="ManualNumPar1"/>
        <w:rPr>
          <w:noProof/>
        </w:rPr>
      </w:pPr>
      <w:r>
        <w:t>4.</w:t>
      </w:r>
      <w:r>
        <w:tab/>
      </w:r>
      <w:r>
        <w:rPr>
          <w:noProof/>
        </w:rPr>
        <w:t>Финансовото участие на Съюза ще бъде намалено в съответствие с член 25 от споразумението.</w:t>
      </w:r>
    </w:p>
    <w:p>
      <w:pPr>
        <w:pStyle w:val="Titrearticle"/>
        <w:rPr>
          <w:noProof/>
        </w:rPr>
      </w:pPr>
      <w:r>
        <w:rPr>
          <w:noProof/>
        </w:rPr>
        <w:t>Член 2</w:t>
      </w:r>
    </w:p>
    <w:p>
      <w:pPr>
        <w:keepNext/>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keepNext/>
        <w:rPr>
          <w:noProof/>
        </w:rPr>
        <w:sectPr>
          <w:footnotePr>
            <w:numRestart w:val="eachSect"/>
          </w:footnote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567"/>
        <w:gridCol w:w="3884"/>
        <w:gridCol w:w="1417"/>
        <w:gridCol w:w="1276"/>
        <w:gridCol w:w="283"/>
        <w:gridCol w:w="567"/>
        <w:gridCol w:w="1134"/>
      </w:tblGrid>
      <w:tr>
        <w:trPr>
          <w:trHeight w:val="355"/>
        </w:trPr>
        <w:tc>
          <w:tcPr>
            <w:tcW w:w="7144" w:type="dxa"/>
            <w:gridSpan w:val="4"/>
            <w:vMerge w:val="restart"/>
            <w:tcBorders>
              <w:top w:val="single" w:sz="6" w:space="0" w:color="auto"/>
              <w:left w:val="single" w:sz="6" w:space="0" w:color="auto"/>
              <w:bottom w:val="nil"/>
              <w:right w:val="single" w:sz="6" w:space="0" w:color="auto"/>
            </w:tcBorders>
            <w:hideMark/>
          </w:tcPr>
          <w:p>
            <w:pPr>
              <w:pStyle w:val="Fichefinanciretitretable"/>
              <w:keepNext/>
              <w:rPr>
                <w:noProof/>
              </w:rPr>
            </w:pPr>
            <w:r>
              <w:rPr>
                <w:noProof/>
              </w:rPr>
              <w:lastRenderedPageBreak/>
              <w:t>ФИНАНСОВА ОБОСНОВКА</w:t>
            </w: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Fin Stat/20/PSHMK/pl/62220293413793</w:t>
            </w:r>
          </w:p>
          <w:p>
            <w:pPr>
              <w:pStyle w:val="Fichefinanciretextetable"/>
              <w:keepNext/>
              <w:rPr>
                <w:noProof/>
              </w:rPr>
            </w:pPr>
          </w:p>
          <w:p>
            <w:pPr>
              <w:pStyle w:val="Fichefinanciretextetable"/>
              <w:keepNext/>
            </w:pPr>
            <w:r>
              <w:rPr>
                <w:noProof/>
              </w:rPr>
              <w:t xml:space="preserve">agri.ddg3.g.4(2020) 6175239 </w:t>
            </w:r>
          </w:p>
        </w:tc>
      </w:tr>
      <w:tr>
        <w:trPr>
          <w:trHeight w:val="355"/>
        </w:trPr>
        <w:tc>
          <w:tcPr>
            <w:tcW w:w="7144" w:type="dxa"/>
            <w:gridSpan w:val="4"/>
            <w:vMerge/>
            <w:tcBorders>
              <w:top w:val="single" w:sz="6" w:space="0" w:color="auto"/>
              <w:left w:val="single" w:sz="6" w:space="0" w:color="auto"/>
              <w:bottom w:val="nil"/>
              <w:right w:val="single" w:sz="6" w:space="0" w:color="auto"/>
            </w:tcBorders>
            <w:vAlign w:val="center"/>
            <w:hideMark/>
          </w:tcPr>
          <w:p>
            <w:pPr>
              <w:keepNext/>
              <w:rPr>
                <w:b/>
                <w:noProof/>
                <w:sz w:val="40"/>
                <w:szCs w:val="20"/>
              </w:rPr>
            </w:pPr>
          </w:p>
        </w:tc>
        <w:tc>
          <w:tcPr>
            <w:tcW w:w="1984" w:type="dxa"/>
            <w:gridSpan w:val="3"/>
            <w:tcBorders>
              <w:top w:val="single" w:sz="6" w:space="0" w:color="auto"/>
              <w:left w:val="single" w:sz="6" w:space="0" w:color="auto"/>
              <w:bottom w:val="single" w:sz="6" w:space="0" w:color="auto"/>
              <w:right w:val="single" w:sz="6" w:space="0" w:color="auto"/>
            </w:tcBorders>
            <w:hideMark/>
          </w:tcPr>
          <w:p>
            <w:pPr>
              <w:pStyle w:val="Fichefinanciretextetable"/>
              <w:keepNext/>
            </w:pPr>
            <w:r>
              <w:rPr>
                <w:rFonts w:ascii="Arial" w:hAnsi="Arial"/>
                <w:i/>
                <w:noProof/>
              </w:rPr>
              <w:t>6.22.2020</w:t>
            </w:r>
          </w:p>
        </w:tc>
      </w:tr>
      <w:tr>
        <w:tc>
          <w:tcPr>
            <w:tcW w:w="7144" w:type="dxa"/>
            <w:gridSpan w:val="4"/>
            <w:tcBorders>
              <w:top w:val="nil"/>
              <w:left w:val="single" w:sz="6" w:space="0" w:color="auto"/>
              <w:bottom w:val="single" w:sz="6" w:space="0" w:color="auto"/>
              <w:right w:val="single" w:sz="6" w:space="0" w:color="auto"/>
            </w:tcBorders>
          </w:tcPr>
          <w:p>
            <w:pPr>
              <w:pStyle w:val="Fichefinanciretextetable"/>
              <w:keepNext/>
              <w:rPr>
                <w:noProof/>
              </w:rPr>
            </w:pP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ДАТА: 13.10.2020 г.</w:t>
            </w:r>
          </w:p>
          <w:p>
            <w:pPr>
              <w:pStyle w:val="Fichefinanciretextetable"/>
              <w:keepNext/>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1.</w:t>
            </w:r>
          </w:p>
        </w:tc>
        <w:tc>
          <w:tcPr>
            <w:tcW w:w="6577" w:type="dxa"/>
            <w:gridSpan w:val="3"/>
            <w:tcBorders>
              <w:top w:val="single" w:sz="6" w:space="0" w:color="auto"/>
              <w:left w:val="nil"/>
              <w:bottom w:val="single" w:sz="6" w:space="0" w:color="auto"/>
              <w:right w:val="nil"/>
            </w:tcBorders>
            <w:hideMark/>
          </w:tcPr>
          <w:p>
            <w:pPr>
              <w:pStyle w:val="Fichefinanciretextetable"/>
              <w:keepNext/>
              <w:rPr>
                <w:noProof/>
              </w:rPr>
            </w:pPr>
            <w:r>
              <w:rPr>
                <w:noProof/>
              </w:rPr>
              <w:t>БЮДЖЕТЕН РЕД:</w:t>
            </w:r>
          </w:p>
          <w:p>
            <w:pPr>
              <w:pStyle w:val="Fichefinanciretextetable"/>
              <w:keepNext/>
              <w:rPr>
                <w:noProof/>
              </w:rPr>
            </w:pPr>
          </w:p>
          <w:p>
            <w:pPr>
              <w:pStyle w:val="Fichefinanciretextetable"/>
              <w:keepNext/>
              <w:rPr>
                <w:noProof/>
              </w:rPr>
            </w:pPr>
            <w:r>
              <w:rPr>
                <w:noProof/>
              </w:rPr>
              <w:t>Глава 15 20 ПИЛОТНИ ПРОЕКТИ, ПОДГОТВИТЕЛНИ ДЕЙСТВИЯ, ПРЕРОГАТИВИ И ДРУГИ ДЕЙСТВИЯ</w:t>
            </w:r>
          </w:p>
          <w:p>
            <w:pPr>
              <w:pStyle w:val="Fichefinanciretextetable"/>
              <w:keepNext/>
              <w:rPr>
                <w:noProof/>
              </w:rPr>
            </w:pPr>
            <w:r>
              <w:rPr>
                <w:noProof/>
              </w:rPr>
              <w:t>15 20 03 06 Международни организации и споразумения</w:t>
            </w:r>
            <w:r>
              <w:rPr>
                <w:noProof/>
              </w:rPr>
              <w:tab/>
            </w:r>
          </w:p>
        </w:tc>
        <w:tc>
          <w:tcPr>
            <w:tcW w:w="1984" w:type="dxa"/>
            <w:gridSpan w:val="3"/>
            <w:tcBorders>
              <w:top w:val="single" w:sz="6" w:space="0" w:color="auto"/>
              <w:left w:val="nil"/>
              <w:bottom w:val="single" w:sz="6" w:space="0" w:color="auto"/>
              <w:right w:val="single" w:sz="6" w:space="0" w:color="auto"/>
            </w:tcBorders>
          </w:tcPr>
          <w:p>
            <w:pPr>
              <w:pStyle w:val="Fichefinanciretextetable"/>
              <w:keepNext/>
              <w:rPr>
                <w:noProof/>
              </w:rPr>
            </w:pPr>
            <w:r>
              <w:rPr>
                <w:noProof/>
              </w:rPr>
              <w:t>БЮДЖЕТНИ КРЕДИТИ:</w:t>
            </w:r>
          </w:p>
          <w:p>
            <w:pPr>
              <w:pStyle w:val="Fichefinanciretextetable"/>
              <w:keepNext/>
              <w:rPr>
                <w:noProof/>
              </w:rPr>
            </w:pPr>
          </w:p>
          <w:p>
            <w:pPr>
              <w:pStyle w:val="Fichefinanciretextetable"/>
              <w:keepNext/>
              <w:rPr>
                <w:noProof/>
              </w:rPr>
            </w:pPr>
            <w:r>
              <w:rPr>
                <w:noProof/>
              </w:rPr>
              <w:t xml:space="preserve">Бюджет за 2021 г.: 15 605 027 EUR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2.</w:t>
            </w:r>
          </w:p>
        </w:tc>
        <w:tc>
          <w:tcPr>
            <w:tcW w:w="8561" w:type="dxa"/>
            <w:gridSpan w:val="6"/>
            <w:tcBorders>
              <w:top w:val="single" w:sz="6" w:space="0" w:color="auto"/>
              <w:left w:val="nil"/>
              <w:bottom w:val="single" w:sz="6" w:space="0" w:color="auto"/>
              <w:right w:val="single" w:sz="6" w:space="0" w:color="auto"/>
            </w:tcBorders>
          </w:tcPr>
          <w:p>
            <w:pPr>
              <w:pStyle w:val="Fichefinanciretextetable"/>
              <w:keepNext/>
              <w:spacing w:after="60"/>
              <w:rPr>
                <w:noProof/>
              </w:rPr>
            </w:pPr>
            <w:r>
              <w:rPr>
                <w:noProof/>
              </w:rPr>
              <w:t xml:space="preserve">ЗАГЛАВИЕ: </w:t>
            </w:r>
            <w:r>
              <w:rPr>
                <w:noProof/>
              </w:rPr>
              <w:br/>
            </w:r>
            <w:r>
              <w:rPr>
                <w:noProof/>
                <w:sz w:val="24"/>
                <w:szCs w:val="24"/>
              </w:rPr>
              <w:t>Предложение за Решение на Съвета за установяване на позицията, която трябва да се заеме от името на Европейския съюз в рамките на Международния съвет по захарта, относно присъединяването на Обединеното кралство към Международното споразумение за захарта от 1992 г.</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3.</w:t>
            </w:r>
          </w:p>
        </w:tc>
        <w:tc>
          <w:tcPr>
            <w:tcW w:w="8561" w:type="dxa"/>
            <w:gridSpan w:val="6"/>
            <w:tcBorders>
              <w:top w:val="single" w:sz="6" w:space="0" w:color="auto"/>
              <w:left w:val="nil"/>
              <w:bottom w:val="single" w:sz="6" w:space="0" w:color="auto"/>
              <w:right w:val="single" w:sz="6" w:space="0" w:color="auto"/>
            </w:tcBorders>
            <w:hideMark/>
          </w:tcPr>
          <w:p>
            <w:pPr>
              <w:keepNext/>
              <w:spacing w:after="60"/>
              <w:rPr>
                <w:rFonts w:eastAsia="Arial Unicode MS"/>
                <w:noProof/>
              </w:rPr>
            </w:pPr>
            <w:r>
              <w:rPr>
                <w:noProof/>
              </w:rPr>
              <w:t>ПРАВНО ОСНОВАНИЕ: Правното основание за настоящото предложение е член 207, параграф 4 във връзка с член 218, параграф 9 от Договора за функционирането на Европейския съюз.</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4.</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rPr>
                <w:noProof/>
                <w:sz w:val="24"/>
                <w:szCs w:val="24"/>
              </w:rPr>
            </w:pPr>
            <w:r>
              <w:rPr>
                <w:noProof/>
                <w:sz w:val="24"/>
                <w:szCs w:val="24"/>
              </w:rPr>
              <w:t>ЦЕЛИ:</w:t>
            </w:r>
          </w:p>
          <w:p>
            <w:pPr>
              <w:pStyle w:val="Fichefinanciretextetable"/>
              <w:keepNext/>
              <w:rPr>
                <w:noProof/>
                <w:sz w:val="24"/>
                <w:szCs w:val="24"/>
              </w:rPr>
            </w:pPr>
            <w:r>
              <w:rPr>
                <w:noProof/>
                <w:sz w:val="24"/>
                <w:szCs w:val="24"/>
              </w:rPr>
              <w:t xml:space="preserve">Да се одобри присъединяването на Обединеното кралство към Международното споразумение за захарта от 1992 г.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ФИНАНСОВО ОТРАЖЕНИЕ</w:t>
            </w:r>
          </w:p>
        </w:tc>
        <w:tc>
          <w:tcPr>
            <w:tcW w:w="1417" w:type="dxa"/>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 xml:space="preserve">ПЕРИОД ОТ 12 МЕСЕЦА </w:t>
            </w:r>
            <w:r>
              <w:rPr>
                <w:noProof/>
              </w:rPr>
              <w:br/>
              <w:t xml:space="preserve"> </w:t>
            </w:r>
            <w:r>
              <w:rPr>
                <w:noProof/>
              </w:rPr>
              <w:br/>
              <w:t>(EUR)</w:t>
            </w: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ТЕКУЩА ФИНАНСОВА ГОДИНА 2020</w:t>
            </w:r>
          </w:p>
          <w:p>
            <w:pPr>
              <w:pStyle w:val="Fichefinanciretextetable"/>
              <w:keepNext/>
              <w:jc w:val="center"/>
              <w:rPr>
                <w:noProof/>
              </w:rPr>
            </w:pPr>
            <w:r>
              <w:rPr>
                <w:noProof/>
              </w:rPr>
              <w:t>(EUR)</w:t>
            </w: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 xml:space="preserve">СЛЕДВАЩА ФИНАНСОВА ГОДИНА 2021 </w:t>
            </w:r>
          </w:p>
          <w:p>
            <w:pPr>
              <w:pStyle w:val="Fichefinanciretextetable"/>
              <w:keepNext/>
              <w:jc w:val="center"/>
              <w:rPr>
                <w:noProof/>
              </w:rPr>
            </w:pPr>
            <w:r>
              <w:rPr>
                <w:noProof/>
              </w:rPr>
              <w:t>(EUR)</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5.0</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РАЗХОДИ</w:t>
            </w:r>
          </w:p>
          <w:p>
            <w:pPr>
              <w:pStyle w:val="Fichefinanciretextetable"/>
              <w:keepNext/>
              <w:rPr>
                <w:noProof/>
              </w:rPr>
            </w:pPr>
            <w:r>
              <w:rPr>
                <w:noProof/>
              </w:rPr>
              <w:t>—</w:t>
            </w:r>
            <w:r>
              <w:rPr>
                <w:noProof/>
              </w:rPr>
              <w:tab/>
              <w:t xml:space="preserve">ЗА СМЕТКА НА БЮДЖЕТА НА ЕС  </w:t>
            </w:r>
            <w:r>
              <w:rPr>
                <w:noProof/>
              </w:rPr>
              <w:br/>
              <w:t>(ВЪЗСТАНОВЯВАНИЯ/ИНТЕРВЕНЦИИ)</w:t>
            </w:r>
          </w:p>
          <w:p>
            <w:pPr>
              <w:pStyle w:val="Fichefinanciretextetable"/>
              <w:keepNext/>
              <w:rPr>
                <w:noProof/>
              </w:rPr>
            </w:pPr>
            <w:r>
              <w:rPr>
                <w:noProof/>
              </w:rPr>
              <w:t>—</w:t>
            </w:r>
            <w:r>
              <w:rPr>
                <w:noProof/>
              </w:rPr>
              <w:tab/>
              <w:t>НА НАЦИОНАЛНИТЕ ОРГАНИ</w:t>
            </w:r>
          </w:p>
          <w:p>
            <w:pPr>
              <w:pStyle w:val="Fichefinanciretextetable"/>
              <w:keepNext/>
              <w:rPr>
                <w:noProof/>
              </w:rPr>
            </w:pPr>
            <w:r>
              <w:rPr>
                <w:noProof/>
              </w:rPr>
              <w:t>—</w:t>
            </w:r>
            <w:r>
              <w:rPr>
                <w:noProof/>
              </w:rPr>
              <w:tab/>
              <w:t>ДРУГИ</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tabs>
                <w:tab w:val="left" w:pos="435"/>
              </w:tabs>
              <w:ind w:left="225"/>
              <w:jc w:val="center"/>
              <w:rPr>
                <w:noProof/>
              </w:rPr>
            </w:pPr>
          </w:p>
          <w:p>
            <w:pPr>
              <w:pStyle w:val="Fichefinanciretextetable"/>
              <w:keepNext/>
              <w:tabs>
                <w:tab w:val="left" w:pos="435"/>
              </w:tabs>
              <w:ind w:left="225"/>
              <w:jc w:val="center"/>
              <w:rPr>
                <w:noProof/>
              </w:rPr>
            </w:pPr>
            <w:r>
              <w:rPr>
                <w:noProof/>
              </w:rPr>
              <w:t>- 42 937-</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5.1</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ПРИХОДИ</w:t>
            </w:r>
          </w:p>
          <w:p>
            <w:pPr>
              <w:pStyle w:val="Fichefinanciretextetable"/>
              <w:keepNext/>
              <w:rPr>
                <w:noProof/>
              </w:rPr>
            </w:pPr>
            <w:r>
              <w:rPr>
                <w:noProof/>
              </w:rPr>
              <w:t>—</w:t>
            </w:r>
            <w:r>
              <w:rPr>
                <w:noProof/>
              </w:rPr>
              <w:tab/>
              <w:t xml:space="preserve">СОБСТВЕНИ РЕСУРСИ НА ЕС </w:t>
            </w:r>
            <w:r>
              <w:rPr>
                <w:noProof/>
              </w:rPr>
              <w:br/>
              <w:t>(НАЛОЗИ/МИТА)</w:t>
            </w:r>
          </w:p>
          <w:p>
            <w:pPr>
              <w:pStyle w:val="Fichefinanciretextetable"/>
              <w:keepNext/>
              <w:rPr>
                <w:noProof/>
              </w:rPr>
            </w:pPr>
            <w:r>
              <w:rPr>
                <w:noProof/>
              </w:rPr>
              <w:t>—</w:t>
            </w:r>
            <w:r>
              <w:rPr>
                <w:noProof/>
              </w:rPr>
              <w:tab/>
              <w:t>НАЦИОНАЛНИ</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nil"/>
              <w:right w:val="nil"/>
            </w:tcBorders>
          </w:tcPr>
          <w:p>
            <w:pPr>
              <w:pStyle w:val="Fichefinanciretextetable"/>
              <w:keepNext/>
              <w:rPr>
                <w:noProof/>
              </w:rPr>
            </w:pPr>
          </w:p>
        </w:tc>
        <w:tc>
          <w:tcPr>
            <w:tcW w:w="3884" w:type="dxa"/>
            <w:tcBorders>
              <w:top w:val="single" w:sz="6" w:space="0" w:color="auto"/>
              <w:left w:val="nil"/>
              <w:bottom w:val="nil"/>
              <w:right w:val="single" w:sz="6" w:space="0" w:color="auto"/>
            </w:tcBorders>
          </w:tcPr>
          <w:p>
            <w:pPr>
              <w:pStyle w:val="Fichefinanciretextetable"/>
              <w:keepNext/>
              <w:rPr>
                <w:noProof/>
              </w:rPr>
            </w:pPr>
          </w:p>
        </w:tc>
        <w:tc>
          <w:tcPr>
            <w:tcW w:w="1417" w:type="dxa"/>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pPr>
          </w:p>
        </w:tc>
        <w:tc>
          <w:tcPr>
            <w:tcW w:w="1701" w:type="dxa"/>
            <w:gridSpan w:val="2"/>
            <w:tcBorders>
              <w:top w:val="single" w:sz="6" w:space="0" w:color="auto"/>
              <w:left w:val="single" w:sz="6" w:space="0" w:color="auto"/>
              <w:bottom w:val="nil"/>
              <w:right w:val="single" w:sz="6" w:space="0" w:color="auto"/>
            </w:tcBorders>
          </w:tcPr>
          <w:p>
            <w:pPr>
              <w:pStyle w:val="Fichefinanciretextetable"/>
              <w:keepNext/>
              <w:jc w:val="center"/>
            </w:pPr>
          </w:p>
        </w:tc>
      </w:tr>
      <w:tr>
        <w:tc>
          <w:tcPr>
            <w:tcW w:w="567" w:type="dxa"/>
            <w:tcBorders>
              <w:top w:val="nil"/>
              <w:left w:val="single" w:sz="6" w:space="0" w:color="auto"/>
              <w:bottom w:val="nil"/>
              <w:right w:val="nil"/>
            </w:tcBorders>
            <w:hideMark/>
          </w:tcPr>
          <w:p>
            <w:pPr>
              <w:pStyle w:val="Fichefinanciretextetable"/>
              <w:keepNext/>
              <w:rPr>
                <w:noProof/>
              </w:rPr>
            </w:pPr>
            <w:r>
              <w:rPr>
                <w:noProof/>
              </w:rPr>
              <w:t>5.0.1</w:t>
            </w:r>
          </w:p>
        </w:tc>
        <w:tc>
          <w:tcPr>
            <w:tcW w:w="3884" w:type="dxa"/>
            <w:tcBorders>
              <w:top w:val="nil"/>
              <w:left w:val="nil"/>
              <w:bottom w:val="nil"/>
              <w:right w:val="single" w:sz="6" w:space="0" w:color="auto"/>
            </w:tcBorders>
            <w:hideMark/>
          </w:tcPr>
          <w:p>
            <w:pPr>
              <w:pStyle w:val="Fichefinanciretextetable"/>
              <w:keepNext/>
              <w:rPr>
                <w:noProof/>
              </w:rPr>
            </w:pPr>
            <w:r>
              <w:rPr>
                <w:noProof/>
              </w:rPr>
              <w:t>ОЧАКВАНИ РАЗХОДИ</w:t>
            </w:r>
          </w:p>
        </w:tc>
        <w:tc>
          <w:tcPr>
            <w:tcW w:w="1417" w:type="dxa"/>
            <w:tcBorders>
              <w:top w:val="single" w:sz="6" w:space="0" w:color="auto"/>
              <w:left w:val="single" w:sz="6" w:space="0" w:color="auto"/>
              <w:bottom w:val="nil"/>
              <w:right w:val="single" w:sz="6" w:space="0" w:color="auto"/>
            </w:tcBorders>
          </w:tcPr>
          <w:p>
            <w:pPr>
              <w:pStyle w:val="Fichefinanciretextetable"/>
              <w:keepNext/>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701" w:type="dxa"/>
            <w:gridSpan w:val="2"/>
            <w:vMerge w:val="restart"/>
            <w:tcBorders>
              <w:top w:val="single" w:sz="6" w:space="0" w:color="auto"/>
              <w:left w:val="single" w:sz="6" w:space="0" w:color="auto"/>
              <w:right w:val="single" w:sz="6" w:space="0" w:color="auto"/>
            </w:tcBorders>
          </w:tcPr>
          <w:p>
            <w:pPr>
              <w:pStyle w:val="Fichefinanciretextetable"/>
              <w:keepNext/>
              <w:jc w:val="center"/>
              <w:rPr>
                <w:noProof/>
              </w:rPr>
            </w:pPr>
          </w:p>
        </w:tc>
      </w:tr>
      <w:tr>
        <w:tc>
          <w:tcPr>
            <w:tcW w:w="567" w:type="dxa"/>
            <w:tcBorders>
              <w:top w:val="nil"/>
              <w:left w:val="single" w:sz="6" w:space="0" w:color="auto"/>
              <w:bottom w:val="single" w:sz="6" w:space="0" w:color="auto"/>
              <w:right w:val="nil"/>
            </w:tcBorders>
            <w:hideMark/>
          </w:tcPr>
          <w:p>
            <w:pPr>
              <w:pStyle w:val="Fichefinanciretextetable"/>
              <w:keepNext/>
              <w:rPr>
                <w:noProof/>
              </w:rPr>
            </w:pPr>
            <w:r>
              <w:rPr>
                <w:noProof/>
              </w:rPr>
              <w:t>5.1.1</w:t>
            </w:r>
          </w:p>
        </w:tc>
        <w:tc>
          <w:tcPr>
            <w:tcW w:w="3884" w:type="dxa"/>
            <w:tcBorders>
              <w:top w:val="nil"/>
              <w:left w:val="nil"/>
              <w:bottom w:val="single" w:sz="6" w:space="0" w:color="auto"/>
              <w:right w:val="single" w:sz="6" w:space="0" w:color="auto"/>
            </w:tcBorders>
            <w:hideMark/>
          </w:tcPr>
          <w:p>
            <w:pPr>
              <w:pStyle w:val="Fichefinanciretextetable"/>
              <w:keepNext/>
              <w:rPr>
                <w:noProof/>
              </w:rPr>
            </w:pPr>
            <w:r>
              <w:rPr>
                <w:noProof/>
              </w:rPr>
              <w:t>ОЧАКВАНИ ПРИХОДИ</w:t>
            </w:r>
          </w:p>
        </w:tc>
        <w:tc>
          <w:tcPr>
            <w:tcW w:w="1417" w:type="dxa"/>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vMerge/>
            <w:tcBorders>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5.2</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spacing w:before="60" w:after="60"/>
              <w:rPr>
                <w:noProof/>
              </w:rPr>
            </w:pPr>
            <w:r>
              <w:rPr>
                <w:noProof/>
              </w:rPr>
              <w:t>МЕТОД НА ИЗЧИСЛЕНИЕ: 55 гласа по-малко за ЕС, 686 GBP/глас</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6.0</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МОЖЕ ЛИ ПРОЕКТЪТ ДА БЪДЕ ФИНАНСИРАН ОТ БЮДЖЕТНИ КРЕДИТИ, ВПИСАНИ В СЪОТВЕТНАТА ГЛАВА НА ТЕКУЩИЯ БЮДЖЕТ?</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НЕ СЕ ПРИЛАГА</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6.1</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МОЖЕ ЛИ ПРОЕКТЪТ ДА БЪДЕ ФИНАНСИРАН ЧРЕЗ ПРЕХВЪРЛЯНЕ МЕЖДУ ГЛАВИ ОТ ТЕКУЩИЯ БЮДЖЕТ?</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НЕ СЕ ПРИЛАГА</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6.2</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ЩЕ БЪДЕ ЛИ НЕОБХОДИМ ДОПЪЛНИТЕЛЕН БЮДЖЕТ?</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НЕ</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6.3</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ЩЕ БЪДЕ ЛИ НЕОБХОДИМО ВПИСВАНЕТО НА БЮДЖЕТНИ КРЕДИТИ В БЪДЕЩИ БЮДЖЕТИ?</w:t>
            </w:r>
          </w:p>
        </w:tc>
        <w:tc>
          <w:tcPr>
            <w:tcW w:w="1134" w:type="dxa"/>
            <w:tcBorders>
              <w:top w:val="single" w:sz="6" w:space="0" w:color="auto"/>
              <w:left w:val="nil"/>
              <w:bottom w:val="single" w:sz="6" w:space="0" w:color="auto"/>
              <w:right w:val="single" w:sz="6" w:space="0" w:color="auto"/>
            </w:tcBorders>
            <w:hideMark/>
          </w:tcPr>
          <w:p>
            <w:pPr>
              <w:pStyle w:val="Fichefinanciretextetable"/>
              <w:keepNext/>
              <w:jc w:val="center"/>
            </w:pPr>
            <w:r>
              <w:rPr>
                <w:noProof/>
              </w:rPr>
              <w:t>НЕ</w:t>
            </w:r>
          </w:p>
        </w:tc>
      </w:tr>
      <w:tr>
        <w:tc>
          <w:tcPr>
            <w:tcW w:w="9128" w:type="dxa"/>
            <w:gridSpan w:val="7"/>
            <w:tcBorders>
              <w:top w:val="single" w:sz="6" w:space="0" w:color="auto"/>
              <w:left w:val="single" w:sz="6" w:space="0" w:color="auto"/>
              <w:bottom w:val="single" w:sz="6" w:space="0" w:color="auto"/>
              <w:right w:val="single" w:sz="6" w:space="0" w:color="auto"/>
            </w:tcBorders>
          </w:tcPr>
          <w:p>
            <w:pPr>
              <w:pStyle w:val="Fichefinanciretextetable"/>
              <w:rPr>
                <w:noProof/>
              </w:rPr>
            </w:pPr>
            <w:r>
              <w:rPr>
                <w:noProof/>
                <w:sz w:val="24"/>
                <w:szCs w:val="24"/>
              </w:rPr>
              <w:t xml:space="preserve">Решението ще има положително въздействие върху бюджета на ЕС от бюджета за 2021 г. Очаква се вноската на ЕС да бъде с 42 937 EUR по-малко, тъй като Обединеното кралство ще плати собствения си членски внос. Размерът може да варира </w:t>
            </w:r>
            <w:r>
              <w:rPr>
                <w:noProof/>
                <w:sz w:val="24"/>
                <w:szCs w:val="24"/>
              </w:rPr>
              <w:lastRenderedPageBreak/>
              <w:t>в зависимост от сумата, която трябва да се плати за всеки един глас в GBP, и от обменния курс EUR/GBP. За тази оценка е използван обменният курс от 12.10.2020 г. GBP/EUR на ЕЦБ (1 GBP = 1,1380 EUR).</w:t>
            </w:r>
          </w:p>
        </w:tc>
      </w:tr>
    </w:tbl>
    <w:p>
      <w:pPr>
        <w:spacing w:before="0" w:after="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Международно споразумение за захарта от 1992 г. (ОВ L 379, 23.12.1992 г., стр. 16).</w:t>
      </w:r>
    </w:p>
  </w:footnote>
  <w:footnote w:id="2">
    <w:p>
      <w:pPr>
        <w:pStyle w:val="FootnoteText"/>
      </w:pPr>
      <w:r>
        <w:rPr>
          <w:rStyle w:val="FootnoteReference"/>
        </w:rPr>
        <w:footnoteRef/>
      </w:r>
      <w:r>
        <w:tab/>
        <w:t>Решение 92/580/ЕИО на Съвета от 13 ноември 1992 г. относно подписването и сключването на Международното споразумение за захарта от 1992 г. (ОВ L 379, 23.12.1992 г., стp. 15).</w:t>
      </w:r>
    </w:p>
  </w:footnote>
  <w:footnote w:id="3">
    <w:p>
      <w:pPr>
        <w:pStyle w:val="FootnoteText"/>
      </w:pPr>
      <w:r>
        <w:rPr>
          <w:rStyle w:val="FootnoteReference"/>
        </w:rPr>
        <w:footnoteRef/>
      </w:r>
      <w:r>
        <w:tab/>
        <w:t>Работата на МОЗ е организирана въз основа на финансова година, която продължава от 1 януари до 31 декември.</w:t>
      </w:r>
    </w:p>
  </w:footnote>
  <w:footnote w:id="4">
    <w:p>
      <w:pPr>
        <w:pStyle w:val="FootnoteText"/>
      </w:pPr>
      <w:r>
        <w:rPr>
          <w:rStyle w:val="FootnoteReference"/>
        </w:rPr>
        <w:footnoteRef/>
      </w:r>
      <w:r>
        <w:tab/>
        <w:t>С писмо от парламентарния държавен секретар по въпросите на храните, околната среда и селските райони.</w:t>
      </w:r>
    </w:p>
  </w:footnote>
  <w:footnote w:id="5">
    <w:p>
      <w:pPr>
        <w:pStyle w:val="FootnoteText"/>
      </w:pPr>
      <w:r>
        <w:rPr>
          <w:rStyle w:val="FootnoteReference"/>
        </w:rPr>
        <w:footnoteRef/>
      </w:r>
      <w:r>
        <w:tab/>
        <w:t>Информационна бележка (20)68.</w:t>
      </w:r>
    </w:p>
  </w:footnote>
  <w:footnote w:id="6">
    <w:p>
      <w:pPr>
        <w:pStyle w:val="FootnoteText"/>
      </w:pPr>
      <w:r>
        <w:rPr>
          <w:rStyle w:val="FootnoteReference"/>
        </w:rPr>
        <w:footnoteRef/>
      </w:r>
      <w:r>
        <w:tab/>
        <w:t>Споразумение за оттегляне на Обединено кралство Великобритания и Северна Ирландия от Европейския съюз и Европейската общност за атомна енергия.</w:t>
      </w:r>
    </w:p>
  </w:footnote>
  <w:footnote w:id="7">
    <w:p>
      <w:pPr>
        <w:pStyle w:val="FootnoteText"/>
      </w:pPr>
      <w:r>
        <w:rPr>
          <w:rStyle w:val="FootnoteReference"/>
        </w:rPr>
        <w:footnoteRef/>
      </w:r>
      <w:r>
        <w:tab/>
        <w:t>ОВ L 379, 23.12.1992 г., стр. 15.</w:t>
      </w:r>
    </w:p>
  </w:footnote>
  <w:footnote w:id="8">
    <w:p>
      <w:pPr>
        <w:pStyle w:val="FootnoteText"/>
      </w:pPr>
      <w:r>
        <w:rPr>
          <w:rStyle w:val="FootnoteReference"/>
        </w:rPr>
        <w:footnoteRef/>
      </w:r>
      <w:r>
        <w:tab/>
        <w:t>Предложение за Решение на Съвета за позицията, която трябва да се заеме от името на Европейския съюз в рамките на Международния съвет по захарта по продължаването на срока на действие на Международното споразумение за захарта от 1992 г. — COM(2019) 286 final — одобрено от Съвета на заседанието му по общите въпроси, проведено на 25 септември 2017 г.</w:t>
      </w:r>
    </w:p>
  </w:footnote>
  <w:footnote w:id="9">
    <w:p>
      <w:pPr>
        <w:pStyle w:val="FootnoteText"/>
      </w:pPr>
      <w:r>
        <w:rPr>
          <w:rStyle w:val="FootnoteReference"/>
        </w:rPr>
        <w:footnoteRef/>
      </w:r>
      <w:r>
        <w:tab/>
        <w:t>Член 2, параграф 4 от споразумението определя специалното гласуване като гласуване, при което са необходими най-малко две трети от подадените гласове от присъстващите и гласували членове, при условие че са гласували най-малко две трети от присъстващите членове.</w:t>
      </w:r>
    </w:p>
  </w:footnote>
  <w:footnote w:id="10">
    <w:p>
      <w:pPr>
        <w:pStyle w:val="FootnoteText"/>
      </w:pPr>
      <w:r>
        <w:rPr>
          <w:rStyle w:val="FootnoteReference"/>
        </w:rPr>
        <w:footnoteRef/>
      </w:r>
      <w:r>
        <w:tab/>
        <w:t>Решение 92/580/ЕИО на Съвета от 13 ноември 1992 г. относно подписването и сключването на Международното споразумение за захарта от 1992 г. (ОВ L 379, 23.12.1992 г., стp. 15).</w:t>
      </w:r>
    </w:p>
  </w:footnote>
  <w:footnote w:id="11">
    <w:p>
      <w:pPr>
        <w:pStyle w:val="FootnoteText"/>
      </w:pPr>
      <w:r>
        <w:rPr>
          <w:rStyle w:val="FootnoteReference"/>
        </w:rPr>
        <w:footnoteRef/>
      </w:r>
      <w:r>
        <w:tab/>
        <w:t>Предложение за РЕШЕНИЕ НА СЪВЕТА за позицията, която трябва да се заеме от името на Европейския съюз в рамките на Международния съвет по захарта по продължаването на срока на действие на Международното споразумение за захарта от 1992 г. — COM(2019) 286 final — одобрено от Съвета на заседанието му по общите въпроси, проведено на 25 септември 2019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E8B5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A0FC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F8F6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103A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46271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A8DF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26F668"/>
    <w:lvl w:ilvl="0">
      <w:start w:val="1"/>
      <w:numFmt w:val="decimal"/>
      <w:pStyle w:val="ListNumber"/>
      <w:lvlText w:val="%1."/>
      <w:lvlJc w:val="left"/>
      <w:pPr>
        <w:tabs>
          <w:tab w:val="num" w:pos="360"/>
        </w:tabs>
        <w:ind w:left="360" w:hanging="360"/>
      </w:pPr>
    </w:lvl>
  </w:abstractNum>
  <w:abstractNum w:abstractNumId="7">
    <w:nsid w:val="FFFFFF89"/>
    <w:multiLevelType w:val="singleLevel"/>
    <w:tmpl w:val="111A6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9 17:21: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728A878-DA06-4F71-899A-9B2928C0D725"/>
    <w:docVar w:name="LW_COVERPAGE_TYPE" w:val="1"/>
    <w:docVar w:name="LW_CROSSREFERENCE" w:val="&lt;UNUSED&gt;"/>
    <w:docVar w:name="LW_DocType" w:val="COM"/>
    <w:docVar w:name="LW_EMISSION" w:val="30.10.2020"/>
    <w:docVar w:name="LW_EMISSION_ISODATE" w:val="2020-10-3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3"/>
    <w:docVar w:name="LW_REF.II.NEW.CP_YEAR" w:val="2020"/>
    <w:docVar w:name="LW_REF.INST.NEW" w:val="COM"/>
    <w:docVar w:name="LW_REF.INST.NEW_ADOPTED" w:val="final"/>
    <w:docVar w:name="LW_REF.INST.NEW_TEXT" w:val="(2020) 6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80?\u1103? \u1089?\u1098?\u1074?\u1077?\u1090? \u1087?\u1086? \u1079?\u1072?\u1093?\u1072?\u1088?\u1090?\u1072?, \u1086?\u1090?\u1085?\u1086?\u1089?\u1085?\u1086? \u1087?\u1088?\u1080?\u1089?\u1098?\u1077?\u1076?\u1080?\u1085?\u1103?\u1074?\u1072?\u1085?\u1077?\u1090?\u1086? \u1085?\u1072? \u1054?\u1073?\u1077?\u1076?\u1080?\u1085?\u1077?\u1085?\u1086?\u1090?\u1086? \u1082?\u1088?\u1072?\u1083?\u1089?\u1090?\u1074?\u1086? \u1082?\u1098?\u1084? \u1052?\u1077?\u1078?\u1076?\u1091?\u1085?\u1072?\u1088?\u1086?\u1076?\u1085?\u1086?\u1090?\u1086? \u1089?\u1087?\u1086?\u1088?\u1072?\u1079?\u1091?\u1084?\u1077?\u1085?\u1080?\u1077? \u1079?\u1072? \u1079?\u1072?\u1093?\u1072?\u1088?\u1090?\u1072? \u1086?\u1090? 1992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10</Pages>
  <Words>2682</Words>
  <Characters>15048</Characters>
  <Application>Microsoft Office Word</Application>
  <DocSecurity>0</DocSecurity>
  <Lines>358</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2020-10-29T12:31:00Z</dcterms:created>
  <dcterms:modified xsi:type="dcterms:W3CDTF">2020-10-29T16:21:00Z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