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A701BAC-5A26-4ED8-BE6F-2786B2BA0FC0" style="width:450.7pt;height:365.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International Sugar Council</w:t>
      </w:r>
      <w:r>
        <w:rPr>
          <w:noProof/>
        </w:rPr>
        <w:t xml:space="preserve"> (‘ISC’) </w:t>
      </w:r>
      <w:r>
        <w:rPr>
          <w:rFonts w:eastAsia="Arial Unicode MS"/>
          <w:noProof/>
        </w:rPr>
        <w:t>in connection with the accession of the United Kingdom to t</w:t>
      </w:r>
      <w:r>
        <w:rPr>
          <w:rFonts w:eastAsia="Arial Unicode MS"/>
          <w:noProof/>
          <w:lang w:eastAsia="en-GB"/>
        </w:rPr>
        <w:t xml:space="preserve">he </w:t>
      </w:r>
      <w:r>
        <w:rPr>
          <w:rFonts w:eastAsia="Arial Unicode MS"/>
          <w:b/>
          <w:noProof/>
          <w:lang w:eastAsia="en-GB"/>
        </w:rPr>
        <w:t>International Sugar Agreement, 1992</w:t>
      </w:r>
      <w:r>
        <w:rPr>
          <w:rFonts w:eastAsia="Arial Unicode MS"/>
          <w:noProof/>
          <w:lang w:eastAsia="en-GB"/>
        </w:rPr>
        <w:t>.</w:t>
      </w:r>
    </w:p>
    <w:p>
      <w:pPr>
        <w:pStyle w:val="ManualHeading1"/>
        <w:rPr>
          <w:noProof/>
        </w:rPr>
      </w:pPr>
      <w:r>
        <w:t>2.</w:t>
      </w:r>
      <w:r>
        <w:tab/>
      </w:r>
      <w:r>
        <w:rPr>
          <w:noProof/>
        </w:rPr>
        <w:t>Context of the proposal</w:t>
      </w:r>
    </w:p>
    <w:p>
      <w:pPr>
        <w:pStyle w:val="ManualHeading2"/>
        <w:rPr>
          <w:noProof/>
        </w:rPr>
      </w:pPr>
      <w:r>
        <w:t>2.1.</w:t>
      </w:r>
      <w:r>
        <w:tab/>
      </w:r>
      <w:r>
        <w:rPr>
          <w:noProof/>
        </w:rPr>
        <w:t>The International Sugar Agreement, 1992</w:t>
      </w:r>
    </w:p>
    <w:p>
      <w:pPr>
        <w:rPr>
          <w:rFonts w:eastAsia="Arial Unicode MS"/>
          <w:noProof/>
        </w:rPr>
      </w:pPr>
      <w:r>
        <w:rPr>
          <w:rFonts w:eastAsia="Arial Unicode MS"/>
          <w:noProof/>
        </w:rPr>
        <w:t>The International Sugar Agreement, 1992</w:t>
      </w:r>
      <w:r>
        <w:rPr>
          <w:rStyle w:val="FootnoteReference"/>
          <w:rFonts w:eastAsia="Arial Unicode MS"/>
          <w:noProof/>
        </w:rPr>
        <w:footnoteReference w:id="1"/>
      </w:r>
      <w:r>
        <w:rPr>
          <w:rFonts w:eastAsia="Arial Unicode MS"/>
          <w:noProof/>
        </w:rPr>
        <w:t xml:space="preserve"> (‘the Agreement’) aims to enhanced international cooperation in connection with world sugar matters and related issues, to provide a forum for intergovernmental consultations on sugar and on ways to improve the world sugar economy, to facilitate the trade by collecting and providing information on the world sugar market and other sweeteners and to encourage increased demand for sugar, particularly for non‑traditional uses.</w:t>
      </w:r>
    </w:p>
    <w:p>
      <w:pPr>
        <w:rPr>
          <w:rFonts w:eastAsia="Arial Unicode MS"/>
          <w:noProof/>
        </w:rPr>
      </w:pPr>
      <w:r>
        <w:rPr>
          <w:rFonts w:eastAsia="Arial Unicode MS"/>
          <w:noProof/>
        </w:rPr>
        <w:t>The Agreement entered into force on 1</w:t>
      </w:r>
      <w:r>
        <w:rPr>
          <w:rFonts w:eastAsia="Arial Unicode MS"/>
          <w:noProof/>
          <w:vertAlign w:val="superscript"/>
        </w:rPr>
        <w:t>st</w:t>
      </w:r>
      <w:r>
        <w:rPr>
          <w:rFonts w:eastAsia="Arial Unicode MS"/>
          <w:noProof/>
        </w:rPr>
        <w:t xml:space="preserve"> January 1993. </w:t>
      </w:r>
    </w:p>
    <w:p>
      <w:pPr>
        <w:rPr>
          <w:rFonts w:eastAsia="Arial Unicode MS"/>
          <w:noProof/>
        </w:rPr>
      </w:pPr>
      <w:r>
        <w:rPr>
          <w:rFonts w:eastAsia="Arial Unicode MS"/>
          <w:noProof/>
        </w:rPr>
        <w:t>The Union is a party to the Agreement</w:t>
      </w:r>
      <w:r>
        <w:rPr>
          <w:rStyle w:val="FootnoteReference"/>
          <w:rFonts w:eastAsia="Arial Unicode MS"/>
          <w:noProof/>
        </w:rPr>
        <w:footnoteReference w:id="2"/>
      </w:r>
      <w:r>
        <w:rPr>
          <w:rFonts w:eastAsia="Arial Unicode MS"/>
          <w:noProof/>
        </w:rPr>
        <w:t>.</w:t>
      </w:r>
    </w:p>
    <w:p>
      <w:pPr>
        <w:pStyle w:val="ManualHeading2"/>
        <w:rPr>
          <w:noProof/>
        </w:rPr>
      </w:pPr>
      <w:r>
        <w:t>2.2.</w:t>
      </w:r>
      <w:r>
        <w:tab/>
      </w:r>
      <w:r>
        <w:rPr>
          <w:noProof/>
        </w:rPr>
        <w:t>The International Sugar Organization</w:t>
      </w:r>
    </w:p>
    <w:p>
      <w:pPr>
        <w:rPr>
          <w:noProof/>
        </w:rPr>
      </w:pPr>
      <w:r>
        <w:rPr>
          <w:rFonts w:eastAsia="Arial Unicode MS"/>
          <w:noProof/>
        </w:rPr>
        <w:t>The International Sugar Organization (‘ISO’) which administers the Agreement is a London-based intergovernmental organisation that seeks to meet the objectives laid down by Article 1 of the Agreement.</w:t>
      </w:r>
    </w:p>
    <w:p>
      <w:pPr>
        <w:rPr>
          <w:rFonts w:eastAsia="Arial Unicode MS"/>
          <w:noProof/>
        </w:rPr>
      </w:pPr>
      <w:r>
        <w:rPr>
          <w:rFonts w:eastAsia="Arial Unicode MS"/>
          <w:noProof/>
        </w:rPr>
        <w:t>These objectives are sought by improving market transparency through the collection and publication of statistical information and studies on world production, prices, exports and imports, consumption and stocks of sugar.</w:t>
      </w:r>
    </w:p>
    <w:p>
      <w:pPr>
        <w:rPr>
          <w:noProof/>
        </w:rPr>
      </w:pPr>
      <w:r>
        <w:rPr>
          <w:noProof/>
        </w:rPr>
        <w:t xml:space="preserve">Currently, the ISO has 87 members, including many of the world’s largest sugar producers as well as importers. Besides the Union, its members are, among others, Brazil, India, Thailand, Australia, the Russian Federation and Cuba. The last country joining the ISO was Sri Lanka, who became member on 6 August 2013. The 87 members of the ISO have a total number of 2,000 votes. </w:t>
      </w:r>
    </w:p>
    <w:p>
      <w:pPr>
        <w:rPr>
          <w:noProof/>
        </w:rPr>
      </w:pPr>
      <w:r>
        <w:rPr>
          <w:noProof/>
        </w:rPr>
        <w:t>For budgetary procedures (see Article 25 of the Agreement), i.e. for fixing the annual financial contributions of members, the Union has 538 votes in 2020</w:t>
      </w:r>
      <w:r>
        <w:rPr>
          <w:rStyle w:val="FootnoteReference"/>
          <w:rFonts w:eastAsia="Arial Unicode MS"/>
          <w:noProof/>
        </w:rPr>
        <w:footnoteReference w:id="3"/>
      </w:r>
      <w:r>
        <w:rPr>
          <w:noProof/>
        </w:rPr>
        <w:t xml:space="preserve">. The number of votes are determined according to Article 25 and adjusted annually on the basis of the change in Members’ share in the total of all Members’ composite tonnage bases from that for the same membership for the previous year. The composite tonnage is calculated as 35% of that Member’s exports to the free market plus 15% of that Member’s total exports under special arrangements plus 35% of that Member’s free market imports plus 15% of that Member’s total imports under special arrangements. The data used to calculate the composite tonnage basis of each Member is, for each category above, the average of that category for the highest three of the four last years published in the most recent edition of the organisation's Sugar Year Book. </w:t>
      </w:r>
    </w:p>
    <w:p>
      <w:pPr>
        <w:rPr>
          <w:noProof/>
        </w:rPr>
      </w:pPr>
      <w:r>
        <w:rPr>
          <w:noProof/>
        </w:rPr>
        <w:lastRenderedPageBreak/>
        <w:t xml:space="preserve">For decision making, the voting rights are distributed under Article 11 of the International Sugar Agreement, which takes into account the redistribution of the votes of the Members that have their voting right suspended due to the non-payment of their contribution to the administrative budget. According to the latest distribution of votes under Article 11, the European Union has 697 votes. </w:t>
      </w:r>
    </w:p>
    <w:p>
      <w:pPr>
        <w:rPr>
          <w:rFonts w:eastAsia="Arial Unicode MS"/>
          <w:noProof/>
        </w:rPr>
      </w:pPr>
      <w:r>
        <w:rPr>
          <w:noProof/>
        </w:rPr>
        <w:t>At the meetings of the ISO the Union is represented by the Commission by virtue of Article 17 TEU. Member States can attend the ISO meetings, in particular the Council Sessions.</w:t>
      </w:r>
    </w:p>
    <w:p>
      <w:pPr>
        <w:pStyle w:val="ManualHeading2"/>
        <w:rPr>
          <w:noProof/>
        </w:rPr>
      </w:pPr>
      <w:r>
        <w:t>2.3.</w:t>
      </w:r>
      <w:r>
        <w:tab/>
      </w:r>
      <w:r>
        <w:rPr>
          <w:noProof/>
        </w:rPr>
        <w:t>The envisaged act of the</w:t>
      </w:r>
      <w:r>
        <w:t xml:space="preserve"> </w:t>
      </w:r>
      <w:r>
        <w:rPr>
          <w:noProof/>
        </w:rPr>
        <w:t>International Sugar Council (ISC)</w:t>
      </w:r>
    </w:p>
    <w:p>
      <w:pPr>
        <w:rPr>
          <w:rFonts w:eastAsia="Arial Unicode MS"/>
          <w:noProof/>
        </w:rPr>
      </w:pPr>
      <w:r>
        <w:rPr>
          <w:rFonts w:eastAsia="Arial Unicode MS"/>
          <w:noProof/>
        </w:rPr>
        <w:t>On 2</w:t>
      </w:r>
      <w:r>
        <w:rPr>
          <w:rFonts w:eastAsia="Arial Unicode MS"/>
          <w:noProof/>
          <w:vertAlign w:val="superscript"/>
        </w:rPr>
        <w:t>nd</w:t>
      </w:r>
      <w:r>
        <w:rPr>
          <w:rFonts w:eastAsia="Arial Unicode MS"/>
          <w:noProof/>
        </w:rPr>
        <w:t xml:space="preserve"> October 2020, the United Kingdom</w:t>
      </w:r>
      <w:r>
        <w:rPr>
          <w:rStyle w:val="FootnoteReference"/>
          <w:rFonts w:eastAsia="Arial Unicode MS"/>
          <w:noProof/>
        </w:rPr>
        <w:footnoteReference w:id="4"/>
      </w:r>
      <w:r>
        <w:rPr>
          <w:rFonts w:eastAsia="Arial Unicode MS"/>
          <w:noProof/>
        </w:rPr>
        <w:t xml:space="preserve"> has formally applied for accession to the Agreement. On 9 October 2020 the Secretariat of the ISO has informed its Members about the application of the United Kingdom. The United Kingdom applies for membership in the ISO as from 1 January 2021, i.e. after the expiration of the transition period following the withdrawal of the United Kingdom from the European Union.</w:t>
      </w:r>
    </w:p>
    <w:p>
      <w:pPr>
        <w:rPr>
          <w:rFonts w:eastAsia="Arial Unicode MS"/>
          <w:noProof/>
        </w:rPr>
      </w:pPr>
      <w:r>
        <w:rPr>
          <w:rFonts w:eastAsia="Arial Unicode MS"/>
          <w:noProof/>
        </w:rPr>
        <w:t>Pursuant to Article 8 of the Agreement, the ISC performs or arranges for the performance of all functions as are necessary to carry out the provisions of the Agreement.</w:t>
      </w:r>
    </w:p>
    <w:p>
      <w:pPr>
        <w:rPr>
          <w:rFonts w:eastAsia="Arial Unicode MS"/>
          <w:noProof/>
        </w:rPr>
      </w:pPr>
      <w:r>
        <w:rPr>
          <w:rFonts w:eastAsia="Arial Unicode MS"/>
          <w:noProof/>
        </w:rPr>
        <w:t>According to Article 41 of the Agreement, accession is open to the Governments of all States upon such conditions, as the ISC considers appropriate. Under Article 25(4) of the Agreement, in the event of the accession of a Member after the entry into force of this Agreement, when the acceding Member is not listed in the annex of the Agreement, the ISC shall decide the number of votes to be allocated to that Member. Following the acceptance by the acceding Member of the number of votes allocated by the ISC, the votes of existing Members shall be re‑calculated so that the total of votes remains at 2000. The votes allocated to the United Kingdom, based on the current distribution of votes, would amount to 55 votes and be deducted from the votes allocated to the European Union in accordance with Article 25 of the ISA. Consequently, the financial contribution of the European Union would be reduced accordingly for financial year 2021.</w:t>
      </w:r>
    </w:p>
    <w:p>
      <w:pPr>
        <w:rPr>
          <w:rFonts w:eastAsia="Arial Unicode MS"/>
          <w:noProof/>
        </w:rPr>
      </w:pPr>
      <w:r>
        <w:rPr>
          <w:rFonts w:eastAsia="Arial Unicode MS"/>
          <w:noProof/>
        </w:rPr>
        <w:t>There was no formal discussion about the application of the United Kingdom in the ISO Administrative Committee or in the ISC meetings before the notification dated 9 October 2020</w:t>
      </w:r>
      <w:r>
        <w:rPr>
          <w:rStyle w:val="FootnoteReference"/>
          <w:rFonts w:eastAsia="Arial Unicode MS"/>
          <w:noProof/>
        </w:rPr>
        <w:footnoteReference w:id="5"/>
      </w:r>
      <w:r>
        <w:rPr>
          <w:rFonts w:eastAsia="Arial Unicode MS"/>
          <w:noProof/>
        </w:rPr>
        <w:t xml:space="preserve"> published by the Secretariat of the ISO secretariat concerning the letter, dated 2</w:t>
      </w:r>
      <w:r>
        <w:rPr>
          <w:rFonts w:eastAsia="Arial Unicode MS"/>
          <w:noProof/>
          <w:vertAlign w:val="superscript"/>
        </w:rPr>
        <w:t>nd</w:t>
      </w:r>
      <w:r>
        <w:rPr>
          <w:rFonts w:eastAsia="Arial Unicode MS"/>
          <w:noProof/>
        </w:rPr>
        <w:t xml:space="preserve"> October 2020 of the Government of the United Kingdom of Great Britain and Northern Ireland. During the 57th session of the ISC on 27 November 2020, the ISC will establish the conditions for accession of the United Kingdom of Great Britain and Northern Ireland in line with Article 41 of the Agreement. </w:t>
      </w:r>
    </w:p>
    <w:p>
      <w:pPr>
        <w:keepNext/>
        <w:outlineLvl w:val="1"/>
        <w:rPr>
          <w:rFonts w:eastAsia="Arial Unicode MS"/>
          <w:b/>
          <w:bCs/>
          <w:noProof/>
          <w:szCs w:val="26"/>
        </w:rPr>
      </w:pPr>
      <w:r>
        <w:rPr>
          <w:rFonts w:eastAsia="Arial Unicode MS"/>
          <w:b/>
          <w:bCs/>
          <w:noProof/>
          <w:szCs w:val="26"/>
        </w:rPr>
        <w:t>The Withdrawal Agreement</w:t>
      </w:r>
    </w:p>
    <w:p>
      <w:pPr>
        <w:rPr>
          <w:noProof/>
        </w:rPr>
      </w:pPr>
      <w:r>
        <w:rPr>
          <w:noProof/>
        </w:rPr>
        <w:t xml:space="preserve">In accordance with Article 129(2) of the </w:t>
      </w:r>
      <w:r>
        <w:rPr>
          <w:noProof/>
          <w:szCs w:val="24"/>
          <w:lang w:val="en-IE"/>
        </w:rPr>
        <w:t>withdrawal of the United Kingdom of Great Britain and Northern Ireland from the European Union and the European Atomic Energy Community</w:t>
      </w:r>
      <w:r>
        <w:rPr>
          <w:rStyle w:val="FootnoteReference"/>
          <w:noProof/>
        </w:rPr>
        <w:footnoteReference w:id="6"/>
      </w:r>
      <w:r>
        <w:rPr>
          <w:noProof/>
          <w:szCs w:val="24"/>
          <w:lang w:val="en-IE"/>
        </w:rPr>
        <w:t xml:space="preserve"> (‘the </w:t>
      </w:r>
      <w:r>
        <w:rPr>
          <w:noProof/>
        </w:rPr>
        <w:t xml:space="preserve">Withdrawal Agreement’), during the transition period the Union will continue representing the United Kingdom in the work of any bodies set up by international agreements concluded by the Union. The United Kingdom should refrain during the transition period from any action or initiative that is likely to be prejudicial to the Union's interests. However, as laid down by Article 129(4) of the Withdrawal Agreement, the United Kingdom may negotiate, sign and ratify international agreements entered into in its own capacity in the </w:t>
      </w:r>
      <w:r>
        <w:rPr>
          <w:noProof/>
        </w:rPr>
        <w:lastRenderedPageBreak/>
        <w:t>areas of exclusive competence of the Union, provided those agreements do not enter into force or apply during the transition period.</w:t>
      </w:r>
    </w:p>
    <w:p>
      <w:pPr>
        <w:pStyle w:val="ManualHeading1"/>
        <w:rPr>
          <w:noProof/>
        </w:rPr>
      </w:pPr>
      <w:r>
        <w:t>3.</w:t>
      </w:r>
      <w:r>
        <w:tab/>
      </w:r>
      <w:r>
        <w:rPr>
          <w:noProof/>
        </w:rPr>
        <w:t>Position to be taken on the Union's behalf</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w:t>
      </w:r>
      <w:r>
        <w:rPr>
          <w:rFonts w:eastAsia="Arial Unicode MS"/>
          <w:b/>
          <w:noProof/>
          <w:lang w:eastAsia="en-GB"/>
        </w:rPr>
        <w:t>International Sugar Agreement, 1992</w:t>
      </w:r>
      <w:r>
        <w:rPr>
          <w:rFonts w:eastAsia="Arial Unicode MS"/>
          <w:noProof/>
          <w:lang w:eastAsia="en-GB"/>
        </w:rPr>
        <w:t xml:space="preserve"> was concluded by the Union by Council Decision 92/580/EEC</w:t>
      </w:r>
      <w:r>
        <w:rPr>
          <w:rStyle w:val="FootnoteReference"/>
          <w:noProof/>
        </w:rPr>
        <w:footnoteReference w:id="7"/>
      </w:r>
      <w:r>
        <w:rPr>
          <w:rFonts w:eastAsia="Arial Unicode MS"/>
          <w:noProof/>
          <w:lang w:eastAsia="en-GB"/>
        </w:rPr>
        <w:t xml:space="preserve"> until 31 December 1995. On each occasion, the Agreement is extended for a maximum period of two years in accordance with Article 45(2) of the Agreement. On 19 July 2019 the ISC took the decision to extend the ISA for two years, until 31 December 2021</w:t>
      </w:r>
      <w:r>
        <w:rPr>
          <w:rStyle w:val="FootnoteReference"/>
          <w:rFonts w:eastAsia="Arial Unicode MS"/>
          <w:noProof/>
          <w:lang w:eastAsia="en-GB"/>
        </w:rPr>
        <w:footnoteReference w:id="8"/>
      </w:r>
      <w:r>
        <w:rPr>
          <w:rFonts w:eastAsia="Arial Unicode MS"/>
          <w:noProof/>
          <w:lang w:eastAsia="en-GB"/>
        </w:rPr>
        <w:t xml:space="preserve">.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Union has always been an active member of the ISO and supported the expansion of the organisation.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United Kingdom is an important producer of agricultural products, including sugar which is the main crop covered by the ISO. While being a Member of the Union the United Kingdom had significant trade of sugar and sugar containing products with Member States.</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During the transition period following the withdrawal of the United Kingdom from the Union, the United Kingdom continues to be bound by the Union’s international agreements and the Union continues to represent the United Kingdom at the ISO.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accordance with Article 26(1) of the Agreement, the annual financial contributions of Members become due on the first day of the financial year while contributions of Members in respect of the year in which they join the ISO become due on the date on which they become Members. The Union therefore pays its annual contributions to the ISO at the beginning of January for the entire financial year concerned, which starts in January and ends in December. The Union’s contribution for 2020 was paid from the 2020 Union budget, to which the United Kingdom also contributes. Consequently, in respect of the entire 2020 financial year, the Union’s contribution to the ISO also covers the United Kingdom. With the United Kingdom’s accession on 1</w:t>
      </w:r>
      <w:r>
        <w:rPr>
          <w:rFonts w:eastAsia="Arial Unicode MS"/>
          <w:noProof/>
          <w:vertAlign w:val="superscript"/>
          <w:lang w:eastAsia="en-GB"/>
        </w:rPr>
        <w:t>st</w:t>
      </w:r>
      <w:r>
        <w:rPr>
          <w:rFonts w:eastAsia="Arial Unicode MS"/>
          <w:noProof/>
          <w:lang w:eastAsia="en-GB"/>
        </w:rPr>
        <w:t xml:space="preserve"> January 2021, the Union’s contribution to the ISO in respect of 2021 financial year will no longer cover the United Kingdom.</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purpose of this proposal is to establish the Union’s position in the ISO on the accession of the United Kingdom to the Agreement as of 1 January 2021. </w:t>
      </w:r>
      <w:r>
        <w:rPr>
          <w:rFonts w:eastAsia="Arial Unicode MS"/>
          <w:noProof/>
          <w:lang w:val="en-IE"/>
        </w:rPr>
        <w:t xml:space="preserve">Given that the accession procedure pursuant to the Agreement provisions is subject to a decision by the ISC, the Union’s position will be established on the basis of Article 218(9) </w:t>
      </w:r>
      <w:r>
        <w:rPr>
          <w:noProof/>
        </w:rPr>
        <w:t>of the Treaty on the Functioning of the European Union (</w:t>
      </w:r>
      <w:r>
        <w:rPr>
          <w:rFonts w:eastAsia="Arial Unicode MS"/>
          <w:noProof/>
          <w:lang w:val="en-IE"/>
        </w:rPr>
        <w:t>TFEU).</w:t>
      </w:r>
      <w:r>
        <w:rPr>
          <w:rFonts w:eastAsia="Arial Unicode MS"/>
          <w:noProof/>
          <w:lang w:eastAsia="en-GB"/>
        </w:rPr>
        <w:t xml:space="preserv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lastRenderedPageBreak/>
        <w:t>The concept of ‘</w:t>
      </w:r>
      <w:r>
        <w:rPr>
          <w:i/>
          <w:noProof/>
        </w:rPr>
        <w:t>acts having legal effects</w:t>
      </w:r>
      <w:r>
        <w:rPr>
          <w:noProof/>
        </w:rPr>
        <w:t xml:space="preserve">’ includes acts that have legal effects by virtue of the rules of international law governing the body in question. </w:t>
      </w:r>
    </w:p>
    <w:p>
      <w:pPr>
        <w:pStyle w:val="ManualHeading3"/>
        <w:rPr>
          <w:noProof/>
        </w:rPr>
      </w:pPr>
      <w:r>
        <w:t>4.1.2.</w:t>
      </w:r>
      <w:r>
        <w:tab/>
      </w:r>
      <w:r>
        <w:rPr>
          <w:noProof/>
        </w:rPr>
        <w:t>Application to the present case</w:t>
      </w:r>
    </w:p>
    <w:p>
      <w:pPr>
        <w:rPr>
          <w:i/>
          <w:noProof/>
        </w:rPr>
      </w:pPr>
      <w:r>
        <w:rPr>
          <w:noProof/>
        </w:rPr>
        <w:t>The envisaged act of the ISC has the effect of expanding the membership of the International Sugar Agreement, 1992. The envisaged act of the ISC has legal effects because it will establish the conditions of such accession, notably because it will affect the decisional balance within the ISC, whose decisions are taken and recommendations are made, in principle, by consensus. ln the absence of consensus, decisions and recommendations are made by simple majority vote, unless this Agreement provides for a special vote</w:t>
      </w:r>
      <w:r>
        <w:rPr>
          <w:rStyle w:val="FootnoteReference"/>
          <w:noProof/>
        </w:rPr>
        <w:footnoteReference w:id="9"/>
      </w:r>
      <w:r>
        <w:rPr>
          <w:noProof/>
        </w:rPr>
        <w:t>, and are binding for its Members, as expressed in Article 13 of the Agreement. The respective financial contributions of the Members will also be affected by the expanding of the membership of the International Sugar Agreement, 1992. The Union position will therefore need to be established.</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relate to trade in agricultural products. </w:t>
      </w:r>
    </w:p>
    <w:p>
      <w:pPr>
        <w:rPr>
          <w:noProof/>
        </w:rPr>
      </w:pPr>
      <w:r>
        <w:rPr>
          <w:noProof/>
        </w:rPr>
        <w:t>Therefore, the substantive legal basis of the proposed decision is first subparagraph of Article 207(4) TFEU.</w:t>
      </w:r>
    </w:p>
    <w:p>
      <w:pPr>
        <w:pStyle w:val="ManualHeading2"/>
        <w:rPr>
          <w:noProof/>
        </w:rPr>
      </w:pPr>
      <w:r>
        <w:t>4.3.</w:t>
      </w:r>
      <w:r>
        <w:tab/>
      </w:r>
      <w:r>
        <w:rPr>
          <w:noProof/>
        </w:rPr>
        <w:t>Conclusion</w:t>
      </w:r>
    </w:p>
    <w:p>
      <w:pPr>
        <w:rPr>
          <w:noProof/>
        </w:rPr>
      </w:pPr>
      <w:r>
        <w:rPr>
          <w:noProof/>
        </w:rPr>
        <w:t>The legal basis of the proposed decision should be Article 207(4), first subparagraph TFEU, in conjunction with Article 218(9) TFEU.</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Sugar Council concerning the accession of the United Kingdom to the International Sugar Agreement, 1992</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Sugar Agreement, 1992 (‘the Agreement’) was concluded by the Union by means of Council Decision 92/580/EEC</w:t>
      </w:r>
      <w:r>
        <w:rPr>
          <w:rStyle w:val="FootnoteReference"/>
          <w:noProof/>
        </w:rPr>
        <w:footnoteReference w:id="10"/>
      </w:r>
      <w:r>
        <w:rPr>
          <w:noProof/>
        </w:rPr>
        <w:t xml:space="preserve"> and entered into force on 1 January 1993. The Agreement was initially concluded for a period of three years.</w:t>
      </w:r>
    </w:p>
    <w:p>
      <w:pPr>
        <w:pStyle w:val="ManualConsidrant"/>
        <w:rPr>
          <w:noProof/>
        </w:rPr>
      </w:pPr>
      <w:r>
        <w:t>(2)</w:t>
      </w:r>
      <w:r>
        <w:tab/>
      </w:r>
      <w:r>
        <w:rPr>
          <w:noProof/>
        </w:rPr>
        <w:t>Pursuant to Article 45(2) of the Agreement, the International Sugar Council may extend the Agreement for successive periods not exceeding two years on each occasion. Since its conclusion, the Agreement has regularly been extended for further periods of two years. The Agreement was last extended by Decision of the International Sugar Council on 10 July 2019</w:t>
      </w:r>
      <w:r>
        <w:rPr>
          <w:rStyle w:val="FootnoteReference"/>
          <w:noProof/>
        </w:rPr>
        <w:footnoteReference w:id="11"/>
      </w:r>
      <w:r>
        <w:rPr>
          <w:noProof/>
        </w:rPr>
        <w:t xml:space="preserve"> and remains in force until 31 December 2021.</w:t>
      </w:r>
    </w:p>
    <w:p>
      <w:pPr>
        <w:pStyle w:val="ManualConsidrant"/>
        <w:rPr>
          <w:noProof/>
        </w:rPr>
      </w:pPr>
      <w:r>
        <w:t>(3)</w:t>
      </w:r>
      <w:r>
        <w:tab/>
      </w:r>
      <w:r>
        <w:rPr>
          <w:noProof/>
        </w:rPr>
        <w:t>Pursuant to Article 41 of the Agreement, it is open for accession by the Governments of all States in accordance with the conditions established by the International Sugar Council.</w:t>
      </w:r>
    </w:p>
    <w:p>
      <w:pPr>
        <w:pStyle w:val="ManualConsidrant"/>
        <w:rPr>
          <w:noProof/>
        </w:rPr>
      </w:pPr>
      <w:r>
        <w:t>(4)</w:t>
      </w:r>
      <w:r>
        <w:tab/>
      </w:r>
      <w:r>
        <w:rPr>
          <w:noProof/>
        </w:rPr>
        <w:t>On 2 October 2020, the United Kingdom formally applied for accession to the Agreement as from 1 January 2021.</w:t>
      </w:r>
    </w:p>
    <w:p>
      <w:pPr>
        <w:pStyle w:val="ManualConsidrant"/>
        <w:rPr>
          <w:noProof/>
        </w:rPr>
      </w:pPr>
      <w:r>
        <w:t>(5)</w:t>
      </w:r>
      <w:r>
        <w:tab/>
      </w:r>
      <w:r>
        <w:rPr>
          <w:noProof/>
        </w:rPr>
        <w:t>During the 57th session of the International Sugar Council scheduled for 27 November 2020, the International Sugar Council is set to establish the conditions for accession of the United Kingdom of Great Britain and Northern Ireland in line with Article 41 of the Agreement.</w:t>
      </w:r>
    </w:p>
    <w:p>
      <w:pPr>
        <w:pStyle w:val="ManualConsidrant"/>
        <w:rPr>
          <w:noProof/>
        </w:rPr>
      </w:pPr>
      <w:r>
        <w:t>(6)</w:t>
      </w:r>
      <w:r>
        <w:tab/>
      </w:r>
      <w:r>
        <w:rPr>
          <w:noProof/>
        </w:rPr>
        <w:t>It is therefore appropriate to establish the position to be taken on the Union's behalf in the International Sugar Council.</w:t>
      </w:r>
    </w:p>
    <w:p>
      <w:pPr>
        <w:pStyle w:val="ManualConsidrant"/>
        <w:rPr>
          <w:noProof/>
        </w:rPr>
      </w:pPr>
      <w:r>
        <w:t>(7)</w:t>
      </w:r>
      <w:r>
        <w:tab/>
      </w:r>
      <w:r>
        <w:rPr>
          <w:noProof/>
        </w:rPr>
        <w:t>The United Kingdom is a major producer of sugar. Approving the accession of the United Kingdom to the Agreement subject to conditions set out in this Decision is in the interest of the Union.</w:t>
      </w:r>
    </w:p>
    <w:p>
      <w:pPr>
        <w:pStyle w:val="ManualConsidrant"/>
        <w:rPr>
          <w:noProof/>
        </w:rPr>
      </w:pPr>
      <w:r>
        <w:lastRenderedPageBreak/>
        <w:t>(8)</w:t>
      </w:r>
      <w:r>
        <w:tab/>
      </w:r>
      <w:r>
        <w:rPr>
          <w:noProof/>
        </w:rPr>
        <w:t>The votes allocated to the United Kingdom from the date of its accession to the Agreement should be deducted from the votes allocated to the Union in accordance with Article 25 of that Agreement. Consequently, the financial contribution of the European Union should be reduced accordingly from financial year 2021.</w:t>
      </w:r>
    </w:p>
    <w:p>
      <w:pPr>
        <w:pStyle w:val="ManualConsidrant"/>
        <w:rPr>
          <w:noProof/>
        </w:rPr>
      </w:pPr>
      <w:r>
        <w:t>(9)</w:t>
      </w:r>
      <w:r>
        <w:tab/>
      </w:r>
      <w:r>
        <w:rPr>
          <w:noProof/>
        </w:rPr>
        <w:t xml:space="preserve">The United Kingdom’s accession to the Agreement should only take effect after  the end of the </w:t>
      </w:r>
      <w:r>
        <w:rPr>
          <w:noProof/>
          <w:lang w:val="en-IE"/>
        </w:rPr>
        <w:t xml:space="preserve">transition period referred to in Article 126 of </w:t>
      </w:r>
      <w:r>
        <w:rPr>
          <w:noProof/>
          <w:szCs w:val="24"/>
          <w:lang w:val="en-IE"/>
        </w:rPr>
        <w:t>the Agreement on the withdrawal of the United Kingdom of Great Britain and Northern Ireland from the European Union and the European Atomic Energy Community and the Agreement should not be provisionally applied in respect of the United Kingdom before the end of that period</w:t>
      </w:r>
      <w:r>
        <w:rPr>
          <w:i/>
          <w:noProof/>
          <w:lang w:val="en-IE"/>
        </w:rPr>
        <w:t>,</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 xml:space="preserve">The position to be taken on the Union’s behalf during the 57th session of the International Sugar Council on 27 November 2020 shall be to approve the accession of the United Kingdom to the International Sugar Agreement, 1992, (the Agreement) subject to conditions established in paragraphs 2, 3 and 4. </w:t>
      </w:r>
    </w:p>
    <w:p>
      <w:pPr>
        <w:pStyle w:val="ManualNumPar1"/>
        <w:rPr>
          <w:noProof/>
        </w:rPr>
      </w:pPr>
      <w:r>
        <w:t>2.</w:t>
      </w:r>
      <w:r>
        <w:tab/>
      </w:r>
      <w:r>
        <w:rPr>
          <w:iCs/>
          <w:noProof/>
        </w:rPr>
        <w:t xml:space="preserve">The accession shall not take effect and </w:t>
      </w:r>
      <w:r>
        <w:rPr>
          <w:noProof/>
        </w:rPr>
        <w:t xml:space="preserve">the Agreement shall not be provisionally applied in respect of the United Kingdom before the end of the </w:t>
      </w:r>
      <w:r>
        <w:rPr>
          <w:noProof/>
          <w:lang w:val="en-IE"/>
        </w:rPr>
        <w:t xml:space="preserve">transition period referred to in Article 126 of </w:t>
      </w:r>
      <w:r>
        <w:rPr>
          <w:noProof/>
          <w:szCs w:val="24"/>
          <w:lang w:val="en-IE"/>
        </w:rPr>
        <w:t>the Agreement on the withdrawal of the United Kingdom of Great Britain and Northern Ireland from the European Union and the European Atomic Energy Community.</w:t>
      </w:r>
    </w:p>
    <w:p>
      <w:pPr>
        <w:pStyle w:val="ManualNumPar1"/>
        <w:rPr>
          <w:noProof/>
        </w:rPr>
      </w:pPr>
      <w:r>
        <w:t>3.</w:t>
      </w:r>
      <w:r>
        <w:tab/>
      </w:r>
      <w:r>
        <w:rPr>
          <w:noProof/>
          <w:lang w:val="en-IE"/>
        </w:rPr>
        <w:t xml:space="preserve">From the date of its accession to the Agreement, the United Kingdom will be allocated a number of votes determined in accordance with Article 25 of the Agreement and established during the </w:t>
      </w:r>
      <w:r>
        <w:rPr>
          <w:noProof/>
        </w:rPr>
        <w:t>the 57th session of the International Sugar Council on 27 November 2020,</w:t>
      </w:r>
      <w:r>
        <w:rPr>
          <w:noProof/>
          <w:lang w:val="en-IE"/>
        </w:rPr>
        <w:t xml:space="preserve"> which will be deducted from the votes allocated to the European Union.</w:t>
      </w:r>
    </w:p>
    <w:p>
      <w:pPr>
        <w:pStyle w:val="ManualNumPar1"/>
        <w:rPr>
          <w:noProof/>
        </w:rPr>
      </w:pPr>
      <w:r>
        <w:t>4.</w:t>
      </w:r>
      <w:r>
        <w:tab/>
      </w:r>
      <w:r>
        <w:rPr>
          <w:noProof/>
          <w:lang w:val="en-IE"/>
        </w:rPr>
        <w:t>The financial contribution of the Union will be reduced in accordance with Article 25 of the Agreement.</w:t>
      </w:r>
    </w:p>
    <w:p>
      <w:pPr>
        <w:pStyle w:val="Titrearticle"/>
        <w:rPr>
          <w:noProof/>
        </w:rPr>
      </w:pPr>
      <w:r>
        <w:rPr>
          <w:noProof/>
        </w:rPr>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keepNext/>
        <w:rPr>
          <w:noProof/>
        </w:rPr>
        <w:sectPr>
          <w:footnotePr>
            <w:numRestart w:val="eachSect"/>
          </w:footnote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567"/>
        <w:gridCol w:w="3884"/>
        <w:gridCol w:w="1417"/>
        <w:gridCol w:w="1276"/>
        <w:gridCol w:w="283"/>
        <w:gridCol w:w="567"/>
        <w:gridCol w:w="1134"/>
      </w:tblGrid>
      <w:tr>
        <w:trPr>
          <w:trHeight w:val="355"/>
        </w:trPr>
        <w:tc>
          <w:tcPr>
            <w:tcW w:w="7144" w:type="dxa"/>
            <w:gridSpan w:val="4"/>
            <w:vMerge w:val="restart"/>
            <w:tcBorders>
              <w:top w:val="single" w:sz="6" w:space="0" w:color="auto"/>
              <w:left w:val="single" w:sz="6" w:space="0" w:color="auto"/>
              <w:bottom w:val="nil"/>
              <w:right w:val="single" w:sz="6" w:space="0" w:color="auto"/>
            </w:tcBorders>
            <w:hideMark/>
          </w:tcPr>
          <w:p>
            <w:pPr>
              <w:pStyle w:val="Fichefinanciretitretable"/>
              <w:keepNext/>
              <w:rPr>
                <w:noProof/>
              </w:rPr>
            </w:pPr>
            <w:r>
              <w:rPr>
                <w:noProof/>
              </w:rPr>
              <w:lastRenderedPageBreak/>
              <w:t>FINANCIAL STATEMENT</w:t>
            </w: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lang w:val="fr-BE"/>
              </w:rPr>
            </w:pPr>
            <w:r>
              <w:rPr>
                <w:noProof/>
                <w:lang w:val="fr-BE"/>
              </w:rPr>
              <w:t>Fin Stat/20/PSHMK/pl/62220293413793</w:t>
            </w:r>
          </w:p>
          <w:p>
            <w:pPr>
              <w:pStyle w:val="Fichefinanciretextetable"/>
              <w:keepNext/>
              <w:rPr>
                <w:noProof/>
                <w:lang w:val="fr-BE"/>
              </w:rPr>
            </w:pPr>
          </w:p>
          <w:p>
            <w:pPr>
              <w:pStyle w:val="Fichefinanciretextetable"/>
              <w:keepNext/>
            </w:pPr>
            <w:r>
              <w:rPr>
                <w:noProof/>
                <w:lang w:val="fr-BE"/>
              </w:rPr>
              <w:t xml:space="preserve">agri.ddg3.g.4(2020) 6175239 </w:t>
            </w:r>
          </w:p>
        </w:tc>
      </w:tr>
      <w:tr>
        <w:trPr>
          <w:trHeight w:val="355"/>
        </w:trPr>
        <w:tc>
          <w:tcPr>
            <w:tcW w:w="7144" w:type="dxa"/>
            <w:gridSpan w:val="4"/>
            <w:vMerge/>
            <w:tcBorders>
              <w:top w:val="single" w:sz="6" w:space="0" w:color="auto"/>
              <w:left w:val="single" w:sz="6" w:space="0" w:color="auto"/>
              <w:bottom w:val="nil"/>
              <w:right w:val="single" w:sz="6" w:space="0" w:color="auto"/>
            </w:tcBorders>
            <w:vAlign w:val="center"/>
            <w:hideMark/>
          </w:tcPr>
          <w:p>
            <w:pPr>
              <w:keepNext/>
              <w:rPr>
                <w:b/>
                <w:noProof/>
                <w:sz w:val="40"/>
                <w:szCs w:val="20"/>
              </w:rPr>
            </w:pPr>
          </w:p>
        </w:tc>
        <w:tc>
          <w:tcPr>
            <w:tcW w:w="1984" w:type="dxa"/>
            <w:gridSpan w:val="3"/>
            <w:tcBorders>
              <w:top w:val="single" w:sz="6" w:space="0" w:color="auto"/>
              <w:left w:val="single" w:sz="6" w:space="0" w:color="auto"/>
              <w:bottom w:val="single" w:sz="6" w:space="0" w:color="auto"/>
              <w:right w:val="single" w:sz="6" w:space="0" w:color="auto"/>
            </w:tcBorders>
            <w:hideMark/>
          </w:tcPr>
          <w:p>
            <w:pPr>
              <w:pStyle w:val="Fichefinanciretextetable"/>
              <w:keepNext/>
            </w:pPr>
            <w:r>
              <w:rPr>
                <w:rFonts w:ascii="Arial" w:hAnsi="Arial"/>
                <w:i/>
                <w:noProof/>
                <w:spacing w:val="-3"/>
              </w:rPr>
              <w:t>6.22.2020</w:t>
            </w:r>
          </w:p>
        </w:tc>
      </w:tr>
      <w:tr>
        <w:tc>
          <w:tcPr>
            <w:tcW w:w="7144" w:type="dxa"/>
            <w:gridSpan w:val="4"/>
            <w:tcBorders>
              <w:top w:val="nil"/>
              <w:left w:val="single" w:sz="6" w:space="0" w:color="auto"/>
              <w:bottom w:val="single" w:sz="6" w:space="0" w:color="auto"/>
              <w:right w:val="single" w:sz="6" w:space="0" w:color="auto"/>
            </w:tcBorders>
          </w:tcPr>
          <w:p>
            <w:pPr>
              <w:pStyle w:val="Fichefinanciretextetable"/>
              <w:keepNext/>
              <w:rPr>
                <w:noProof/>
              </w:rPr>
            </w:pP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DATE: 13/10/2020</w:t>
            </w:r>
          </w:p>
          <w:p>
            <w:pPr>
              <w:pStyle w:val="Fichefinanciretextetable"/>
              <w:keepNext/>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1.</w:t>
            </w:r>
          </w:p>
        </w:tc>
        <w:tc>
          <w:tcPr>
            <w:tcW w:w="6577" w:type="dxa"/>
            <w:gridSpan w:val="3"/>
            <w:tcBorders>
              <w:top w:val="single" w:sz="6" w:space="0" w:color="auto"/>
              <w:left w:val="nil"/>
              <w:bottom w:val="single" w:sz="6" w:space="0" w:color="auto"/>
              <w:right w:val="nil"/>
            </w:tcBorders>
            <w:hideMark/>
          </w:tcPr>
          <w:p>
            <w:pPr>
              <w:pStyle w:val="Fichefinanciretextetable"/>
              <w:keepNext/>
              <w:rPr>
                <w:noProof/>
              </w:rPr>
            </w:pPr>
            <w:r>
              <w:rPr>
                <w:noProof/>
              </w:rPr>
              <w:t>BUDGET HEADING:</w:t>
            </w:r>
          </w:p>
          <w:p>
            <w:pPr>
              <w:pStyle w:val="Fichefinanciretextetable"/>
              <w:keepNext/>
              <w:rPr>
                <w:noProof/>
              </w:rPr>
            </w:pPr>
          </w:p>
          <w:p>
            <w:pPr>
              <w:pStyle w:val="Fichefinanciretextetable"/>
              <w:keepNext/>
              <w:rPr>
                <w:noProof/>
              </w:rPr>
            </w:pPr>
            <w:r>
              <w:rPr>
                <w:noProof/>
              </w:rPr>
              <w:t>Chapter 15 20 PILOT PROJECTS, PREPARATORY ACTIONS, PREROGATIVES AND OTHER ACTIONS</w:t>
            </w:r>
          </w:p>
          <w:p>
            <w:pPr>
              <w:pStyle w:val="Fichefinanciretextetable"/>
              <w:keepNext/>
              <w:rPr>
                <w:noProof/>
              </w:rPr>
            </w:pPr>
            <w:r>
              <w:rPr>
                <w:noProof/>
              </w:rPr>
              <w:t>15 20 03 06 International organisations and agreements</w:t>
            </w:r>
            <w:r>
              <w:rPr>
                <w:noProof/>
              </w:rPr>
              <w:tab/>
            </w:r>
          </w:p>
        </w:tc>
        <w:tc>
          <w:tcPr>
            <w:tcW w:w="1984" w:type="dxa"/>
            <w:gridSpan w:val="3"/>
            <w:tcBorders>
              <w:top w:val="single" w:sz="6" w:space="0" w:color="auto"/>
              <w:left w:val="nil"/>
              <w:bottom w:val="single" w:sz="6" w:space="0" w:color="auto"/>
              <w:right w:val="single" w:sz="6" w:space="0" w:color="auto"/>
            </w:tcBorders>
          </w:tcPr>
          <w:p>
            <w:pPr>
              <w:pStyle w:val="Fichefinanciretextetable"/>
              <w:keepNext/>
              <w:rPr>
                <w:noProof/>
                <w:lang w:val="fr-BE"/>
              </w:rPr>
            </w:pPr>
            <w:r>
              <w:rPr>
                <w:noProof/>
                <w:lang w:val="fr-BE"/>
              </w:rPr>
              <w:t>APPROPRIATIONS:</w:t>
            </w:r>
          </w:p>
          <w:p>
            <w:pPr>
              <w:pStyle w:val="Fichefinanciretextetable"/>
              <w:keepNext/>
              <w:rPr>
                <w:noProof/>
              </w:rPr>
            </w:pPr>
          </w:p>
          <w:p>
            <w:pPr>
              <w:pStyle w:val="Fichefinanciretextetable"/>
              <w:keepNext/>
              <w:rPr>
                <w:noProof/>
                <w:lang w:val="fr-BE"/>
              </w:rPr>
            </w:pPr>
            <w:r>
              <w:rPr>
                <w:noProof/>
                <w:lang w:val="fr-BE"/>
              </w:rPr>
              <w:t xml:space="preserve">B2021:EUR 15 605 027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2.</w:t>
            </w:r>
          </w:p>
        </w:tc>
        <w:tc>
          <w:tcPr>
            <w:tcW w:w="8561" w:type="dxa"/>
            <w:gridSpan w:val="6"/>
            <w:tcBorders>
              <w:top w:val="single" w:sz="6" w:space="0" w:color="auto"/>
              <w:left w:val="nil"/>
              <w:bottom w:val="single" w:sz="6" w:space="0" w:color="auto"/>
              <w:right w:val="single" w:sz="6" w:space="0" w:color="auto"/>
            </w:tcBorders>
          </w:tcPr>
          <w:p>
            <w:pPr>
              <w:pStyle w:val="Fichefinanciretextetable"/>
              <w:keepNext/>
              <w:spacing w:after="60"/>
              <w:rPr>
                <w:noProof/>
              </w:rPr>
            </w:pPr>
            <w:r>
              <w:rPr>
                <w:noProof/>
              </w:rPr>
              <w:t>TITLE:</w:t>
            </w:r>
            <w:r>
              <w:rPr>
                <w:noProof/>
              </w:rPr>
              <w:br/>
            </w:r>
            <w:r>
              <w:rPr>
                <w:noProof/>
                <w:sz w:val="24"/>
                <w:szCs w:val="24"/>
              </w:rPr>
              <w:t>Proposal for a Council Decision on the position to be taken on behalf of the European Union in the International Sugar Council concerning the accession of the United Kingdom to the International Sugar Agreement, 1992</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3.</w:t>
            </w:r>
          </w:p>
        </w:tc>
        <w:tc>
          <w:tcPr>
            <w:tcW w:w="8561" w:type="dxa"/>
            <w:gridSpan w:val="6"/>
            <w:tcBorders>
              <w:top w:val="single" w:sz="6" w:space="0" w:color="auto"/>
              <w:left w:val="nil"/>
              <w:bottom w:val="single" w:sz="6" w:space="0" w:color="auto"/>
              <w:right w:val="single" w:sz="6" w:space="0" w:color="auto"/>
            </w:tcBorders>
            <w:hideMark/>
          </w:tcPr>
          <w:p>
            <w:pPr>
              <w:keepNext/>
              <w:spacing w:after="60"/>
              <w:rPr>
                <w:rFonts w:eastAsia="Arial Unicode MS"/>
                <w:noProof/>
              </w:rPr>
            </w:pPr>
            <w:r>
              <w:rPr>
                <w:noProof/>
              </w:rPr>
              <w:t>LEGAL BASIS: The legal basis for this proposal is Article 207(4), in conjunction with Article 218(9), of the Treaty on the Functioning of the European Union.</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4.</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rPr>
                <w:noProof/>
                <w:sz w:val="24"/>
                <w:szCs w:val="24"/>
              </w:rPr>
            </w:pPr>
            <w:r>
              <w:rPr>
                <w:noProof/>
                <w:sz w:val="24"/>
                <w:szCs w:val="24"/>
              </w:rPr>
              <w:t>AIMS:</w:t>
            </w:r>
          </w:p>
          <w:p>
            <w:pPr>
              <w:pStyle w:val="Fichefinanciretextetable"/>
              <w:keepNext/>
              <w:rPr>
                <w:noProof/>
                <w:sz w:val="24"/>
                <w:szCs w:val="24"/>
              </w:rPr>
            </w:pPr>
            <w:r>
              <w:rPr>
                <w:noProof/>
                <w:sz w:val="24"/>
                <w:szCs w:val="24"/>
              </w:rPr>
              <w:t xml:space="preserve">To approve the accession of the United Kingdom to the International Sugar Agreement, 1992.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FINANCIAL IMPLICATIONS</w:t>
            </w:r>
          </w:p>
        </w:tc>
        <w:tc>
          <w:tcPr>
            <w:tcW w:w="1417" w:type="dxa"/>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12 MONTH PERIOD</w:t>
            </w:r>
            <w:r>
              <w:rPr>
                <w:noProof/>
              </w:rPr>
              <w:br/>
            </w:r>
            <w:r>
              <w:rPr>
                <w:noProof/>
              </w:rPr>
              <w:br/>
              <w:t>(EUR)</w:t>
            </w: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CURRENT FINANCIAL YEAR 2020</w:t>
            </w:r>
          </w:p>
          <w:p>
            <w:pPr>
              <w:pStyle w:val="Fichefinanciretextetable"/>
              <w:keepNext/>
              <w:jc w:val="center"/>
              <w:rPr>
                <w:noProof/>
              </w:rPr>
            </w:pPr>
            <w:r>
              <w:rPr>
                <w:noProof/>
              </w:rPr>
              <w:t>(EUR)</w:t>
            </w: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 xml:space="preserve">FOLLOWING FINANCIAL YEAR 2021 </w:t>
            </w:r>
          </w:p>
          <w:p>
            <w:pPr>
              <w:pStyle w:val="Fichefinanciretextetable"/>
              <w:keepNext/>
              <w:jc w:val="center"/>
              <w:rPr>
                <w:noProof/>
              </w:rPr>
            </w:pPr>
            <w:r>
              <w:rPr>
                <w:noProof/>
              </w:rPr>
              <w:t>(EUR)</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5.0</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EXPENDITURE</w:t>
            </w:r>
          </w:p>
          <w:p>
            <w:pPr>
              <w:pStyle w:val="Fichefinanciretextetable"/>
              <w:keepNext/>
              <w:rPr>
                <w:noProof/>
              </w:rPr>
            </w:pPr>
            <w:r>
              <w:rPr>
                <w:noProof/>
              </w:rPr>
              <w:t>-</w:t>
            </w:r>
            <w:r>
              <w:rPr>
                <w:noProof/>
              </w:rPr>
              <w:tab/>
              <w:t>CHARGED TO THE EU BUDGET</w:t>
            </w:r>
            <w:r>
              <w:rPr>
                <w:noProof/>
              </w:rPr>
              <w:br/>
              <w:t>(REFUNDS/INTERVENTIONS)</w:t>
            </w:r>
          </w:p>
          <w:p>
            <w:pPr>
              <w:pStyle w:val="Fichefinanciretextetable"/>
              <w:keepNext/>
              <w:rPr>
                <w:noProof/>
              </w:rPr>
            </w:pPr>
            <w:r>
              <w:rPr>
                <w:noProof/>
              </w:rPr>
              <w:t>-</w:t>
            </w:r>
            <w:r>
              <w:rPr>
                <w:noProof/>
              </w:rPr>
              <w:tab/>
              <w:t>NATIONAL AUTHORITIES</w:t>
            </w:r>
          </w:p>
          <w:p>
            <w:pPr>
              <w:pStyle w:val="Fichefinanciretextetable"/>
              <w:keepNext/>
              <w:rPr>
                <w:noProof/>
              </w:rPr>
            </w:pPr>
            <w:r>
              <w:rPr>
                <w:noProof/>
              </w:rPr>
              <w:t>-</w:t>
            </w:r>
            <w:r>
              <w:rPr>
                <w:noProof/>
              </w:rPr>
              <w:tab/>
              <w:t>OTHER</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tabs>
                <w:tab w:val="left" w:pos="435"/>
              </w:tabs>
              <w:ind w:left="225"/>
              <w:jc w:val="center"/>
              <w:rPr>
                <w:noProof/>
              </w:rPr>
            </w:pPr>
          </w:p>
          <w:p>
            <w:pPr>
              <w:pStyle w:val="Fichefinanciretextetable"/>
              <w:keepNext/>
              <w:tabs>
                <w:tab w:val="left" w:pos="435"/>
              </w:tabs>
              <w:ind w:left="225"/>
              <w:jc w:val="center"/>
              <w:rPr>
                <w:noProof/>
              </w:rPr>
            </w:pPr>
            <w:r>
              <w:rPr>
                <w:noProof/>
              </w:rPr>
              <w:t>- 42 937-</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5.1</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REVENUE</w:t>
            </w:r>
          </w:p>
          <w:p>
            <w:pPr>
              <w:pStyle w:val="Fichefinanciretextetable"/>
              <w:keepNext/>
              <w:rPr>
                <w:noProof/>
              </w:rPr>
            </w:pPr>
            <w:r>
              <w:rPr>
                <w:noProof/>
              </w:rPr>
              <w:t>-</w:t>
            </w:r>
            <w:r>
              <w:rPr>
                <w:noProof/>
              </w:rPr>
              <w:tab/>
              <w:t xml:space="preserve">OWN RESOURCES OF THE EU </w:t>
            </w:r>
            <w:r>
              <w:rPr>
                <w:noProof/>
              </w:rPr>
              <w:br/>
              <w:t>(LEVIES/CUSTOMS DUTIES)</w:t>
            </w:r>
          </w:p>
          <w:p>
            <w:pPr>
              <w:pStyle w:val="Fichefinanciretextetable"/>
              <w:keepNext/>
              <w:rPr>
                <w:noProof/>
              </w:rPr>
            </w:pPr>
            <w:r>
              <w:rPr>
                <w:noProof/>
              </w:rPr>
              <w:t>-</w:t>
            </w:r>
            <w:r>
              <w:rPr>
                <w:noProof/>
              </w:rPr>
              <w:tab/>
              <w:t>NATIONAL</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nil"/>
              <w:right w:val="nil"/>
            </w:tcBorders>
          </w:tcPr>
          <w:p>
            <w:pPr>
              <w:pStyle w:val="Fichefinanciretextetable"/>
              <w:keepNext/>
              <w:rPr>
                <w:noProof/>
              </w:rPr>
            </w:pPr>
          </w:p>
        </w:tc>
        <w:tc>
          <w:tcPr>
            <w:tcW w:w="3884" w:type="dxa"/>
            <w:tcBorders>
              <w:top w:val="single" w:sz="6" w:space="0" w:color="auto"/>
              <w:left w:val="nil"/>
              <w:bottom w:val="nil"/>
              <w:right w:val="single" w:sz="6" w:space="0" w:color="auto"/>
            </w:tcBorders>
          </w:tcPr>
          <w:p>
            <w:pPr>
              <w:pStyle w:val="Fichefinanciretextetable"/>
              <w:keepNext/>
              <w:rPr>
                <w:noProof/>
              </w:rPr>
            </w:pPr>
          </w:p>
        </w:tc>
        <w:tc>
          <w:tcPr>
            <w:tcW w:w="1417" w:type="dxa"/>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pPr>
          </w:p>
        </w:tc>
        <w:tc>
          <w:tcPr>
            <w:tcW w:w="1701" w:type="dxa"/>
            <w:gridSpan w:val="2"/>
            <w:tcBorders>
              <w:top w:val="single" w:sz="6" w:space="0" w:color="auto"/>
              <w:left w:val="single" w:sz="6" w:space="0" w:color="auto"/>
              <w:bottom w:val="nil"/>
              <w:right w:val="single" w:sz="6" w:space="0" w:color="auto"/>
            </w:tcBorders>
          </w:tcPr>
          <w:p>
            <w:pPr>
              <w:pStyle w:val="Fichefinanciretextetable"/>
              <w:keepNext/>
              <w:jc w:val="center"/>
            </w:pPr>
          </w:p>
        </w:tc>
      </w:tr>
      <w:tr>
        <w:tc>
          <w:tcPr>
            <w:tcW w:w="567" w:type="dxa"/>
            <w:tcBorders>
              <w:top w:val="nil"/>
              <w:left w:val="single" w:sz="6" w:space="0" w:color="auto"/>
              <w:bottom w:val="nil"/>
              <w:right w:val="nil"/>
            </w:tcBorders>
            <w:hideMark/>
          </w:tcPr>
          <w:p>
            <w:pPr>
              <w:pStyle w:val="Fichefinanciretextetable"/>
              <w:keepNext/>
              <w:rPr>
                <w:noProof/>
              </w:rPr>
            </w:pPr>
            <w:r>
              <w:rPr>
                <w:noProof/>
              </w:rPr>
              <w:t>5.0.1</w:t>
            </w:r>
          </w:p>
        </w:tc>
        <w:tc>
          <w:tcPr>
            <w:tcW w:w="3884" w:type="dxa"/>
            <w:tcBorders>
              <w:top w:val="nil"/>
              <w:left w:val="nil"/>
              <w:bottom w:val="nil"/>
              <w:right w:val="single" w:sz="6" w:space="0" w:color="auto"/>
            </w:tcBorders>
            <w:hideMark/>
          </w:tcPr>
          <w:p>
            <w:pPr>
              <w:pStyle w:val="Fichefinanciretextetable"/>
              <w:keepNext/>
              <w:rPr>
                <w:noProof/>
              </w:rPr>
            </w:pPr>
            <w:r>
              <w:rPr>
                <w:noProof/>
              </w:rPr>
              <w:t>ESTIMATED EXPENDITURE</w:t>
            </w:r>
          </w:p>
        </w:tc>
        <w:tc>
          <w:tcPr>
            <w:tcW w:w="1417" w:type="dxa"/>
            <w:tcBorders>
              <w:top w:val="single" w:sz="6" w:space="0" w:color="auto"/>
              <w:left w:val="single" w:sz="6" w:space="0" w:color="auto"/>
              <w:bottom w:val="nil"/>
              <w:right w:val="single" w:sz="6" w:space="0" w:color="auto"/>
            </w:tcBorders>
          </w:tcPr>
          <w:p>
            <w:pPr>
              <w:pStyle w:val="Fichefinanciretextetable"/>
              <w:keepNext/>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701" w:type="dxa"/>
            <w:gridSpan w:val="2"/>
            <w:vMerge w:val="restart"/>
            <w:tcBorders>
              <w:top w:val="single" w:sz="6" w:space="0" w:color="auto"/>
              <w:left w:val="single" w:sz="6" w:space="0" w:color="auto"/>
              <w:right w:val="single" w:sz="6" w:space="0" w:color="auto"/>
            </w:tcBorders>
          </w:tcPr>
          <w:p>
            <w:pPr>
              <w:pStyle w:val="Fichefinanciretextetable"/>
              <w:keepNext/>
              <w:jc w:val="center"/>
              <w:rPr>
                <w:noProof/>
              </w:rPr>
            </w:pPr>
          </w:p>
        </w:tc>
      </w:tr>
      <w:tr>
        <w:tc>
          <w:tcPr>
            <w:tcW w:w="567" w:type="dxa"/>
            <w:tcBorders>
              <w:top w:val="nil"/>
              <w:left w:val="single" w:sz="6" w:space="0" w:color="auto"/>
              <w:bottom w:val="single" w:sz="6" w:space="0" w:color="auto"/>
              <w:right w:val="nil"/>
            </w:tcBorders>
            <w:hideMark/>
          </w:tcPr>
          <w:p>
            <w:pPr>
              <w:pStyle w:val="Fichefinanciretextetable"/>
              <w:keepNext/>
              <w:rPr>
                <w:noProof/>
              </w:rPr>
            </w:pPr>
            <w:r>
              <w:rPr>
                <w:noProof/>
              </w:rPr>
              <w:t>5.1.1</w:t>
            </w:r>
          </w:p>
        </w:tc>
        <w:tc>
          <w:tcPr>
            <w:tcW w:w="3884" w:type="dxa"/>
            <w:tcBorders>
              <w:top w:val="nil"/>
              <w:left w:val="nil"/>
              <w:bottom w:val="single" w:sz="6" w:space="0" w:color="auto"/>
              <w:right w:val="single" w:sz="6" w:space="0" w:color="auto"/>
            </w:tcBorders>
            <w:hideMark/>
          </w:tcPr>
          <w:p>
            <w:pPr>
              <w:pStyle w:val="Fichefinanciretextetable"/>
              <w:keepNext/>
              <w:rPr>
                <w:noProof/>
              </w:rPr>
            </w:pPr>
            <w:r>
              <w:rPr>
                <w:noProof/>
              </w:rPr>
              <w:t>ESTIMATED REVENUE</w:t>
            </w:r>
          </w:p>
        </w:tc>
        <w:tc>
          <w:tcPr>
            <w:tcW w:w="1417" w:type="dxa"/>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vMerge/>
            <w:tcBorders>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5.2</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spacing w:before="60" w:after="60"/>
              <w:rPr>
                <w:noProof/>
              </w:rPr>
            </w:pPr>
            <w:r>
              <w:rPr>
                <w:noProof/>
              </w:rPr>
              <w:t>METHOD OF CALCULATION: 55 votes less for EU, 686 GBP/ vote</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6.0</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CAN THE PROJECT BE FINANCED FROM APPROPRIATIONS ENTERED IN THE RELEVANT CHAPTER OF THE CURRENT BUDGET?</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N.A.</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6.1</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CAN THE PROJECT BE FINANCED BY TRANSFER BETWEEN CHAPTERS OF THE CURRENT BUDGET?</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N.A.</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6.2</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WILL A SUPPLEMENTARY BUDGET BE NECESSARY?</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NO</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6.3</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WILL APPROPRIATIONS NEED TO BE ENTERED IN FUTURE BUDGETS?</w:t>
            </w:r>
          </w:p>
        </w:tc>
        <w:tc>
          <w:tcPr>
            <w:tcW w:w="1134" w:type="dxa"/>
            <w:tcBorders>
              <w:top w:val="single" w:sz="6" w:space="0" w:color="auto"/>
              <w:left w:val="nil"/>
              <w:bottom w:val="single" w:sz="6" w:space="0" w:color="auto"/>
              <w:right w:val="single" w:sz="6" w:space="0" w:color="auto"/>
            </w:tcBorders>
            <w:hideMark/>
          </w:tcPr>
          <w:p>
            <w:pPr>
              <w:pStyle w:val="Fichefinanciretextetable"/>
              <w:keepNext/>
              <w:jc w:val="center"/>
            </w:pPr>
            <w:r>
              <w:rPr>
                <w:noProof/>
              </w:rPr>
              <w:t>NO</w:t>
            </w:r>
          </w:p>
        </w:tc>
      </w:tr>
      <w:tr>
        <w:tc>
          <w:tcPr>
            <w:tcW w:w="9128" w:type="dxa"/>
            <w:gridSpan w:val="7"/>
            <w:tcBorders>
              <w:top w:val="single" w:sz="6" w:space="0" w:color="auto"/>
              <w:left w:val="single" w:sz="6" w:space="0" w:color="auto"/>
              <w:bottom w:val="single" w:sz="6" w:space="0" w:color="auto"/>
              <w:right w:val="single" w:sz="6" w:space="0" w:color="auto"/>
            </w:tcBorders>
          </w:tcPr>
          <w:p>
            <w:pPr>
              <w:pStyle w:val="Fichefinanciretextetable"/>
              <w:rPr>
                <w:noProof/>
              </w:rPr>
            </w:pPr>
            <w:r>
              <w:rPr>
                <w:noProof/>
                <w:sz w:val="24"/>
                <w:szCs w:val="24"/>
              </w:rPr>
              <w:t>The decision will have a positive impact for the EU budget from budget 2021. The EU contribution is expected to be EUR 42 937 less, as the UK will pay its own membership fee. The amount can vary depending on the amount to be paid per vote in GBP and on the EUR/GBP exchange rate. For this estimate the ECB’s GBP/EUR exchange of 12/10/2020 was used (GBP 1 = EUR 1.1380).</w:t>
            </w:r>
          </w:p>
        </w:tc>
      </w:tr>
    </w:tbl>
    <w:p>
      <w:pPr>
        <w:spacing w:before="0" w:after="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International Sugar Agreement 1992 (OJ L 379, 23.12.1992, p. 16).</w:t>
      </w:r>
    </w:p>
  </w:footnote>
  <w:footnote w:id="2">
    <w:p>
      <w:pPr>
        <w:pStyle w:val="FootnoteText"/>
        <w:rPr>
          <w:lang w:val="en-US"/>
        </w:rPr>
      </w:pPr>
      <w:r>
        <w:rPr>
          <w:rStyle w:val="FootnoteReference"/>
        </w:rPr>
        <w:footnoteRef/>
      </w:r>
      <w:r>
        <w:tab/>
        <w:t>Council Decision 92/580/EEC of 13 November 1992 on the signing and conclusion of the International Sugar Agreement 1992 (OJ L 379, 23.12.1992, p. 15).</w:t>
      </w:r>
    </w:p>
  </w:footnote>
  <w:footnote w:id="3">
    <w:p>
      <w:pPr>
        <w:pStyle w:val="FootnoteText"/>
        <w:rPr>
          <w:lang w:val="en-US"/>
        </w:rPr>
      </w:pPr>
      <w:r>
        <w:rPr>
          <w:rStyle w:val="FootnoteReference"/>
        </w:rPr>
        <w:footnoteRef/>
      </w:r>
      <w:r>
        <w:tab/>
      </w:r>
      <w:r>
        <w:rPr>
          <w:lang w:val="en-US"/>
        </w:rPr>
        <w:t>The International Sugar Organization operates on a financial year basis, which runs from 1 January to 31 December.</w:t>
      </w:r>
    </w:p>
  </w:footnote>
  <w:footnote w:id="4">
    <w:p>
      <w:pPr>
        <w:pStyle w:val="FootnoteText"/>
        <w:rPr>
          <w:lang w:val="en-US"/>
        </w:rPr>
      </w:pPr>
      <w:r>
        <w:rPr>
          <w:rStyle w:val="FootnoteReference"/>
        </w:rPr>
        <w:footnoteRef/>
      </w:r>
      <w:r>
        <w:tab/>
        <w:t>By the letter of the Parliamentary Undersecretary of State for Department for Food, Environment and Rural Affairs.</w:t>
      </w:r>
    </w:p>
  </w:footnote>
  <w:footnote w:id="5">
    <w:p>
      <w:pPr>
        <w:pStyle w:val="FootnoteText"/>
      </w:pPr>
      <w:r>
        <w:rPr>
          <w:rStyle w:val="FootnoteReference"/>
        </w:rPr>
        <w:footnoteRef/>
      </w:r>
      <w:r>
        <w:tab/>
        <w:t>Memo (20)68.</w:t>
      </w:r>
    </w:p>
  </w:footnote>
  <w:footnote w:id="6">
    <w:p>
      <w:pPr>
        <w:pStyle w:val="FootnoteText"/>
        <w:rPr>
          <w:lang w:val="en-IE"/>
        </w:rPr>
      </w:pPr>
      <w:r>
        <w:rPr>
          <w:rStyle w:val="FootnoteReference"/>
        </w:rPr>
        <w:footnoteRef/>
      </w:r>
      <w:r>
        <w:tab/>
      </w:r>
      <w:r>
        <w:rPr>
          <w:lang w:val="en-IE"/>
        </w:rPr>
        <w:t>Agreement on the withdrawal of the United Kingdom of Great Britain and Northern Ireland from the European Union and the European Atomic Energy Community.</w:t>
      </w:r>
    </w:p>
  </w:footnote>
  <w:footnote w:id="7">
    <w:p>
      <w:pPr>
        <w:pStyle w:val="FootnoteText"/>
      </w:pPr>
      <w:r>
        <w:rPr>
          <w:rStyle w:val="FootnoteReference"/>
        </w:rPr>
        <w:footnoteRef/>
      </w:r>
      <w:r>
        <w:tab/>
        <w:t>OJ L 379, 23.12.1992, p. 15.</w:t>
      </w:r>
    </w:p>
  </w:footnote>
  <w:footnote w:id="8">
    <w:p>
      <w:pPr>
        <w:pStyle w:val="FootnoteText"/>
        <w:rPr>
          <w:lang w:val="en-IE"/>
        </w:rPr>
      </w:pPr>
      <w:r>
        <w:rPr>
          <w:rStyle w:val="FootnoteReference"/>
        </w:rPr>
        <w:footnoteRef/>
      </w:r>
      <w:r>
        <w:tab/>
        <w:t>Proposal for a Council Decision on the position to be taken on behalf of the European Union in the International Sugar Council with respect to the extension of the International Sugar Agreement, 1992 - COM(2019) 286 final - approved by the Council in its General Affairs meeting on 25 September 2017.</w:t>
      </w:r>
    </w:p>
  </w:footnote>
  <w:footnote w:id="9">
    <w:p>
      <w:pPr>
        <w:pStyle w:val="FootnoteText"/>
        <w:rPr>
          <w:lang w:val="en-US"/>
        </w:rPr>
      </w:pPr>
      <w:r>
        <w:rPr>
          <w:rStyle w:val="FootnoteReference"/>
        </w:rPr>
        <w:footnoteRef/>
      </w:r>
      <w:r>
        <w:tab/>
        <w:t>Article 2(4) of the Agreement defines special vote as a vote requiring at least two thirds of the votes cast by Members present and voting, on condition that these votes are cast by at least two thirds of the number of Members present and voting.</w:t>
      </w:r>
    </w:p>
  </w:footnote>
  <w:footnote w:id="10">
    <w:p>
      <w:pPr>
        <w:pStyle w:val="FootnoteText"/>
      </w:pPr>
      <w:r>
        <w:rPr>
          <w:rStyle w:val="FootnoteReference"/>
        </w:rPr>
        <w:footnoteRef/>
      </w:r>
      <w:r>
        <w:tab/>
        <w:t>Council Decision 92/580/EEC of 13 November 1992 on the signing and conclusion of the International Sugar Agreement, 1992 (OJ L 379, 23.12.1992, p. 15).</w:t>
      </w:r>
    </w:p>
  </w:footnote>
  <w:footnote w:id="11">
    <w:p>
      <w:pPr>
        <w:pStyle w:val="FootnoteText"/>
        <w:rPr>
          <w:lang w:val="en-US"/>
        </w:rPr>
      </w:pPr>
      <w:r>
        <w:rPr>
          <w:rStyle w:val="FootnoteReference"/>
        </w:rPr>
        <w:footnoteRef/>
      </w:r>
      <w:r>
        <w:tab/>
        <w:t>Proposal for a COUNCIL DECISION on the position to be taken on behalf of the European Union in the International Sugar Council with respect to the extension of the International Sugar Agreement, 1992 - COM(2019) 286 final - approved by the Council in its General Affairs meeting on 25 September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E8B5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A0FC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F8F6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103A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46271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A8DF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26F668"/>
    <w:lvl w:ilvl="0">
      <w:start w:val="1"/>
      <w:numFmt w:val="decimal"/>
      <w:pStyle w:val="ListNumber"/>
      <w:lvlText w:val="%1."/>
      <w:lvlJc w:val="left"/>
      <w:pPr>
        <w:tabs>
          <w:tab w:val="num" w:pos="360"/>
        </w:tabs>
        <w:ind w:left="360" w:hanging="360"/>
      </w:pPr>
    </w:lvl>
  </w:abstractNum>
  <w:abstractNum w:abstractNumId="7">
    <w:nsid w:val="FFFFFF89"/>
    <w:multiLevelType w:val="singleLevel"/>
    <w:tmpl w:val="111A6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9 17:21: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A701BAC-5A26-4ED8-BE6F-2786B2BA0FC0"/>
    <w:docVar w:name="LW_COVERPAGE_TYPE" w:val="1"/>
    <w:docVar w:name="LW_CROSSREFERENCE" w:val="&lt;UNUSED&gt;"/>
    <w:docVar w:name="LW_DocType" w:val="COM"/>
    <w:docVar w:name="LW_EMISSION" w:val="30.10.2020"/>
    <w:docVar w:name="LW_EMISSION_ISODATE" w:val="2020-10-3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3"/>
    <w:docVar w:name="LW_REF.II.NEW.CP_YEAR" w:val="2020"/>
    <w:docVar w:name="LW_REF.INST.NEW" w:val="COM"/>
    <w:docVar w:name="LW_REF.INST.NEW_ADOPTED" w:val="final"/>
    <w:docVar w:name="LW_REF.INST.NEW_TEXT" w:val="(2020) 6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Sugar Council concerning the accession of the United Kingdom to the International Sugar Agreement, 1992"/>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8</Pages>
  <Words>2786</Words>
  <Characters>14349</Characters>
  <Application>Microsoft Office Word</Application>
  <DocSecurity>0</DocSecurity>
  <Lines>326</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2020-10-16T09:16:00Z</dcterms:created>
  <dcterms:modified xsi:type="dcterms:W3CDTF">2020-10-29T16:21:00Z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