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8492DA2-D368-4152-AD48-1312555FFEE7" style="width:450.7pt;height:347.8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jc w:val="center"/>
        <w:rPr>
          <w:rFonts w:ascii="Times New Roman" w:hAnsi="Times New Roman"/>
          <w:b/>
          <w:noProof/>
          <w:sz w:val="24"/>
          <w:lang w:eastAsia="en-GB"/>
        </w:rPr>
      </w:pPr>
      <w:bookmarkStart w:id="1" w:name="_GoBack"/>
      <w:bookmarkEnd w:id="1"/>
      <w:r>
        <w:rPr>
          <w:rFonts w:ascii="Times New Roman" w:hAnsi="Times New Roman"/>
          <w:b/>
          <w:noProof/>
          <w:sz w:val="24"/>
          <w:lang w:eastAsia="en-GB"/>
        </w:rPr>
        <w:lastRenderedPageBreak/>
        <w:t>REPORT FROM THE COMMISSION TO THE EUROPEAN PARLIAMENT AND THE COUNCIL</w:t>
      </w:r>
    </w:p>
    <w:p>
      <w:pPr>
        <w:spacing w:after="240" w:line="240" w:lineRule="auto"/>
        <w:jc w:val="center"/>
        <w:rPr>
          <w:rFonts w:ascii="Times New Roman" w:hAnsi="Times New Roman"/>
          <w:b/>
          <w:noProof/>
          <w:sz w:val="24"/>
          <w:lang w:eastAsia="en-GB"/>
        </w:rPr>
      </w:pPr>
      <w:r>
        <w:rPr>
          <w:rFonts w:ascii="Times New Roman" w:hAnsi="Times New Roman"/>
          <w:b/>
          <w:noProof/>
          <w:sz w:val="24"/>
          <w:lang w:eastAsia="en-GB"/>
        </w:rPr>
        <w:t>on the exercise of the power to adopt delegated acts conferred on the Commission under Regulation (EC) No 471/2009 on Community statistics relating to external trade with non-member countries</w:t>
      </w:r>
    </w:p>
    <w:p>
      <w:pPr>
        <w:keepNext/>
        <w:numPr>
          <w:ilvl w:val="0"/>
          <w:numId w:val="1"/>
        </w:numPr>
        <w:shd w:val="clear" w:color="auto" w:fill="FFFFFF"/>
        <w:spacing w:after="240" w:line="240" w:lineRule="auto"/>
        <w:jc w:val="both"/>
        <w:outlineLvl w:val="0"/>
        <w:rPr>
          <w:rFonts w:ascii="Times New Roman" w:hAnsi="Times New Roman"/>
          <w:b/>
          <w:bCs/>
          <w:smallCaps/>
          <w:noProof/>
          <w:sz w:val="24"/>
          <w:szCs w:val="28"/>
        </w:rPr>
      </w:pPr>
      <w:r>
        <w:rPr>
          <w:rFonts w:ascii="Times New Roman" w:hAnsi="Times New Roman"/>
          <w:b/>
          <w:bCs/>
          <w:smallCaps/>
          <w:noProof/>
          <w:sz w:val="24"/>
          <w:szCs w:val="28"/>
        </w:rPr>
        <w:t>Background</w:t>
      </w:r>
    </w:p>
    <w:p>
      <w:pPr>
        <w:spacing w:after="240" w:line="240" w:lineRule="auto"/>
        <w:ind w:left="850"/>
        <w:jc w:val="both"/>
        <w:rPr>
          <w:rFonts w:ascii="Times New Roman" w:hAnsi="Times New Roman" w:cs="Times New Roman"/>
          <w:noProof/>
          <w:sz w:val="24"/>
          <w:szCs w:val="24"/>
        </w:rPr>
      </w:pPr>
      <w:r>
        <w:rPr>
          <w:rFonts w:ascii="Times New Roman" w:hAnsi="Times New Roman"/>
          <w:noProof/>
          <w:sz w:val="24"/>
          <w:lang w:eastAsia="en-GB"/>
        </w:rPr>
        <w:t xml:space="preserve">Regulation (EU) 2016/1724 </w:t>
      </w:r>
      <w:r>
        <w:rPr>
          <w:rFonts w:ascii="Times New Roman" w:hAnsi="Times New Roman" w:cs="Times New Roman"/>
          <w:noProof/>
          <w:sz w:val="24"/>
          <w:szCs w:val="24"/>
        </w:rPr>
        <w:t>of the European Parliament and of the Council of 14 September 2016</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amended </w:t>
      </w:r>
      <w:r>
        <w:rPr>
          <w:rFonts w:ascii="Times New Roman" w:hAnsi="Times New Roman"/>
          <w:noProof/>
          <w:sz w:val="24"/>
          <w:lang w:eastAsia="en-GB"/>
        </w:rPr>
        <w:t>Regulation (EC) No 471/2009 of the European Parliament and of the Council of 6 May 2009 on Community statistics relating to external trade with non-member countries</w:t>
      </w:r>
      <w:r>
        <w:rPr>
          <w:rStyle w:val="FootnoteReference"/>
          <w:rFonts w:ascii="Times New Roman" w:hAnsi="Times New Roman"/>
          <w:noProof/>
          <w:sz w:val="24"/>
          <w:lang w:eastAsia="en-GB"/>
        </w:rPr>
        <w:footnoteReference w:id="2"/>
      </w:r>
      <w:r>
        <w:rPr>
          <w:rFonts w:ascii="Times New Roman" w:hAnsi="Times New Roman"/>
          <w:noProof/>
          <w:sz w:val="24"/>
          <w:lang w:eastAsia="en-GB"/>
        </w:rPr>
        <w:t xml:space="preserve"> </w:t>
      </w:r>
      <w:r>
        <w:rPr>
          <w:rFonts w:ascii="Times New Roman" w:hAnsi="Times New Roman" w:cs="Times New Roman"/>
          <w:noProof/>
          <w:sz w:val="24"/>
          <w:szCs w:val="24"/>
        </w:rPr>
        <w:t>in order to align it with the distinction between delegated and implementing acts introduced under the Lisbon Treaty.</w:t>
      </w:r>
    </w:p>
    <w:p>
      <w:pPr>
        <w:spacing w:after="120" w:line="240" w:lineRule="auto"/>
        <w:ind w:left="850"/>
        <w:jc w:val="both"/>
        <w:rPr>
          <w:rFonts w:ascii="Times New Roman" w:hAnsi="Times New Roman"/>
          <w:noProof/>
          <w:sz w:val="24"/>
          <w:lang w:eastAsia="en-GB"/>
        </w:rPr>
      </w:pPr>
      <w:r>
        <w:rPr>
          <w:rFonts w:ascii="Times New Roman" w:hAnsi="Times New Roman"/>
          <w:noProof/>
          <w:sz w:val="24"/>
          <w:lang w:eastAsia="en-GB"/>
        </w:rPr>
        <w:t>Articles 3(2), (3) and (4), 4(5), 5(2) and (4), and 6(3) of Regulation (EC) No 471/2009, as amended, empower the Commission to adopt delegated acts in accordance with its Article 10a, in respect of:</w:t>
      </w:r>
    </w:p>
    <w:p>
      <w:pPr>
        <w:pStyle w:val="ListParagraph"/>
        <w:numPr>
          <w:ilvl w:val="0"/>
          <w:numId w:val="2"/>
        </w:numPr>
        <w:spacing w:after="120" w:line="240" w:lineRule="auto"/>
        <w:ind w:left="1418" w:hanging="357"/>
        <w:contextualSpacing w:val="0"/>
        <w:jc w:val="both"/>
        <w:rPr>
          <w:rFonts w:ascii="Times New Roman" w:hAnsi="Times New Roman"/>
          <w:noProof/>
          <w:sz w:val="24"/>
          <w:lang w:eastAsia="en-GB"/>
        </w:rPr>
      </w:pPr>
      <w:r>
        <w:rPr>
          <w:rFonts w:ascii="Times New Roman" w:hAnsi="Times New Roman"/>
          <w:noProof/>
          <w:sz w:val="24"/>
          <w:lang w:eastAsia="en-GB"/>
        </w:rPr>
        <w:t>the adaptation of the list of customs procedures or customs-approved treatment or use;</w:t>
      </w:r>
    </w:p>
    <w:p>
      <w:pPr>
        <w:pStyle w:val="ListParagraph"/>
        <w:numPr>
          <w:ilvl w:val="0"/>
          <w:numId w:val="2"/>
        </w:numPr>
        <w:spacing w:after="120" w:line="240" w:lineRule="auto"/>
        <w:ind w:left="1418" w:hanging="357"/>
        <w:contextualSpacing w:val="0"/>
        <w:jc w:val="both"/>
        <w:rPr>
          <w:rFonts w:ascii="Times New Roman" w:hAnsi="Times New Roman"/>
          <w:noProof/>
          <w:sz w:val="24"/>
          <w:lang w:eastAsia="en-GB"/>
        </w:rPr>
      </w:pPr>
      <w:r>
        <w:rPr>
          <w:rFonts w:ascii="Times New Roman" w:hAnsi="Times New Roman"/>
          <w:noProof/>
          <w:sz w:val="24"/>
          <w:lang w:eastAsia="en-GB"/>
        </w:rPr>
        <w:t>the designation of specific goods or movements and the different or specific provisions applicable to them;</w:t>
      </w:r>
    </w:p>
    <w:p>
      <w:pPr>
        <w:pStyle w:val="ListParagraph"/>
        <w:numPr>
          <w:ilvl w:val="0"/>
          <w:numId w:val="2"/>
        </w:numPr>
        <w:spacing w:after="120" w:line="240" w:lineRule="auto"/>
        <w:ind w:left="1418" w:hanging="357"/>
        <w:contextualSpacing w:val="0"/>
        <w:jc w:val="both"/>
        <w:rPr>
          <w:rFonts w:ascii="Times New Roman" w:hAnsi="Times New Roman"/>
          <w:noProof/>
          <w:sz w:val="24"/>
          <w:lang w:eastAsia="en-GB"/>
        </w:rPr>
      </w:pPr>
      <w:r>
        <w:rPr>
          <w:rFonts w:ascii="Times New Roman" w:hAnsi="Times New Roman"/>
          <w:noProof/>
          <w:sz w:val="24"/>
          <w:lang w:eastAsia="en-GB"/>
        </w:rPr>
        <w:t>the exclusion of goods or movements from external trade statistics;</w:t>
      </w:r>
    </w:p>
    <w:p>
      <w:pPr>
        <w:pStyle w:val="ListParagraph"/>
        <w:numPr>
          <w:ilvl w:val="0"/>
          <w:numId w:val="2"/>
        </w:numPr>
        <w:spacing w:after="120" w:line="240" w:lineRule="auto"/>
        <w:ind w:left="1418" w:hanging="357"/>
        <w:contextualSpacing w:val="0"/>
        <w:jc w:val="both"/>
        <w:rPr>
          <w:rFonts w:ascii="Times New Roman" w:hAnsi="Times New Roman"/>
          <w:noProof/>
          <w:sz w:val="24"/>
          <w:lang w:eastAsia="en-GB"/>
        </w:rPr>
      </w:pPr>
      <w:r>
        <w:rPr>
          <w:rFonts w:ascii="Times New Roman" w:hAnsi="Times New Roman"/>
          <w:noProof/>
          <w:sz w:val="24"/>
          <w:lang w:eastAsia="en-GB"/>
        </w:rPr>
        <w:t>the further specification of the statistical data;</w:t>
      </w:r>
    </w:p>
    <w:p>
      <w:pPr>
        <w:pStyle w:val="ListParagraph"/>
        <w:numPr>
          <w:ilvl w:val="0"/>
          <w:numId w:val="2"/>
        </w:numPr>
        <w:spacing w:after="120" w:line="240" w:lineRule="auto"/>
        <w:ind w:left="1418" w:hanging="357"/>
        <w:contextualSpacing w:val="0"/>
        <w:jc w:val="both"/>
        <w:rPr>
          <w:rFonts w:ascii="Times New Roman" w:hAnsi="Times New Roman"/>
          <w:noProof/>
          <w:sz w:val="24"/>
          <w:lang w:eastAsia="en-GB"/>
        </w:rPr>
      </w:pPr>
      <w:r>
        <w:rPr>
          <w:rFonts w:ascii="Times New Roman" w:hAnsi="Times New Roman"/>
          <w:noProof/>
          <w:sz w:val="24"/>
          <w:lang w:eastAsia="en-GB"/>
        </w:rPr>
        <w:t>the level of aggregation for partner countries, goods and currencies for statistics on trade by invoicing currency;</w:t>
      </w:r>
    </w:p>
    <w:p>
      <w:pPr>
        <w:pStyle w:val="ListParagraph"/>
        <w:numPr>
          <w:ilvl w:val="0"/>
          <w:numId w:val="2"/>
        </w:numPr>
        <w:spacing w:after="120" w:line="240" w:lineRule="auto"/>
        <w:ind w:left="1417" w:hanging="357"/>
        <w:contextualSpacing w:val="0"/>
        <w:jc w:val="both"/>
        <w:rPr>
          <w:rFonts w:ascii="Times New Roman" w:hAnsi="Times New Roman"/>
          <w:noProof/>
          <w:sz w:val="24"/>
          <w:lang w:eastAsia="en-GB"/>
        </w:rPr>
      </w:pPr>
      <w:r>
        <w:rPr>
          <w:rFonts w:ascii="Times New Roman" w:hAnsi="Times New Roman"/>
          <w:noProof/>
          <w:sz w:val="24"/>
          <w:lang w:eastAsia="en-GB"/>
        </w:rPr>
        <w:t>data collection relating to specific goods or movements and from economic operators who have been granted certain customs simplifications; and</w:t>
      </w:r>
    </w:p>
    <w:p>
      <w:pPr>
        <w:pStyle w:val="ListParagraph"/>
        <w:numPr>
          <w:ilvl w:val="0"/>
          <w:numId w:val="2"/>
        </w:numPr>
        <w:spacing w:after="240" w:line="240" w:lineRule="auto"/>
        <w:ind w:left="1417" w:hanging="357"/>
        <w:contextualSpacing w:val="0"/>
        <w:jc w:val="both"/>
        <w:rPr>
          <w:rFonts w:ascii="Times New Roman" w:hAnsi="Times New Roman"/>
          <w:noProof/>
          <w:sz w:val="24"/>
          <w:lang w:eastAsia="en-GB"/>
        </w:rPr>
      </w:pPr>
      <w:r>
        <w:rPr>
          <w:rFonts w:ascii="Times New Roman" w:hAnsi="Times New Roman"/>
          <w:noProof/>
          <w:sz w:val="24"/>
          <w:lang w:eastAsia="en-GB"/>
        </w:rPr>
        <w:t>a requirement for limited sets of data for specific goods or movements and for data collected from economic operators who have been granted certain customs simplifications.</w:t>
      </w:r>
    </w:p>
    <w:p>
      <w:pPr>
        <w:keepNext/>
        <w:numPr>
          <w:ilvl w:val="0"/>
          <w:numId w:val="1"/>
        </w:numPr>
        <w:shd w:val="clear" w:color="auto" w:fill="FFFFFF"/>
        <w:spacing w:after="240" w:line="240" w:lineRule="auto"/>
        <w:jc w:val="both"/>
        <w:outlineLvl w:val="0"/>
        <w:rPr>
          <w:rFonts w:ascii="Times New Roman" w:hAnsi="Times New Roman"/>
          <w:b/>
          <w:bCs/>
          <w:smallCaps/>
          <w:noProof/>
          <w:sz w:val="24"/>
          <w:szCs w:val="28"/>
        </w:rPr>
      </w:pPr>
      <w:r>
        <w:rPr>
          <w:rFonts w:ascii="Times New Roman" w:hAnsi="Times New Roman"/>
          <w:b/>
          <w:bCs/>
          <w:smallCaps/>
          <w:noProof/>
          <w:sz w:val="24"/>
          <w:szCs w:val="28"/>
        </w:rPr>
        <w:t>Legal basis</w:t>
      </w:r>
    </w:p>
    <w:p>
      <w:pPr>
        <w:spacing w:after="24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Under Article 10a(2) of Regulation (EC) No 471/2009, the power to adopt delegated acts is conferred for a period of 5 years from 20 October 2016. It is to be tacitly extended for periods of 5 years unless the European Parliament or the Council opposes </w:t>
      </w:r>
      <w:r>
        <w:rPr>
          <w:rFonts w:ascii="Times New Roman" w:hAnsi="Times New Roman" w:cs="Times New Roman"/>
          <w:noProof/>
          <w:color w:val="000000"/>
          <w:sz w:val="24"/>
          <w:szCs w:val="24"/>
        </w:rPr>
        <w:t>such extension no later than 3 months before the end of each period</w:t>
      </w:r>
      <w:r>
        <w:rPr>
          <w:rFonts w:ascii="Times New Roman" w:hAnsi="Times New Roman"/>
          <w:noProof/>
          <w:sz w:val="24"/>
          <w:lang w:eastAsia="en-GB"/>
        </w:rPr>
        <w:t>.</w:t>
      </w:r>
    </w:p>
    <w:p>
      <w:pPr>
        <w:spacing w:after="240" w:line="240" w:lineRule="auto"/>
        <w:ind w:left="850"/>
        <w:jc w:val="both"/>
        <w:rPr>
          <w:rFonts w:ascii="Times New Roman" w:hAnsi="Times New Roman"/>
          <w:noProof/>
          <w:sz w:val="24"/>
          <w:lang w:eastAsia="en-GB"/>
        </w:rPr>
      </w:pPr>
      <w:r>
        <w:rPr>
          <w:rFonts w:ascii="Times New Roman" w:hAnsi="Times New Roman"/>
          <w:noProof/>
          <w:sz w:val="24"/>
          <w:lang w:eastAsia="en-GB"/>
        </w:rPr>
        <w:t>The Commission is to draw up a report on the delegation of power no later than 9 months before the end of the 5-year period. This report fulfils this obligation.</w:t>
      </w:r>
    </w:p>
    <w:p>
      <w:pPr>
        <w:keepNext/>
        <w:numPr>
          <w:ilvl w:val="0"/>
          <w:numId w:val="1"/>
        </w:numPr>
        <w:shd w:val="clear" w:color="auto" w:fill="FFFFFF"/>
        <w:spacing w:after="240" w:line="240" w:lineRule="auto"/>
        <w:jc w:val="both"/>
        <w:outlineLvl w:val="0"/>
        <w:rPr>
          <w:rFonts w:ascii="Times New Roman" w:eastAsia="Times New Roman" w:hAnsi="Times New Roman"/>
          <w:b/>
          <w:bCs/>
          <w:smallCaps/>
          <w:noProof/>
          <w:sz w:val="24"/>
          <w:szCs w:val="28"/>
          <w:lang w:eastAsia="en-GB"/>
        </w:rPr>
      </w:pPr>
      <w:r>
        <w:rPr>
          <w:rFonts w:ascii="Times New Roman" w:hAnsi="Times New Roman"/>
          <w:b/>
          <w:bCs/>
          <w:smallCaps/>
          <w:noProof/>
          <w:sz w:val="24"/>
          <w:szCs w:val="28"/>
        </w:rPr>
        <w:t xml:space="preserve">Exercise of delegated powers under </w:t>
      </w:r>
      <w:r>
        <w:rPr>
          <w:rFonts w:ascii="Times New Roman" w:eastAsia="Times New Roman" w:hAnsi="Times New Roman"/>
          <w:b/>
          <w:bCs/>
          <w:smallCaps/>
          <w:noProof/>
          <w:sz w:val="24"/>
          <w:szCs w:val="28"/>
          <w:lang w:eastAsia="en-GB"/>
        </w:rPr>
        <w:t>Regulation (EC) No 471/2009</w:t>
      </w:r>
    </w:p>
    <w:p>
      <w:pPr>
        <w:spacing w:after="240" w:line="240" w:lineRule="auto"/>
        <w:ind w:left="850"/>
        <w:jc w:val="both"/>
        <w:rPr>
          <w:rFonts w:ascii="Times New Roman" w:hAnsi="Times New Roman"/>
          <w:noProof/>
          <w:sz w:val="24"/>
          <w:lang w:eastAsia="en-GB"/>
        </w:rPr>
      </w:pPr>
      <w:r>
        <w:rPr>
          <w:rFonts w:ascii="Times New Roman" w:hAnsi="Times New Roman"/>
          <w:noProof/>
          <w:sz w:val="24"/>
          <w:lang w:eastAsia="en-GB"/>
        </w:rPr>
        <w:t>The Commission has not yet exercised the power to adopt delegated acts conferred on it by Regulation (EC) No 471/2009. There has been no need to do so, as all measures considered necessary to date were covered by Commission Regulation (EU) 2016/2119</w:t>
      </w:r>
      <w:r>
        <w:rPr>
          <w:rStyle w:val="FootnoteReference"/>
          <w:rFonts w:ascii="Times New Roman" w:hAnsi="Times New Roman"/>
          <w:noProof/>
          <w:sz w:val="24"/>
          <w:lang w:eastAsia="en-GB"/>
        </w:rPr>
        <w:footnoteReference w:id="3"/>
      </w:r>
      <w:r>
        <w:rPr>
          <w:rFonts w:ascii="Times New Roman" w:hAnsi="Times New Roman"/>
          <w:noProof/>
          <w:sz w:val="24"/>
          <w:lang w:eastAsia="en-GB"/>
        </w:rPr>
        <w:t>.</w:t>
      </w:r>
    </w:p>
    <w:p>
      <w:pPr>
        <w:keepNext/>
        <w:numPr>
          <w:ilvl w:val="0"/>
          <w:numId w:val="1"/>
        </w:numPr>
        <w:shd w:val="clear" w:color="auto" w:fill="FFFFFF"/>
        <w:spacing w:after="240" w:line="240" w:lineRule="auto"/>
        <w:jc w:val="both"/>
        <w:outlineLvl w:val="0"/>
        <w:rPr>
          <w:rFonts w:ascii="Times New Roman" w:hAnsi="Times New Roman"/>
          <w:b/>
          <w:bCs/>
          <w:smallCaps/>
          <w:noProof/>
          <w:sz w:val="24"/>
          <w:szCs w:val="28"/>
          <w:lang w:eastAsia="en-GB"/>
        </w:rPr>
      </w:pPr>
      <w:r>
        <w:rPr>
          <w:rFonts w:ascii="Times New Roman" w:hAnsi="Times New Roman"/>
          <w:b/>
          <w:bCs/>
          <w:smallCaps/>
          <w:noProof/>
          <w:sz w:val="24"/>
          <w:szCs w:val="28"/>
        </w:rPr>
        <w:t>Conclusions</w:t>
      </w:r>
    </w:p>
    <w:p>
      <w:pPr>
        <w:spacing w:after="24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The Commission has not yet exercised the power to adopt delegated acts conferred on it by Regulation (EC) No 471/2009. </w:t>
      </w:r>
    </w:p>
    <w:p>
      <w:pPr>
        <w:spacing w:after="240" w:line="240" w:lineRule="auto"/>
        <w:ind w:left="850"/>
        <w:jc w:val="both"/>
        <w:rPr>
          <w:noProof/>
        </w:rPr>
      </w:pPr>
      <w:r>
        <w:rPr>
          <w:rFonts w:ascii="Times New Roman" w:hAnsi="Times New Roman"/>
          <w:noProof/>
          <w:sz w:val="24"/>
          <w:lang w:eastAsia="en-GB"/>
        </w:rPr>
        <w:t>The repeal of the Regulation with effect from 1 January 2022</w:t>
      </w:r>
      <w:r>
        <w:rPr>
          <w:rStyle w:val="FootnoteReference"/>
          <w:rFonts w:ascii="Times New Roman" w:hAnsi="Times New Roman"/>
          <w:noProof/>
          <w:sz w:val="24"/>
          <w:lang w:eastAsia="en-GB"/>
        </w:rPr>
        <w:footnoteReference w:id="4"/>
      </w:r>
      <w:r>
        <w:rPr>
          <w:rFonts w:ascii="Times New Roman" w:hAnsi="Times New Roman"/>
          <w:noProof/>
          <w:sz w:val="24"/>
          <w:lang w:eastAsia="en-GB"/>
        </w:rPr>
        <w:t xml:space="preserve"> means that the Commission does not envisage exercising the power in the future and any extension of the period of delegation beyond 20 October 2021 will end on 31 December 2021.</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06286549"/>
      <w:docPartObj>
        <w:docPartGallery w:val="Page Numbers (Bottom of Page)"/>
        <w:docPartUnique/>
      </w:docPartObj>
    </w:sdt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OJ L 163, 29.5.2014, p. 10.</w:t>
      </w:r>
    </w:p>
  </w:footnote>
  <w:footnote w:id="2">
    <w:p>
      <w:pPr>
        <w:tabs>
          <w:tab w:val="left" w:pos="708"/>
          <w:tab w:val="left" w:pos="1416"/>
          <w:tab w:val="left" w:pos="2124"/>
          <w:tab w:val="left" w:pos="2832"/>
          <w:tab w:val="left" w:pos="3719"/>
        </w:tabs>
        <w:spacing w:after="0" w:line="240" w:lineRule="auto"/>
        <w:ind w:left="284" w:hanging="284"/>
        <w:jc w:val="both"/>
        <w:rPr>
          <w:rFonts w:ascii="Times New Roman" w:hAnsi="Times New Roman" w:cs="Times New Roman"/>
          <w:iCs/>
          <w:sz w:val="20"/>
          <w:szCs w:val="20"/>
        </w:rPr>
      </w:pPr>
      <w:r>
        <w:rPr>
          <w:rStyle w:val="FootnoteReference"/>
          <w:rFonts w:ascii="Times New Roman" w:hAnsi="Times New Roman" w:cs="Times New Roman"/>
          <w:sz w:val="20"/>
          <w:szCs w:val="20"/>
        </w:rPr>
        <w:footnoteRef/>
      </w:r>
      <w:r>
        <w:rPr>
          <w:rStyle w:val="Emphasis"/>
          <w:rFonts w:ascii="Times New Roman" w:hAnsi="Times New Roman" w:cs="Times New Roman"/>
          <w:i w:val="0"/>
          <w:color w:val="auto"/>
          <w:sz w:val="20"/>
          <w:szCs w:val="20"/>
          <w:specVanish w:val="0"/>
        </w:rPr>
        <w:tab/>
        <w:t>OJ L 152, 16.6.2009, p. 23.</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Commission Regulation (EU) 2016/2119</w:t>
      </w:r>
      <w:r>
        <w:rPr>
          <w:rFonts w:ascii="Times New Roman" w:hAnsi="Times New Roman" w:cs="Times New Roman"/>
          <w:bCs/>
        </w:rPr>
        <w:t xml:space="preserve"> of 2 December 2016 amending Regulation (EC) No 471/2009 of the European Parliament and of the Council and Commission Regulation (EU) No 113/2010 as regards the adaptation of the list </w:t>
      </w:r>
      <w:r>
        <w:rPr>
          <w:rFonts w:ascii="Times New Roman" w:hAnsi="Times New Roman" w:cs="Times New Roman"/>
        </w:rPr>
        <w:t>of</w:t>
      </w:r>
      <w:r>
        <w:rPr>
          <w:rFonts w:ascii="Times New Roman" w:hAnsi="Times New Roman" w:cs="Times New Roman"/>
          <w:bCs/>
        </w:rPr>
        <w:t xml:space="preserve"> customs procedures and the definition of the data (OJ L 329, 3.12.2016, p. 66)</w:t>
      </w:r>
      <w:r>
        <w:rPr>
          <w:rFonts w:ascii="Times New Roman" w:hAnsi="Times New Roman" w:cs="Times New Roman"/>
        </w:rPr>
        <w:t>.</w:t>
      </w:r>
    </w:p>
  </w:footnote>
  <w:footnote w:id="4">
    <w:p>
      <w:pPr>
        <w:tabs>
          <w:tab w:val="left" w:pos="708"/>
          <w:tab w:val="left" w:pos="1416"/>
          <w:tab w:val="left" w:pos="2124"/>
          <w:tab w:val="left" w:pos="2832"/>
          <w:tab w:val="left" w:pos="3719"/>
        </w:tabs>
        <w:spacing w:after="0" w:line="240" w:lineRule="auto"/>
        <w:ind w:left="284" w:hanging="284"/>
        <w:jc w:val="both"/>
        <w:rPr>
          <w:rFonts w:ascii="Times New Roman" w:hAnsi="Times New Roman" w:cs="Times New Roman"/>
          <w:iCs/>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By Regulation (EU) 2019/2152 of the European Parliament and of the Council of 27 November 2019 on European business statistics, repealing 10 legal acts in the field of business statistics (OJ L 327, 17.12.2019,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FF2"/>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4B75B6B"/>
    <w:multiLevelType w:val="hybridMultilevel"/>
    <w:tmpl w:val="B37E70AC"/>
    <w:lvl w:ilvl="0" w:tplc="3FBEDD06">
      <w:start w:val="1"/>
      <w:numFmt w:val="bullet"/>
      <w:lvlText w:val="-"/>
      <w:lvlJc w:val="left"/>
      <w:pPr>
        <w:ind w:left="1570" w:hanging="360"/>
      </w:pPr>
      <w:rPr>
        <w:rFonts w:ascii="Times New Roman" w:hAnsi="Times New Roman" w:cs="Times New Roman"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nsid w:val="4A992541"/>
    <w:multiLevelType w:val="hybridMultilevel"/>
    <w:tmpl w:val="99DE5DF4"/>
    <w:lvl w:ilvl="0" w:tplc="E16EBFEE">
      <w:start w:val="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8492DA2-D368-4152-AD48-1312555FFEE7"/>
    <w:docVar w:name="LW_COVERPAGE_TYPE" w:val="1"/>
    <w:docVar w:name="LW_CROSSREFERENCE" w:val="&lt;UNUSED&gt;"/>
    <w:docVar w:name="LW_DocType" w:val="NORMAL"/>
    <w:docVar w:name="LW_EMISSION" w:val="3.11.2020"/>
    <w:docVar w:name="LW_EMISSION_ISODATE" w:val="2020-11-0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xercise of the power to adopt delegated acts conferred on the Commission under Regulation (EC) No 471/2009 on Community statistics relating to external trade with non-member countries &lt;/FMT&gt;_x000b_"/>
    <w:docVar w:name="LW_TYPE.DOC.CP" w:val="REPORT FROM THE COMMISSION TO THE EUROPEAN PARLIAMENT AND THE COUNCIL"/>
    <w:docVar w:name="Stamp" w:val="\\dossiers.dgt.cec.eu.int\dossiers\ESTAT\ESTAT-2020-10244\ESTAT-2020-10244-00-00-EN-EDT-00.202008201118390605110.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lang w:val="en-GB"/>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lang w:val="en-GB"/>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FDAD90-717E-4609-88B0-72CB1407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456</Words>
  <Characters>2333</Characters>
  <Application>Microsoft Office Word</Application>
  <DocSecurity>0</DocSecurity>
  <Lines>46</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2020-09-09T06:33:00Z</dcterms:created>
  <dcterms:modified xsi:type="dcterms:W3CDTF">2020-10-30T14:15:00Z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