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C21E31-A18E-4D27-BD47-26DA85CEB599" style="width:450.75pt;height:366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На 29 март 2017 г. Обединеното кралство представи уведомление за намерението си да се оттегли от Съюза съгласно член 50 от Договора за Европейския съюз. В съответствие с член 50 Съюзът договори с Обединеното кралство споразумение, с което се определят редът и условията за неговото оттегляне, като се взема предвид рамката на бъдещите ни отношения („Споразумението за оттегляне“)</w:t>
      </w:r>
      <w:r>
        <w:rPr>
          <w:rStyle w:val="FootnoteReference"/>
          <w:noProof/>
        </w:rPr>
        <w:footnoteReference w:id="1"/>
      </w:r>
      <w:r>
        <w:rPr>
          <w:noProof/>
        </w:rPr>
        <w:t xml:space="preserve">. Съгласно условията на Споразумението за оттегляне Обединеното кралство вече не е държава — членка на Европейския съюз, считано от 31 януари 2020 г., и първичното и вторичното право на Съюза ще престанат да се прилагат спрямо Обединеното кралство след края на преходния етап на 31 декември 2020 г. </w:t>
      </w:r>
    </w:p>
    <w:p>
      <w:pPr>
        <w:rPr>
          <w:noProof/>
        </w:rPr>
      </w:pPr>
      <w:r>
        <w:rPr>
          <w:noProof/>
        </w:rPr>
        <w:t>С Регламент (ЕО) № 428/2009 на Съвета от 5 май 2009 г. („Регламента“) за въвеждане режим на Общността за контрол на износа, трансфера, брокерската дейност и транзита на изделия и технологии с двойна употреба</w:t>
      </w:r>
      <w:r>
        <w:rPr>
          <w:rStyle w:val="FootnoteReference"/>
          <w:noProof/>
        </w:rPr>
        <w:footnoteReference w:id="2"/>
      </w:r>
      <w:r>
        <w:rPr>
          <w:noProof/>
        </w:rPr>
        <w:t xml:space="preserve"> се създава обща система за контрол върху износа на изделия с двойна употреба в съответствие с международните ангажименти и задължения на държавите членки и Европейския съюз (ЕС). По силата на Регламента за износа на изделия с двойна употреба за трети държави се изисква разрешение. Това разрешение може да бъде индивидуално, глобално или генерално. </w:t>
      </w:r>
    </w:p>
    <w:p>
      <w:pPr>
        <w:rPr>
          <w:noProof/>
        </w:rPr>
      </w:pPr>
      <w:r>
        <w:rPr>
          <w:noProof/>
        </w:rPr>
        <w:t>За да се подпомогне конкурентоспособността на ЕС и да бъдат създадени еднакви условия на конкуренция за всички износители от Съюза, като същевременно се осигурява високо равнище на сигурност и пълно спазване на международните задължения, с Регламент (ЕО) № 428/2009 на Съвета се предвиждат генерални разрешения на Съюза за износ на определени изделия с двойна употреба за определени трети държави при определени условия. По-конкретно, в приложение ІІа към Регламента се предвижда генерално разрешение на Съюза за износ („ЕС001“) за определени нискорискови сделки, а именно износ за Австралия, Канада, Япония, Нова Зеландия, Норвегия, Швейцария (включително Лихтенщайн) и Съединените американски щати.</w:t>
      </w:r>
    </w:p>
    <w:p>
      <w:pPr>
        <w:pBdr>
          <w:top w:val="nil"/>
          <w:left w:val="nil"/>
          <w:bottom w:val="nil"/>
          <w:right w:val="nil"/>
          <w:between w:val="nil"/>
          <w:bar w:val="nil"/>
        </w:pBdr>
        <w:spacing w:before="0" w:after="240"/>
        <w:rPr>
          <w:noProof/>
        </w:rPr>
      </w:pPr>
      <w:r>
        <w:rPr>
          <w:noProof/>
        </w:rPr>
        <w:t xml:space="preserve">Оттеглянето на Обединеното кралство от Съюза засяга търговията с изделия с двойна употреба между тези две страни: по силата на Регламент (ЕО) № 428/2009 на Съвета за износа на изделия с двойна употреба от ЕС за Обединеното кралство след 1 януари 2021 г. ще се изисква разрешение за износ, издадено от компетентния национален орган на държавата членка, в която е установен износителят. Това би създало значителна административна тежест за компетентните органи на държавите членки и за износителите от ЕС, което ще окаже отражение върху конкурентоспособността им. </w:t>
      </w:r>
    </w:p>
    <w:p>
      <w:pPr>
        <w:pBdr>
          <w:top w:val="nil"/>
          <w:left w:val="nil"/>
          <w:bottom w:val="nil"/>
          <w:right w:val="nil"/>
          <w:between w:val="nil"/>
          <w:bar w:val="nil"/>
        </w:pBdr>
        <w:spacing w:before="0" w:after="240"/>
        <w:rPr>
          <w:noProof/>
        </w:rPr>
      </w:pPr>
      <w:r>
        <w:rPr>
          <w:noProof/>
        </w:rPr>
        <w:t>Поради това, за да се намалят тези рискове и последиците от оттеглянето на Обединеното кралство върху конкурентоспособността на ЕС, е целесъобразно в приложение IIa към Регламента да се добави Обединеното кралство и следователно да се контролира износът за Обединеното кралство съгласно генералното разрешение на Съюза за износ ЕС001. Има редица причини, поради които Обединеното кралство следва да бъде добавено в списъка на държавите с разрешение ЕС001:</w:t>
      </w:r>
    </w:p>
    <w:p>
      <w:pPr>
        <w:pStyle w:val="Bullet0"/>
        <w:numPr>
          <w:ilvl w:val="0"/>
          <w:numId w:val="9"/>
        </w:numPr>
        <w:rPr>
          <w:noProof/>
        </w:rPr>
      </w:pPr>
      <w:r>
        <w:rPr>
          <w:noProof/>
        </w:rPr>
        <w:lastRenderedPageBreak/>
        <w:t>Обединеното кралство е страна по относими международни договори и член на международни организации за неразпространение и спазва изцяло съответните задължения и ангажименти;</w:t>
      </w:r>
    </w:p>
    <w:p>
      <w:pPr>
        <w:pStyle w:val="Bullet0"/>
        <w:rPr>
          <w:noProof/>
        </w:rPr>
      </w:pPr>
      <w:r>
        <w:rPr>
          <w:noProof/>
        </w:rPr>
        <w:t xml:space="preserve">Обединеното кралство осъществява пропорционален и целесъобразен контрол, за да взема надлежно под внимание съображенията относно крайното предназначение и риска от отклоняване в съответствие с разпоредбите и целите на Регламента. </w:t>
      </w:r>
    </w:p>
    <w:p>
      <w:pPr>
        <w:pBdr>
          <w:top w:val="nil"/>
          <w:left w:val="nil"/>
          <w:bottom w:val="nil"/>
          <w:right w:val="nil"/>
          <w:between w:val="nil"/>
          <w:bar w:val="nil"/>
        </w:pBdr>
        <w:spacing w:before="0" w:after="240"/>
        <w:rPr>
          <w:noProof/>
        </w:rPr>
      </w:pPr>
      <w:r>
        <w:rPr>
          <w:noProof/>
        </w:rPr>
        <w:t>Поради това добавянето на Обединеното кралство към списъка на държавите с разрешение ЕС001 няма да окаже отрицателно въздействие върху сигурността в ЕС и на международно равнище, като същевременно се гарантира еднакво и последователно прилагане на контрола в целия ЕС и се осигуряват еднакви условия на конкуренция за износителите от ЕС.</w:t>
      </w:r>
    </w:p>
    <w:p>
      <w:pPr>
        <w:pStyle w:val="ManualHeading2"/>
        <w:rPr>
          <w:rFonts w:eastAsia="Arial Unicode MS"/>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Съгласно режима на ЕС за контрол върху износа на изделия с двойна употреба разрешенията за износ обичайно се издават от националните компетентни органи въз основа на преценка за всеки отделен случай. Едно изискване за отделно разрешение за износ за Обединеното кралство вероятно ще създаде значителна административна тежест за износителите и компетентните органи и е възможно да доведе до нееднакви условия на конкуренция за износителите в държавата членка, отразявайки се неблагоприятно на функционирането на вътрешния пазар и общата търговска политика. Тези отрицателни последици биха могли да се смекчат чрез добавяне на Обединеното кралство към списъка на местоназначенията, обхванати от ЕС001. Следователно настоящото предложение е съобразено с общия подход към извънредните мерки във връзка с оттеглянето на Обединеното кралство без споразумение.</w:t>
      </w:r>
    </w:p>
    <w:p>
      <w:pPr>
        <w:pBdr>
          <w:top w:val="nil"/>
          <w:left w:val="nil"/>
          <w:bottom w:val="nil"/>
          <w:right w:val="nil"/>
          <w:between w:val="nil"/>
          <w:bar w:val="nil"/>
        </w:pBdr>
        <w:spacing w:before="0" w:after="240"/>
        <w:rPr>
          <w:rFonts w:eastAsia="Arial Unicode MS"/>
          <w:noProof/>
        </w:rPr>
      </w:pPr>
      <w:r>
        <w:rPr>
          <w:noProof/>
        </w:rPr>
        <w:t>Освен това, като се има предвид, че Обединеното кралство е важно местоназначение за износа на изделия с двойна употреба и че то е поело и спазва изцяло относимите международни задължения и ангажименти, добавянето му към списъка на местоназначенията, обхванати от ЕС001, отговаря и на целите на Регламента във връзка с международната сигурност и сигурността в ЕС, както и на начина, по който износът на изделия с двойна употреба за други държави (които са в положение, сравнимо с това на Обединеното кралство от гледна точка на целите на Регламента) се контролира съгласно правото на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предложението е член 207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се прилага, защото международната търговия е от изключителната компетентност на ЕС.</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Предложеният регламент се смята за пропорционален, тъй като благодарение на него ще бъдат предотвратени твърде големите смущения на търговията и прекомерната административна тежест за износа на изделия с двойна употреба от ЕС за Обединеното кралство, като същевременно се гарантират международната сигурност и сигурността в ЕС. С него не се надхвърля необходимото за постигането на тази цел и не се въвеждат по-мащабни промени.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съдържа ограничено изменение във връзка с една много особена конкретна ситуация. Тъй като списъкът на третите държави, обхванати от ЕС001, е установен с Регламента и като се има предвид, че Комисията няма правомощията да добавя други държави в списъка, единственият подходящ нормативен акт с оглед на ситуацията е регламент на Европейския парламент и на Съвета.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 тъй като събитието, заради което е необходимо настоящото предложение, е извънредно и еднократно.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Особените обстоятелства във връзка с оттеглянето на Обединеното кралство от Съюза и постоянно променящото се положение създадоха значителни ограничения за възможността да се проведе обществена консултация по предложението. Все пак предизвикателствата, възникващи поради това оттегляне, и възможните решения бяха поставяни за обсъждане от множество заинтересовани страни и представители на държавите членки.</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Съгласно Насоките за по-добро законотворчество поради извънредното естество на положението не е необходима оценка на въздействието. Няма други възможности, които да се различават по същество от настоящото предложение.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 xml:space="preserve">Предложението не оказва въздействие върху прилагането или опазването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ред за наблюдение, оценяване и докладване</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2020/0313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428/2009 на Съвета чрез издаване на генерално разрешение на Съюза за износ на определени изделия с двойна употреба от Съюза за Обединеното кралство Великобритания и Северна Ирландия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207,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На 29 март 2017 г. Обединеното кралство представи уведомление за намерението си да се оттегли от Съюза съгласно член 50 от Договора за Европейския съюз. В съответствие с член 50 Съюзът договори с Обединеното кралство Споразумението за оттегляне</w:t>
      </w:r>
      <w:r>
        <w:rPr>
          <w:rStyle w:val="FootnoteReference"/>
          <w:noProof/>
        </w:rPr>
        <w:footnoteReference w:id="3"/>
      </w:r>
      <w:r>
        <w:rPr>
          <w:noProof/>
        </w:rPr>
        <w:t xml:space="preserve">. Съгласно условията на Споразумението за оттегляне Обединеното кралство вече не е държава — членка на Европейския съюз, считано от 31 януари 2020 г., и първичното и вторичното право на Съюза ще престанат да се прилагат спрямо и в Обединеното кралство след края на преходния етап на 31 декември 2020 г. </w:t>
      </w:r>
    </w:p>
    <w:p>
      <w:pPr>
        <w:pStyle w:val="ManualConsidrant"/>
        <w:rPr>
          <w:noProof/>
        </w:rPr>
      </w:pPr>
      <w:r>
        <w:rPr>
          <w:noProof/>
        </w:rPr>
        <w:t>(2)</w:t>
      </w:r>
      <w:r>
        <w:rPr>
          <w:noProof/>
        </w:rPr>
        <w:tab/>
        <w:t>С Регламент (ЕО) № 428/2009 на Съвета</w:t>
      </w:r>
      <w:r>
        <w:rPr>
          <w:rStyle w:val="FootnoteReference"/>
          <w:noProof/>
        </w:rPr>
        <w:footnoteReference w:id="4"/>
      </w:r>
      <w:r>
        <w:rPr>
          <w:noProof/>
        </w:rPr>
        <w:t xml:space="preserve"> се създава обща система за контрол върху износа на изделия с двойна употреба, за да се гарантира сигурността в Съюза и на международно равнище и за да се осигурят еднакви условия на конкуренция за износителите от Съюза.</w:t>
      </w:r>
    </w:p>
    <w:p>
      <w:pPr>
        <w:pStyle w:val="ManualConsidrant"/>
        <w:rPr>
          <w:noProof/>
        </w:rPr>
      </w:pPr>
      <w:r>
        <w:rPr>
          <w:noProof/>
        </w:rPr>
        <w:t>(3)</w:t>
      </w:r>
      <w:r>
        <w:rPr>
          <w:noProof/>
        </w:rPr>
        <w:tab/>
        <w:t>В Регламент (ЕО) № 428/2009 са предвидени генерални разрешения на Съюза за износ, с които се улеснява контролът върху нискорисковия износ на изделия с двойна употреба за определени трети държави. Понастоящем от генерално разрешение на Съюза за износ № EС001 са обхванати Австралия, Канада, Япония, Нова Зеландия, Норвегия, Швейцария, включително Лихтенщайн, и Съединените американски щати.</w:t>
      </w:r>
    </w:p>
    <w:p>
      <w:pPr>
        <w:pStyle w:val="ManualConsidrant"/>
        <w:rPr>
          <w:noProof/>
        </w:rPr>
      </w:pPr>
      <w:r>
        <w:rPr>
          <w:noProof/>
        </w:rPr>
        <w:t>(4)</w:t>
      </w:r>
      <w:r>
        <w:rPr>
          <w:noProof/>
        </w:rPr>
        <w:tab/>
        <w:t>Обединеното кралство е страна по относими международни договори и член на международни организации за неразпространение и спазва изцяло съответните задължения и ангажименти.</w:t>
      </w:r>
    </w:p>
    <w:p>
      <w:pPr>
        <w:pStyle w:val="ManualConsidrant"/>
        <w:rPr>
          <w:noProof/>
        </w:rPr>
      </w:pPr>
      <w:r>
        <w:rPr>
          <w:noProof/>
        </w:rPr>
        <w:t>(5)</w:t>
      </w:r>
      <w:r>
        <w:rPr>
          <w:noProof/>
        </w:rPr>
        <w:tab/>
        <w:t>Обединеното кралство осъществява пропорционален и целесъобразен контрол, за да взема надлежно под внимание съображенията относно крайното предназначение и риска от отклоняване в съответствие с разпоредбите и целите на Регламент (ЕО) № 428/2009.</w:t>
      </w:r>
    </w:p>
    <w:p>
      <w:pPr>
        <w:pStyle w:val="ManualConsidrant"/>
        <w:rPr>
          <w:noProof/>
        </w:rPr>
      </w:pPr>
      <w:r>
        <w:rPr>
          <w:noProof/>
        </w:rPr>
        <w:t>(6)</w:t>
      </w:r>
      <w:r>
        <w:rPr>
          <w:noProof/>
        </w:rPr>
        <w:tab/>
        <w:t>Добавянето на Обединеното кралство в списъка на държавите с разрешение ЕС001 не следва да окаже отрицателно въздействие върху сигурността в Съюза или на международно равнище.</w:t>
      </w:r>
    </w:p>
    <w:p>
      <w:pPr>
        <w:pStyle w:val="ManualConsidrant"/>
        <w:rPr>
          <w:noProof/>
        </w:rPr>
      </w:pPr>
      <w:r>
        <w:rPr>
          <w:noProof/>
        </w:rPr>
        <w:t>(7)</w:t>
      </w:r>
      <w:r>
        <w:rPr>
          <w:noProof/>
        </w:rPr>
        <w:tab/>
        <w:t xml:space="preserve">Като се има предвид, че Обединеното кралство е важно местоназначение за изделията с двойна употреба, произвеждани в Съюза, е целесъобразно тази държава да се добави в списъка на местоназначенията, обхванати от генерално разрешение на Съюза за износ № EС001, за да се осигури еднакво и последователно осъществяване на контрол в целия Съюз, да се гарантират еднакви условия на конкуренция за износителите от Съюза и да се предотврати излишна административна тежест, като същевременно се обезпечи сигурността в Съюза и на международно равнище. </w:t>
      </w:r>
    </w:p>
    <w:p>
      <w:pPr>
        <w:pStyle w:val="ManualConsidrant"/>
        <w:rPr>
          <w:noProof/>
        </w:rPr>
      </w:pPr>
      <w:r>
        <w:rPr>
          <w:noProof/>
        </w:rPr>
        <w:t>(8)</w:t>
      </w:r>
      <w:r>
        <w:rPr>
          <w:noProof/>
        </w:rPr>
        <w:tab/>
        <w:t xml:space="preserve">С оглед на неотложността на случая, дължаща се на обстоятелствата във връзка с оттеглянето на Обединеното кралство от Европейския съюз, е необходимо да се предвиди бързо прилагане на разпоредбите на настоящия регламент, отнасящи се до включването на тази държава в генерално разрешение на Съюза за износ № EС001. Поради това настоящият регламент следва да влезе в сила в деня след деня на публикуването му в </w:t>
      </w:r>
      <w:r>
        <w:rPr>
          <w:i/>
          <w:noProof/>
        </w:rPr>
        <w:t>Официален вестник на Европейския съюз</w:t>
      </w:r>
      <w:r>
        <w:rPr>
          <w:noProof/>
        </w:rPr>
        <w:t>,</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 xml:space="preserve">Приложение ІІа към Регламент (ЕО) № 428/2009 на Съвета се изменя, както следва: </w:t>
      </w:r>
    </w:p>
    <w:p>
      <w:pPr>
        <w:pStyle w:val="Point0"/>
        <w:rPr>
          <w:noProof/>
        </w:rPr>
      </w:pPr>
      <w:r>
        <w:rPr>
          <w:noProof/>
        </w:rPr>
        <w:t>(1)</w:t>
      </w:r>
      <w:r>
        <w:rPr>
          <w:noProof/>
        </w:rPr>
        <w:tab/>
        <w:t>заглавието „Износ за Австралия, Канада, Япония, Нова Зеландия, Норвегия, Швейцария, включително Лихтенщайн, и САЩ“ се заменя със следното:</w:t>
      </w:r>
    </w:p>
    <w:p>
      <w:pPr>
        <w:pStyle w:val="Text1"/>
        <w:rPr>
          <w:noProof/>
        </w:rPr>
      </w:pPr>
      <w:r>
        <w:rPr>
          <w:noProof/>
        </w:rPr>
        <w:t>„Износ за Австралия, Канада, Япония, Нова Зеландия, Норвегия, Швейцария, включително Лихтенщайн, Обединеното кралство и САЩ“;</w:t>
      </w:r>
    </w:p>
    <w:p>
      <w:pPr>
        <w:pStyle w:val="Point0"/>
        <w:rPr>
          <w:noProof/>
        </w:rPr>
      </w:pPr>
      <w:r>
        <w:rPr>
          <w:noProof/>
        </w:rPr>
        <w:t>(2)</w:t>
      </w:r>
      <w:r>
        <w:rPr>
          <w:noProof/>
        </w:rPr>
        <w:tab/>
        <w:t xml:space="preserve">в част 2 след текста „Швейцария, включително Лихтенщайн“ се добавя следният текст: </w:t>
      </w:r>
    </w:p>
    <w:p>
      <w:pPr>
        <w:pStyle w:val="Text1"/>
        <w:rPr>
          <w:noProof/>
        </w:rPr>
      </w:pPr>
      <w:r>
        <w:rPr>
          <w:noProof/>
        </w:rPr>
        <w:t>„— Обединеното кралство (без да се засяга прилагането на настоящия регламент спрямо и в Обединеното кралство по отношение на Северна Ирландия в съответствие с приложение 2, точка 47 от Протокола за Ирландия/Северна Ирландия, в което се изброяват разпоредбите на правото на Съюза, посочени в член 5, параграф 4 от Споразумението за оттегляне)</w:t>
      </w:r>
      <w:r>
        <w:rPr>
          <w:rStyle w:val="FootnoteReference"/>
          <w:noProof/>
        </w:rPr>
        <w:footnoteReference w:id="5"/>
      </w:r>
      <w:r>
        <w:rPr>
          <w:noProof/>
        </w:rPr>
        <w:t xml:space="preserve">“. </w:t>
      </w:r>
    </w:p>
    <w:p>
      <w:pPr>
        <w:pStyle w:val="Titrearticle"/>
        <w:rPr>
          <w:noProof/>
        </w:rPr>
      </w:pPr>
      <w:r>
        <w:rPr>
          <w:noProof/>
        </w:rPr>
        <w:t>Член 2</w:t>
      </w:r>
    </w:p>
    <w:p>
      <w:pPr>
        <w:pStyle w:val="Titrearticle"/>
        <w:rPr>
          <w:b/>
          <w:i w:val="0"/>
          <w:noProof/>
        </w:rPr>
      </w:pPr>
      <w:r>
        <w:rPr>
          <w:b/>
          <w:i w:val="0"/>
          <w:noProof/>
        </w:rPr>
        <w:t>Влизане в сила и прилагане</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 xml:space="preserve">. </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Споразумение за оттеглянето на Обединеното кралство Великобритания и Северна </w:t>
      </w:r>
    </w:p>
    <w:p>
      <w:pPr>
        <w:pStyle w:val="FootnoteText"/>
        <w:ind w:left="0" w:firstLine="0"/>
      </w:pPr>
      <w:r>
        <w:t>Ирландия от Европейския съюз и Европейската общност за атомна енергия (OВ L 29, 31.1.2020 г., стр.7) („Споразумението за оттегляне“).</w:t>
      </w:r>
    </w:p>
  </w:footnote>
  <w:footnote w:id="2">
    <w:p>
      <w:pPr>
        <w:pStyle w:val="FootnoteText"/>
      </w:pPr>
      <w:r>
        <w:rPr>
          <w:rStyle w:val="FootnoteReference"/>
        </w:rPr>
        <w:footnoteRef/>
      </w:r>
      <w:r>
        <w:tab/>
        <w:t>OB L 134, 29.5.2009 г., стр. 1.</w:t>
      </w:r>
    </w:p>
  </w:footnote>
  <w:footnote w:id="3">
    <w:p>
      <w:pPr>
        <w:pStyle w:val="FootnoteText"/>
      </w:pPr>
      <w:r>
        <w:rPr>
          <w:rStyle w:val="FootnoteReference"/>
        </w:rPr>
        <w:footnoteRef/>
      </w:r>
      <w:r>
        <w:tab/>
        <w:t>Споразумение за оттеглянето на Обединеното кралство Великобритания и Северна</w:t>
      </w:r>
    </w:p>
    <w:p>
      <w:pPr>
        <w:pStyle w:val="FootnoteText"/>
      </w:pPr>
      <w:r>
        <w:tab/>
        <w:t>Ирландия от Европейския съюз и Европейската общност за атомна енергия (OВ L 29, 31.1.2020 г., стр.</w:t>
      </w:r>
    </w:p>
    <w:p>
      <w:pPr>
        <w:pStyle w:val="FootnoteText"/>
      </w:pPr>
      <w:r>
        <w:tab/>
        <w:t>7).</w:t>
      </w:r>
    </w:p>
  </w:footnote>
  <w:footnote w:id="4">
    <w:p>
      <w:pPr>
        <w:pStyle w:val="FootnoteText"/>
      </w:pPr>
      <w:r>
        <w:rPr>
          <w:rStyle w:val="FootnoteReference"/>
        </w:rPr>
        <w:footnoteRef/>
      </w:r>
      <w:r>
        <w:tab/>
        <w:t>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 (ОВ L 134, 29.5.2009 г., стр. 1).</w:t>
      </w:r>
    </w:p>
  </w:footnote>
  <w:footnote w:id="5">
    <w:p>
      <w:pPr>
        <w:pStyle w:val="FootnoteText"/>
      </w:pPr>
      <w:r>
        <w:rPr>
          <w:rStyle w:val="FootnoteReference"/>
        </w:rPr>
        <w:footnoteRef/>
      </w:r>
      <w:r>
        <w:tab/>
        <w:t xml:space="preserve">ОВ C 66 I, 19.2.2019 г., стр.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68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A898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28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431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CC0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98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0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8246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03 11:04: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C21E31-A18E-4D27-BD47-26DA85CEB599"/>
    <w:docVar w:name="LW_COVERPAGE_TYPE" w:val="1"/>
    <w:docVar w:name="LW_CROSSREFERENCE" w:val="&lt;UNUSED&gt;"/>
    <w:docVar w:name="LW_DocType" w:val="COM"/>
    <w:docVar w:name="LW_EMISSION" w:val="4.11.2020"/>
    <w:docVar w:name="LW_EMISSION_ISODATE" w:val="2020-11-0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13"/>
    <w:docVar w:name="LW_REF.II.NEW.CP_YEAR" w:val="2020"/>
    <w:docVar w:name="LW_REF.INST.NEW" w:val="COM"/>
    <w:docVar w:name="LW_REF.INST.NEW_ADOPTED" w:val="final"/>
    <w:docVar w:name="LW_REF.INST.NEW_TEXT" w:val="(2020)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428/2009 \u1085?\u1072? \u1057?\u1098?\u1074?\u1077?\u1090?\u1072? \u1095?\u1088?\u1077?\u1079? \u1080?\u1079?\u1076?\u1072?\u1074?\u1072?\u1085?\u1077? \u1085?\u1072? \u1075?\u1077?\u1085?\u1077?\u1088?\u1072?\u1083?\u1085?\u1086? \u1088?\u1072?\u1079?\u1088?\u1077?\u1096?\u1077?\u1085?\u1080?\u1077? \u1085?\u1072? \u1057?\u1098?\u1102?\u1079?\u1072? \u1079?\u1072? \u1080?\u1079?\u1085?\u1086?\u1089? \u1085?\u1072? \u1086?\u1087?\u1088?\u1077?\u1076?\u1077?\u1083?\u1077?\u1085?\u1080? \u1080?\u1079?\u1076?\u1077?\u1083?\u1080?\u1103? \u1089? \u1076?\u1074?\u1086?\u1081?\u1085?\u1072? \u1091?\u1087?\u1086?\u1090?\u1088?\u1077?\u1073?\u1072? \u1086?\u1090? \u1057?\u1098?\u1102?\u1079?\u1072? \u1079?\u1072? \u1054?\u1073?\u1077?\u1076?\u1080?\u1085?\u1077?\u1085?\u1086?\u1090?\u1086? \u1082?\u1088?\u1072?\u1083?\u1089?\u1090?\u1074?\u1086? \u1042?\u1077?\u1083?\u1080?\u1082?\u1086?\u1073?\u1088?\u1080?\u1090?\u1072?\u1085?\u1080?\u1103? \u1080? \u1057?\u1077?\u1074?\u1077?\u1088?\u1085?\u1072? \u1048?\u1088?\u1083?\u1072?\u1085?\u1076?\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2388AC-A339-4CE4-BCDD-F7970EEFCA77}">
  <ds:schemaRefs>
    <ds:schemaRef ds:uri="http://schemas.microsoft.com/sharepoint/v3/contenttype/forms"/>
  </ds:schemaRefs>
</ds:datastoreItem>
</file>

<file path=customXml/itemProps2.xml><?xml version="1.0" encoding="utf-8"?>
<ds:datastoreItem xmlns:ds="http://schemas.openxmlformats.org/officeDocument/2006/customXml" ds:itemID="{0139F15F-A997-4CC5-A0FC-A742076DE003}">
  <ds:schemaRefs>
    <ds:schemaRef ds:uri="25173920-bf43-43cc-9123-1897e847dfc2"/>
    <ds:schemaRef ds:uri="http://schemas.microsoft.com/sharepoint/v3"/>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51CA19B2-6676-4FA3-BE99-3515B93FE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90993-F1B4-45A0-9993-6D391BCDC650}">
  <ds:schemaRefs>
    <ds:schemaRef ds:uri="office.server.policy"/>
  </ds:schemaRefs>
</ds:datastoreItem>
</file>

<file path=customXml/itemProps5.xml><?xml version="1.0" encoding="utf-8"?>
<ds:datastoreItem xmlns:ds="http://schemas.openxmlformats.org/officeDocument/2006/customXml" ds:itemID="{834045A9-30B5-4247-AB26-DE424107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Pages>
  <Words>1789</Words>
  <Characters>10542</Characters>
  <Application>Microsoft Office Word</Application>
  <DocSecurity>0</DocSecurity>
  <Lines>202</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2018-12-12T15:19:00Z</cp:lastPrinted>
  <dcterms:created xsi:type="dcterms:W3CDTF">2020-10-30T09:06:00Z</dcterms:created>
  <dcterms:modified xsi:type="dcterms:W3CDTF">2020-11-03T10:04:00Z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0x010100258AA79CEB83498886A3A0868112325000D33D44CF0C8FEB45875F235DEEF2E1B9</vt:lpwstr>
  </property>
  <property fmtid="{D5CDD505-2E9C-101B-9397-08002B2CF9AE}" pid="11" name="DQCStatus">
    <vt:lpwstr>Green (DQC version 03)</vt:lpwstr>
  </property>
</Properties>
</file>