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3978C5AB-B0BF-4C5D-85C4-DD0A868F386E" style="width:450.35pt;height:379pt">
            <v:imagedata r:id="rId9" o:title=""/>
          </v:shape>
        </w:pict>
      </w:r>
    </w:p>
    <w:p>
      <w:pPr>
        <w:rPr>
          <w:noProof/>
        </w:rPr>
        <w:sectPr>
          <w:footerReference w:type="default" r:id="rId10"/>
          <w:pgSz w:w="11907" w:h="16839"/>
          <w:pgMar w:top="1440" w:right="1440" w:bottom="1440" w:left="1440" w:header="720" w:footer="720" w:gutter="0"/>
          <w:pgNumType w:start="0"/>
          <w:cols w:space="720"/>
          <w:docGrid w:linePitch="326"/>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noProof/>
        </w:rPr>
      </w:pPr>
      <w:r>
        <w:rPr>
          <w:noProof/>
        </w:rPr>
        <w:t>•</w:t>
      </w:r>
      <w:r>
        <w:rPr>
          <w:noProof/>
        </w:rPr>
        <w:tab/>
        <w:t>Основания и цели на предложението</w:t>
      </w:r>
    </w:p>
    <w:p>
      <w:pPr>
        <w:rPr>
          <w:noProof/>
        </w:rPr>
      </w:pPr>
      <w:r>
        <w:rPr>
          <w:noProof/>
        </w:rPr>
        <w:t>Международната търговска среда се развива непрестанно. Постоянно се въвеждат нови правила, които уреждат движението на стоки през границите и гарантират безопасността и сигурността. Правното основание за изграждането на модерна и електронна митническа среда се съдържа в Митническия кодекс на Съюза (МКС)</w:t>
      </w:r>
      <w:r>
        <w:rPr>
          <w:rStyle w:val="FootnoteReference"/>
          <w:noProof/>
        </w:rPr>
        <w:footnoteReference w:id="2"/>
      </w:r>
      <w:r>
        <w:rPr>
          <w:noProof/>
        </w:rPr>
        <w:t>. В съответствие с член 3 от МКС митническите органи са натоварени с отговорността да гарантират сигурността и безопасността на Европейския съюз (ЕС) и неговите жители и опазването на околната среда, при необходимост в тясно сътрудничество с други органи, като същевременно поддържат баланс между митническия контрол и улесняването на законната търговия. Тази роля на митниците включва принудително изпълнение по външните граници на ЕС на повече от 60 немитнически законодателни акта на ЕС</w:t>
      </w:r>
      <w:r>
        <w:rPr>
          <w:rStyle w:val="FootnoteReference"/>
          <w:noProof/>
        </w:rPr>
        <w:footnoteReference w:id="3"/>
      </w:r>
      <w:r>
        <w:rPr>
          <w:noProof/>
        </w:rPr>
        <w:t>, свързани с конкретни политики, прилагани в най-различни области, като например здравеопазване и безопасност, опазване на околната среда, рибарство и селско стопанство, надзор на пазара и съответствие на продуктите</w:t>
      </w:r>
      <w:r>
        <w:rPr>
          <w:rStyle w:val="FootnoteReference"/>
          <w:noProof/>
        </w:rPr>
        <w:footnoteReference w:id="4"/>
      </w:r>
      <w:r>
        <w:rPr>
          <w:noProof/>
        </w:rPr>
        <w:t>, културно наследство и други. С посочените актове се налагат различни задължения във връзка с вноса, износа или транзита на най-чувствителните стоки, които засягат приблизително 39,7 милиона митнически декларации всяка година. Те натоварват търговците със задължения за представяне на информация, които в повечето случаи са придружени с изискване за представяне на допълнителни документи наред с митническата декларация.</w:t>
      </w:r>
    </w:p>
    <w:p>
      <w:pPr>
        <w:rPr>
          <w:noProof/>
        </w:rPr>
      </w:pPr>
      <w:r>
        <w:rPr>
          <w:noProof/>
        </w:rPr>
        <w:t>През изминалите години инициативите за „обслужване на едно гише“ придобиват популярност като начин за рационализиране на процеса по оформяне на границата както в ЕС, така и извън него. Понятието за „обслужване на едно гише“ следва да се разглежда като цифрово решение за обмена на електронна информация между различни държавни органи и между тези държавни органи и икономическите оператори. През 2008 г. държавите членки и Комисията се ангажираха да създадат благоприятни условия за електронна митническа среда в ЕС</w:t>
      </w:r>
      <w:r>
        <w:rPr>
          <w:rStyle w:val="FootnoteReference"/>
          <w:noProof/>
        </w:rPr>
        <w:footnoteReference w:id="5"/>
      </w:r>
      <w:r>
        <w:rPr>
          <w:noProof/>
        </w:rPr>
        <w:t>, като установят рамка за услугите за обслужване на едно гише. В декларацията от Венеция от 2014 г.</w:t>
      </w:r>
      <w:r>
        <w:rPr>
          <w:rStyle w:val="FootnoteReference"/>
          <w:noProof/>
        </w:rPr>
        <w:footnoteReference w:id="6"/>
      </w:r>
      <w:r>
        <w:rPr>
          <w:noProof/>
        </w:rPr>
        <w:t xml:space="preserve"> беше предложен поетапен план за действие за въвеждане на среда на ЕС за митническо обслужване на едно гише и за разработване на съответната правна рамка. Това бе потвърдено и в Съобщението на Комисията от 2016 г. „Развитие на митническия съюз в </w:t>
      </w:r>
      <w:r>
        <w:rPr>
          <w:noProof/>
        </w:rPr>
        <w:lastRenderedPageBreak/>
        <w:t>ЕС и на неговото управление“</w:t>
      </w:r>
      <w:r>
        <w:rPr>
          <w:rStyle w:val="FootnoteReference"/>
          <w:noProof/>
        </w:rPr>
        <w:footnoteReference w:id="7"/>
      </w:r>
      <w:r>
        <w:rPr>
          <w:noProof/>
        </w:rPr>
        <w:t>, в което бяха обявени плановете на Комисията да търси осъществимо решение за развитието и създаването на среда на ЕС за митническо обслужване на едно гише. Подходът срещна подкрепа и в заключенията на Съвета по икономически и финансови въпроси от 23 май 2017 г.</w:t>
      </w:r>
      <w:r>
        <w:rPr>
          <w:rStyle w:val="FootnoteReference"/>
          <w:noProof/>
        </w:rPr>
        <w:footnoteReference w:id="8"/>
      </w:r>
      <w:r>
        <w:rPr>
          <w:noProof/>
        </w:rPr>
        <w:t>. Първият двугодишен доклад за напредъка в развитието на митническия съюз на ЕС и неговото управление</w:t>
      </w:r>
      <w:r>
        <w:rPr>
          <w:rStyle w:val="FootnoteReference"/>
          <w:noProof/>
        </w:rPr>
        <w:footnoteReference w:id="9"/>
      </w:r>
      <w:r>
        <w:rPr>
          <w:noProof/>
        </w:rPr>
        <w:t xml:space="preserve"> също беше насочен към приоритетните области, очертани в заключенията на Съвета, и в него бе обявен планът на Комисията да продължи своята работа по създаване на среда на ЕС за митническо обслужване на едно гише.</w:t>
      </w:r>
    </w:p>
    <w:p>
      <w:pPr>
        <w:rPr>
          <w:noProof/>
        </w:rPr>
      </w:pPr>
      <w:r>
        <w:rPr>
          <w:noProof/>
        </w:rPr>
        <w:t>В крак с тези приоритети, през 2015 г. Комисията започна пилотен проект „Обслужване на едно гише в митниците на ЕС — единен ветеринарен документ за въвеждане“ (EU CSW-CVED). Проектът бе ръководен съвместно от генерална дирекция „Данъчно облагане и митнически съюз“ (ГД „Данъчно облагане и митнически съюз“) и генерална дирекция „Здравеопазване и безопасност на храните“ (ГД „Здравеопазване и безопасност на храните“), а целта бе да се осигури възможност за автоматизирана проверка от митниците на три немитнически нормативни формалности, документи във връзка с които се подават заедно с митническата декларация като доказателство за съответствие. Първоначално в пилотния проект участваха на доброволни начала митническите администрации на пет държави членки. С последвалия го проект — системата на ЕС „Митническо обслужване на едно гише: обмен на сертификати“ (EU CSW-CERTEX) — беше разширен обхватът на нормативните изисквания и бяха въведени нови функционални възможности, като управление на количествата</w:t>
      </w:r>
      <w:r>
        <w:rPr>
          <w:rStyle w:val="FootnoteReference"/>
          <w:noProof/>
        </w:rPr>
        <w:footnoteReference w:id="10"/>
      </w:r>
      <w:r>
        <w:rPr>
          <w:noProof/>
        </w:rPr>
        <w:t xml:space="preserve">. Броят на участващите държави членки се увеличи от пет на девет и бяха обхванати повече области на политиката. </w:t>
      </w:r>
    </w:p>
    <w:p>
      <w:pPr>
        <w:rPr>
          <w:noProof/>
        </w:rPr>
      </w:pPr>
      <w:r>
        <w:rPr>
          <w:noProof/>
        </w:rPr>
        <w:t>Пилотният проект EU CSW-CERTEX успя да отговори на необходимостта от осигуряване на подходяща цифрова среда за всички страни, участващи в международната търговия. Предоставяйки централизирано решение, този пилотен проект намали необходимостта участващите държави членки да разработват свои собствени решения и съответно доведе до икономии от мащаба. Автоматизираният процес за проверка на спазването на немитническите нормативни формалности оказа положително въздействие върху стопанските операции, най-вече за намаляване на административната тежест, равно третиране на икономическите оператори и борба с измамите. Въпреки неговия успех желаните ползи от пилотния проект не могат да бъдат осъществени без участието на всички държави членки. В редица неучастващи държави членки митническите и партньорските компетентни органи продължават да работят разпокъсано, което представлява значителна пречка пред ефикасния процес по оформяне на стоките. Положението се усложнява допълнително от появяващите се единични и изолирани национални инициативи за обслужване на едно гише, които функционират при различни условия в зависимост от равнището на съществуващите структури на митническата информационна архитектура, приоритетите и разходите. Малко вероятно е съществуващите проблеми да се разрешат без действие на ЕС, най-</w:t>
      </w:r>
      <w:r>
        <w:rPr>
          <w:noProof/>
        </w:rPr>
        <w:lastRenderedPageBreak/>
        <w:t>вече защото въпросните нормативни изисквания засягат движението на стоки през границите и следователно трябва да бъдат изпълнени на равнището на ЕС. </w:t>
      </w:r>
    </w:p>
    <w:p>
      <w:pPr>
        <w:rPr>
          <w:noProof/>
        </w:rPr>
      </w:pPr>
      <w:r>
        <w:rPr>
          <w:noProof/>
        </w:rPr>
        <w:t>Пандемията от Covid-19 направи по-важно отвсякога да се създаде по-силна рамка за митническия съюз и допълнително да се улесни изпълнението на митническите и немитническите формалности на ЕС в подкрепа на икономическото възстановяване. За тази цел нарасналата цифровизация на митническите и немитническите нормативни формалности на Съюза, приложими към международната търговия, открива нови възможности за държавите членки да подобрят цифровото сътрудничество. В съответствие с политическите насоки на председателя Фон дер Лайен</w:t>
      </w:r>
      <w:r>
        <w:rPr>
          <w:rStyle w:val="FootnoteReference"/>
          <w:noProof/>
        </w:rPr>
        <w:footnoteReference w:id="11"/>
      </w:r>
      <w:r>
        <w:rPr>
          <w:noProof/>
        </w:rPr>
        <w:t xml:space="preserve"> настоящото предложение ще очертае подходящите условия за цифрово сътрудничество между митническите и партньорските компетентни органи за правилно прилагане на външните аспекти на много политики за вътрешния пазар и за намаляване на административната тежест за търговията. Един от аспектите на тази рамка за цифрово сътрудничество задължава регулаторните органи да създадат възможност за икономическите оператори да подават на едно място както митнически, така и немитнически данни на ЕС, изисквани за оформянето на стоките. Това ще доведе до намаляване на дублирането и на необходимите време и разходи за спазване на изискванията за икономическите оператори. </w:t>
      </w:r>
    </w:p>
    <w:p>
      <w:pPr>
        <w:rPr>
          <w:noProof/>
        </w:rPr>
      </w:pPr>
      <w:r>
        <w:rPr>
          <w:noProof/>
        </w:rPr>
        <w:t>Настоящото предложение е първата стъпка в изпълнението на един по-широк план за действие</w:t>
      </w:r>
      <w:r>
        <w:rPr>
          <w:rStyle w:val="FootnoteReference"/>
          <w:noProof/>
        </w:rPr>
        <w:footnoteReference w:id="12"/>
      </w:r>
      <w:r>
        <w:rPr>
          <w:noProof/>
        </w:rPr>
        <w:t>, започнат през септември 2020 г. в съответствие с дългосрочната визия на Комисията за извеждане на митническия съюз на следващото равнище. За този подход се съобщава и във втория двугодишен доклад от 2020 г., придружаващ Съобщението на Комисията до Европейския парламент, Съвета и Европейския икономически и социален комитет „Преминаване към следващото ниво на Митническия съюз: план за действие</w:t>
      </w:r>
      <w:r>
        <w:rPr>
          <w:rStyle w:val="FootnoteReference"/>
          <w:noProof/>
        </w:rPr>
        <w:footnoteReference w:id="13"/>
      </w:r>
      <w:r>
        <w:rPr>
          <w:noProof/>
        </w:rPr>
        <w:t xml:space="preserve">“. </w:t>
      </w:r>
    </w:p>
    <w:p>
      <w:pPr>
        <w:rPr>
          <w:noProof/>
        </w:rPr>
      </w:pPr>
      <w:r>
        <w:rPr>
          <w:noProof/>
        </w:rPr>
        <w:t>Като търси отговор на установените проблеми, засягащи процеса по оформяне на стоките (най-вече недостатъчната координация и разпокъсана оперативна съвместимост между митническите и партньорските компетентни органи), предложението ще преследва три конкретни цели:</w:t>
      </w:r>
    </w:p>
    <w:p>
      <w:pPr>
        <w:pStyle w:val="Point0"/>
        <w:rPr>
          <w:noProof/>
        </w:rPr>
      </w:pPr>
      <w:r>
        <w:rPr>
          <w:noProof/>
        </w:rPr>
        <w:t>1.</w:t>
      </w:r>
      <w:r>
        <w:rPr>
          <w:noProof/>
        </w:rPr>
        <w:tab/>
        <w:t>да се установи управленска рамка за по-тясно сътрудничество между митническите и партньорските компетентни органи и да се разработят оперативно съвместими решения</w:t>
      </w:r>
      <w:r>
        <w:rPr>
          <w:rStyle w:val="FootnoteReference"/>
          <w:noProof/>
        </w:rPr>
        <w:footnoteReference w:id="14"/>
      </w:r>
      <w:r>
        <w:rPr>
          <w:noProof/>
        </w:rPr>
        <w:t>, когато е полезно и целесъобразно;</w:t>
      </w:r>
    </w:p>
    <w:p>
      <w:pPr>
        <w:pStyle w:val="Point0"/>
        <w:rPr>
          <w:noProof/>
        </w:rPr>
      </w:pPr>
      <w:r>
        <w:rPr>
          <w:noProof/>
        </w:rPr>
        <w:t>2.</w:t>
      </w:r>
      <w:r>
        <w:rPr>
          <w:noProof/>
        </w:rPr>
        <w:tab/>
        <w:t>да се подобрят работните практики между регулаторните органи, участващи в международната търговия, за да се създадат условия за по-автоматизирани, електронни и обединени процеси по оформяне на стоките; и</w:t>
      </w:r>
    </w:p>
    <w:p>
      <w:pPr>
        <w:pStyle w:val="Point0"/>
        <w:rPr>
          <w:noProof/>
        </w:rPr>
      </w:pPr>
      <w:r>
        <w:rPr>
          <w:noProof/>
        </w:rPr>
        <w:t>3.</w:t>
      </w:r>
      <w:r>
        <w:rPr>
          <w:noProof/>
        </w:rPr>
        <w:tab/>
        <w:t>да се определи рамка за хармонизиране на данните и да се позволи повторно използване на данни за изпълняване на различните формалности, изисквани от митническите и други органи, компетентни за международната търговия.</w:t>
      </w:r>
    </w:p>
    <w:p>
      <w:pPr>
        <w:rPr>
          <w:noProof/>
        </w:rPr>
      </w:pPr>
      <w:r>
        <w:rPr>
          <w:noProof/>
        </w:rPr>
        <w:lastRenderedPageBreak/>
        <w:t>Тези цели ще бъдат постигнати чрез надграждане върху съществуващия пилотен проект — EU CSW-CERTEX, разработен от ГД „Данъчно облагане и митнически съюз“, и налагане на задължителното му използване във всички държави членки чрез създаване на правно основание. Това ще улесни споделянето на информация и ще се превърне в рамка за цифрово сътрудничество между митническите и партньорските компетентни органи по много от нормативните формалности, изискваните данни за оформянето на стоките за които се предоставят от всички съответни партньорски компетентни органи в електронните системи на ЕС. Поетапно ще бъде осъществявана връзка между EU CSW-CERTEX и бъдещите електронни системи на ЕС за управление на немитническите формалности при готовност на съответното немитническо законодателство и оперативни аспекти. Изцяло обединената нормативна среда в ЕС ще донесе дългосрочни ползи за ЕС в не една област.</w:t>
      </w:r>
    </w:p>
    <w:p>
      <w:pPr>
        <w:pStyle w:val="ManualHeading2"/>
        <w:rPr>
          <w:noProof/>
        </w:rPr>
      </w:pPr>
      <w:r>
        <w:rPr>
          <w:noProof/>
        </w:rPr>
        <w:t>•</w:t>
      </w:r>
      <w:r>
        <w:rPr>
          <w:noProof/>
        </w:rPr>
        <w:tab/>
        <w:t>Съгласуваност с действащите разпоредби в тази област на политиката</w:t>
      </w:r>
    </w:p>
    <w:p>
      <w:pPr>
        <w:rPr>
          <w:noProof/>
        </w:rPr>
      </w:pPr>
      <w:r>
        <w:rPr>
          <w:noProof/>
        </w:rPr>
        <w:t>Настоящото предложение е в съответствие с целта на МКС за изграждане на модерна и електронна митническа среда и за насърчаване на цифровото сътрудничество между митниците и различните държавни органи от всички области на политиката. То допълва и мащабните проекти за електронни митници, представени подробно в работната програма по МКС</w:t>
      </w:r>
      <w:r>
        <w:rPr>
          <w:rStyle w:val="FootnoteReference"/>
          <w:noProof/>
        </w:rPr>
        <w:footnoteReference w:id="15"/>
      </w:r>
      <w:r>
        <w:rPr>
          <w:noProof/>
        </w:rPr>
        <w:t>, и е в синхрон с многогодишния стратегически план за електронни митници (МГСП-М), който осигурява оперативното планиране и графика за изпълнение на всички информационни проекти за електронни митници. </w:t>
      </w:r>
    </w:p>
    <w:p>
      <w:pPr>
        <w:rPr>
          <w:noProof/>
        </w:rPr>
      </w:pPr>
      <w:r>
        <w:rPr>
          <w:noProof/>
        </w:rPr>
        <w:t>Инициативата на ЕС от най-голяма важност в тази област — EU CSW-CERTEX, е на доброволни начала и има ограничен обхват. Предложението ще се основава на съществуващото пилотно решение и ще направи задължително за всички държави членки да обменят информация по множество нормативни формалности, във връзка с които всички държави членки предоставят съответната информация за оформяне в електронните системи на ЕС. Желаните ползи от този проект, изразени в повишена ефикасност, принудително изпълнение и намаляване на измамите и грешките, ще бъдат постигнати само ако участват всички държави членки.</w:t>
      </w:r>
    </w:p>
    <w:p>
      <w:pPr>
        <w:pStyle w:val="ManualHeading2"/>
        <w:rPr>
          <w:noProof/>
        </w:rPr>
      </w:pPr>
      <w:r>
        <w:rPr>
          <w:noProof/>
        </w:rPr>
        <w:t>•</w:t>
      </w:r>
      <w:r>
        <w:rPr>
          <w:noProof/>
        </w:rPr>
        <w:tab/>
        <w:t>Съгласуваност с други политики на Съюза</w:t>
      </w:r>
    </w:p>
    <w:p>
      <w:pPr>
        <w:autoSpaceDE w:val="0"/>
        <w:autoSpaceDN w:val="0"/>
        <w:spacing w:before="40" w:after="40"/>
        <w:rPr>
          <w:noProof/>
        </w:rPr>
      </w:pPr>
      <w:r>
        <w:rPr>
          <w:noProof/>
        </w:rPr>
        <w:t>Обхватът на инициативата, която засяга международната търговия и е съсредоточена върху митниците и широк набор от немитнически нормативни формалности, изисквани във връзка с вноса, износа или транзита на стоките, прави особено важно съгласуването ѝ с други политики на ЕС. Както бе очертано в първия раздел, общата политика на ЕС има за цел да установи среда на ЕС за митническо обслужване на едно гише в рамките на по-широката програма на Комисията за увеличаване на цифровизацията и опростяване на процесите по оформяне. В този контекст средата на ЕС за митническо обслужване на едно гише ще следва целите на плана за действие на ЕС за електронно управление през периода 2016—2020 г.</w:t>
      </w:r>
      <w:r>
        <w:rPr>
          <w:rStyle w:val="FootnoteReference"/>
          <w:noProof/>
        </w:rPr>
        <w:footnoteReference w:id="16"/>
      </w:r>
      <w:r>
        <w:rPr>
          <w:noProof/>
        </w:rPr>
        <w:t>, с който се търси повишаване на ефикасността на публичните услуги чрез премахване на съществуващите цифрови препятствия, намаляване на административната тежест и повишаване на качеството на взаимодействията между националните администрации. Инициативата е в съответствие и с декларацията от Талин</w:t>
      </w:r>
      <w:r>
        <w:rPr>
          <w:rStyle w:val="FootnoteReference"/>
          <w:noProof/>
        </w:rPr>
        <w:footnoteReference w:id="17"/>
      </w:r>
      <w:r>
        <w:rPr>
          <w:noProof/>
        </w:rPr>
        <w:t xml:space="preserve">, която поставя като цели цифрови по подразбиране </w:t>
      </w:r>
      <w:r>
        <w:rPr>
          <w:noProof/>
        </w:rPr>
        <w:lastRenderedPageBreak/>
        <w:t>взаимодействия между широката общественост и стопанските субекти и принципите на еднократност</w:t>
      </w:r>
      <w:r>
        <w:rPr>
          <w:rStyle w:val="FootnoteReference"/>
          <w:noProof/>
        </w:rPr>
        <w:footnoteReference w:id="18"/>
      </w:r>
      <w:r>
        <w:rPr>
          <w:noProof/>
        </w:rPr>
        <w:t xml:space="preserve"> и оперативна съвместимост по подразбиране. Важна крачка напред в това отношение е Регламентът относно електронната идентификация и удостоверителните услуги</w:t>
      </w:r>
      <w:r>
        <w:rPr>
          <w:rStyle w:val="FootnoteReference"/>
          <w:noProof/>
          <w:szCs w:val="24"/>
        </w:rPr>
        <w:footnoteReference w:id="19"/>
      </w:r>
      <w:r>
        <w:rPr>
          <w:noProof/>
        </w:rPr>
        <w:t xml:space="preserve">, с който се установява нова правна структура за електронната идентификация и електронните подписи, печати и документи в целия ЕС. </w:t>
      </w:r>
    </w:p>
    <w:p>
      <w:pPr>
        <w:rPr>
          <w:noProof/>
        </w:rPr>
      </w:pPr>
      <w:r>
        <w:rPr>
          <w:noProof/>
        </w:rPr>
        <w:t>На равнището на ЕС се подемат и други свързани с нея инициативи за възможно най-голямо увеличаване на потенциала за растеж на цифровата икономика в съгласие със Съобщението на Комисията „Изграждане на цифровото бъдеще на Европа“</w:t>
      </w:r>
      <w:r>
        <w:rPr>
          <w:rStyle w:val="FootnoteReference"/>
          <w:noProof/>
        </w:rPr>
        <w:footnoteReference w:id="20"/>
      </w:r>
      <w:r>
        <w:rPr>
          <w:noProof/>
        </w:rPr>
        <w:t xml:space="preserve">  за насърчаване на цифровата трансформация и оперативната съвместимост между всички публични администрации в Европа. Например в Регламента за изпълнение във връзка със системата за управление на информацията относно официалния контрол</w:t>
      </w:r>
      <w:r>
        <w:rPr>
          <w:rStyle w:val="FootnoteReference"/>
          <w:noProof/>
        </w:rPr>
        <w:footnoteReference w:id="21"/>
      </w:r>
      <w:r>
        <w:rPr>
          <w:noProof/>
        </w:rPr>
        <w:t xml:space="preserve"> средата на ЕС за митническо обслужване на едно гише се посочва изрично като подходящата рамка за сътрудничество и безпрепятствено споделяне на информация между митническите органи и държавните органи, отговорни за удостоверяване на съответствието с нормативните изисквания, приложими в областите на политиките за здравеопазване на човека, животните и растенията. В други законодателни актове средата на ЕС за митническо обслужване на едно гише се разглежда като евентуален интерфейс между съществуващите информационни системи. По-конкретно, в Регламент (ЕС) 2019/1020 относно надзора на пазара и съответствието на продуктите</w:t>
      </w:r>
      <w:r>
        <w:rPr>
          <w:rStyle w:val="FootnoteReference"/>
          <w:noProof/>
        </w:rPr>
        <w:footnoteReference w:id="22"/>
      </w:r>
      <w:r>
        <w:rPr>
          <w:noProof/>
        </w:rPr>
        <w:t xml:space="preserve"> се посочва доброволното използване на средата на ЕС за митническо обслужване на едно гише за обмен на данни между митническите органи и органите за надзор на пазара по време на процеса по митническо оформяне. Този обмен остава извън обхвата на настоящия проект, който включва задължителното използване на EU CSW-CERTEX от всички държави членки.</w:t>
      </w:r>
    </w:p>
    <w:p>
      <w:pPr>
        <w:pStyle w:val="ManualHeading1"/>
        <w:rPr>
          <w:noProof/>
        </w:rPr>
      </w:pPr>
      <w:r>
        <w:rPr>
          <w:noProof/>
        </w:rPr>
        <w:t>2.</w:t>
      </w:r>
      <w:r>
        <w:rPr>
          <w:noProof/>
        </w:rPr>
        <w:tab/>
        <w:t>ПРАВНО ОСНОВАНИЕ, СУБСИДИАРНОСТ И ПРОПОРЦИОНАЛНОСТ</w:t>
      </w:r>
    </w:p>
    <w:p>
      <w:pPr>
        <w:pStyle w:val="ManualHeading2"/>
        <w:rPr>
          <w:noProof/>
        </w:rPr>
      </w:pPr>
      <w:r>
        <w:rPr>
          <w:noProof/>
        </w:rPr>
        <w:t>•</w:t>
      </w:r>
      <w:r>
        <w:rPr>
          <w:noProof/>
        </w:rPr>
        <w:tab/>
        <w:t>Правно основание</w:t>
      </w:r>
    </w:p>
    <w:p>
      <w:pPr>
        <w:rPr>
          <w:noProof/>
        </w:rPr>
      </w:pPr>
      <w:r>
        <w:rPr>
          <w:noProof/>
        </w:rPr>
        <w:t>Правното основание за действие на ЕС се съдържа в членове 33, 114 и 207 от Договора за функционирането на Европейския съюз (ДФЕС)</w:t>
      </w:r>
      <w:r>
        <w:rPr>
          <w:rStyle w:val="FootnoteReference"/>
          <w:noProof/>
        </w:rPr>
        <w:footnoteReference w:id="23"/>
      </w:r>
      <w:r>
        <w:rPr>
          <w:noProof/>
        </w:rPr>
        <w:t xml:space="preserve">. Членове 33 и 114 от ДФЕС дават на Европейския парламент и на Съвета правото да взема мерки за засилване на митническото сътрудничество между държавите членки и между тях и Комисията с цел да се осигури правилното функциониране на вътрешния пазар. По-конкретно, </w:t>
      </w:r>
      <w:r>
        <w:rPr>
          <w:noProof/>
        </w:rPr>
        <w:lastRenderedPageBreak/>
        <w:t>настоящото предложение има за цел да осигури правилното прилагане на външните аспекти на широк набор от политики за вътрешния пазар. Член 207 от ДФЕС се опира върху презумпцията, че обхватът на инициативата се простира отвъд сътрудничеството между митническите органи и включва улесняване на търговията и защита срещу незаконната търговия като важен аспект на търговската политика. Тези три члена от ДФЕС съставляват правното основание и за МКС, който се изменя с настоящия акт.</w:t>
      </w:r>
    </w:p>
    <w:p>
      <w:pPr>
        <w:pStyle w:val="ManualHeading2"/>
        <w:rPr>
          <w:noProof/>
        </w:rPr>
      </w:pPr>
      <w:r>
        <w:rPr>
          <w:noProof/>
        </w:rPr>
        <w:t>•</w:t>
      </w:r>
      <w:r>
        <w:rPr>
          <w:noProof/>
        </w:rPr>
        <w:tab/>
        <w:t>Субсидиарност (при неизключителна компетентност)</w:t>
      </w:r>
    </w:p>
    <w:p>
      <w:pPr>
        <w:rPr>
          <w:noProof/>
        </w:rPr>
      </w:pPr>
      <w:r>
        <w:rPr>
          <w:noProof/>
        </w:rPr>
        <w:t>Сложната нормативна уредба и непрестанното въвеждане на нови правила, уреждащи нормативните изисквания за оформянето на стоките, водят до недостатъчна координация и разпокъсани взаимодействия между митниците и компетентните за тези изисквания органи. Това засяга не само митническия съюз, но и вътрешния пазар в редица области на политиката, свързани с уредените от правото на Съюза презгранични операции. Тези наднационални по своята същност проблеми ще ограничат ползите от постепенната цифровизация и модернизация на процесите, свързани с оформянето на конкретни стоки, за които се прилагат немитнически нормативни изисквания на ЕС в различни области на политиката. Освен това националните инициативи няма да са многобройни поради ресурсни ограничения, а пилотното решение на доброволни начала, EU CSW-CERTEX, ще изгуби инерция, ако не бъде последвано от задължителни действия. С оглед на това ЕС е в добра позиция да координира тези действия, да намали разпокъсването и да осъществи икономии от мащаба, особено като се има предвид отговорността му по отношение на митническия съюз и ефективното прилагане на правилата на вътрешния пазар.</w:t>
      </w:r>
    </w:p>
    <w:p>
      <w:pPr>
        <w:rPr>
          <w:noProof/>
        </w:rPr>
      </w:pPr>
      <w:r>
        <w:rPr>
          <w:noProof/>
        </w:rPr>
        <w:t>Целите на предложението може да бъдат постигнати по-добре на равнището на ЕС поради няколко причини. Едно централизирано решение (EU CSW-CERTEX) за улесняване на цифровото сътрудничество и обмен на информация между националните среди за митническо обслужване на едно гише и митническите и немитническите системи на Съюза, наред с нарастващата цифровизация на немитническите формалности на Съюза, ще намали административната тежест за всички засегнати страни и ще доведе до оперативна съвместимост между митническата и немитническата област и значителни икономии от мащаба. Очаква се действието на равнище ЕС да донесе преки ползи при нормативните формалности, когато количествата разрешени стоки може да бъдат разделени в множество митнически декларации, чрез въвеждането на автоматизирано управление на количествата на равнището на ЕС.</w:t>
      </w:r>
    </w:p>
    <w:p>
      <w:pPr>
        <w:rPr>
          <w:noProof/>
        </w:rPr>
      </w:pPr>
      <w:r>
        <w:rPr>
          <w:noProof/>
        </w:rPr>
        <w:t>Действието на равнище ЕС в тази област ще подобри функционирането на вътрешния пазар, като засили и хармонизира осъществяваното от митниците принудително изпълнение на немитническите формалности в сила за международната търговия със стоки. Това несъмнено ще се отрази благоприятно върху взаимодействието между митническите и партньорските компетентни органи. В крайна сметка намесата на ЕС ще има положително икономическо въздействие в резултат на повишената ефикасност и улесненията на търговията, както и социални и екологични ползи поради подобрената координация и подобреното управление на риска на границата. Това ще доведе до по-успешно спазване и принудително изпълнение на немитническите изисквания на ЕС, целящи защита на общественото здраве и безопасност, ще повиши сигурността и ще спомага за опазване на доброто състояние на животните и околната среда в целия ЕС.</w:t>
      </w:r>
    </w:p>
    <w:p>
      <w:pPr>
        <w:pStyle w:val="ManualHeading2"/>
        <w:rPr>
          <w:noProof/>
        </w:rPr>
      </w:pPr>
      <w:r>
        <w:rPr>
          <w:noProof/>
        </w:rPr>
        <w:t>•</w:t>
      </w:r>
      <w:r>
        <w:rPr>
          <w:noProof/>
        </w:rPr>
        <w:tab/>
        <w:t>Пропорционалност</w:t>
      </w:r>
    </w:p>
    <w:p>
      <w:pPr>
        <w:rPr>
          <w:noProof/>
        </w:rPr>
      </w:pPr>
      <w:r>
        <w:rPr>
          <w:noProof/>
        </w:rPr>
        <w:t xml:space="preserve">В съответствие с принципа на пропорционалност обхватът на настоящото предложение е ограничен до немитническите нормативни изисквания, заложени в законодателството </w:t>
      </w:r>
      <w:r>
        <w:rPr>
          <w:noProof/>
        </w:rPr>
        <w:lastRenderedPageBreak/>
        <w:t>на ЕС, за които съществува електронна система на ЕС за съхранение на съответната информация, изисквана от митниците за проверка на спазването на съответните мерки. Връзката чрез EU CSW-CERTEX на тези системи с националните среди за митническо обслужване на едно гише и цифровият обмен на информация, предвиден в предложението, са необходими за подобряване и осигуряване на последователното принудително изпълнение на тези нормативни изисквания в целия ЕС. Това е особено вярно, когато законодателството разрешава разделянето на разрешените количества стоки в множество митнически декларации, които може да се подават в целия ЕС, или забранява вноса или износа на подлежащи на квоти стоки след достигането на определен праг. Митническите органи трябва да проверят какви количества са използвани при оформянето на предишни пратки, но ръчните проверки са както времеемки, така и недостатъчно точни. Няма как тези проблеми да се решат без ново действие на ЕС, отчасти защото са свързани с формалности на ЕС. Освен това предвидените в настоящото предложение правила за хармонизиране на националните среди за митническо обслужване на едно гише са необходими за постигане на еднакви условия на конкуренция за икономическите оператори при изпълнението на съответните нормативни изисквания. Както бе установено в работния документ на службите във връзка с доклада за оценка на въздействието, разходите, свързани с предложените мерки, съответстват на поставените цели на политиката.</w:t>
      </w:r>
    </w:p>
    <w:p>
      <w:pPr>
        <w:pStyle w:val="ManualHeading2"/>
        <w:rPr>
          <w:noProof/>
        </w:rPr>
      </w:pPr>
      <w:r>
        <w:rPr>
          <w:noProof/>
        </w:rPr>
        <w:t>•</w:t>
      </w:r>
      <w:r>
        <w:rPr>
          <w:noProof/>
        </w:rPr>
        <w:tab/>
        <w:t>Избор на инструмент</w:t>
      </w:r>
    </w:p>
    <w:p>
      <w:pPr>
        <w:rPr>
          <w:noProof/>
        </w:rPr>
      </w:pPr>
      <w:r>
        <w:rPr>
          <w:noProof/>
        </w:rPr>
        <w:t>Избраният инструмент е регламент на Европейския парламент и на Съвета, който да гарантира еднакво спазване на нормативните изисквания в целия ЕС.</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noProof/>
        </w:rPr>
      </w:pPr>
      <w:r>
        <w:rPr>
          <w:noProof/>
        </w:rPr>
        <w:t>•</w:t>
      </w:r>
      <w:r>
        <w:rPr>
          <w:noProof/>
        </w:rPr>
        <w:tab/>
        <w:t>Последващи оценки/проверки за пригодност на действащото законодателство</w:t>
      </w:r>
    </w:p>
    <w:p>
      <w:pPr>
        <w:rPr>
          <w:noProof/>
        </w:rPr>
      </w:pPr>
      <w:r>
        <w:rPr>
          <w:noProof/>
        </w:rPr>
        <w:t>Не е приложимо</w:t>
      </w:r>
    </w:p>
    <w:p>
      <w:pPr>
        <w:pStyle w:val="ManualHeading2"/>
        <w:rPr>
          <w:noProof/>
        </w:rPr>
      </w:pPr>
      <w:r>
        <w:rPr>
          <w:noProof/>
        </w:rPr>
        <w:t>•</w:t>
      </w:r>
      <w:r>
        <w:rPr>
          <w:noProof/>
        </w:rPr>
        <w:tab/>
        <w:t>Консултации със заинтересованите страни</w:t>
      </w:r>
    </w:p>
    <w:p>
      <w:pPr>
        <w:rPr>
          <w:noProof/>
        </w:rPr>
      </w:pPr>
      <w:r>
        <w:rPr>
          <w:noProof/>
        </w:rPr>
        <w:t>Беше получена обратна връзка от следните заинтересовани страни:</w:t>
      </w:r>
    </w:p>
    <w:p>
      <w:pPr>
        <w:pStyle w:val="Point0"/>
        <w:rPr>
          <w:noProof/>
        </w:rPr>
      </w:pPr>
      <w:r>
        <w:rPr>
          <w:noProof/>
        </w:rPr>
        <w:t>•</w:t>
      </w:r>
      <w:r>
        <w:rPr>
          <w:noProof/>
        </w:rPr>
        <w:tab/>
        <w:t>митнически органи на държавите членки;</w:t>
      </w:r>
    </w:p>
    <w:p>
      <w:pPr>
        <w:pStyle w:val="Point0"/>
        <w:rPr>
          <w:noProof/>
        </w:rPr>
      </w:pPr>
      <w:r>
        <w:rPr>
          <w:noProof/>
        </w:rPr>
        <w:t>•</w:t>
      </w:r>
      <w:r>
        <w:rPr>
          <w:noProof/>
        </w:rPr>
        <w:tab/>
        <w:t>партньорски компетентни органи (напр. Комисията и партньорските компетентни органи или агенции на държавите членки), които разчитат на митниците да осъществяват контрол и да привеждат в изпълнение техните политики на границата. Сред тях има ветеринарни, санитарни, фитосанитарни, селскостопански и фармацевтични органи и органи по рибарството и околната среда;</w:t>
      </w:r>
    </w:p>
    <w:p>
      <w:pPr>
        <w:pStyle w:val="Point0"/>
        <w:rPr>
          <w:noProof/>
        </w:rPr>
      </w:pPr>
      <w:r>
        <w:rPr>
          <w:noProof/>
        </w:rPr>
        <w:t>•</w:t>
      </w:r>
      <w:r>
        <w:rPr>
          <w:noProof/>
        </w:rPr>
        <w:tab/>
        <w:t>икономически оператори, осъществяващи презгранично движение на стоки, като отделни дружества или представлявани от национални, европейски и/или международни търговски или стопански асоциации, включително производители, дружества вносители или износители, корабоплавателни или транспортни дружества, оператори на пристанища и летища и т.н.;</w:t>
      </w:r>
    </w:p>
    <w:p>
      <w:pPr>
        <w:pStyle w:val="Point0"/>
        <w:rPr>
          <w:noProof/>
        </w:rPr>
      </w:pPr>
      <w:r>
        <w:rPr>
          <w:noProof/>
        </w:rPr>
        <w:t>•</w:t>
      </w:r>
      <w:r>
        <w:rPr>
          <w:noProof/>
        </w:rPr>
        <w:tab/>
        <w:t>международни търговски и митнически организации, като Икономическата комисия за Европа на Организацията на обединените нации (ИКЕ на ООН), Световната митническа организация (СМО) и Световната търговска организация (СТО);</w:t>
      </w:r>
    </w:p>
    <w:p>
      <w:pPr>
        <w:pStyle w:val="Point0"/>
        <w:rPr>
          <w:noProof/>
        </w:rPr>
      </w:pPr>
      <w:r>
        <w:rPr>
          <w:noProof/>
        </w:rPr>
        <w:lastRenderedPageBreak/>
        <w:t>•</w:t>
      </w:r>
      <w:r>
        <w:rPr>
          <w:noProof/>
        </w:rPr>
        <w:tab/>
        <w:t>други заинтересовани групи, като академичната/научноизследователската общност, професионалните консултанти и широката общественост.</w:t>
      </w:r>
    </w:p>
    <w:p>
      <w:pPr>
        <w:rPr>
          <w:noProof/>
        </w:rPr>
      </w:pPr>
      <w:r>
        <w:rPr>
          <w:noProof/>
        </w:rPr>
        <w:t>Бяха извършени обширни дейности по обществена и целева консултация, данните от които бяха отразени в доклада за оценката на въздействието. Обществената консултация беше проведена от 9 октомври 2018 г. до 17 януари 2019 г. На разположение беше онлайн въпросник на всички официални езици на ЕС</w:t>
      </w:r>
      <w:r>
        <w:rPr>
          <w:rStyle w:val="FootnoteReference"/>
          <w:noProof/>
        </w:rPr>
        <w:footnoteReference w:id="24"/>
      </w:r>
      <w:r>
        <w:rPr>
          <w:noProof/>
        </w:rPr>
        <w:t>, съдържащ 24 въпроса, насочени към профила на респондентите, опита им с презгранични операции и становището им по потенциални мерки на политиката. На уебсайта Europa беше публикуван кратък обзор на консултацията</w:t>
      </w:r>
      <w:r>
        <w:rPr>
          <w:rStyle w:val="FootnoteReference"/>
          <w:noProof/>
        </w:rPr>
        <w:footnoteReference w:id="25"/>
      </w:r>
      <w:r>
        <w:rPr>
          <w:noProof/>
        </w:rPr>
        <w:t>. От консултацията стана ясно, че има широко съгласие по въпроса за наличието на проблеми и за тяхната сериозност и се приветства възможността ЕС да предприеме действие за разрешаването им. Бяха получени общо 371 валидни отговора, повечето от представители на стопанската общност. Над 90 % от респондентите са отчели като важни потенциалните цели на една нова инициатива. Според очакванията всички предложени промени в резултат на новото действие на ЕС биха оказали положително въздействие върху стопанските операции, най-вече за намаляване на административната тежест, равно третиране на икономическите оператори и борбата с измамите.</w:t>
      </w:r>
    </w:p>
    <w:p>
      <w:pPr>
        <w:rPr>
          <w:noProof/>
        </w:rPr>
      </w:pPr>
      <w:r>
        <w:rPr>
          <w:noProof/>
        </w:rPr>
        <w:t>Повечето данни бяха събрани в рамките на проектната група „Митници 2020“ с цел проучване на евентуалната уредба, включително правния контекст, за разработване на среда на ЕС за митническо обслужване на едно гише. Сформирана през декември 2016 г., проектната група продължи да провежда редовни заседания до юни 2019 г., съчетавайки експертния опит на специалистите по митнически и ИТ въпроси, изпратени като делегати от администрациите на 19 държави членки, и шест представители на търговски асоциации. Проектната група бе основно заета с анализ и обсъждане на въпроси и тенденции, свързани с концепцията за обслужване на едно гише на равнище ЕС и национално равнище, с цел оценка на несъответствията между текущата ситуация, пред която са изправени администрациите и икономическите оператори, и бъдещите перспективи. Сред резултатите, постигнати от проектната група, са тясното сътрудничество за разработка на описание на проблема, целите на политиката и вариантите на политиката, които са доразвити като част от доклада за оценката на въздействието.</w:t>
      </w:r>
    </w:p>
    <w:p>
      <w:pPr>
        <w:rPr>
          <w:noProof/>
        </w:rPr>
      </w:pPr>
      <w:r>
        <w:rPr>
          <w:noProof/>
        </w:rPr>
        <w:t>Допълнителни данни бяха събрани на семинар на високо равнище, посветен на средата на ЕС за митническо обслужване на едно гише, организиран от румънското председателство през май 2019 г. с участието на висшето ръководство на националните митнически администрации, държавите кандидатки, представители на търговските асоциации и водещи оратори от Агенцията за митническа и гранична защита на САЩ и международни организации. Бяха проведени редица работни срещи за разглеждане на значението на вариантите на политика в контекста на взаимодействията между органите на държавното управление и между стопанските субекти и органите на държавното управление, с неформални анкети за получаване на обратна връзка по начертаните варианти на политиката.</w:t>
      </w:r>
    </w:p>
    <w:p>
      <w:pPr>
        <w:pStyle w:val="ManualHeading2"/>
        <w:rPr>
          <w:noProof/>
        </w:rPr>
      </w:pPr>
      <w:r>
        <w:rPr>
          <w:noProof/>
        </w:rPr>
        <w:lastRenderedPageBreak/>
        <w:t>•</w:t>
      </w:r>
      <w:r>
        <w:rPr>
          <w:noProof/>
        </w:rPr>
        <w:tab/>
        <w:t>Събиране и използване на експертни становища</w:t>
      </w:r>
    </w:p>
    <w:p>
      <w:pPr>
        <w:rPr>
          <w:noProof/>
        </w:rPr>
      </w:pPr>
      <w:r>
        <w:rPr>
          <w:noProof/>
        </w:rPr>
        <w:t>Консултацията позволи да бъдат събрани както количествени, така и качествени данни, които бяха обработени и анализирани систематично с помощта на подходящите техники. Качествените данни (включително отговорите от интервюта) бяха прегледани и анализирани от различни ъгли и представени описателно. Количествените данни (включително отговорите от анкетата и цифровите данни, представени от заинтересованите страни) бяха обработени с Excel и анализирани с помощта на статистически методи като честота, кръстосано таблично представяне и прости тенденции. Резултатите бяха представени под формата на таблици, диаграми и графики.</w:t>
      </w:r>
    </w:p>
    <w:p>
      <w:pPr>
        <w:pStyle w:val="ManualHeading2"/>
        <w:rPr>
          <w:noProof/>
        </w:rPr>
      </w:pPr>
      <w:r>
        <w:rPr>
          <w:noProof/>
        </w:rPr>
        <w:t>•</w:t>
      </w:r>
      <w:r>
        <w:rPr>
          <w:noProof/>
        </w:rPr>
        <w:tab/>
        <w:t>Оценка на въздействието</w:t>
      </w:r>
    </w:p>
    <w:p>
      <w:pPr>
        <w:rPr>
          <w:noProof/>
        </w:rPr>
      </w:pPr>
      <w:r>
        <w:rPr>
          <w:noProof/>
        </w:rPr>
        <w:t>Беше изготвен доклад за оценка на въздействието</w:t>
      </w:r>
      <w:r>
        <w:rPr>
          <w:rStyle w:val="FootnoteReference"/>
          <w:noProof/>
        </w:rPr>
        <w:footnoteReference w:id="26"/>
      </w:r>
      <w:r>
        <w:rPr>
          <w:noProof/>
        </w:rPr>
        <w:t>, въз основа на който Комисията да вземе решение относно предпочитания вариант на политиката за предложението и в подкрепа на изпълнението му. Работата по подготовката беше подпомогната от междуведомствена ръководна група, в която участваха съответните генерални дирекции (ГД) на Комисията. На 13 март 2020 г. отговорната генерална дирекция „Данъчно облагане и митнически съюз“ представи оценката на въздействието на Комитета за регулаторен контрол за оценка на качеството. След заседание на 29 април 2020 г., на 5 май 2020 г. Комитетът за регулаторен контрол излезе с отрицателно становище, като посочи няколко области за по-нататъшно подобрение. Сред тях бяха по-ясно оформена визия на инициативата, извършване на по-пълен анализ на вариантите на политиката (особено за централизираните национални бази данни), представяне на обосновка за отхвърления вариант, обхващащ единна входна точка на равнище ЕС за всички нормативни формалности и обяснение на това как са били претеглени критериите за преценката спрямо анализа на въздействието. На 18 юни 2020 г. редактираният доклад беше изпратен повторно, а на 15 юли 2020 г.  Комитетът за регулаторен контрол излезе с положително становище. Сред окончателните препоръки за подобрение бяха допълнително разглеждане на потенциалната несигурност в резултатите на анализа за нетната полза и включване в критериите за оценка на гледните точки на групите заинтересовани страни по осъществимите варианти.</w:t>
      </w:r>
    </w:p>
    <w:p>
      <w:pPr>
        <w:rPr>
          <w:noProof/>
        </w:rPr>
      </w:pPr>
      <w:r>
        <w:rPr>
          <w:noProof/>
        </w:rPr>
        <w:t>Оценката на въздействието се опира на данни от широк кръг източници, анализирани с помощта на обичайните методи за извършване на социални и икономически изследвания. Бяха набелязани осем варианти на политиката, попадащи в три широки категории, които биха могли да се групират, за да формират избор на политиката:</w:t>
      </w:r>
    </w:p>
    <w:p>
      <w:pPr>
        <w:rPr>
          <w:noProof/>
        </w:rPr>
      </w:pPr>
      <w:r>
        <w:rPr>
          <w:noProof/>
        </w:rPr>
        <w:t>•       Категория I (варианти 1—4; възможно е комбиниране на вариантите): варианти за взаимодействие между органите на държавното управление за улесняване на споделянето на информация и цифровото сътрудничество между митническите и партньорските компетентни органи. Всеки вариант има различен обхват. При вариант 1 EU CSW-CERTEX става задължителна и се обхващат нормативните изисквания на ЕС, за които на равнище ЕС има налична свързана с митниците информация за всички държави членки, и се предвижда автоматизирана функционалност за управление на количествата. Вариант 2 обхваща нормативните изисквания на ЕС, за които има налична информация на национално равнище. Вариант 3 обхваща националните нормативни изисквания, а вариант 4 — документите от трети държави.</w:t>
      </w:r>
    </w:p>
    <w:p>
      <w:pPr>
        <w:rPr>
          <w:noProof/>
        </w:rPr>
      </w:pPr>
      <w:r>
        <w:rPr>
          <w:noProof/>
        </w:rPr>
        <w:lastRenderedPageBreak/>
        <w:t>•       Категория II (варианти 5—7; възможен е само един вариант): варианти за връзка между стопанските субекти и органите на държавното управление, сътрудничество, насочено към подобряване на взаимодействията на икономическите оператори с органите. Вариант 5 предвижда създаване на общ портал за управление на немитническите формалности на Съюза. Вариант 6 предвижда обслужване на едно гише на национално равнище за осигуряване на хармонизирани единни входни точки, чрез които икономическите оператори да изпълняват митническите и немитническите формалности. Вариант 7 предвижда установяване на единна входна точка на равнище ЕС за изпълняване на митническите и немитническите формалности.</w:t>
      </w:r>
    </w:p>
    <w:p>
      <w:pPr>
        <w:rPr>
          <w:noProof/>
        </w:rPr>
      </w:pPr>
      <w:r>
        <w:rPr>
          <w:noProof/>
        </w:rPr>
        <w:t>•       Категория III (вариант 8): междусекторен вариант за рационализиране на начина, по който митническите и партньорските компетентни органи идентифицират икономическите оператори. Той ще се опира на съществуващата система за регистрация и идентификация на икономическите оператори (EORI) или за регистриране и валидиране (8i), или само за валидиране (8ii).</w:t>
      </w:r>
    </w:p>
    <w:p>
      <w:pPr>
        <w:rPr>
          <w:noProof/>
        </w:rPr>
      </w:pPr>
      <w:r>
        <w:rPr>
          <w:noProof/>
        </w:rPr>
        <w:t>След извършване на бърза оценка, за задълбочен анализ бяха подбрани варианти 1, 2, 6, 7 и 8(ii). При него беше установено сходно въздействие за всички варианти. Прякото икономическо въздействие би се изразило в еднократни разходи за въвеждане и периодични разходи, както и в спестявания от намалената административна тежест за всички засегнати заинтересовани страни. По-тясното сътрудничество и по-лесното споделяне на информация между органите, отговорни за оформянето на стоките, би позволило да се подобри процесът на управление на риска и да се намалят случаите на измами и човешки грешки. Това на свой ред би довело до по-успешно спазване и принудително изпълнение на немитническото законодателство със съпътстващите го социални и екологични ползи.</w:t>
      </w:r>
    </w:p>
    <w:p>
      <w:pPr>
        <w:rPr>
          <w:noProof/>
        </w:rPr>
      </w:pPr>
      <w:r>
        <w:rPr>
          <w:noProof/>
        </w:rPr>
        <w:t>С цел да бъде избран предпочитаният вариант, различните групи варианти бяха сравнени по отношение на своята ефективност (т.е. принудително изпълнение на съответните нормативни изисквания и улеснение на търговията), ефикасност, съгласуваност с други политики и пропорционалност. Установено бе, че най-много ползи носят групите, включващи варианти както от категория I, така и от категория II, докато вариант 8(ii) носи допълнителни ползи за всяка група. Установено бе, че варианти 1 и 6 са икономически ефективни, последователни и пропорционални, докато варианти 2 и (особено) 7 са проблематични в тези отношения поради своята сложност и високи разходи. Поради това предпочетеният пакет е варианти 1+6+8(ii).</w:t>
      </w:r>
    </w:p>
    <w:p>
      <w:pPr>
        <w:pStyle w:val="ManualHeading2"/>
        <w:rPr>
          <w:noProof/>
        </w:rPr>
      </w:pPr>
      <w:r>
        <w:rPr>
          <w:noProof/>
        </w:rPr>
        <w:t>•</w:t>
      </w:r>
      <w:r>
        <w:rPr>
          <w:noProof/>
        </w:rPr>
        <w:tab/>
        <w:t>Пригодност и опростяване на законодателството</w:t>
      </w:r>
    </w:p>
    <w:p>
      <w:pPr>
        <w:rPr>
          <w:noProof/>
        </w:rPr>
      </w:pPr>
      <w:r>
        <w:rPr>
          <w:noProof/>
        </w:rPr>
        <w:t>Не е приложимо</w:t>
      </w:r>
    </w:p>
    <w:p>
      <w:pPr>
        <w:pStyle w:val="ManualHeading2"/>
        <w:rPr>
          <w:noProof/>
        </w:rPr>
      </w:pPr>
      <w:r>
        <w:rPr>
          <w:noProof/>
        </w:rPr>
        <w:t>•</w:t>
      </w:r>
      <w:r>
        <w:rPr>
          <w:noProof/>
        </w:rPr>
        <w:tab/>
        <w:t>Основни права</w:t>
      </w:r>
    </w:p>
    <w:p>
      <w:pPr>
        <w:rPr>
          <w:noProof/>
        </w:rPr>
      </w:pPr>
      <w:r>
        <w:rPr>
          <w:noProof/>
        </w:rPr>
        <w:t xml:space="preserve">Хармонизираното прилагане на законодателството на ЕС в областта на спазването на нормативните изисквания ще помогне да се гарантира равното третиране на икономическите оператори в целия ЕС, като същевременно ще повиши прозрачността на съответните митнически дейности. При митническите формалности се използват както лични, така и чувствителни от търговска гледна точка данни. Всички изисквания за стопанските и техническите данни в рамките на инициативата ще осигурят широк </w:t>
      </w:r>
      <w:r>
        <w:rPr>
          <w:noProof/>
        </w:rPr>
        <w:lastRenderedPageBreak/>
        <w:t>обхват на обработването на лични данни като основно човешко право в съответствие с Регламент (ЕС) 2016/679</w:t>
      </w:r>
      <w:r>
        <w:rPr>
          <w:rStyle w:val="FootnoteReference"/>
          <w:noProof/>
        </w:rPr>
        <w:footnoteReference w:id="27"/>
      </w:r>
      <w:r>
        <w:rPr>
          <w:noProof/>
        </w:rPr>
        <w:t xml:space="preserve"> и Регламент (ЕС) 2018/1725</w:t>
      </w:r>
      <w:r>
        <w:rPr>
          <w:rStyle w:val="FootnoteReference"/>
          <w:noProof/>
        </w:rPr>
        <w:footnoteReference w:id="28"/>
      </w:r>
      <w:r>
        <w:rPr>
          <w:noProof/>
        </w:rPr>
        <w:t>.</w:t>
      </w:r>
    </w:p>
    <w:p>
      <w:pPr>
        <w:pStyle w:val="ManualHeading1"/>
        <w:rPr>
          <w:noProof/>
        </w:rPr>
      </w:pPr>
      <w:r>
        <w:rPr>
          <w:noProof/>
        </w:rPr>
        <w:t>4.</w:t>
      </w:r>
      <w:r>
        <w:rPr>
          <w:noProof/>
        </w:rPr>
        <w:tab/>
        <w:t>ОТРАЖЕНИЕ ВЪРХУ БЮДЖЕТА</w:t>
      </w:r>
    </w:p>
    <w:p>
      <w:pPr>
        <w:rPr>
          <w:noProof/>
        </w:rPr>
      </w:pPr>
      <w:r>
        <w:rPr>
          <w:noProof/>
        </w:rPr>
        <w:t>Изискваните финансови и човешки ресурси са включени в приложената финансова обосновка.</w:t>
      </w:r>
    </w:p>
    <w:p>
      <w:pPr>
        <w:pStyle w:val="ManualHeading1"/>
        <w:rPr>
          <w:noProof/>
        </w:rPr>
      </w:pPr>
      <w:r>
        <w:rPr>
          <w:noProof/>
        </w:rPr>
        <w:t>5.</w:t>
      </w:r>
      <w:r>
        <w:rPr>
          <w:noProof/>
        </w:rPr>
        <w:tab/>
        <w:t>ДРУГИ ЕЛЕМЕНТИ</w:t>
      </w:r>
    </w:p>
    <w:p>
      <w:pPr>
        <w:pStyle w:val="ManualHeading2"/>
        <w:rPr>
          <w:noProof/>
        </w:rPr>
      </w:pPr>
      <w:r>
        <w:rPr>
          <w:noProof/>
        </w:rPr>
        <w:t>•</w:t>
      </w:r>
      <w:r>
        <w:rPr>
          <w:noProof/>
        </w:rPr>
        <w:tab/>
        <w:t>Планове за изпълнение и механизми за мониторинг, оценка и докладване</w:t>
      </w:r>
    </w:p>
    <w:p>
      <w:pPr>
        <w:rPr>
          <w:noProof/>
        </w:rPr>
      </w:pPr>
      <w:r>
        <w:rPr>
          <w:noProof/>
        </w:rPr>
        <w:t>Комисията ще гарантира, че са налице механизми за мониторинг и оценка на функционирането на средата на ЕС за митническо обслужване на едно гише. За редовния мониторинг ще се разчита най-вече на източници на равнището на ЕС, като например доклади с дезагрегирани данни относно резултатите от митническия съюз, дейността на EU CSW-CERTEX и резултати и статистически данни във връзка с информационните технологии. Ще бъде направено допитване до националните митнически администрации, за да се определи дали и до каква степен ще е възможно да се използват и други източници.</w:t>
      </w:r>
    </w:p>
    <w:p>
      <w:pPr>
        <w:rPr>
          <w:noProof/>
        </w:rPr>
      </w:pPr>
      <w:r>
        <w:rPr>
          <w:noProof/>
        </w:rPr>
        <w:t>В срок до 31 декември 2027 г. и на всеки три години след това Комисията следва да представя на Европейския парламент и на Съвета доклад относно функционирането на средата на ЕС за митническо обслужване на едно гише, включително цялостна оценка на системата EU CSW-CERTEX. Като се има предвид, че някои елементи на цифровото сътрудничество все още няма да са напълно приложими към момента на първата оценка, ударението ще бъде върху изготвянето на преглед на напредъка, определянето на области за подобрение и отправянето на препоръки за бъдещето. При втората оценка ще се възприеме по-обобщаващ подход. Комисията ще направи оценка на функционирането на средата на ЕС за митническо обслужване на едно гише с оглед на подобреното цифрово сътрудничество между митническите органи и партньорските компетентни органи, участващи в оформянето на стоките с цел гарантиране на опростени процеси за икономическите оператори и ефикасно принудително изпълнение на немитническите формалности на ЕС. </w:t>
      </w:r>
    </w:p>
    <w:p>
      <w:pPr>
        <w:rPr>
          <w:noProof/>
        </w:rPr>
      </w:pPr>
      <w:r>
        <w:rPr>
          <w:noProof/>
        </w:rPr>
        <w:t>Очаква се показателите за мониторинг да бъдат събирани по възможност постоянно от системата EU CSW-CERTEX. За целите на оценката годишните статистически данни ще се съставят и сравняват за последователни години. Когато е възможно, ще се използва сравнение с изходната ситуация, взета като тенденция или като средна стойност от трите години, предшестващи началото на прилагането.</w:t>
      </w:r>
    </w:p>
    <w:p>
      <w:pPr>
        <w:pStyle w:val="ManualHeading2"/>
        <w:rPr>
          <w:noProof/>
        </w:rPr>
      </w:pPr>
      <w:r>
        <w:rPr>
          <w:noProof/>
        </w:rPr>
        <w:t>•</w:t>
      </w:r>
      <w:r>
        <w:rPr>
          <w:noProof/>
        </w:rPr>
        <w:tab/>
        <w:t>Подробно разяснение на отделните разпоредби на предложението</w:t>
      </w:r>
    </w:p>
    <w:p>
      <w:pPr>
        <w:rPr>
          <w:noProof/>
        </w:rPr>
      </w:pPr>
      <w:r>
        <w:rPr>
          <w:noProof/>
        </w:rPr>
        <w:t>Предложението за регламент има следната структура:</w:t>
      </w:r>
    </w:p>
    <w:p>
      <w:pPr>
        <w:rPr>
          <w:noProof/>
        </w:rPr>
      </w:pPr>
      <w:r>
        <w:rPr>
          <w:b/>
          <w:noProof/>
        </w:rPr>
        <w:lastRenderedPageBreak/>
        <w:t>Глава І — Общи разпоредби</w:t>
      </w:r>
    </w:p>
    <w:p>
      <w:pPr>
        <w:rPr>
          <w:noProof/>
        </w:rPr>
      </w:pPr>
      <w:r>
        <w:rPr>
          <w:noProof/>
        </w:rPr>
        <w:t>В глава I се установяват общите разпоредби на настоящия регламент, включително неговият предмет и определения на ключови термини. В нея средата на ЕС за митническо обслужване на едно гише се определя като обединен набор от оперативно съвместими електронни услуги, предоставяни на съюзно и национално равнище. Тези услуги целят да подпомогнат изпълнението на немитническите формалности на Съюза, изисквани при поставянето на стоките под определен митнически режим, с оглед на улесняването на търговията и по-нататъшната защита на Съюза. Общите и конкретните цели на законодателното предложение определят обхвата на средата на ЕС за митническо обслужване на едно гише и поставят рамка за регламентиране на електронните услуги, които ще подсигурят нейното точно и ефикасно функциониране.</w:t>
      </w:r>
    </w:p>
    <w:p>
      <w:pPr>
        <w:rPr>
          <w:noProof/>
        </w:rPr>
      </w:pPr>
      <w:r>
        <w:rPr>
          <w:noProof/>
        </w:rPr>
        <w:t>Това включва по-конкретно: 1) създаване на централна система на ЕС за свързване на националните среди на ЕС за митническо обслужване на едно гише и немитническите системи на ЕС, която дава възможност за цифрово сътрудничество между регулаторните органи, участващи в оформянето на стоките, 2) хармонизиране на националните среди за митническо обслужване на едно гише и техните функционалности, и 3) определяне на специални правила за цифрово административно сътрудничество.</w:t>
      </w:r>
    </w:p>
    <w:p>
      <w:pPr>
        <w:rPr>
          <w:noProof/>
        </w:rPr>
      </w:pPr>
      <w:r>
        <w:rPr>
          <w:b/>
          <w:noProof/>
        </w:rPr>
        <w:t>Глава II  — Система на ЕС „Митническо обслужване на едно гише: обмен на сертификати“ (EU CSW-CERTEX)</w:t>
      </w:r>
    </w:p>
    <w:p>
      <w:pPr>
        <w:rPr>
          <w:noProof/>
        </w:rPr>
      </w:pPr>
      <w:r>
        <w:rPr>
          <w:noProof/>
        </w:rPr>
        <w:t>В глава II се установяват разпоредбите за централната система на ЕС „Митническо обслужване на едно гише: обмен на сертификати“ (EU CSW-CERTEX). В нея се предвижда създаването на EU CSW-CERTEX като интерфейс в реално време между националните среди за митническо обслужване на едно гише и немитническите системи на ЕС.</w:t>
      </w:r>
    </w:p>
    <w:p>
      <w:pPr>
        <w:rPr>
          <w:noProof/>
        </w:rPr>
      </w:pPr>
      <w:r>
        <w:rPr>
          <w:noProof/>
        </w:rPr>
        <w:t>EU CSW-CERTEX ще бъде разработена и поддържана съвместно от Комисията и държавите членки. Тя ще обхваща немитническите формалности в ЕС, цифровизирани на равнище ЕС, изискваната информация за оформянето на стоките, съответната информация за които се предоставя от всички партньорски компетентни органи в система на ЕС. Тези формалности са посочени в приложението</w:t>
      </w:r>
      <w:r>
        <w:rPr>
          <w:rStyle w:val="FootnoteReference"/>
          <w:noProof/>
        </w:rPr>
        <w:footnoteReference w:id="29"/>
      </w:r>
      <w:r>
        <w:rPr>
          <w:noProof/>
        </w:rPr>
        <w:t xml:space="preserve"> към регламента и може да бъдат изменяни посредством делегирани актове. Комисията ще свърже EU CSW-CERTEX със съответните немитнически системи на ЕС, а държавите членки ще я свържат с националните среди за митническо обслужване на едно гише.</w:t>
      </w:r>
    </w:p>
    <w:p>
      <w:pPr>
        <w:rPr>
          <w:noProof/>
        </w:rPr>
      </w:pPr>
      <w:r>
        <w:rPr>
          <w:noProof/>
        </w:rPr>
        <w:t xml:space="preserve">Личните данни, обменяни между националната среда за митническо обслужване на едно гише и немитническите системи на ЕС, ще се обработват в EU CSW-CERTEX, без да бъдат съхранявани. Обработването ще се извършва с две основни цели: за по-лесно споделяне на информация между националните среди  за митниците и немитническите системи на ЕС и за преобразуване на данни при необходимост за по-гладко управление на процесите между митническите и немитническите области на цифровите технологии. Сред категориите субекти на данни, за които е необходима обработка на личните данни, са физическите лица, включително упълномощените служители на митниците, партньорските компетентни органи или други сертифицирани органи, </w:t>
      </w:r>
      <w:r>
        <w:rPr>
          <w:noProof/>
        </w:rPr>
        <w:lastRenderedPageBreak/>
        <w:t>информация за които се съдържа в митническата декларация или в придружаващите документи, необходими за изпълнението на всички немитнически формалности на ЕС, обхванати от EU CSW-CERTEX. Друга допълнителна категория субекти на данни включва служителите на Комисията и други доставчици — трети страни, действащи от нейно име и участващи в оперативни дейности и дейности по поддръжка, свързани с EU CSW-CERTEX. Комисията и държавите членки ще бъдат съвместни администратори на обработването на лични данни в EU CSW-CERTEX в съответствие с регламенти (ЕС) 2016/679 и (ЕС) 2018/1725. </w:t>
      </w:r>
    </w:p>
    <w:p>
      <w:pPr>
        <w:rPr>
          <w:noProof/>
        </w:rPr>
      </w:pPr>
      <w:r>
        <w:rPr>
          <w:b/>
          <w:noProof/>
        </w:rPr>
        <w:t>Глава III — Национални среди за митническо обслужване на едно гише</w:t>
      </w:r>
    </w:p>
    <w:p>
      <w:pPr>
        <w:rPr>
          <w:noProof/>
        </w:rPr>
      </w:pPr>
      <w:r>
        <w:rPr>
          <w:noProof/>
        </w:rPr>
        <w:t>В глава III се установяват разпоредбите за националните компоненти на средата на ЕС за митническо обслужване на едно гише, които за целите на настоящия регламент се наричат национални среди за митническо обслужване на едно гише. Всяка държава членка ще отговаря за разработването, въвеждането и поддържането на точното и ефикасно функциониране на националните среди за митническо обслужване на едно гише.</w:t>
      </w:r>
    </w:p>
    <w:p>
      <w:pPr>
        <w:rPr>
          <w:noProof/>
        </w:rPr>
      </w:pPr>
      <w:r>
        <w:rPr>
          <w:noProof/>
        </w:rPr>
        <w:t>С цел да се осигури хармонизирано спазване и принудително изпълнение на немитническите нормативни изисквания на ЕС, националните среди за митническо обслужване на едно гише ще се съсредоточат върху осигуряването на възможност за митническите органи да проверяват автоматично тези формалности, а партньорските компетентни органи да могат да управляват количествата на разрешените стоки въз основа на вдигането им от митниците.</w:t>
      </w:r>
    </w:p>
    <w:p>
      <w:pPr>
        <w:rPr>
          <w:noProof/>
        </w:rPr>
      </w:pPr>
      <w:r>
        <w:rPr>
          <w:noProof/>
        </w:rPr>
        <w:t>С оглед на по-нататъшното хармонизиране на процесите по спазване на изискванията и за улесняване на търговията националните среди за митническо обслужване на едно гише ще се превърнат в единен канал за комуникация, по който икономическите оператори ще изпълняват съответните митнически и специфични немитнически формалности на ЕС, изисквани за поставянето на стоките под митнически режими. Този механизъм за улесняване ще позволи на икономическите оператори да подават до единна точка както митническите, така и немитническите данни на ЕС, изисквани от множеството органи, участващи в оформянето на стоките. Това ще доведе до намаляване на дублирането и на времето и разходите, необходими за привеждане в съответствие за икономическите оператори. Немитническите формалности на ЕС, за които се прилага тази конкретна мярка за улесняване, са подгрупа от общите формалности, изброени в приложението, които ще бъдат определени от Комисията чрез актове за изпълнение след оценка на набор от критерии с отношение към улесняването на търговията и към правната и техническата осъществимост. Националните среди за митническо обслужване на едно гише може да служат също като платформи за „координиране“ на съответния контрол, осигурявайки „едно спиране“ (т.е. обслужване на едно гише) в съответствие с член 47, параграф 1 от Регламент (ЕС) № 952/2013.</w:t>
      </w:r>
    </w:p>
    <w:p>
      <w:pPr>
        <w:rPr>
          <w:noProof/>
        </w:rPr>
      </w:pPr>
      <w:r>
        <w:rPr>
          <w:noProof/>
        </w:rPr>
        <w:t>Обработката на лични данни в рамките на националната среда за обслужване на едно гише в митниците ще се извършва в съответствие с Регламент (ЕС) 2016/679. Всяка държава членка ще бъде единственият администратор за обработване на данни в съответната си среда и ще уведомява Комисията в случай на нарушение на сигурността, поверителността, наличността или целостта на личните данни. </w:t>
      </w:r>
    </w:p>
    <w:p>
      <w:pPr>
        <w:rPr>
          <w:noProof/>
        </w:rPr>
      </w:pPr>
      <w:r>
        <w:rPr>
          <w:b/>
          <w:noProof/>
        </w:rPr>
        <w:t xml:space="preserve">Глава IV — Цифрово сътрудничество: обмен на информация и други процедурни правила </w:t>
      </w:r>
    </w:p>
    <w:p>
      <w:pPr>
        <w:rPr>
          <w:noProof/>
        </w:rPr>
      </w:pPr>
      <w:r>
        <w:rPr>
          <w:noProof/>
        </w:rPr>
        <w:t xml:space="preserve">В глава IV се съдържат основните разпоредби за ефикасното функциониране на средата на ЕС за митническо обслужване на едно гише. Тя е разделена на три основни раздела, </w:t>
      </w:r>
      <w:r>
        <w:rPr>
          <w:noProof/>
        </w:rPr>
        <w:lastRenderedPageBreak/>
        <w:t>съответстващи на различните аспекти на цифровото сътрудничество и споделянето на информация между митниците, партньорските компетентни органи и икономическите оператори, както е обяснено по-долу.</w:t>
      </w:r>
    </w:p>
    <w:p>
      <w:pPr>
        <w:rPr>
          <w:noProof/>
        </w:rPr>
      </w:pPr>
      <w:r>
        <w:rPr>
          <w:noProof/>
        </w:rPr>
        <w:t>В раздел 1 се определят правилата за обмена на информация между националните среди за митническо обслужване на едно гише и немитническите системи на ЕС, обработвана чрез EU CSW-CERTEX, които са приложими за всички немитнически формалности, изброени в приложението. Този обмен на информация ще служи за следните цели:</w:t>
      </w:r>
    </w:p>
    <w:p>
      <w:pPr>
        <w:pStyle w:val="Point0"/>
        <w:rPr>
          <w:noProof/>
        </w:rPr>
      </w:pPr>
      <w:r>
        <w:rPr>
          <w:noProof/>
        </w:rPr>
        <w:t>1.</w:t>
      </w:r>
      <w:r>
        <w:rPr>
          <w:noProof/>
        </w:rPr>
        <w:tab/>
        <w:t>предоставяне на съответните данни на митническите органи с цел по-успешно прилагане на немитническите нормативни политики чрез автоматизирана проверка на тези формалности;</w:t>
      </w:r>
    </w:p>
    <w:p>
      <w:pPr>
        <w:pStyle w:val="Point0"/>
        <w:rPr>
          <w:noProof/>
        </w:rPr>
      </w:pPr>
      <w:r>
        <w:rPr>
          <w:noProof/>
        </w:rPr>
        <w:t>2.</w:t>
      </w:r>
      <w:r>
        <w:rPr>
          <w:noProof/>
        </w:rPr>
        <w:tab/>
        <w:t>предоставяне на съответните данни на партньорските компетентни органи, за да могат да наблюдават и определят оставащото количество разрешени стоки, които не са били отписани от митниците при оформяне на други пратки;</w:t>
      </w:r>
    </w:p>
    <w:p>
      <w:pPr>
        <w:pStyle w:val="Point0"/>
        <w:rPr>
          <w:noProof/>
        </w:rPr>
      </w:pPr>
      <w:r>
        <w:rPr>
          <w:noProof/>
        </w:rPr>
        <w:t>3.</w:t>
      </w:r>
      <w:r>
        <w:rPr>
          <w:noProof/>
        </w:rPr>
        <w:tab/>
        <w:t>улесняване на обединяването на митническите и немитническите процедури на ЕС за напълно автоматизиран процес по оформяне на стоките в подкрепа на въвеждането на решения за „обслужване на едно гише“;</w:t>
      </w:r>
    </w:p>
    <w:p>
      <w:pPr>
        <w:pStyle w:val="Point0"/>
        <w:rPr>
          <w:noProof/>
        </w:rPr>
      </w:pPr>
      <w:r>
        <w:rPr>
          <w:noProof/>
        </w:rPr>
        <w:t>4.</w:t>
      </w:r>
      <w:r>
        <w:rPr>
          <w:noProof/>
        </w:rPr>
        <w:tab/>
        <w:t>позволяване на автоматизиран обмен на данни между митническите и партньорските компетентни органи, както е предвидено в законодателството на ЕС. </w:t>
      </w:r>
    </w:p>
    <w:p>
      <w:pPr>
        <w:rPr>
          <w:noProof/>
        </w:rPr>
      </w:pPr>
      <w:r>
        <w:rPr>
          <w:noProof/>
        </w:rPr>
        <w:t>При необходимост EU CSW-CERTEX ще извършва и преобразуване на данни за целите на системната и работната оперативна съвместимост.</w:t>
      </w:r>
    </w:p>
    <w:p>
      <w:pPr>
        <w:rPr>
          <w:noProof/>
        </w:rPr>
      </w:pPr>
      <w:r>
        <w:rPr>
          <w:noProof/>
        </w:rPr>
        <w:t>В раздел 2 се определят допълнителни разпоредби, които се прилагат само за подгрупата на немитническите формалности на ЕС, обхванати от EU CSW-CERTEX, които следва да бъдат установени от Комисията чрез оценка на това дали е изпълнен набор от съответни критерии. Допълнителните мерки за улесняване на тези специфични формалности налагат националните среди за митническо обслужване на едно гише да се превърнат в единен канал за комуникация, по който икономическите оператори да изпълняват както митническите, така и немитническите формалности на ЕС. Това решение ще опрости процедурите за оформяне на стоките и ще реши ключови проблеми, като например необходимостта да се предоставя подобна информация на множество органи чрез множество системи за едно и също движение на стоки. По-конкретно, икономическите оператори ще могат да подават всички необходими данни за поставяне на стоките под митнически режими и да получават електронна обратна информация на едно място от участващите регулаторни органи.</w:t>
      </w:r>
    </w:p>
    <w:p>
      <w:pPr>
        <w:rPr>
          <w:noProof/>
        </w:rPr>
      </w:pPr>
      <w:r>
        <w:rPr>
          <w:noProof/>
        </w:rPr>
        <w:t xml:space="preserve">Комисията ще определи рамка за хармонизиране и рационализиране на данните, така че предоставените от икономическите оператори данни да могат да се използват отново в съответствие с принципа за еднократност при представянето на информация. По-специално тя ще определи кои са общите елементи от данни в митническата декларация и в заявлението за придружаващи документи и ще посочи кои допълнителни елементи от данни се изискват само от немитническото законодателство на ЕС. За целите на настоящия регламент тези елементи от данни ще се наричат „набор или набори от данни на партньорския компетентен орган (ПКО)“. Данните от митническата декларация и наборът или наборите от данни на ПКО ще представляват обединена декларация, съдържаща цялата информация във връзка с оформянето, която е необходима за изпълнение на съответните немитнически формалности на ЕС. Наред с другите възможности този рационализиран подход би позволил на икономическите </w:t>
      </w:r>
      <w:r>
        <w:rPr>
          <w:noProof/>
        </w:rPr>
        <w:lastRenderedPageBreak/>
        <w:t>оператори да подават заедно всички необходими данни за поставяне на стоките под митнически режими. От процедурна и времева гледна точка това може да бъде постигнато в съответствие с член 171 от Регламент (ЕС) № 952/2013, който позволява митническата декларация да бъде подадена преди представянето на стоките. Подаването на митническата декларация заедно със съответния набор или съответните набори от данни на ПКО означава, че икономическият оператор едновременно декларира стоките за митнически режим и подава заявление за необходимите придружаващи документи.</w:t>
      </w:r>
    </w:p>
    <w:p>
      <w:pPr>
        <w:rPr>
          <w:noProof/>
        </w:rPr>
      </w:pPr>
      <w:r>
        <w:rPr>
          <w:noProof/>
        </w:rPr>
        <w:t>EU CSW-CERTEX ще препрати съответните данни от националната среда за митническо обслужване на едно гише към подходящите немитнически системи на ЕС, за да ги предостави на партньорските компетентни органи за изпълнение на техните задължения. При получаване партньорските компетентни органи ще преглеждат изпратената им информация и ще предоставят на митниците чрез EU CSW-CERTEX своите решения за оформяне. На свой ред митническите органи ще препращат тази информация на икономическия оператор. EORI номерът ще се използва като идентификатор за споделяне и съпоставяне на информацията, свързана с този обмен. </w:t>
      </w:r>
    </w:p>
    <w:p>
      <w:pPr>
        <w:rPr>
          <w:noProof/>
        </w:rPr>
      </w:pPr>
      <w:r>
        <w:rPr>
          <w:noProof/>
        </w:rPr>
        <w:t>В подкрепа на изпълнението на настоящия регламент в раздел 3 са въведени допълнителни процедурни правила относно всички немитнически формалности, изисквани за международната търговия. Сред тях са използването на системата за регистрация и идентификация на икономическите оператори (EORI) от партньорските компетентни органи и определянето на национални координатори.</w:t>
      </w:r>
    </w:p>
    <w:p>
      <w:pPr>
        <w:rPr>
          <w:noProof/>
        </w:rPr>
      </w:pPr>
      <w:r>
        <w:rPr>
          <w:noProof/>
        </w:rPr>
        <w:t>На всеки икономически оператор, участващ в митнически операции, се определя EORI номер като идентификатор за всички негови взаимодействия с митническите органи в ЕС. Комисията поддържа централна система за EORI, в която да се съхраняват и обработват свързаните с EORI данни. За да се улесни сътрудничеството между различните органи, участващи в процеса по оформяне на стоките, на партньорските компетентни органи ще бъде предоставен достъп до системата EORI за целите на валидирането. Това означава, че те могат да поискат EORI номера от икономическите оператори в контекста на своите формалности и да го валидират спрямо системата EORI.</w:t>
      </w:r>
    </w:p>
    <w:p>
      <w:pPr>
        <w:rPr>
          <w:noProof/>
        </w:rPr>
      </w:pPr>
      <w:r>
        <w:rPr>
          <w:noProof/>
        </w:rPr>
        <w:t>Всяка държава членка ще определи компетентен орган за национален координатор, който да подпомага страните по всички въпроси, свързани със средата на ЕС за митническо обслужване на едно гише. Националният координатор ще бъде звеното за контакт за Комисията, като същевременно ще насърчава сътрудничеството на национално равнище и ще гарантира, че съответните национални среди са свързани с EU CSW-CERTEX за ефективно изпълнение на настоящия регламент.</w:t>
      </w:r>
    </w:p>
    <w:p>
      <w:pPr>
        <w:rPr>
          <w:noProof/>
        </w:rPr>
      </w:pPr>
      <w:r>
        <w:rPr>
          <w:b/>
          <w:noProof/>
        </w:rPr>
        <w:t>Глава V — Разходи за EU CSW-CERTEX, работна програма, мониторинг и докладване</w:t>
      </w:r>
    </w:p>
    <w:p>
      <w:pPr>
        <w:rPr>
          <w:noProof/>
        </w:rPr>
      </w:pPr>
      <w:r>
        <w:rPr>
          <w:noProof/>
        </w:rPr>
        <w:t>В глава V се съдържат разпоредбите, свързани с разпределението на разходите, създаването на работна програма, мониторинга и докладването.</w:t>
      </w:r>
    </w:p>
    <w:p>
      <w:pPr>
        <w:rPr>
          <w:noProof/>
        </w:rPr>
      </w:pPr>
      <w:r>
        <w:rPr>
          <w:noProof/>
        </w:rPr>
        <w:t xml:space="preserve">Всички разходи, свързани с разработването, интегрирането и експлоатацията на EU CSW-CERTEX, включително на интерфейсите ѝ с немитническите системи на ЕС, ще се поемат от Комисията, докато държавите членки ще поемат разходите, свързани с интерфейсите на EU CSW-CERTEX с националните среди за митническо обслужване на едно гише. В срок до 31 декември 2027 г. и на всеки три години след това Комисията ще представя на Европейския парламент и на Съвета доклад за оценка на функционирането на средата на ЕС за митническо обслужване на едно гише. </w:t>
      </w:r>
      <w:r>
        <w:rPr>
          <w:noProof/>
        </w:rPr>
        <w:lastRenderedPageBreak/>
        <w:t>Държавите членки ще отговарят за предоставянето на информацията, изисквана за изготвянето на този доклад.</w:t>
      </w:r>
    </w:p>
    <w:p>
      <w:pPr>
        <w:rPr>
          <w:noProof/>
        </w:rPr>
      </w:pPr>
      <w:r>
        <w:rPr>
          <w:noProof/>
        </w:rPr>
        <w:t>Комисията ще изготви работна програма в подкрепа на поетапното изпълнение на разпоредбите, свързани с изброените в приложението немитнически формалности на ЕС.  </w:t>
      </w:r>
    </w:p>
    <w:p>
      <w:pPr>
        <w:rPr>
          <w:noProof/>
        </w:rPr>
      </w:pPr>
      <w:r>
        <w:rPr>
          <w:b/>
          <w:noProof/>
        </w:rPr>
        <w:t>Глава VI — Процедури за приемане на актове за изпълнение и на делегирани актове, изменения и заключителни разпоредби</w:t>
      </w:r>
    </w:p>
    <w:p>
      <w:pPr>
        <w:rPr>
          <w:noProof/>
        </w:rPr>
      </w:pPr>
      <w:r>
        <w:rPr>
          <w:noProof/>
        </w:rPr>
        <w:t>В глава VI са изложени разпоредбите за приемане на делегирани актове и актове за изпълнение в съответствие с членове 290 и 291 от ДФЕС, две изменения на Регламент (ЕС) № 952/2013, както и влизането в сила и прилагането.</w:t>
      </w:r>
    </w:p>
    <w:p>
      <w:pPr>
        <w:rPr>
          <w:noProof/>
        </w:rPr>
      </w:pPr>
      <w:r>
        <w:rPr>
          <w:noProof/>
        </w:rPr>
        <w:t>Както се посочва в член 3 от Регламент (ЕС) № 952/2013, мисията на митническите органи да улесняват законната търговия и да  гарантират сигурността и безопасността на ЕС и неговите жители и опазването на околната среда, при необходимост в тясно сътрудничество с други органи, е в съответствие с целите на настоящия регламент. Поради тази причина определението за митническо законодателство, съдържащо се в член 5, параграф 2 от Регламент (ЕС) № 952/2013, ще бъде изменено, за да се включи нова буква д), в която се посочват настоящият регламент и разпоредбите за неговото допълнение или изпълнение.  </w:t>
      </w:r>
    </w:p>
    <w:p>
      <w:pPr>
        <w:rPr>
          <w:noProof/>
        </w:rPr>
      </w:pPr>
      <w:r>
        <w:rPr>
          <w:noProof/>
        </w:rPr>
        <w:t>С второто изменение към член 163, параграф 1 се добавя алинея, с която се въвежда презумпцията, че придружаващите документи, удостоверяващи спазването на немитническите формалности на ЕС, обхванати от EU CSW-CERTEX, са на съхранение при декларатора и на разположение на митническите органи към момента на подаване на митническата декларация. Това задължение се счита за изпълнено, тъй като митническите органи ще могат да получат чрез EU CSW-CERTEX необходимите за оформянето данни въз основа на посочения по-горе обмен на информация.</w:t>
      </w:r>
    </w:p>
    <w:p>
      <w:pPr>
        <w:rPr>
          <w:noProof/>
        </w:rPr>
      </w:pPr>
      <w:r>
        <w:rPr>
          <w:noProof/>
        </w:rPr>
        <w:t>Регламентът ще влезе в сила 20 дни след публикуването му в Официален вестник на ЕС. Членовете във връзка с включването в EU CSW-CERTEX на немитническите формалности на ЕС, изброени в приложението, ще започнат постепенно да се прилагат на датите, посочени за всяка формалност. Членовете относно допълнителните мерки за улесняване, засягащи специфични немитнически формалности на ЕС, които трябва да бъдат установени от Комисията чрез актове за изпълнение, ще започнат да се прилагат от 1 януари 2031 г.</w:t>
      </w:r>
    </w:p>
    <w:p>
      <w:pPr>
        <w:rPr>
          <w:noProof/>
        </w:rPr>
      </w:pPr>
      <w:r>
        <w:rPr>
          <w:b/>
          <w:noProof/>
        </w:rPr>
        <w:t>Приложението</w:t>
      </w:r>
    </w:p>
    <w:p>
      <w:pPr>
        <w:rPr>
          <w:noProof/>
        </w:rPr>
      </w:pPr>
      <w:r>
        <w:rPr>
          <w:noProof/>
        </w:rPr>
        <w:t>В приложението към настоящия регламент ще се съдържа списък на немитническите формалности на ЕС, изисквани за международната търговия със стоки, съответните системи за които ще бъдат свързани с EU CSW-CERTEX с цел обмен на информация с националната среда за митническо обслужване на едно гише. Този списък ще съдържа немитническите системи на ЕС и съответните действащи законодателни актове на ЕС, уреждащи формалностите, обхванати от настоящия регламент. Тези формалности ще бъдат включени в средата на ЕС за митническо обслужване на едно гише чрез поетапно въвеждане до 3 март 2025 г. Приложението може да бъде изменяно чрез делегирани актове с право на възражение от страна на Европейския парламент и на Съвета.  </w:t>
      </w:r>
    </w:p>
    <w:p>
      <w:pPr>
        <w:rPr>
          <w:noProof/>
        </w:rPr>
        <w:sectPr>
          <w:footerReference w:type="default" r:id="rId11"/>
          <w:footerReference w:type="first" r:id="rId12"/>
          <w:pgSz w:w="11907" w:h="16839"/>
          <w:pgMar w:top="1134" w:right="1417" w:bottom="1134" w:left="1417" w:header="709" w:footer="709" w:gutter="0"/>
          <w:cols w:space="720"/>
          <w:docGrid w:linePitch="360"/>
        </w:sectPr>
      </w:pPr>
    </w:p>
    <w:p>
      <w:pPr>
        <w:pStyle w:val="Rfrenceinterinstitutionnelle"/>
        <w:rPr>
          <w:noProof/>
        </w:rPr>
      </w:pPr>
      <w:r>
        <w:rPr>
          <w:noProof/>
        </w:rPr>
        <w:lastRenderedPageBreak/>
        <w:t>2020/0306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създаване на среда на Европейския съюз за митническо обслужване на едно гише и за изменение на Регламент (ЕС) № 952/2013</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членове 33, 114 и 207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30"/>
      </w:r>
      <w:r>
        <w:rPr>
          <w:noProof/>
        </w:rPr>
        <w:t>,</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rPr>
          <w:noProof/>
        </w:rPr>
        <w:t>(1)</w:t>
      </w:r>
      <w:r>
        <w:rPr>
          <w:noProof/>
        </w:rPr>
        <w:tab/>
        <w:t>По отношение на международната търговия на Съюза се прилагат както митническото, така и немитническото законодателство на Съюза. Немитническото законодателство се прилага за конкретни стоки в области на политиката като здравеопазване и безопасност, околна среда, селско стопанство, рибарство, културно наследство и надзор на пазара. Една от основните задачи, възложени на митническите органи в съответствие с Регламент (ЕС) № 952/2013 на Европейския парламент и на Съвета</w:t>
      </w:r>
      <w:r>
        <w:rPr>
          <w:rStyle w:val="FootnoteReference"/>
          <w:noProof/>
        </w:rPr>
        <w:footnoteReference w:id="31"/>
      </w:r>
      <w:r>
        <w:rPr>
          <w:noProof/>
        </w:rPr>
        <w:t>, е да гарантират сигурността и безопасността на Съюза и неговите жители и опазването на околната среда, при необходимост в тясно сътрудничество с други органи. Органите, отговарящи за немитническите нормативни формалности на Съюза (наричани по-долу „партньорски компетентни органи“), и митническите органи често работят независимо едни от други, създавайки сложни и обременителни задължения за представяне на информация и неефикасни процеси по оформяне на стоките, които благоприятстват извършването на грешки и измами. С цел да намерят решение на разпокъсаната оперативна съвместимост между митническите и партньорските компетентни органи при управлението на процесите по оформяне на стоките и да координират действията в тази област, в течение на годините Комисията и държавите членки поеха редица ангажименти за разработване на инициативи за обслужване на едно гише при оформянето на стоките.</w:t>
      </w:r>
    </w:p>
    <w:p>
      <w:pPr>
        <w:pStyle w:val="ManualConsidrant"/>
        <w:rPr>
          <w:noProof/>
        </w:rPr>
      </w:pPr>
      <w:r>
        <w:rPr>
          <w:noProof/>
        </w:rPr>
        <w:t>(2)</w:t>
      </w:r>
      <w:r>
        <w:rPr>
          <w:noProof/>
        </w:rPr>
        <w:tab/>
        <w:t>В съответствие с член 4, параграф 6 от Решение № 70/2008/ЕО на Европейския парламент и на Съвета</w:t>
      </w:r>
      <w:r>
        <w:rPr>
          <w:rStyle w:val="FootnoteReference"/>
          <w:noProof/>
        </w:rPr>
        <w:footnoteReference w:id="32"/>
      </w:r>
      <w:r>
        <w:rPr>
          <w:noProof/>
        </w:rPr>
        <w:t xml:space="preserve"> държавите членки и Комисията трябва да положат </w:t>
      </w:r>
      <w:r>
        <w:rPr>
          <w:noProof/>
        </w:rPr>
        <w:lastRenderedPageBreak/>
        <w:t>усилия да създадат и въведат в действие рамка за услугите за обслужване на едно гише. Както се отбелязва в окончателния доклад за оценка на въвеждането на електронните митници в ЕС от 21 януари 2015 г.</w:t>
      </w:r>
      <w:r>
        <w:rPr>
          <w:rStyle w:val="FootnoteReference"/>
          <w:noProof/>
        </w:rPr>
        <w:footnoteReference w:id="33"/>
      </w:r>
      <w:r>
        <w:rPr>
          <w:noProof/>
        </w:rPr>
        <w:t>, макар някои елементи на посоченото решение да продължават да са в сила, други са отменени или не са достатъчно конкретни, за да поощрят и стимулират по-нататъшния напредък, особено по инициативата за обслужване на едно гише. В резултат на това в заключенията на Съвета от 17 декември 2014 г. относно въвеждането на електронни митници и обслужване на едно гише в Европейския съюз</w:t>
      </w:r>
      <w:r>
        <w:rPr>
          <w:rStyle w:val="FootnoteReference"/>
          <w:noProof/>
        </w:rPr>
        <w:footnoteReference w:id="34"/>
      </w:r>
      <w:r>
        <w:rPr>
          <w:noProof/>
        </w:rPr>
        <w:t xml:space="preserve"> беше одобрена декларацията от Венеция от 15 октомври 2014 г.</w:t>
      </w:r>
      <w:r>
        <w:rPr>
          <w:rStyle w:val="FootnoteReference"/>
          <w:noProof/>
        </w:rPr>
        <w:footnoteReference w:id="35"/>
      </w:r>
      <w:r>
        <w:rPr>
          <w:noProof/>
        </w:rPr>
        <w:t xml:space="preserve"> и Комисията беше поканена да представи предложение за преразглеждане на Решение № 70/2008/ЕО. </w:t>
      </w:r>
    </w:p>
    <w:p>
      <w:pPr>
        <w:pStyle w:val="ManualConsidrant"/>
        <w:rPr>
          <w:noProof/>
        </w:rPr>
      </w:pPr>
      <w:r>
        <w:rPr>
          <w:noProof/>
        </w:rPr>
        <w:t>(3)</w:t>
      </w:r>
      <w:r>
        <w:rPr>
          <w:noProof/>
        </w:rPr>
        <w:tab/>
        <w:t>На 1 октомври 2015 г. Съветът прие Решение (ЕС) 2015/1947</w:t>
      </w:r>
      <w:r>
        <w:rPr>
          <w:rStyle w:val="FootnoteReference"/>
          <w:noProof/>
        </w:rPr>
        <w:footnoteReference w:id="36"/>
      </w:r>
      <w:r>
        <w:rPr>
          <w:noProof/>
        </w:rPr>
        <w:t xml:space="preserve"> за одобряване, от името на Съюза, на Споразумението за улесняване на търговията, което влезе в сила на 22 февруари 2017 г. Това споразумение представлява най-сериозното усилие за улесняване на търговията и за реформа на митниците под егидата на Световната търговска организация. В него се съдържат разпоредби, които имат за цел значително да подобрят оформянето на стоките и ефективното сътрудничество между митническите и други регулаторни органи във връзка с улесняването на търговията и спазването на митническото законодателство. В съответствие с член 10, параграф 4 от Споразумението членовете трябва да се стремят да създадат или да поддържат обслужване на едно гише, което да позволява на търговците да подават до участващите органи или агенции документи и/или изискваните данни за вноса, износа или транзита на стоки през единна входна точка.   </w:t>
      </w:r>
    </w:p>
    <w:p>
      <w:pPr>
        <w:pStyle w:val="ManualConsidrant"/>
        <w:rPr>
          <w:noProof/>
        </w:rPr>
      </w:pPr>
      <w:r>
        <w:rPr>
          <w:noProof/>
        </w:rPr>
        <w:t>(4)</w:t>
      </w:r>
      <w:r>
        <w:rPr>
          <w:noProof/>
        </w:rPr>
        <w:tab/>
        <w:t>Към улесняването на търговията и гарантирането на безопасността и сигурността отношение имат всички органи, участващи в процеса по оформяне на стоките през границите на Съюза. Бързото нарастване на международната търговия увеличи необходимостта от по-успешно сътрудничество и координация между тези органи. Текущият процес на цифровизация позволява да се намери по-ефикасно решение на тази ситуация чрез свързване на системите на митническите и партньорските компетентни органи и създаване на възможност за систематичен автоматизиран обмен на информация между тях. Съществуващата уредба за спазване на нормативните изисквания не е достатъчна, за да подпомогне ефективното взаимодействие между митническите и партньорските компетентни органи, чиито системи и процедури се характеризират с разпокъсаност и припокриване. За да има един напълно координиран и ефикасен процес по оформяне на стоките, е необходима рационализирана нормативна среда на Съюза за международната търговия, която да носи дългосрочни ползи за Съюза и неговите граждани във всички области на политиката.</w:t>
      </w:r>
    </w:p>
    <w:p>
      <w:pPr>
        <w:pStyle w:val="ManualConsidrant"/>
        <w:rPr>
          <w:noProof/>
        </w:rPr>
      </w:pPr>
      <w:r>
        <w:rPr>
          <w:noProof/>
        </w:rPr>
        <w:lastRenderedPageBreak/>
        <w:t>(5)</w:t>
      </w:r>
      <w:r>
        <w:rPr>
          <w:noProof/>
        </w:rPr>
        <w:tab/>
        <w:t>С плана за действие на ЕС за електронно управление през периода 2016—2020 г., изложен в съобщението на Комисията от 19 април 2016 г.</w:t>
      </w:r>
      <w:r>
        <w:rPr>
          <w:rStyle w:val="FootnoteReference"/>
          <w:noProof/>
        </w:rPr>
        <w:footnoteReference w:id="37"/>
      </w:r>
      <w:r>
        <w:rPr>
          <w:noProof/>
        </w:rPr>
        <w:t>, се търси повишаване на ефикасността на публичните услуги чрез премахване на съществуващите цифрови препятствия, намаляване на административната тежест и повишаване на качеството на взаимодействията между националните администрации. В съгласие с тази визия и с по-широките усилия за опростяване и цифровизиране на процесите по представяне на информация за международната търговия със стоки, Комисията разработи доброволен пилотен проект, наречен „Митническо обслужване на едно гише в Европейския съюз: обмен на сертификати“. Този проект позволява на митническите органи да проверяват автоматично спазването на ограничен брой немитнически формалности, което дава възможност за обмен на информация между митническите системи на участващите държави и съответните немитнически системи на Съюза за управление на немитнически формалности. Въпреки че в резултат на проекта процедурите по оформяне се подобряват, доброволният му характер определено ограничава неговия потенциал да донесе значителни ползи за митническите органи, партньорските компетентни органи и икономическите оператори.</w:t>
      </w:r>
    </w:p>
    <w:p>
      <w:pPr>
        <w:pStyle w:val="ManualConsidrant"/>
        <w:rPr>
          <w:noProof/>
        </w:rPr>
      </w:pPr>
      <w:r>
        <w:rPr>
          <w:noProof/>
        </w:rPr>
        <w:t>(6)</w:t>
      </w:r>
      <w:r>
        <w:rPr>
          <w:noProof/>
        </w:rPr>
        <w:tab/>
        <w:t>За постигане на изцяло цифрова среда и ефикасен процес по оформяне на стоките за всички страни, участващи в международната търговия, е необходимо да се установят общи правила за хармонизирана и обединена среда на Европейския съюз за митническо обслужване на едно гише (среда на ЕС за митническо обслужване на едно гише). Тази среда следва да включва набор от напълно обединени електронни услуги, предоставяни на равнището на Съюза и на национално равнище, за улесняване на споделянето на информация и цифровото сътрудничество между митническите и партньорските компетентни органи и за рационализиране на процесите по оформяне за икономическите оператори. Средата на ЕС за митническо обслужване на едно гише следва да бъде разработена в съответствие с възможностите за надеждно идентифициране и удостоверяване на автентичността, предлагани от Регламента относно електронната идентификация и удостоверителните услуги</w:t>
      </w:r>
      <w:r>
        <w:rPr>
          <w:rStyle w:val="FootnoteReference"/>
          <w:noProof/>
        </w:rPr>
        <w:footnoteReference w:id="38"/>
      </w:r>
      <w:r>
        <w:rPr>
          <w:noProof/>
        </w:rPr>
        <w:t xml:space="preserve"> и принципа за еднократност, когато е целесъобразно, както се потвърждава в Регламента за единна цифрова платформа</w:t>
      </w:r>
      <w:r>
        <w:rPr>
          <w:rStyle w:val="FootnoteReference"/>
          <w:noProof/>
        </w:rPr>
        <w:footnoteReference w:id="39"/>
      </w:r>
      <w:r>
        <w:rPr>
          <w:noProof/>
        </w:rPr>
        <w:t xml:space="preserve">. За въвеждане на средата на ЕС за митническо обслужване на едно гише е необходимо да се създаде, въз основа на пилотния проект, система за обмен на сертификати — системата на ЕС „Митническо обслужване на едно гише: обмен на сертификати“ (EU CSW-CERTEX) — която свързва националните центрове за обслужване на едно гише за митническите и </w:t>
      </w:r>
      <w:r>
        <w:rPr>
          <w:noProof/>
        </w:rPr>
        <w:lastRenderedPageBreak/>
        <w:t>немитническите системи, управляващи определени немитнически формалности. Необходимо е също така да се хармонизират националните среди за митническо обслужване на едно гише, тези среди да се включат в средата на ЕС за митническо обслужване на едно гише и да се установи набор от правила за цифрово административно сътрудничество в рамките на средата на ЕС за митническо обслужване на едно гише.</w:t>
      </w:r>
    </w:p>
    <w:p>
      <w:pPr>
        <w:pStyle w:val="ManualConsidrant"/>
        <w:rPr>
          <w:noProof/>
        </w:rPr>
      </w:pPr>
      <w:r>
        <w:rPr>
          <w:noProof/>
        </w:rPr>
        <w:t>(7)</w:t>
      </w:r>
      <w:r>
        <w:rPr>
          <w:noProof/>
        </w:rPr>
        <w:tab/>
        <w:t>Обменът на цифрова информация чрез EU CSW-CERTEX следва да обхваща немитническите формалности на Съюза, определени в законодателството на Съюза, чието принудително изпълнение е възложено на митническите органи. С тези формалности се налагат различни задължения за вноса, износа или транзита на определени стоки и тяхната проверка чрез митнически контрол е от основно значение за ефективното функциониране на средата на ЕС за митническо обслужване на едно гише. EU CSW-CERTEX следва да обхваща цифровизираните нормативни формалности, предвидени в законодателството на Съюза и управлявани от партньорски компетентни органи в електронни немитнически системи на Съюза, съхраняващи предоставяната от всички държави съответна информация, изисквана за оформяне на стоките. Поради това е целесъобразно да се определят немитническите формалности на Съюза, които следва да бъдат предмет на цифрово сътрудничество чрез EU CSW-CERTEX. По-специално, EU CSW-CERTEX следва първоначално да обхваща санитарните и фитосанитарните изисквания, правилата, регламентиращи вноса на биологични продукти, екологичните изисквания по отношение на флуорсъдържащите парникови газове и озоноразрушаващите вещества и формалностите, свързани с вноса на движими културни ценности.</w:t>
      </w:r>
    </w:p>
    <w:p>
      <w:pPr>
        <w:pStyle w:val="ManualConsidrant"/>
        <w:rPr>
          <w:noProof/>
        </w:rPr>
      </w:pPr>
      <w:r>
        <w:rPr>
          <w:noProof/>
        </w:rPr>
        <w:t>(8)</w:t>
      </w:r>
      <w:r>
        <w:rPr>
          <w:noProof/>
        </w:rPr>
        <w:tab/>
        <w:t>EU CSW-CERTEX следва да улесни споделянето на информация между националните среди за митническо обслужване на едно гише и немитническите системи на Съюза. Това означава, че когато даден икономически оператор подаде митническа декларация, изискваща спазването на немитнически формалности на Съюза, митническите органи и партньорските компетентни органи могат автоматично и ефективно да обменят помежду си и да проверяват изискваната информация за процеса по митническо оформяне. Подобряването на цифровото сътрудничество и координацията между митническите органи и партньорските компетентни органи следва да доведе до по-обединени, по-бързи и по-прости безхартиени процеси по оформяне на стоките и по-успешно принудително изпълнение и спазване на немитническите формалности на Съюза. </w:t>
      </w:r>
    </w:p>
    <w:p>
      <w:pPr>
        <w:pStyle w:val="ManualConsidrant"/>
        <w:rPr>
          <w:noProof/>
        </w:rPr>
      </w:pPr>
      <w:r>
        <w:rPr>
          <w:noProof/>
        </w:rPr>
        <w:t>(9)</w:t>
      </w:r>
      <w:r>
        <w:rPr>
          <w:noProof/>
        </w:rPr>
        <w:tab/>
        <w:t>В сътрудничество с държавите членки Комисията следва да разработи, изгради цялостно, внедри и поддържа EU CSW-CERTEX. За да може да предоставя подходящи и хармонизирани услуги за обслужване на едно гише на съюзно равнище за немитническите формалности на Съюза, Комисията следва да свърже съответните немитнически системи на Съюза с EU CSW-CERTEX. Държавите членки следва да са отговорни за свързването на своите национални среди за митническо обслужване на едно гише с EU CSW-CERTEX.</w:t>
      </w:r>
    </w:p>
    <w:p>
      <w:pPr>
        <w:pStyle w:val="ManualConsidrant"/>
        <w:rPr>
          <w:noProof/>
        </w:rPr>
      </w:pPr>
      <w:r>
        <w:rPr>
          <w:noProof/>
        </w:rPr>
        <w:t>(10)</w:t>
      </w:r>
      <w:r>
        <w:rPr>
          <w:noProof/>
        </w:rPr>
        <w:tab/>
        <w:t xml:space="preserve">Всяка обработка на лични данни в EU CSW-CERTEX следва да улеснява споделянето на информация между националните среди за митническите и немитническите системи на Съюза, без при нея да се съхраняват данни. При такава обработка следва също така да се преобразуват данните, когато това е необходимо за обмена на информация между двете области на цифровите </w:t>
      </w:r>
      <w:r>
        <w:rPr>
          <w:noProof/>
        </w:rPr>
        <w:lastRenderedPageBreak/>
        <w:t>технологии. Информационнотехнологичните съоръжения, използвани за преобразуването на данни, следва да бъдат разположени в Съюза.</w:t>
      </w:r>
    </w:p>
    <w:p>
      <w:pPr>
        <w:pStyle w:val="ManualConsidrant"/>
        <w:rPr>
          <w:noProof/>
        </w:rPr>
      </w:pPr>
      <w:r>
        <w:rPr>
          <w:noProof/>
        </w:rPr>
        <w:t>(11)</w:t>
      </w:r>
      <w:r>
        <w:rPr>
          <w:noProof/>
        </w:rPr>
        <w:tab/>
        <w:t>В зависимост от вида на немитническата формалност, електронната информация, която се обменя чрез EU CSW-CERTEX, може да съдържа различни категории субекти на данни и техните лични данни, необходими за подаване на митническата декларация или за подаване на заявление за придружаващи документи. Митническите декларации може да съдържат лични данни на няколко категории субекти на данни, включително износителите, вносителите, получателите и допълнителни участници във веригата на доставките. Придружаващите документи може да съдържат същата информация за други категории субекти на данни, като например изпращачите, износителите, получателите, вносителите и лицензополучателите. Третата категория субекти на данни, чиито лични данни може да бъдат обработвани в EU CSW-CERTEX, включва упълномощените служители на митническите органи, партньорските компетентни органи или всеки друг сертифициран орган, както и служителите на Комисията и всички трети страни доставчици, действащи за нейна сметка, участващи в оперативните дейности и дейностите по поддръжка на EU CSW-CERTEX.</w:t>
      </w:r>
    </w:p>
    <w:p>
      <w:pPr>
        <w:pStyle w:val="ManualConsidrant"/>
        <w:rPr>
          <w:noProof/>
        </w:rPr>
      </w:pPr>
      <w:r>
        <w:rPr>
          <w:noProof/>
        </w:rPr>
        <w:t>(12)</w:t>
      </w:r>
      <w:r>
        <w:rPr>
          <w:noProof/>
        </w:rPr>
        <w:tab/>
        <w:t>Когато личните данни се обработват от два или повече субекта, които съвместно определят целта и средствата на обработването, тези субекти следва да бъдат съвместни администратори. Тъй като Комисията и държавите членки отговарят за функционирането на EU CSW-CERTEX, те следва да бъдат съвместни администратори на обработването на лични данни в EU CSW-CERTEX в съответствие с регламенти (ЕС) 2018/1725</w:t>
      </w:r>
      <w:r>
        <w:rPr>
          <w:rStyle w:val="FootnoteReference"/>
          <w:noProof/>
        </w:rPr>
        <w:footnoteReference w:id="40"/>
      </w:r>
      <w:r>
        <w:rPr>
          <w:noProof/>
        </w:rPr>
        <w:t xml:space="preserve"> и (ЕС) 2016/679</w:t>
      </w:r>
      <w:r>
        <w:rPr>
          <w:rStyle w:val="FootnoteReference"/>
          <w:noProof/>
        </w:rPr>
        <w:footnoteReference w:id="41"/>
      </w:r>
      <w:r>
        <w:rPr>
          <w:noProof/>
        </w:rPr>
        <w:t xml:space="preserve"> на Европейския парламент и на Съвета. </w:t>
      </w:r>
    </w:p>
    <w:p>
      <w:pPr>
        <w:pStyle w:val="ManualConsidrant"/>
        <w:rPr>
          <w:noProof/>
        </w:rPr>
      </w:pPr>
      <w:r>
        <w:rPr>
          <w:noProof/>
        </w:rPr>
        <w:t>(13)</w:t>
      </w:r>
      <w:r>
        <w:rPr>
          <w:noProof/>
        </w:rPr>
        <w:tab/>
        <w:t xml:space="preserve">Нарасналата цифровизация на митническите и немитническите нормативни формалности на Съюза, приложими към международната търговия, открива нови възможности за държавите членки да подобрят цифровото сътрудничество между митническите и партньорските компетентни органи. В преследване на тези приоритети няколко държави членки започнаха да разработват рамки за национални среди за митническо обслужване на едно гише. Разликите между тези инициативи са значителни в зависимост от равнището на съществуващата структура на митническата информационна архитектура, приоритетите и разходите. Ето защо е необходимо да се изиска от държавите членки да създадат и експлоатират национални среди за митническо обслужване на едно гише за митническите и немитническите формалности на Съюза, обхванати от EU CSW-CERTEX. Тези среди следва да представляват националните компоненти на средата на ЕС за митническо обслужване на едно гише, които позволяват електронен обмен на информация и сътрудничество между митническите органи, партньорските компетентни органи и икономическите оператори с цел </w:t>
      </w:r>
      <w:r>
        <w:rPr>
          <w:noProof/>
        </w:rPr>
        <w:lastRenderedPageBreak/>
        <w:t>осигуряване на спазването и ефикасно принудително изпълнение на митническото законодателство и немитническите формалности на Съюза, обхванати от EU CSW-CERTEX. В съответствие с тази цел националните среди за митническо обслужване на едно гише следва да дадат възможност на митническите органи да извършват автоматизирана проверка на формалностите, по отношение на които се предават данни от съответната немитническа система на Съюза чрез EU CSW-CERTEX. Националните среди за митническо обслужване на едно гише следва също така да позволяват на партньорските компетентни органи да следят и да контролират количествата разрешени стоки („управление на количествата“), които са били вдигнати от митниците в Съюза. Това следва да се гарантира чрез предоставяне на необходимата информация за оформянето към немитническите системи на Съюза чрез EU CSW-CERTEX. На практика управлението на количествата на съюзно равнище е необходимо, за да се създаде възможност за по-успешно принудително изпълнение на немитническите нормативни формалности чрез автоматичен и последователен мониторинг на използването на разрешените количества за вдигане на стоки, като се избягва прекомерната или неправилната им употреба.</w:t>
      </w:r>
    </w:p>
    <w:p>
      <w:pPr>
        <w:pStyle w:val="ManualConsidrant"/>
        <w:rPr>
          <w:noProof/>
        </w:rPr>
      </w:pPr>
      <w:r>
        <w:rPr>
          <w:noProof/>
        </w:rPr>
        <w:t>(14)</w:t>
      </w:r>
      <w:r>
        <w:rPr>
          <w:noProof/>
        </w:rPr>
        <w:tab/>
        <w:t>С оглед на по-нататъшното опростяване на процесите по оформяне за икономическите оператори, националните среди за митническо обслужване на едно гише следва да се превърнат в единен канал за комуникация с митническите и партньорските компетентни органи. Немитническите формалности на ЕС, за които се прилага тази допълнителна мярка за улесняване, са подгрупа от общите формалности, обхванати от EU CSW-CERTEX. Комисията следва постепенно да определи тези формалности, като направи оценка на изпълнението на набор от критерии от значение за улесняването на търговията, имайки предвид тяхната правна и техническа осъществимост. С цел постигане на допълнително улесняване на търговията следва националните среди за митническо обслужване на едно гише да може да се използват като платформа за координиране на контрола между митническите органи и партньорските компетентни органи в съответствие с член 47, параграф 1 от Регламент (ЕС) № 952/2013.</w:t>
      </w:r>
    </w:p>
    <w:p>
      <w:pPr>
        <w:pStyle w:val="ManualConsidrant"/>
        <w:rPr>
          <w:noProof/>
        </w:rPr>
      </w:pPr>
      <w:r>
        <w:rPr>
          <w:noProof/>
        </w:rPr>
        <w:t>(15)</w:t>
      </w:r>
      <w:r>
        <w:rPr>
          <w:noProof/>
        </w:rPr>
        <w:tab/>
        <w:t>Всяка държава членка следва да бъде единственият администратор на операциите по обработка на данни, извършвани в рамките на нейната национална среда за митническо обслужване на едно гише. Операциите по обработка на данни следва да се извършват в съответствие с Регламент (ЕС) 2016/679. Като се има предвид, че някои от данните от националната среда за митническо обслужване на едно гише ще бъдат обменяни с немитническите системи на Съюза чрез EU CSW-CERTEX, от всяка държава членка следва да се изисква да уведомява Комисията в случай на нарушение на сигурността, поверителността, наличността или целостта на личните данни, обработвани в нейната среда.</w:t>
      </w:r>
    </w:p>
    <w:p>
      <w:pPr>
        <w:pStyle w:val="ManualConsidrant"/>
        <w:rPr>
          <w:noProof/>
        </w:rPr>
      </w:pPr>
      <w:r>
        <w:rPr>
          <w:noProof/>
        </w:rPr>
        <w:t>(16)</w:t>
      </w:r>
      <w:r>
        <w:rPr>
          <w:noProof/>
        </w:rPr>
        <w:tab/>
        <w:t xml:space="preserve">Един напълно координиран процес по оформяне на стоките изисква процедури, които поддържат цифровото сътрудничество и обмена на информация между митническите органи, партньорските компетентни органи и икономическите оператори за изпълняване и принудително изпълнение на немитническите формалности на Съюза, обхванати от EU CSW-CERTEX. Оперативна съвместимост означава способността тези процеси да се управляват гладко между митническите и немитническите системи и области, без да се губи контекстът или значението на обменяните данни. За да е възможна напълно </w:t>
      </w:r>
      <w:r>
        <w:rPr>
          <w:noProof/>
        </w:rPr>
        <w:lastRenderedPageBreak/>
        <w:t>автоматизираната проверка на немитническите формалности на Съюза, EU CSW-CERTEX следва да гарантира както техническата оперативна съвместимост, така и неизменното значение. Важно е митническата и немитническата терминология да се съгласуват, за да се гарантира, че обменяните данни и информация се съхраняват и разбират при обмена между немитническите системи на Съюза и националните среди за митническо обслужване на едно гише. Освен това, с цел да се осигури хармонизирано принудително изпълнение на немитническите формалности на Съюза на цялата му територия, в EU CSW-CERTEX следва да се определят митническите процедури, за които придружаващите документи може да се използват въз основа на административните решения, посочени от компетентния орган партньор в придружаващите документи. От техническа гледна точка EU CSW-CERTEX следва да направи митническите и немитническите данни съвместими, като при необходимост преобразува техния формат или структура, без да променя съдържанието им.</w:t>
      </w:r>
    </w:p>
    <w:p>
      <w:pPr>
        <w:pStyle w:val="ManualConsidrant"/>
        <w:rPr>
          <w:noProof/>
        </w:rPr>
      </w:pPr>
      <w:r>
        <w:rPr>
          <w:noProof/>
        </w:rPr>
        <w:t>(17)</w:t>
      </w:r>
      <w:r>
        <w:rPr>
          <w:noProof/>
        </w:rPr>
        <w:tab/>
        <w:t>С оглед на обхванатите немитнически формалности на Съюза, EU CSW-CERTEX следва да служи за няколко цели. Тя следва да предоставя съответните данни на митническите органи с цел по-успешно прилагане на немитническите регулаторни политики на Съюза чрез автоматизирана проверка на тези формалности. Тя следва да предоставя съответните данни на партньорските компетентни органи, за да могат да следят и определят оставащото количество разрешени стоки, неотписани от митниците при оформяне на други пратки. Тя следва също така да подкрепя прилагането на принципа за „обслужване на едно гише“ при извършването на контрола, посочен в член 47, параграф 1 от Регламент (ЕС) № 952/2013, чрез улесняване на обединяването на митническите и немитническите процедури на Съюза за един напълно автоматизиран процес по оформяне на стоките. Някои правни актове на Съюза може да изискват прехвърляне на данни между националните митнически системи и информационната и комуникационна система, установена в съответния акт. Поради това EU CSW-CERTEX следва да дава възможност за автоматизиран обмен на данни между митническите органи и партньорските компетентни органи, когато това се изисква съгласно посочените актове.</w:t>
      </w:r>
    </w:p>
    <w:p>
      <w:pPr>
        <w:pStyle w:val="ManualConsidrant"/>
        <w:rPr>
          <w:noProof/>
        </w:rPr>
      </w:pPr>
      <w:r>
        <w:rPr>
          <w:noProof/>
        </w:rPr>
        <w:t>(18)</w:t>
      </w:r>
      <w:r>
        <w:rPr>
          <w:noProof/>
        </w:rPr>
        <w:tab/>
        <w:t>За да се установи единен канал за комуникация с органите, участващи в оформянето на стоките, националните среди за митническо обслужване на едно гише следва да позволяват на икономическите оператори да подават на едно място необходимите данни, изисквани от митническото законодателство и немитническото законодателство на Съюза, и да получават всяка свързана с това информация от участващите органи директно от това място. Единният канал за комуникация следва да се използва само за немитническите формалности на Съюза, обхванати от EU CSW-CERTEX и определени като подходящи за допълнителни мерки за улесняване. </w:t>
      </w:r>
    </w:p>
    <w:p>
      <w:pPr>
        <w:pStyle w:val="ManualConsidrant"/>
        <w:rPr>
          <w:noProof/>
        </w:rPr>
      </w:pPr>
      <w:r>
        <w:rPr>
          <w:noProof/>
        </w:rPr>
        <w:t>(19)</w:t>
      </w:r>
      <w:r>
        <w:rPr>
          <w:noProof/>
        </w:rPr>
        <w:tab/>
        <w:t xml:space="preserve">Данните, включени в митническата декларация, и данните, включени в заявлението за придружаващи документи, в голяма степен се припокриват. За да се направи възможно повторното използване на данни, така че икономическите оператори да не трябва да предоставят едни и същи данни повече от един път, е необходимо да се съгласуват и рационализират изискванията за данните за митническите формалности и за немитническите формалности на Съюза, обхванати от EU CSW-CERTEX. Ето защо Комисията следва да определи елементите от данни, които са включени както в митническата декларация, така </w:t>
      </w:r>
      <w:r>
        <w:rPr>
          <w:noProof/>
        </w:rPr>
        <w:lastRenderedPageBreak/>
        <w:t>и в заявлението за придружаващи документи. Комисията следва също така да определи и елементите от данни, които се изискват само от немитническото законодателство на Съюза (наричани по-нататък „набор или набори от данни на партньорския компетентен орган (ПКО)“). Данните от митническата декларация и наборът или наборите от данни на ПКО следва да представляват обединена декларация, включваща цялата информация във връзка с оформянето, която е необходима за изпълнение на съответните немитнически формалности на Съюза, обхванати от EU CSW-CERTEX.</w:t>
      </w:r>
    </w:p>
    <w:p>
      <w:pPr>
        <w:pStyle w:val="ManualConsidrant"/>
        <w:rPr>
          <w:noProof/>
        </w:rPr>
      </w:pPr>
      <w:r>
        <w:rPr>
          <w:noProof/>
        </w:rPr>
        <w:t>(20)</w:t>
      </w:r>
      <w:r>
        <w:rPr>
          <w:noProof/>
        </w:rPr>
        <w:tab/>
        <w:t>За да се даде възможност на икономическите оператори да изпълняват митническите и немитническите формалности по отношение на едни и същи движения на стоки, националните среди за митническо обслужване на едно гише следва да им позволяват да подават чрез обединена декларация всички данни, изисквани от множество регулаторни органи за поставяне на стоките под митнически режими. Тези данни следва да може да се подават заедно с митническата декларация, подавана преди очакваното представяне на стоките пред митницата в съответствие с член 171 от Регламент (ЕС) № 952/2013.</w:t>
      </w:r>
    </w:p>
    <w:p>
      <w:pPr>
        <w:pStyle w:val="ManualConsidrant"/>
        <w:rPr>
          <w:noProof/>
        </w:rPr>
      </w:pPr>
      <w:r>
        <w:rPr>
          <w:noProof/>
        </w:rPr>
        <w:t>(21)</w:t>
      </w:r>
      <w:r>
        <w:rPr>
          <w:noProof/>
        </w:rPr>
        <w:tab/>
        <w:t>За да може информацията, предоставена от икономическите оператори в националните среди за митническо обслужване на едно гише, да бъде предадена на всички заинтересовани органи, EU CSW-CERTEX следва да дава възможност за необходимия обмен на информация между митническата и немитническата област. По-конкретно, EU CSW-CERTEX следва да получава от националните среди за митническо обслужване на едно гише данните, изисквани за изпълнението на приложимите немитнически формалности на Съюза, и да ги разпределя към съответната немитническа система на Съюза. Този обмен следва да дава възможност на партньорските компетентни органи да правят преглед на информацията, предадена на съответните немитнически системи на Съюза, и да вземат своите решения за оформяне, които следва да бъдат изпращани на митниците чрез EU CSW-CERTEX. На свой ред митническите органи следва да предоставят тази информация на разположение на икономическите оператори чрез националните среди за митническо обслужване на едно гише. EORI номерът следва да се използва като идентификатор за споделяне и съпоставяне на информацията, свързана с този обмен. </w:t>
      </w:r>
    </w:p>
    <w:p>
      <w:pPr>
        <w:pStyle w:val="ManualConsidrant"/>
        <w:rPr>
          <w:noProof/>
        </w:rPr>
      </w:pPr>
      <w:r>
        <w:rPr>
          <w:noProof/>
        </w:rPr>
        <w:t>(22)</w:t>
      </w:r>
      <w:r>
        <w:rPr>
          <w:noProof/>
        </w:rPr>
        <w:tab/>
        <w:t>В съответствие с член 9 от Регламент (ЕС) № 952/2013 на всеки икономически оператор, участващ в митнически операции, се определя EORI номер като идентификатор за всички негови взаимодействия с митническите органи в Съюза. Комисията поддържа централна система за EORI, в която да се съхраняват и обработват свързаните с EORI данни. За да се улесни сътрудничеството между различните органи, участващи в процеса по оформяне на стоките, партньорските компетентни органи следва да имат достъп до системата EORI, за да валидират EORI номера, който могат да поискат от икономическите оператори в контекста на техните формалности.      </w:t>
      </w:r>
    </w:p>
    <w:p>
      <w:pPr>
        <w:pStyle w:val="ManualConsidrant"/>
        <w:rPr>
          <w:noProof/>
        </w:rPr>
      </w:pPr>
      <w:r>
        <w:rPr>
          <w:noProof/>
        </w:rPr>
        <w:t>(23)</w:t>
      </w:r>
      <w:r>
        <w:rPr>
          <w:noProof/>
        </w:rPr>
        <w:tab/>
        <w:t xml:space="preserve">Тясното сътрудничеството между Комисията и държавите членки е от съществено значение за координирането на всички дейности, свързани с ефективното функциониране на средата на ЕС за митническо обслужване на едно гише. Предвид широкия и разнообразен обхват на тези дейности е необходимо всяка държава членка да определи компетентен орган за национален координатор. Националният координатор следва да бъде звеното за контакт за Комисията и следва да насърчава сътрудничеството на национално равнище, като същевременно гарантира оперативната съвместимост. Комисията следва да </w:t>
      </w:r>
      <w:r>
        <w:rPr>
          <w:noProof/>
        </w:rPr>
        <w:lastRenderedPageBreak/>
        <w:t>осигурява координация, когато е необходимо, и да спомага за гарантиране на ефикасното принудително изпълнение на немитническите формалности на Съюза.</w:t>
      </w:r>
    </w:p>
    <w:p>
      <w:pPr>
        <w:pStyle w:val="ManualConsidrant"/>
        <w:rPr>
          <w:noProof/>
        </w:rPr>
      </w:pPr>
      <w:r>
        <w:rPr>
          <w:noProof/>
        </w:rPr>
        <w:t>(24)</w:t>
      </w:r>
      <w:r>
        <w:rPr>
          <w:noProof/>
        </w:rPr>
        <w:tab/>
        <w:t>Разработването на среда на ЕС за митническо обслужване на едно гише е свързано с различни разходи по въвеждането. Важно е тези разходи да се разпределят между Комисията и държавите членки по най-подходящия начин в зависимост от вида на предоставяните услуги. Комисията следва да поеме разходите, свързани с разработването, поддържането и експлоатацията на централния компонент на средата на ЕС за митническо обслужване на едно гише, EU CSW-CERTEX, и неговите интерфейси с немитническите системи на Съюза. Държавите членки следва да поемат разходите, свързани с тяхната роля за осигуряване на интерфейси с EU CSW-CERTEX и с разработването, поддържането и експлоатацията на националните среди за митническо обслужване на едно гише.</w:t>
      </w:r>
    </w:p>
    <w:p>
      <w:pPr>
        <w:pStyle w:val="ManualConsidrant"/>
        <w:rPr>
          <w:noProof/>
        </w:rPr>
      </w:pPr>
      <w:r>
        <w:rPr>
          <w:noProof/>
        </w:rPr>
        <w:t>(25)</w:t>
      </w:r>
      <w:r>
        <w:rPr>
          <w:noProof/>
        </w:rPr>
        <w:tab/>
        <w:t>Необходимо е подробно планиране за постепенното включване в EU CSW-CERTEX на различни немитнически формалности на Съюза от различни области на политиката. За тази цел Комисията следва да изготви работна програма за включване на тези формалности в EU CSW-CERTEX и за създаване на връзки между немитническите системи на Съюза, обработващи тези формалности, и EU CSW-CERTEX. Основната цел на работната програма следва да бъде подпомагане на изпълнението на оперативните изисквания и на графика за тези дейности. Работната програма следва да се преразглежда редовно, за да се оценява цялостният напредък в прилагането на разпоредбите на настоящия регламент.</w:t>
      </w:r>
    </w:p>
    <w:p>
      <w:pPr>
        <w:pStyle w:val="ManualConsidrant"/>
        <w:rPr>
          <w:noProof/>
        </w:rPr>
      </w:pPr>
      <w:r>
        <w:rPr>
          <w:noProof/>
        </w:rPr>
        <w:t>(26)</w:t>
      </w:r>
      <w:r>
        <w:rPr>
          <w:noProof/>
        </w:rPr>
        <w:tab/>
        <w:t>Комисията следва редовно да наблюдава функционирането на средата на ЕС за митническо обслужване на едно гише, за да оценява работата на EU CSW-CERTEX и да гарантира ефикасното принудително изпълнение на немитническите формалности на Съюза, обхванати от EU CSW-CERTEX. Комисията следва да представя на Европейския парламент и на Съвета редовни доклади за оценка на функционирането на средата на ЕС за митническо обслужване на едно гише. В тези доклади следва да се прави преглед на напредъка, да се определят областите за подобрение и да се предлагат препоръки за бъдещето с оглед на постигнатия напредък към по-успешно цифрово сътрудничество между митническите органи и партньорските компетентни органи, участващи в оформянето на стоките, с цел гарантиране на опростени процеси за икономическите оператори и ефикасно принудително изпълнение на немитническите формалности на Съюза.</w:t>
      </w:r>
    </w:p>
    <w:p>
      <w:pPr>
        <w:pStyle w:val="ManualConsidrant"/>
        <w:rPr>
          <w:noProof/>
        </w:rPr>
      </w:pPr>
      <w:r>
        <w:rPr>
          <w:noProof/>
        </w:rPr>
        <w:t>(27)</w:t>
      </w:r>
      <w:r>
        <w:rPr>
          <w:noProof/>
        </w:rPr>
        <w:tab/>
        <w:t xml:space="preserve">С цел да се гарантира ефикасното и ефективно функциониране на средата на ЕС за митническо обслужване на едно гише, на Комисията следва да бъде делегирано правомощието да приема актове в съответствие с член 290 от Договора за функционирането на Европейския съюз (ДФЕС) за измененията на списъка на немитническите формалности на Съюза, обхванати от EU CSW-CERTEX; уточняването на елементите от данни, които да се обменят чрез EU CSW-CERTEX, и определянето на елементите от данни, които са общи както за митническата декларация, така и за заявлението за придружаващи документи, заедно с набора от данни за СПС за всеки от съответните актове на Съюза, приложими към немитническите формалности на Съюза, включени в EU CSW-CERTEX. От особено значение е по време на подготвителната си работа Комисията да проведе подходящи консултации, включително на експертно </w:t>
      </w:r>
      <w:r>
        <w:rPr>
          <w:noProof/>
        </w:rPr>
        <w:lastRenderedPageBreak/>
        <w:t>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w:t>
      </w:r>
      <w:r>
        <w:rPr>
          <w:rStyle w:val="FootnoteReference"/>
          <w:noProof/>
        </w:rPr>
        <w:footnoteReference w:id="42"/>
      </w:r>
      <w:r>
        <w:rPr>
          <w:noProof/>
        </w:rPr>
        <w:t>.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pStyle w:val="ManualConsidrant"/>
        <w:rPr>
          <w:noProof/>
        </w:rPr>
      </w:pPr>
      <w:r>
        <w:rPr>
          <w:noProof/>
        </w:rPr>
        <w:t>(28)</w:t>
      </w:r>
      <w:r>
        <w:rPr>
          <w:noProof/>
        </w:rPr>
        <w:tab/>
        <w:t>С цел да се гарантират еднакви условия за изпълнението на настоящия регламент, на Комисията следва да бъдат предоставени изпълнителни правомощия по отношение на определянето на съответните отговорности на съвместните администратори за спазване на задълженията съгласно регламенти (ЕС) 2016/679 и (ЕС) 2018/1725; приемане на специални правила за обмена на информацията, която ще се обработва чрез EU CSW-CERTEX, включително, когато е целесъобразно, специални правила за гарантиране на защитата на личните данни; определяне на немитническите формалности на Съюза, включени в EU CSW-CERTEX, които могат да бъдат предмет на допълнително сътрудничество в областта на цифровите технологии; приемане на процедурни договорености за допълнителния обмен на информация, обработвана чрез EU CSW-CERTEX, включително, когато е целесъобразно, всякакви специални правила, уреждащи защитата на личните данни, и приемане на работна програма в подкрепа на изпълнението на разпоредбите относно връзката на съответните немитнически системи на Съюза с EU CSW-CERTEX и включването на съответните немитнически формалности на Съюза. Тези правомощия следва да бъдат упражнявани в съответствие с Регламент (ЕС) № 182/2011 на Европейския парламент и на Съвета</w:t>
      </w:r>
      <w:r>
        <w:rPr>
          <w:rStyle w:val="FootnoteReference"/>
          <w:noProof/>
        </w:rPr>
        <w:footnoteReference w:id="43"/>
      </w:r>
      <w:r>
        <w:rPr>
          <w:noProof/>
        </w:rPr>
        <w:t>.</w:t>
      </w:r>
    </w:p>
    <w:p>
      <w:pPr>
        <w:pStyle w:val="ManualConsidrant"/>
        <w:rPr>
          <w:noProof/>
        </w:rPr>
      </w:pPr>
      <w:r>
        <w:rPr>
          <w:noProof/>
        </w:rPr>
        <w:t>(29)</w:t>
      </w:r>
      <w:r>
        <w:rPr>
          <w:noProof/>
        </w:rPr>
        <w:tab/>
        <w:t xml:space="preserve">Регламент (ЕС) № 952/2013 следва да бъде изменен, така че средата на ЕС за митническо обслужване на едно гише да се включи в понятието за митническо законодателство и да се обединят по-успешно митническите и немитническите процедури на Съюза, като се осигури едновременното им протичане. На първо място, тъй като с настоящия регламент се въвежда механизъм за митническите органи да налагат принудително изпълнението на нормативните формалности във връзка с процеса по оформяне на стоките, е необходимо той и разпоредбите за неговото допълване и изпълнение да бъдат включени в определението на митническото законодателство, изложено в член 5, точка 2 от Регламент (ЕС) № 952/2013. Този подход е в съответствие с член 3 от Регламент (ЕС) № 952/2013, с който на митническите органи се възлага задачата да гарантират сигурността и безопасността на Съюза и неговите жители и опазването на околната среда, при необходимост в тясно сътрудничество с други органи. На второ място, в член 163, параграф 1 от Регламент (ЕС) № 952/2013 се предвижда придружаващите документи, изисквани за прилагането на разпоредбите, уреждащи съответния митническия режим, да са на съхранение при декларатора </w:t>
      </w:r>
      <w:r>
        <w:rPr>
          <w:noProof/>
        </w:rPr>
        <w:lastRenderedPageBreak/>
        <w:t>и на разположение на митническите органи при подаването на митническата декларация. Тъй като митническите органи ще могат да получават чрез EU CSW-CERTEX необходимите данни, свързани с немитническите формалности на Съюза, това задължение следва да се счита за изпълнено и поради това член 163, параграф 1 от Регламент (ЕС) № 952/2013 следва да бъде съответно изменен.</w:t>
      </w:r>
    </w:p>
    <w:p>
      <w:pPr>
        <w:pStyle w:val="ManualConsidrant"/>
        <w:rPr>
          <w:noProof/>
        </w:rPr>
      </w:pPr>
      <w:r>
        <w:rPr>
          <w:noProof/>
        </w:rPr>
        <w:t>(30)</w:t>
      </w:r>
      <w:r>
        <w:rPr>
          <w:noProof/>
        </w:rPr>
        <w:tab/>
        <w:t>Беше извършена консултация с Европейският надзорен орган по защита на данните в съответствие с член 42, параграф 1 от Регламент (ЕС) № 2018/1725 и посоченият орган представи становището си на хх/хх/202х г.</w:t>
      </w:r>
    </w:p>
    <w:p>
      <w:pPr>
        <w:pStyle w:val="ManualConsidrant"/>
        <w:rPr>
          <w:noProof/>
        </w:rPr>
      </w:pPr>
      <w:r>
        <w:rPr>
          <w:noProof/>
        </w:rPr>
        <w:t>(31)</w:t>
      </w:r>
      <w:r>
        <w:rPr>
          <w:noProof/>
        </w:rPr>
        <w:tab/>
        <w:t>Включването на немитническите формалности на Съюза в EU CSW-CERTEX изисква въвеждането на нова информационнотехнологична инфраструктура за създаване на връзки между националните среди за митническо обслужване на едно гише и немитническите системи на Съюза, определяне на данните, които трябва да се обменят, и разработване на технически и функционални спецификации. За прилагането на настоящия регламент следва да се вземе предвид времето, необходимо за постигане на напредък в това отношение на равнището на Съюза и на национално равнище. Освен това се очаква изпълнението на допълнителните мерки за цифрово сътрудничество да отнеме значително по-дълго време, тъй като изисква предварително определяне на съответните немитнически формалности на Съюза заедно със съответните технически разработки. Поради това е необходимо прилагането на някои разпоредби на настоящия регламент да се отложи във времето.</w:t>
      </w:r>
    </w:p>
    <w:p>
      <w:pPr>
        <w:pStyle w:val="ManualConsidrant"/>
        <w:rPr>
          <w:noProof/>
        </w:rPr>
      </w:pPr>
      <w:r>
        <w:rPr>
          <w:noProof/>
        </w:rPr>
        <w:t>(32)</w:t>
      </w:r>
      <w:r>
        <w:rPr>
          <w:noProof/>
        </w:rPr>
        <w:tab/>
        <w:t>Доколкото целите на настоящия регламент, а именно по-успешно принудително изпълнение на нормативните изисквания на Съюза през границите на Съюза и улесняване на международната търговия, не може да бъдат постигнати в достатъчна степен само от държавите членки поради наднационалното по своята същност естество на движението на стоки през границите и неговата сложност, а може да бъдат по-добре постигнати на равнището на Съюза,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настоящият регламент не надхвърля необходимото за постигането на тези цели,</w:t>
      </w:r>
    </w:p>
    <w:p>
      <w:pPr>
        <w:pStyle w:val="Formuledadoption"/>
        <w:rPr>
          <w:noProof/>
        </w:rPr>
      </w:pPr>
      <w:r>
        <w:rPr>
          <w:noProof/>
        </w:rPr>
        <w:t>ПРИЕХА НАСТОЯЩИЯ РЕГЛАМЕНТ:</w:t>
      </w:r>
    </w:p>
    <w:p>
      <w:pPr>
        <w:pStyle w:val="ChapterTitle"/>
        <w:rPr>
          <w:noProof/>
        </w:rPr>
      </w:pPr>
      <w:r>
        <w:rPr>
          <w:noProof/>
        </w:rPr>
        <w:t xml:space="preserve">Глава I </w:t>
      </w:r>
      <w:r>
        <w:rPr>
          <w:noProof/>
        </w:rPr>
        <w:br/>
        <w:t>Общи разпоредби</w:t>
      </w:r>
    </w:p>
    <w:p>
      <w:pPr>
        <w:pStyle w:val="Titrearticle"/>
        <w:rPr>
          <w:noProof/>
        </w:rPr>
      </w:pPr>
      <w:r>
        <w:rPr>
          <w:noProof/>
        </w:rPr>
        <w:t>Член 1</w:t>
      </w:r>
    </w:p>
    <w:p>
      <w:pPr>
        <w:pStyle w:val="NormalCentered"/>
        <w:rPr>
          <w:noProof/>
        </w:rPr>
      </w:pPr>
      <w:r>
        <w:rPr>
          <w:b/>
          <w:noProof/>
        </w:rPr>
        <w:t>Предмет</w:t>
      </w:r>
    </w:p>
    <w:p>
      <w:pPr>
        <w:rPr>
          <w:noProof/>
        </w:rPr>
      </w:pPr>
      <w:r>
        <w:rPr>
          <w:noProof/>
        </w:rPr>
        <w:t>С настоящия регламент се създава среда на Европейския съюз за митническо обслужване на едно гише, която предоставя обединен набор от оперативно съвместими електронни услуги на съюзно и национално равнище чрез системата на Европейския съюз „Митническо обслужване на едно гише: обмен на сертификати“ с цел подпомагане на взаимодействието и обмена на информация между националните среди за митническо обслужване на едно гише и немитническите системи на Съюза, посочени в приложението. </w:t>
      </w:r>
    </w:p>
    <w:p>
      <w:pPr>
        <w:rPr>
          <w:noProof/>
        </w:rPr>
      </w:pPr>
      <w:r>
        <w:rPr>
          <w:noProof/>
        </w:rPr>
        <w:lastRenderedPageBreak/>
        <w:t>В него се определят правила относно националните среди за митническо обслужване на едно гише и правила относно цифровото административно сътрудничество и обмена на информация в рамките на средата на Европейския съюз за митническо обслужване на едно гише.</w:t>
      </w:r>
    </w:p>
    <w:p>
      <w:pPr>
        <w:pStyle w:val="Titrearticle"/>
        <w:rPr>
          <w:noProof/>
        </w:rPr>
      </w:pPr>
      <w:r>
        <w:rPr>
          <w:noProof/>
        </w:rPr>
        <w:t>Член 2</w:t>
      </w:r>
    </w:p>
    <w:p>
      <w:pPr>
        <w:pStyle w:val="NormalCentered"/>
        <w:rPr>
          <w:noProof/>
        </w:rPr>
      </w:pPr>
      <w:r>
        <w:rPr>
          <w:b/>
          <w:noProof/>
        </w:rPr>
        <w:t>Определения</w:t>
      </w:r>
    </w:p>
    <w:p>
      <w:pPr>
        <w:rPr>
          <w:noProof/>
        </w:rPr>
      </w:pPr>
      <w:r>
        <w:rPr>
          <w:noProof/>
        </w:rPr>
        <w:t>За целите на настоящия регламент в допълнение към определенията в член 5, точки 1, 2, 5, 8, 12, 15 и 16 от Регламент (ЕС) № 952/2013 се прилагат следните определения:</w:t>
      </w:r>
    </w:p>
    <w:p>
      <w:pPr>
        <w:rPr>
          <w:noProof/>
        </w:rPr>
      </w:pPr>
      <w:r>
        <w:rPr>
          <w:noProof/>
        </w:rPr>
        <w:t>(1) „национална среда за митническо обслужване на едно гише“ означава набор от електронни услуги, предоставяни от държава членка с цел създаване на възможност за обмен на информация между електронните системи на митническите органи, партньорските компетентни органи и икономическите оператори;</w:t>
      </w:r>
    </w:p>
    <w:p>
      <w:pPr>
        <w:rPr>
          <w:noProof/>
        </w:rPr>
      </w:pPr>
      <w:r>
        <w:rPr>
          <w:noProof/>
        </w:rPr>
        <w:t>(2) „партньорски компетентен орган“ означава орган на държава членка или на Комисията с правомощие да извършва определена функция във връзка с изпълнението на съответните немитнически формалности на Съюза;</w:t>
      </w:r>
    </w:p>
    <w:p>
      <w:pPr>
        <w:rPr>
          <w:noProof/>
        </w:rPr>
      </w:pPr>
      <w:r>
        <w:rPr>
          <w:noProof/>
        </w:rPr>
        <w:t>(3) „немитническа формалност на Съюза“ означава всяка формалност при международната търговия със стоки, предвидена в законодателството на Съюза, различно от митническото законодателство;</w:t>
      </w:r>
    </w:p>
    <w:p>
      <w:pPr>
        <w:rPr>
          <w:noProof/>
        </w:rPr>
      </w:pPr>
      <w:r>
        <w:rPr>
          <w:noProof/>
        </w:rPr>
        <w:t>(4) „придружаващ документ“ означава всеки сертификат, удостоверение, декларация за съответствие, лиценз или разрешително, издадени от партньорски компетентни органи с цел да се удостовери, че немитническите формалности на Съюза са изпълнени;</w:t>
      </w:r>
    </w:p>
    <w:p>
      <w:pPr>
        <w:rPr>
          <w:noProof/>
        </w:rPr>
      </w:pPr>
      <w:r>
        <w:rPr>
          <w:noProof/>
        </w:rPr>
        <w:t>(5) „управление на количествата“ означава дейността по наблюдение и управление на количеството стоки, за които има разрешение от партньорски компетентни органи в съответствие с немитническото законодателството на Съюза, въз основа на информацията, предоставена от митническите органи за оформянето на съответните пратки;</w:t>
      </w:r>
    </w:p>
    <w:p>
      <w:pPr>
        <w:rPr>
          <w:noProof/>
        </w:rPr>
      </w:pPr>
      <w:r>
        <w:rPr>
          <w:noProof/>
        </w:rPr>
        <w:t>(6) „немитническа система на Съюза“ означава всяка електронна система, в която се съхранява информация от всички съответни партньорски компетентни органи, необходима на митническите органи за проверка на спазването на съответните немитнически формалности. </w:t>
      </w:r>
    </w:p>
    <w:p>
      <w:pPr>
        <w:pStyle w:val="Titrearticle"/>
        <w:rPr>
          <w:noProof/>
        </w:rPr>
      </w:pPr>
      <w:r>
        <w:rPr>
          <w:noProof/>
        </w:rPr>
        <w:t>Член 3</w:t>
      </w:r>
    </w:p>
    <w:p>
      <w:pPr>
        <w:pStyle w:val="NormalCentered"/>
        <w:rPr>
          <w:noProof/>
        </w:rPr>
      </w:pPr>
      <w:r>
        <w:rPr>
          <w:b/>
          <w:noProof/>
        </w:rPr>
        <w:t>Среда на Европейския съюз за митническо обслужване на едно гише</w:t>
      </w:r>
    </w:p>
    <w:p>
      <w:pPr>
        <w:rPr>
          <w:noProof/>
        </w:rPr>
      </w:pPr>
      <w:r>
        <w:rPr>
          <w:noProof/>
        </w:rPr>
        <w:t>С настоящия регламент се създава среда на Европейския съюз за митническо обслужване на едно гише. Тя включва системата на Европейския съюз „Митническо обслужване на едно гише: обмен на сертификати“, националните среди за  митническо обслужване на едно гише и немитническите системи на Съюза, посочени в приложението.</w:t>
      </w:r>
    </w:p>
    <w:p>
      <w:pPr>
        <w:pStyle w:val="ChapterTitle"/>
        <w:rPr>
          <w:noProof/>
        </w:rPr>
      </w:pPr>
      <w:r>
        <w:rPr>
          <w:noProof/>
        </w:rPr>
        <w:lastRenderedPageBreak/>
        <w:t xml:space="preserve">Глава II </w:t>
      </w:r>
      <w:r>
        <w:rPr>
          <w:noProof/>
        </w:rPr>
        <w:br/>
        <w:t>Система на Европейския съюз „Митническо обслужване на едно гише: обмен на сертификати“</w:t>
      </w:r>
    </w:p>
    <w:p>
      <w:pPr>
        <w:pStyle w:val="Titrearticle"/>
        <w:rPr>
          <w:noProof/>
        </w:rPr>
      </w:pPr>
      <w:r>
        <w:rPr>
          <w:noProof/>
        </w:rPr>
        <w:t>Член 4</w:t>
      </w:r>
    </w:p>
    <w:p>
      <w:pPr>
        <w:pStyle w:val="NormalCentered"/>
        <w:rPr>
          <w:noProof/>
        </w:rPr>
      </w:pPr>
      <w:r>
        <w:rPr>
          <w:b/>
          <w:noProof/>
        </w:rPr>
        <w:t>Създаване на системата на Европейския съюз „Митническо обслужване на едно гише: обмен на сертификати“</w:t>
      </w:r>
    </w:p>
    <w:p>
      <w:pPr>
        <w:rPr>
          <w:noProof/>
        </w:rPr>
      </w:pPr>
      <w:r>
        <w:rPr>
          <w:noProof/>
        </w:rPr>
        <w:t>Създава се електронна система на Европейския съюз „Митническо обслужване на едно гише: обмен на сертификати“ (EU CSW-CERTEX).  EU CSW-CERTEX свързва националните среди за митническо обслужване на едно гише с немитническите системи на Съюза, посочени в приложението.</w:t>
      </w:r>
    </w:p>
    <w:p>
      <w:pPr>
        <w:pStyle w:val="Titrearticle"/>
        <w:rPr>
          <w:noProof/>
        </w:rPr>
      </w:pPr>
      <w:r>
        <w:rPr>
          <w:noProof/>
        </w:rPr>
        <w:t>Член 5</w:t>
      </w:r>
    </w:p>
    <w:p>
      <w:pPr>
        <w:pStyle w:val="NormalCentered"/>
        <w:rPr>
          <w:noProof/>
        </w:rPr>
      </w:pPr>
      <w:r>
        <w:rPr>
          <w:b/>
          <w:noProof/>
        </w:rPr>
        <w:t>Роли и отговорности на EU CSW-CERTEX</w:t>
      </w:r>
    </w:p>
    <w:p>
      <w:pPr>
        <w:pStyle w:val="ManualNumPar1"/>
        <w:rPr>
          <w:noProof/>
        </w:rPr>
      </w:pPr>
      <w:r>
        <w:rPr>
          <w:noProof/>
        </w:rPr>
        <w:t>1.</w:t>
      </w:r>
      <w:r>
        <w:rPr>
          <w:noProof/>
        </w:rPr>
        <w:tab/>
        <w:t>В сътрудничество с държавите членки Комисията ще разработи, изгради цялостно и експлоатира EU CSW-CERTEX.</w:t>
      </w:r>
    </w:p>
    <w:p>
      <w:pPr>
        <w:pStyle w:val="ManualNumPar1"/>
        <w:rPr>
          <w:noProof/>
        </w:rPr>
      </w:pPr>
      <w:r>
        <w:rPr>
          <w:noProof/>
        </w:rPr>
        <w:t>2.</w:t>
      </w:r>
      <w:r>
        <w:rPr>
          <w:noProof/>
        </w:rPr>
        <w:tab/>
        <w:t>Комисията свързва немитническите системи на Съюза, посочени в приложението, с EU CSW-CERTEX и създава възможност за обмен на информация относно немитническите формалности на Съюза, изброени в приложението.</w:t>
      </w:r>
    </w:p>
    <w:p>
      <w:pPr>
        <w:pStyle w:val="ManualNumPar1"/>
        <w:rPr>
          <w:noProof/>
        </w:rPr>
      </w:pPr>
      <w:r>
        <w:rPr>
          <w:noProof/>
        </w:rPr>
        <w:t>3.</w:t>
      </w:r>
      <w:r>
        <w:rPr>
          <w:noProof/>
        </w:rPr>
        <w:tab/>
        <w:t>Държавите членки свързват националните среди за митническо обслужване на едно гише с EU CSW-CERTEX и създават възможност за обмен на информация относно немитническите формалности на Съюза, изброени в приложението.</w:t>
      </w:r>
    </w:p>
    <w:p>
      <w:pPr>
        <w:pStyle w:val="ManualNumPar1"/>
        <w:rPr>
          <w:noProof/>
        </w:rPr>
      </w:pPr>
      <w:r>
        <w:rPr>
          <w:noProof/>
        </w:rPr>
        <w:t>4.</w:t>
      </w:r>
      <w:r>
        <w:rPr>
          <w:noProof/>
        </w:rPr>
        <w:tab/>
        <w:t>На Комисията се предоставя правомощието да приема делегирани актове в съответствие с член 21 за изменение на приложението, по-специално с цел обхващане на други немитнически формалности на Съюза.</w:t>
      </w:r>
    </w:p>
    <w:p>
      <w:pPr>
        <w:pStyle w:val="Titrearticle"/>
        <w:rPr>
          <w:noProof/>
        </w:rPr>
      </w:pPr>
      <w:r>
        <w:rPr>
          <w:noProof/>
        </w:rPr>
        <w:t>Член 6</w:t>
      </w:r>
    </w:p>
    <w:p>
      <w:pPr>
        <w:pStyle w:val="NormalCentered"/>
        <w:rPr>
          <w:noProof/>
        </w:rPr>
      </w:pPr>
      <w:r>
        <w:rPr>
          <w:b/>
          <w:noProof/>
        </w:rPr>
        <w:t>Обработване на лични данни в EU CSW-CERTEX</w:t>
      </w:r>
    </w:p>
    <w:p>
      <w:pPr>
        <w:pStyle w:val="ManualNumPar1"/>
        <w:rPr>
          <w:noProof/>
        </w:rPr>
      </w:pPr>
      <w:r>
        <w:rPr>
          <w:noProof/>
        </w:rPr>
        <w:t>1.</w:t>
      </w:r>
      <w:r>
        <w:rPr>
          <w:noProof/>
        </w:rPr>
        <w:tab/>
        <w:t>Обработването на лични данни в EU CSW-CERTEX може да се извършва само за следните цели:</w:t>
      </w:r>
    </w:p>
    <w:p>
      <w:pPr>
        <w:pStyle w:val="Point1"/>
        <w:rPr>
          <w:noProof/>
        </w:rPr>
      </w:pPr>
      <w:r>
        <w:rPr>
          <w:noProof/>
        </w:rPr>
        <w:t>а)</w:t>
      </w:r>
      <w:r>
        <w:rPr>
          <w:noProof/>
        </w:rPr>
        <w:tab/>
        <w:t>създаване на възможност за обмен на информация между националните среди за митническо обслужване на едно гише и немитническите системи на Съюза, посочени в приложението, във връзка с изброените в него немитнически формалности на Съюза;</w:t>
      </w:r>
    </w:p>
    <w:p>
      <w:pPr>
        <w:pStyle w:val="Point1"/>
        <w:rPr>
          <w:noProof/>
        </w:rPr>
      </w:pPr>
      <w:r>
        <w:rPr>
          <w:noProof/>
        </w:rPr>
        <w:t>б)</w:t>
      </w:r>
      <w:r>
        <w:rPr>
          <w:noProof/>
        </w:rPr>
        <w:tab/>
        <w:t>при необходимост извършване на преобразуването на данните, изброени в член 10, параграф 2, с цел създаване на възможност за обмена на информацията по буква а) от настоящия параграф.</w:t>
      </w:r>
    </w:p>
    <w:p>
      <w:pPr>
        <w:pStyle w:val="ManualNumPar1"/>
        <w:rPr>
          <w:noProof/>
        </w:rPr>
      </w:pPr>
      <w:r>
        <w:rPr>
          <w:noProof/>
        </w:rPr>
        <w:t>2.</w:t>
      </w:r>
      <w:r>
        <w:rPr>
          <w:noProof/>
        </w:rPr>
        <w:tab/>
        <w:t>В EU CSW-CERTEX може да се обработват лични данни само за следните категории субекти на данни:</w:t>
      </w:r>
    </w:p>
    <w:p>
      <w:pPr>
        <w:pStyle w:val="Point1"/>
        <w:rPr>
          <w:noProof/>
        </w:rPr>
      </w:pPr>
      <w:r>
        <w:rPr>
          <w:noProof/>
        </w:rPr>
        <w:t>а)</w:t>
      </w:r>
      <w:r>
        <w:rPr>
          <w:noProof/>
        </w:rPr>
        <w:tab/>
        <w:t>физическите лица, чиято лична информация се съдържа в митническата декларация;</w:t>
      </w:r>
    </w:p>
    <w:p>
      <w:pPr>
        <w:pStyle w:val="Point1"/>
        <w:rPr>
          <w:noProof/>
        </w:rPr>
      </w:pPr>
      <w:r>
        <w:rPr>
          <w:noProof/>
        </w:rPr>
        <w:lastRenderedPageBreak/>
        <w:t>б)</w:t>
      </w:r>
      <w:r>
        <w:rPr>
          <w:noProof/>
        </w:rPr>
        <w:tab/>
        <w:t>физическите лица, чиято лична информация се съдържа в придружаващите документи или във всяко друго допълнително документално доказателство, изисквано за изпълнението на немитническите формалности на Съюза, изброени в приложението;</w:t>
      </w:r>
    </w:p>
    <w:p>
      <w:pPr>
        <w:pStyle w:val="Point1"/>
        <w:rPr>
          <w:noProof/>
        </w:rPr>
      </w:pPr>
      <w:r>
        <w:rPr>
          <w:noProof/>
        </w:rPr>
        <w:t>в)</w:t>
      </w:r>
      <w:r>
        <w:rPr>
          <w:noProof/>
        </w:rPr>
        <w:tab/>
        <w:t>упълномощените служители на митническите органи, партньорските компетентни органи, органите за проверка на пратките или всеки друг съответен орган или оправомощен орган, чиято лична информация се съдържа в документите по букви а) и б);</w:t>
      </w:r>
    </w:p>
    <w:p>
      <w:pPr>
        <w:pStyle w:val="Point1"/>
        <w:rPr>
          <w:noProof/>
        </w:rPr>
      </w:pPr>
      <w:r>
        <w:rPr>
          <w:noProof/>
        </w:rPr>
        <w:t>г)</w:t>
      </w:r>
      <w:r>
        <w:rPr>
          <w:noProof/>
        </w:rPr>
        <w:tab/>
        <w:t>служителите на Комисията и доставчиците — трети страни, действащи от името на Комисията, които извършват операции и дейности по поддръжка, свързани с EU CSW-CERTEX.</w:t>
      </w:r>
    </w:p>
    <w:p>
      <w:pPr>
        <w:pStyle w:val="ManualNumPar1"/>
        <w:rPr>
          <w:noProof/>
        </w:rPr>
      </w:pPr>
      <w:r>
        <w:rPr>
          <w:noProof/>
        </w:rPr>
        <w:t>3.</w:t>
      </w:r>
      <w:r>
        <w:rPr>
          <w:noProof/>
        </w:rPr>
        <w:tab/>
        <w:t>В EU CSW-CERTEX може да се обработват само следните категории лични данни:</w:t>
      </w:r>
    </w:p>
    <w:p>
      <w:pPr>
        <w:pStyle w:val="Point1"/>
        <w:rPr>
          <w:noProof/>
        </w:rPr>
      </w:pPr>
      <w:r>
        <w:rPr>
          <w:noProof/>
        </w:rPr>
        <w:t>а)</w:t>
      </w:r>
      <w:r>
        <w:rPr>
          <w:noProof/>
        </w:rPr>
        <w:tab/>
        <w:t>името, адреса, кода на държавата и идентификационния номер на физическите лица, посочени в параграф 2, букви а) и б), изисквани от митническото или немитническото законодателство на Съюза за изпълнение на техните съответните формалности;</w:t>
      </w:r>
    </w:p>
    <w:p>
      <w:pPr>
        <w:pStyle w:val="Point1"/>
        <w:rPr>
          <w:noProof/>
        </w:rPr>
      </w:pPr>
      <w:r>
        <w:rPr>
          <w:noProof/>
        </w:rPr>
        <w:t>б)</w:t>
      </w:r>
      <w:r>
        <w:rPr>
          <w:noProof/>
        </w:rPr>
        <w:tab/>
        <w:t>името и подписа на упълномощените служители, посочени в параграф 2, букви в) и г).</w:t>
      </w:r>
    </w:p>
    <w:p>
      <w:pPr>
        <w:pStyle w:val="ManualNumPar1"/>
        <w:rPr>
          <w:noProof/>
        </w:rPr>
      </w:pPr>
      <w:r>
        <w:rPr>
          <w:noProof/>
        </w:rPr>
        <w:t>4.</w:t>
      </w:r>
      <w:r>
        <w:rPr>
          <w:noProof/>
        </w:rPr>
        <w:tab/>
        <w:t>В EU CSW-CERTEX не се съхранява никаква информация, обменена между националните среди за митническо обслужване на едно гише и немитническите системи на Съюза.</w:t>
      </w:r>
    </w:p>
    <w:p>
      <w:pPr>
        <w:pStyle w:val="ManualNumPar1"/>
        <w:rPr>
          <w:noProof/>
        </w:rPr>
      </w:pPr>
      <w:r>
        <w:rPr>
          <w:noProof/>
        </w:rPr>
        <w:t>5.</w:t>
      </w:r>
      <w:r>
        <w:rPr>
          <w:noProof/>
        </w:rPr>
        <w:tab/>
        <w:t>Преобразуването на личните данни, посочено в параграф 1, буква б), се извършва чрез използване на информационнотехнологична инфраструктура, разположена в Съюза.       </w:t>
      </w:r>
    </w:p>
    <w:p>
      <w:pPr>
        <w:pStyle w:val="Titrearticle"/>
        <w:rPr>
          <w:noProof/>
        </w:rPr>
      </w:pPr>
      <w:r>
        <w:rPr>
          <w:noProof/>
        </w:rPr>
        <w:t>Член 7</w:t>
      </w:r>
    </w:p>
    <w:p>
      <w:pPr>
        <w:pStyle w:val="NormalCentered"/>
        <w:rPr>
          <w:noProof/>
        </w:rPr>
      </w:pPr>
      <w:r>
        <w:rPr>
          <w:b/>
          <w:noProof/>
        </w:rPr>
        <w:t>Съвместно администриране на EU CSW-CERTEX</w:t>
      </w:r>
    </w:p>
    <w:p>
      <w:pPr>
        <w:pStyle w:val="ManualNumPar1"/>
        <w:rPr>
          <w:noProof/>
        </w:rPr>
      </w:pPr>
      <w:r>
        <w:rPr>
          <w:noProof/>
        </w:rPr>
        <w:t>1.</w:t>
      </w:r>
      <w:r>
        <w:rPr>
          <w:noProof/>
        </w:rPr>
        <w:tab/>
        <w:t>Що се отнася до обработването на лични данни в EU CSW-CERTEX, Комисията е съвместен администратор по смисъла на член 28, параграф 1 от Регламент (ЕС) 2018/1725, а митническите органи и партньорските компетентни органи са съвместни администратори по смисъла на член 26, параграф 1 от Регламент (ЕС) 2016/679.</w:t>
      </w:r>
    </w:p>
    <w:p>
      <w:pPr>
        <w:pStyle w:val="ManualNumPar1"/>
        <w:rPr>
          <w:noProof/>
        </w:rPr>
      </w:pPr>
      <w:r>
        <w:rPr>
          <w:noProof/>
        </w:rPr>
        <w:t>2.</w:t>
      </w:r>
      <w:r>
        <w:rPr>
          <w:noProof/>
        </w:rPr>
        <w:tab/>
        <w:t>Комисията определя с актове за изпълнение съответните отговорности на съвместните администратори за спазване на задълженията съгласно регламенти (ЕС) 2016/679 и (ЕС) 2018/1725. Тези актове за изпълнение се приемат в съответствие с процедурата по разглеждане, посочена в член 22, параграф 3 от настоящия регламент.</w:t>
      </w:r>
    </w:p>
    <w:p>
      <w:pPr>
        <w:pStyle w:val="ManualNumPar1"/>
        <w:rPr>
          <w:noProof/>
        </w:rPr>
      </w:pPr>
      <w:r>
        <w:rPr>
          <w:noProof/>
        </w:rPr>
        <w:t>3.</w:t>
      </w:r>
      <w:r>
        <w:rPr>
          <w:noProof/>
        </w:rPr>
        <w:tab/>
        <w:t>Съвместните администратори гарантират, че:</w:t>
      </w:r>
    </w:p>
    <w:p>
      <w:pPr>
        <w:pStyle w:val="Point1"/>
        <w:rPr>
          <w:noProof/>
        </w:rPr>
      </w:pPr>
      <w:r>
        <w:rPr>
          <w:noProof/>
        </w:rPr>
        <w:t>а)</w:t>
      </w:r>
      <w:r>
        <w:rPr>
          <w:noProof/>
        </w:rPr>
        <w:tab/>
        <w:t>работят заедно за своевременното обработване на искането или исканията на субекта или субектите на данни;</w:t>
      </w:r>
    </w:p>
    <w:p>
      <w:pPr>
        <w:pStyle w:val="Point1"/>
        <w:rPr>
          <w:noProof/>
        </w:rPr>
      </w:pPr>
      <w:r>
        <w:rPr>
          <w:noProof/>
        </w:rPr>
        <w:t>б)</w:t>
      </w:r>
      <w:r>
        <w:rPr>
          <w:noProof/>
        </w:rPr>
        <w:tab/>
        <w:t>си оказват съдействие по въпроси, свързани с установяването и справянето с нарушения на сигурността на данните в резултат на съвместно обработване;</w:t>
      </w:r>
    </w:p>
    <w:p>
      <w:pPr>
        <w:pStyle w:val="Point1"/>
        <w:rPr>
          <w:noProof/>
        </w:rPr>
      </w:pPr>
      <w:r>
        <w:rPr>
          <w:noProof/>
        </w:rPr>
        <w:lastRenderedPageBreak/>
        <w:t>в)</w:t>
      </w:r>
      <w:r>
        <w:rPr>
          <w:noProof/>
        </w:rPr>
        <w:tab/>
        <w:t>обменят съответната информация, необходима за информиране на субектите на данни съгласно раздел 2 от Регламент (ЕС) 2016/679 и раздел 2 от Регламент (ЕС) 2018/1725;</w:t>
      </w:r>
    </w:p>
    <w:p>
      <w:pPr>
        <w:pStyle w:val="Point1"/>
        <w:rPr>
          <w:noProof/>
        </w:rPr>
      </w:pPr>
      <w:r>
        <w:rPr>
          <w:noProof/>
        </w:rPr>
        <w:t>г)</w:t>
      </w:r>
      <w:r>
        <w:rPr>
          <w:noProof/>
        </w:rPr>
        <w:tab/>
        <w:t>обезпечават и защитават сигурността, целостта, наличността и поверителността на личните данни, обработвани съвместно съгласно член 32 от Регламент (ЕС) 2016/679 и член 33 от Регламент (ЕС) 2018/1725.</w:t>
      </w:r>
    </w:p>
    <w:p>
      <w:pPr>
        <w:pStyle w:val="ChapterTitle"/>
        <w:rPr>
          <w:noProof/>
        </w:rPr>
      </w:pPr>
      <w:r>
        <w:rPr>
          <w:noProof/>
        </w:rPr>
        <w:t xml:space="preserve">Глава III </w:t>
      </w:r>
      <w:r>
        <w:rPr>
          <w:noProof/>
        </w:rPr>
        <w:br/>
        <w:t>Национални среди за митническо обслужване на едно гише</w:t>
      </w:r>
    </w:p>
    <w:p>
      <w:pPr>
        <w:pStyle w:val="Titrearticle"/>
        <w:rPr>
          <w:noProof/>
        </w:rPr>
      </w:pPr>
      <w:r>
        <w:rPr>
          <w:noProof/>
        </w:rPr>
        <w:t>Член 8</w:t>
      </w:r>
    </w:p>
    <w:p>
      <w:pPr>
        <w:pStyle w:val="NormalCentered"/>
        <w:rPr>
          <w:noProof/>
        </w:rPr>
      </w:pPr>
      <w:r>
        <w:rPr>
          <w:b/>
          <w:noProof/>
        </w:rPr>
        <w:t>Създаване на национални среди за митническо обслужване на едно гише </w:t>
      </w:r>
    </w:p>
    <w:p>
      <w:pPr>
        <w:pStyle w:val="ManualNumPar1"/>
        <w:rPr>
          <w:noProof/>
        </w:rPr>
      </w:pPr>
      <w:r>
        <w:rPr>
          <w:noProof/>
        </w:rPr>
        <w:t>1.</w:t>
      </w:r>
      <w:r>
        <w:rPr>
          <w:noProof/>
        </w:rPr>
        <w:tab/>
        <w:t>Държавите членки създават национални среди за митническо обслужване на едно гише. Всяка държава членка отговаря за разработването, цялостното изграждане и експлоатацията на своята среда за митническо обслужване на едно гише.</w:t>
      </w:r>
    </w:p>
    <w:p>
      <w:pPr>
        <w:pStyle w:val="ManualNumPar1"/>
        <w:rPr>
          <w:noProof/>
        </w:rPr>
      </w:pPr>
      <w:r>
        <w:rPr>
          <w:noProof/>
        </w:rPr>
        <w:t>2.</w:t>
      </w:r>
      <w:r>
        <w:rPr>
          <w:noProof/>
        </w:rPr>
        <w:tab/>
        <w:t>Националните среди за митническо обслужване на едно гише дават възможност за обмен на информация и сътрудничество по електронен път между митническите органи, партньорските компетентни органи и икономическите оператори за целите на спазването и ефикасното принудително изпълнение на митническото законодателство и немитническите формалности на Съюза, изброени в приложението.</w:t>
      </w:r>
    </w:p>
    <w:p>
      <w:pPr>
        <w:pStyle w:val="ManualNumPar1"/>
        <w:rPr>
          <w:noProof/>
        </w:rPr>
      </w:pPr>
      <w:r>
        <w:rPr>
          <w:noProof/>
        </w:rPr>
        <w:t>3.</w:t>
      </w:r>
      <w:r>
        <w:rPr>
          <w:noProof/>
        </w:rPr>
        <w:tab/>
        <w:t>Националните среди за митническо обслужване на едно гише осигуряват по-специално следните функционални възможности:</w:t>
      </w:r>
    </w:p>
    <w:p>
      <w:pPr>
        <w:pStyle w:val="Point1"/>
        <w:rPr>
          <w:noProof/>
        </w:rPr>
      </w:pPr>
      <w:r>
        <w:rPr>
          <w:noProof/>
        </w:rPr>
        <w:t>а)</w:t>
      </w:r>
      <w:r>
        <w:rPr>
          <w:noProof/>
        </w:rPr>
        <w:tab/>
        <w:t>позволяват на митническите органи автоматично да проверяват спазването на изброените в приложението немитнически формалности на Съюза въз основа на данните, получени от немитническите системи на Съюза за целите на оформянето на стоките;</w:t>
      </w:r>
    </w:p>
    <w:p>
      <w:pPr>
        <w:pStyle w:val="Point1"/>
        <w:rPr>
          <w:noProof/>
        </w:rPr>
      </w:pPr>
      <w:r>
        <w:rPr>
          <w:noProof/>
        </w:rPr>
        <w:t>б)</w:t>
      </w:r>
      <w:r>
        <w:rPr>
          <w:noProof/>
        </w:rPr>
        <w:tab/>
        <w:t>позволяват на партньорските компетентни органи да осъществяват, когато е приложимо, управление на количествата, свързано с изброените в приложението немитнически формалности на Съюза; </w:t>
      </w:r>
    </w:p>
    <w:p>
      <w:pPr>
        <w:pStyle w:val="Point1"/>
        <w:rPr>
          <w:noProof/>
        </w:rPr>
      </w:pPr>
      <w:r>
        <w:rPr>
          <w:noProof/>
        </w:rPr>
        <w:t>в)</w:t>
      </w:r>
      <w:r>
        <w:rPr>
          <w:noProof/>
        </w:rPr>
        <w:tab/>
        <w:t>осигуряват единен канал за комуникация за икономическите оператори с цел изпълнение на съответните митнически формалности и немитническите формалности на Съюза, които са предмет на допълнително цифрово сътрудничество в съответствие с член 12.</w:t>
      </w:r>
    </w:p>
    <w:p>
      <w:pPr>
        <w:pStyle w:val="ManualNumPar1"/>
        <w:rPr>
          <w:noProof/>
        </w:rPr>
      </w:pPr>
      <w:r>
        <w:rPr>
          <w:noProof/>
        </w:rPr>
        <w:t>4.</w:t>
      </w:r>
      <w:r>
        <w:rPr>
          <w:noProof/>
        </w:rPr>
        <w:tab/>
        <w:t>Националните среди за митническо обслужване на едно гише може да бъдат използвани като платформа за координиране на контрола в съответствие с член 47, параграф 1 от Регламент (ЕС) № 952/2013.</w:t>
      </w:r>
    </w:p>
    <w:p>
      <w:pPr>
        <w:pStyle w:val="Titrearticle"/>
        <w:rPr>
          <w:noProof/>
        </w:rPr>
      </w:pPr>
      <w:r>
        <w:rPr>
          <w:noProof/>
        </w:rPr>
        <w:t>Член 9</w:t>
      </w:r>
    </w:p>
    <w:p>
      <w:pPr>
        <w:pStyle w:val="NormalCentered"/>
        <w:rPr>
          <w:noProof/>
        </w:rPr>
      </w:pPr>
      <w:r>
        <w:rPr>
          <w:b/>
          <w:noProof/>
        </w:rPr>
        <w:t>Обработване на лични данни в рамките на националните среди за митническо обслужване на едно гише</w:t>
      </w:r>
    </w:p>
    <w:p>
      <w:pPr>
        <w:pStyle w:val="ManualNumPar1"/>
        <w:rPr>
          <w:noProof/>
        </w:rPr>
      </w:pPr>
      <w:r>
        <w:rPr>
          <w:noProof/>
        </w:rPr>
        <w:t>1.</w:t>
      </w:r>
      <w:r>
        <w:rPr>
          <w:noProof/>
        </w:rPr>
        <w:tab/>
        <w:t xml:space="preserve">Обработването на лични данни в рамките на националните среди за митническо обслужване на едно гише ще се извършва в съответствие с </w:t>
      </w:r>
      <w:r>
        <w:rPr>
          <w:noProof/>
        </w:rPr>
        <w:lastRenderedPageBreak/>
        <w:t>Регламент (ЕС) 2016/679, отделно от операциите по обработване, посочени в член 6 от настоящия регламент.</w:t>
      </w:r>
    </w:p>
    <w:p>
      <w:pPr>
        <w:pStyle w:val="ManualNumPar1"/>
        <w:rPr>
          <w:noProof/>
        </w:rPr>
      </w:pPr>
      <w:r>
        <w:rPr>
          <w:noProof/>
        </w:rPr>
        <w:t>2.</w:t>
      </w:r>
      <w:r>
        <w:rPr>
          <w:noProof/>
        </w:rPr>
        <w:tab/>
        <w:t>Всяка държава членка е единственият администратор на операциите по обработка на данни, извършвани в рамките на нейната среда за митническо обслужване на едно гише.</w:t>
      </w:r>
    </w:p>
    <w:p>
      <w:pPr>
        <w:pStyle w:val="ManualNumPar1"/>
        <w:rPr>
          <w:noProof/>
        </w:rPr>
      </w:pPr>
      <w:r>
        <w:rPr>
          <w:noProof/>
        </w:rPr>
        <w:t>3.</w:t>
      </w:r>
      <w:r>
        <w:rPr>
          <w:noProof/>
        </w:rPr>
        <w:tab/>
        <w:t>Всяка държава членка уведомява Комисията при нарушение на сигурността, поверителността, наличността или целостта на личните данни, обработвани в нейната среда за митническо обслужване на едно гише.</w:t>
      </w:r>
    </w:p>
    <w:p>
      <w:pPr>
        <w:pStyle w:val="ChapterTitle"/>
        <w:rPr>
          <w:noProof/>
        </w:rPr>
      </w:pPr>
      <w:r>
        <w:rPr>
          <w:noProof/>
        </w:rPr>
        <w:t xml:space="preserve">Глава IV </w:t>
      </w:r>
      <w:r>
        <w:rPr>
          <w:noProof/>
        </w:rPr>
        <w:br/>
        <w:t>Цифрово сътрудничество — обмен на информация и други процедурни правила</w:t>
      </w:r>
    </w:p>
    <w:p>
      <w:pPr>
        <w:pStyle w:val="SectionTitle"/>
        <w:rPr>
          <w:noProof/>
        </w:rPr>
      </w:pPr>
      <w:r>
        <w:rPr>
          <w:noProof/>
        </w:rPr>
        <w:t xml:space="preserve">Раздел 1 </w:t>
      </w:r>
      <w:r>
        <w:rPr>
          <w:noProof/>
        </w:rPr>
        <w:br/>
        <w:t>ЦИФРОВО СЪТРУДНИЧЕСТВО, СВЪРЗАНО С НЕМИТНИЧЕСКИТЕ ФОРМАЛНОСТИ НА СЪЮЗА</w:t>
      </w:r>
    </w:p>
    <w:p>
      <w:pPr>
        <w:pStyle w:val="Titrearticle"/>
        <w:rPr>
          <w:noProof/>
        </w:rPr>
      </w:pPr>
      <w:r>
        <w:rPr>
          <w:noProof/>
        </w:rPr>
        <w:t>Член 10</w:t>
      </w:r>
    </w:p>
    <w:p>
      <w:pPr>
        <w:pStyle w:val="NormalCentered"/>
        <w:rPr>
          <w:noProof/>
        </w:rPr>
      </w:pPr>
      <w:r>
        <w:rPr>
          <w:b/>
          <w:noProof/>
        </w:rPr>
        <w:t>Обмен на информация, обработвана чрез EU CSW-CERTEX</w:t>
      </w:r>
    </w:p>
    <w:p>
      <w:pPr>
        <w:pStyle w:val="ManualNumPar1"/>
        <w:rPr>
          <w:noProof/>
        </w:rPr>
      </w:pPr>
      <w:r>
        <w:rPr>
          <w:noProof/>
        </w:rPr>
        <w:t>1.</w:t>
      </w:r>
      <w:r>
        <w:rPr>
          <w:noProof/>
        </w:rPr>
        <w:tab/>
        <w:t>За всяка от немитническите формалности на Съюза, изброени в приложението, EU CSW-CERTEX позволява да бъде обменяна информация между националните среди за митническо обслужване на едно гише и съответните немитнически системи на Съюза за следните цели:</w:t>
      </w:r>
    </w:p>
    <w:p>
      <w:pPr>
        <w:pStyle w:val="Point1"/>
        <w:rPr>
          <w:noProof/>
        </w:rPr>
      </w:pPr>
      <w:r>
        <w:rPr>
          <w:noProof/>
        </w:rPr>
        <w:t>а)</w:t>
      </w:r>
      <w:r>
        <w:rPr>
          <w:noProof/>
        </w:rPr>
        <w:tab/>
        <w:t>предоставяне на съответните данни на митническите органи с цел извършване на необходимата автоматизирана проверка на тези формалности в съответствие с Регламент (ЕС) № 952/2013;</w:t>
      </w:r>
    </w:p>
    <w:p>
      <w:pPr>
        <w:pStyle w:val="Point1"/>
        <w:rPr>
          <w:noProof/>
        </w:rPr>
      </w:pPr>
      <w:r>
        <w:rPr>
          <w:noProof/>
        </w:rPr>
        <w:t>б)</w:t>
      </w:r>
      <w:r>
        <w:rPr>
          <w:noProof/>
        </w:rPr>
        <w:tab/>
        <w:t>предоставяне на съответните данни на партньорските компетентни органи с цел осъществяване на управление на количествата на разрешените стоки в немитническите системи на Съюза въз основа на стоките, декларирани пред митническите органи и вдигнати от тези органи;</w:t>
      </w:r>
    </w:p>
    <w:p>
      <w:pPr>
        <w:pStyle w:val="Point1"/>
        <w:rPr>
          <w:noProof/>
        </w:rPr>
      </w:pPr>
      <w:r>
        <w:rPr>
          <w:noProof/>
        </w:rPr>
        <w:t>в)</w:t>
      </w:r>
      <w:r>
        <w:rPr>
          <w:noProof/>
        </w:rPr>
        <w:tab/>
        <w:t>улесняване на обединяването на процедурите между митническите и партньорските компетентни органи за напълно автоматизиран процес по оформяне на стоките и координиране на контрола в съответствие с член 47, параграф 1 от Регламент (ЕС) № 952/2013;</w:t>
      </w:r>
    </w:p>
    <w:p>
      <w:pPr>
        <w:pStyle w:val="Point1"/>
        <w:rPr>
          <w:noProof/>
        </w:rPr>
      </w:pPr>
      <w:r>
        <w:rPr>
          <w:noProof/>
        </w:rPr>
        <w:t>г)</w:t>
      </w:r>
      <w:r>
        <w:rPr>
          <w:noProof/>
        </w:rPr>
        <w:tab/>
        <w:t>осигуряване на възможност за друго автоматизирано предаване на данни между митническите органи и съответните партньорски компетентни органи, изисквано съгласно посоченото в приложението законодателство на Съюза.</w:t>
      </w:r>
    </w:p>
    <w:p>
      <w:pPr>
        <w:pStyle w:val="ManualNumPar1"/>
        <w:rPr>
          <w:noProof/>
        </w:rPr>
      </w:pPr>
      <w:r>
        <w:rPr>
          <w:noProof/>
        </w:rPr>
        <w:t>2.</w:t>
      </w:r>
      <w:r>
        <w:rPr>
          <w:noProof/>
        </w:rPr>
        <w:tab/>
        <w:t>За всяка от немитническите формалности на Съюза, изброени в приложението, EU CSW-CERTEX осигурява следното:</w:t>
      </w:r>
    </w:p>
    <w:p>
      <w:pPr>
        <w:pStyle w:val="Point1"/>
        <w:rPr>
          <w:noProof/>
        </w:rPr>
      </w:pPr>
      <w:r>
        <w:rPr>
          <w:noProof/>
        </w:rPr>
        <w:t>а)</w:t>
      </w:r>
      <w:r>
        <w:rPr>
          <w:noProof/>
        </w:rPr>
        <w:tab/>
        <w:t>съгласуване, когато е възможно, на митническата и немитническата терминология и определяне на митническите процедури, за които може да се използват придружаващите документи въз основа на административните решения на компетентния орган партньор, посочени в придружаващите документи;</w:t>
      </w:r>
    </w:p>
    <w:p>
      <w:pPr>
        <w:pStyle w:val="Point1"/>
        <w:rPr>
          <w:noProof/>
        </w:rPr>
      </w:pPr>
      <w:r>
        <w:rPr>
          <w:noProof/>
        </w:rPr>
        <w:lastRenderedPageBreak/>
        <w:t>б)</w:t>
      </w:r>
      <w:r>
        <w:rPr>
          <w:noProof/>
        </w:rPr>
        <w:tab/>
        <w:t>преобразуване на формата на данните, изисквани за изпълнението на съответните немитнически формалности на Съюза, така че данните да бъдат съвместими с митническата декларация и обратното, без да се променя тяхното съдържание.</w:t>
      </w:r>
    </w:p>
    <w:p>
      <w:pPr>
        <w:pStyle w:val="ManualNumPar1"/>
        <w:rPr>
          <w:noProof/>
        </w:rPr>
      </w:pPr>
      <w:r>
        <w:rPr>
          <w:noProof/>
        </w:rPr>
        <w:t>3.</w:t>
      </w:r>
      <w:r>
        <w:rPr>
          <w:noProof/>
        </w:rPr>
        <w:tab/>
        <w:t>На Комисията се предоставя правомощието да приема делегирани актове в съответствие с член 21 за определяне на елементите от данни, които се обменят чрез EU CSW-CERTEX в съответствие с параграф 1 от настоящия член.</w:t>
      </w:r>
    </w:p>
    <w:p>
      <w:pPr>
        <w:pStyle w:val="ManualNumPar1"/>
        <w:rPr>
          <w:noProof/>
        </w:rPr>
      </w:pPr>
      <w:r>
        <w:rPr>
          <w:noProof/>
        </w:rPr>
        <w:t>4.</w:t>
      </w:r>
      <w:r>
        <w:rPr>
          <w:noProof/>
        </w:rPr>
        <w:tab/>
        <w:t>Чрез актове за изпълнение Комисията приема специални правила за обмена на информация по параграфи 1 и 2, включително, когато е целесъобразно, специални правила за гарантиране на защитата на личните данни. Тези актове за изпълнение се приемат в съответствие с процедурата по консултиране, посочена в член 22, параграф 2.</w:t>
      </w:r>
    </w:p>
    <w:p>
      <w:pPr>
        <w:pStyle w:val="SectionTitle"/>
        <w:rPr>
          <w:noProof/>
        </w:rPr>
      </w:pPr>
      <w:r>
        <w:rPr>
          <w:noProof/>
        </w:rPr>
        <w:t xml:space="preserve">Раздел 2 </w:t>
      </w:r>
      <w:r>
        <w:rPr>
          <w:noProof/>
        </w:rPr>
        <w:br/>
        <w:t>ДОПЪЛНИТЕЛНО ЦИФРОВО СЪТРУДНИЧЕСТВО ВЪВ ВРЪЗКА С НЕМИТНИЧЕСКИТЕ ФОРМАЛНОСТИ НА СЪЮЗА</w:t>
      </w:r>
    </w:p>
    <w:p>
      <w:pPr>
        <w:pStyle w:val="Titrearticle"/>
        <w:rPr>
          <w:noProof/>
        </w:rPr>
      </w:pPr>
      <w:r>
        <w:rPr>
          <w:noProof/>
        </w:rPr>
        <w:t>Член 11</w:t>
      </w:r>
    </w:p>
    <w:p>
      <w:pPr>
        <w:pStyle w:val="NormalCentered"/>
        <w:rPr>
          <w:noProof/>
        </w:rPr>
      </w:pPr>
      <w:r>
        <w:rPr>
          <w:b/>
          <w:noProof/>
        </w:rPr>
        <w:t>Рационализиране на изпълнението на митническите и немитническите формалности на Съюза</w:t>
      </w:r>
    </w:p>
    <w:p>
      <w:pPr>
        <w:rPr>
          <w:noProof/>
        </w:rPr>
      </w:pPr>
      <w:r>
        <w:rPr>
          <w:noProof/>
        </w:rPr>
        <w:t>За стоките, предмет на някоя от изброените в приложението немитнически формалности на Съюза, националните среди за митническо обслужване на едно гише осигуряват следните функционални възможности:</w:t>
      </w:r>
    </w:p>
    <w:p>
      <w:pPr>
        <w:pStyle w:val="Point0"/>
        <w:rPr>
          <w:noProof/>
        </w:rPr>
      </w:pPr>
      <w:r>
        <w:rPr>
          <w:noProof/>
        </w:rPr>
        <w:t>а)</w:t>
      </w:r>
      <w:r>
        <w:rPr>
          <w:noProof/>
        </w:rPr>
        <w:tab/>
        <w:t>позволяване на икономическите оператори да подават съответната информация, изисквана за изпълнението на приложимите митнически формалности и немитнически формалности на Съюза;</w:t>
      </w:r>
    </w:p>
    <w:p>
      <w:pPr>
        <w:pStyle w:val="Point0"/>
        <w:rPr>
          <w:noProof/>
        </w:rPr>
      </w:pPr>
      <w:r>
        <w:rPr>
          <w:noProof/>
        </w:rPr>
        <w:t>б)</w:t>
      </w:r>
      <w:r>
        <w:rPr>
          <w:noProof/>
        </w:rPr>
        <w:tab/>
        <w:t>предоставяне на икономическите оператори на електронна обратна информация за оформянето на стоките от митническите и партньорските компетентни органи, отговарящи за изпълнението на приложимите митнически формалности и немитнически формалности на Съюза.</w:t>
      </w:r>
    </w:p>
    <w:p>
      <w:pPr>
        <w:pStyle w:val="Titrearticle"/>
        <w:rPr>
          <w:noProof/>
        </w:rPr>
      </w:pPr>
      <w:r>
        <w:rPr>
          <w:noProof/>
        </w:rPr>
        <w:t>Член 12</w:t>
      </w:r>
    </w:p>
    <w:p>
      <w:pPr>
        <w:pStyle w:val="NormalCentered"/>
        <w:rPr>
          <w:noProof/>
        </w:rPr>
      </w:pPr>
      <w:r>
        <w:rPr>
          <w:b/>
          <w:noProof/>
        </w:rPr>
        <w:t>Немитнически формалности на Съюза, за които се прилага допълнително цифрово сътрудничество</w:t>
      </w:r>
    </w:p>
    <w:p>
      <w:pPr>
        <w:pStyle w:val="ManualNumPar1"/>
        <w:rPr>
          <w:noProof/>
        </w:rPr>
      </w:pPr>
      <w:r>
        <w:rPr>
          <w:noProof/>
        </w:rPr>
        <w:t>1.</w:t>
      </w:r>
      <w:r>
        <w:rPr>
          <w:noProof/>
        </w:rPr>
        <w:tab/>
        <w:t>Към немитническите формалности на Съюза, изброени в приложението, се прилагат разпоредбите на член 8, параграф 3, буква в), членове 11—15 и член 16, параграф 2, при условие че Комисията е определила в съответствие с параграф 2 от настоящия член, че тези формалности отговарят на критериите, изложени в същия параграф.</w:t>
      </w:r>
    </w:p>
    <w:p>
      <w:pPr>
        <w:pStyle w:val="ManualNumPar1"/>
        <w:rPr>
          <w:noProof/>
        </w:rPr>
      </w:pPr>
      <w:r>
        <w:rPr>
          <w:noProof/>
        </w:rPr>
        <w:t>2.</w:t>
      </w:r>
      <w:r>
        <w:rPr>
          <w:noProof/>
        </w:rPr>
        <w:tab/>
        <w:t>Чрез актове за изпълнение Комисията определя кои от изброените в приложението немитнически формалности на Съюза отговарят на следните критерии: </w:t>
      </w:r>
    </w:p>
    <w:p>
      <w:pPr>
        <w:pStyle w:val="Point1"/>
        <w:rPr>
          <w:noProof/>
        </w:rPr>
      </w:pPr>
      <w:r>
        <w:rPr>
          <w:noProof/>
        </w:rPr>
        <w:t>а)</w:t>
      </w:r>
      <w:r>
        <w:rPr>
          <w:noProof/>
        </w:rPr>
        <w:tab/>
        <w:t>има припокриване между няколко данни, изисквани за заявлението за придружаващи документи и митническата декларация;</w:t>
      </w:r>
    </w:p>
    <w:p>
      <w:pPr>
        <w:pStyle w:val="Point1"/>
        <w:rPr>
          <w:noProof/>
        </w:rPr>
      </w:pPr>
      <w:r>
        <w:rPr>
          <w:noProof/>
        </w:rPr>
        <w:lastRenderedPageBreak/>
        <w:t>б)</w:t>
      </w:r>
      <w:r>
        <w:rPr>
          <w:noProof/>
        </w:rPr>
        <w:tab/>
        <w:t>броят на придружаващите документи, издадени в Съюза за конкретната формалност, не е незначителен;</w:t>
      </w:r>
    </w:p>
    <w:p>
      <w:pPr>
        <w:pStyle w:val="Point1"/>
        <w:rPr>
          <w:noProof/>
        </w:rPr>
      </w:pPr>
      <w:r>
        <w:rPr>
          <w:noProof/>
        </w:rPr>
        <w:t>в)</w:t>
      </w:r>
      <w:r>
        <w:rPr>
          <w:noProof/>
        </w:rPr>
        <w:tab/>
        <w:t>съответната немитническа система на Съюза, посочена в приложението, може да идентифицира икономическия оператор посредством регистрационния и идентификационен номер на икономическия оператор (EORI номер);</w:t>
      </w:r>
    </w:p>
    <w:p>
      <w:pPr>
        <w:pStyle w:val="Point1"/>
        <w:rPr>
          <w:noProof/>
        </w:rPr>
      </w:pPr>
      <w:r>
        <w:rPr>
          <w:noProof/>
        </w:rPr>
        <w:t>г)</w:t>
      </w:r>
      <w:r>
        <w:rPr>
          <w:noProof/>
        </w:rPr>
        <w:tab/>
        <w:t>приложимото немитническо законодателство на Съюза позволява изпълнението на конкретната формалност чрез националната среда за митническо обслужване на едно гише в съответствие с член 11.</w:t>
      </w:r>
    </w:p>
    <w:p>
      <w:pPr>
        <w:pStyle w:val="ManualNumPar1"/>
        <w:rPr>
          <w:noProof/>
        </w:rPr>
      </w:pPr>
      <w:r>
        <w:rPr>
          <w:noProof/>
        </w:rPr>
        <w:t>3.</w:t>
      </w:r>
      <w:r>
        <w:rPr>
          <w:noProof/>
        </w:rPr>
        <w:tab/>
        <w:t>Тези актове за изпълнение се приемат в съответствие с процедурата по консултиране, посочена в член 22, параграф 2.</w:t>
      </w:r>
    </w:p>
    <w:p>
      <w:pPr>
        <w:pStyle w:val="Titrearticle"/>
        <w:rPr>
          <w:noProof/>
        </w:rPr>
      </w:pPr>
      <w:r>
        <w:rPr>
          <w:noProof/>
        </w:rPr>
        <w:t>Член 13</w:t>
      </w:r>
    </w:p>
    <w:p>
      <w:pPr>
        <w:pStyle w:val="NormalCentered"/>
        <w:rPr>
          <w:noProof/>
        </w:rPr>
      </w:pPr>
      <w:r>
        <w:rPr>
          <w:b/>
          <w:noProof/>
        </w:rPr>
        <w:t>Хармонизиране и рационализиране на данните</w:t>
      </w:r>
    </w:p>
    <w:p>
      <w:pPr>
        <w:pStyle w:val="ManualNumPar1"/>
        <w:rPr>
          <w:noProof/>
        </w:rPr>
      </w:pPr>
      <w:r>
        <w:rPr>
          <w:noProof/>
        </w:rPr>
        <w:t>1.</w:t>
      </w:r>
      <w:r>
        <w:rPr>
          <w:noProof/>
        </w:rPr>
        <w:tab/>
        <w:t>Комисията определя общите елементи от данни в митническата декларация и в заявлението за придружаващи документи и определя допълнителните елементи от данни, които са предмет само на немитническото законодателство на ЕС.</w:t>
      </w:r>
    </w:p>
    <w:p>
      <w:pPr>
        <w:pStyle w:val="ManualNumPar1"/>
        <w:rPr>
          <w:noProof/>
        </w:rPr>
      </w:pPr>
      <w:r>
        <w:rPr>
          <w:noProof/>
        </w:rPr>
        <w:t>2.</w:t>
      </w:r>
      <w:r>
        <w:rPr>
          <w:noProof/>
        </w:rPr>
        <w:tab/>
        <w:t>Допълнителните елементи от данни по параграф 1 се отбелязват със съответното съкращение на немитническата формалност на Съюза, посочена в приложението, последвано от наставката „набор от данни на партньорски компетентен орган (ПКО)“.</w:t>
      </w:r>
    </w:p>
    <w:p>
      <w:pPr>
        <w:pStyle w:val="ManualNumPar1"/>
        <w:rPr>
          <w:noProof/>
        </w:rPr>
      </w:pPr>
      <w:r>
        <w:rPr>
          <w:noProof/>
        </w:rPr>
        <w:t>3.</w:t>
      </w:r>
      <w:r>
        <w:rPr>
          <w:noProof/>
        </w:rPr>
        <w:tab/>
        <w:t>Данните от митническата декларация и допълнителните елементи от данни по параграф 1, изисквани за поставяне на стоките под определен митнически режим, представляват обединена декларация, съдържаща всички данни, необходими на митническите и партньорските компетентни органи за оформяне на стоките.</w:t>
      </w:r>
    </w:p>
    <w:p>
      <w:pPr>
        <w:pStyle w:val="ManualNumPar1"/>
        <w:rPr>
          <w:noProof/>
        </w:rPr>
      </w:pPr>
      <w:r>
        <w:rPr>
          <w:noProof/>
        </w:rPr>
        <w:t>4.</w:t>
      </w:r>
      <w:r>
        <w:rPr>
          <w:noProof/>
        </w:rPr>
        <w:tab/>
        <w:t>На Комисията се предоставя правомощието да приема делегирани актове в съответствие с член 21 за определяне, от една страна, на елементите от данни, които са общи за митническата декларация и за заявлението за придружаващи документи, и от друга страна, на набора от данни на ПКО за всеки от съответните актове на Съюза, приложими към изброените в приложението немитнически формалности на Съюза.</w:t>
      </w:r>
    </w:p>
    <w:p>
      <w:pPr>
        <w:pStyle w:val="Titrearticle"/>
        <w:rPr>
          <w:noProof/>
        </w:rPr>
      </w:pPr>
      <w:r>
        <w:rPr>
          <w:noProof/>
        </w:rPr>
        <w:t>Член 14</w:t>
      </w:r>
    </w:p>
    <w:p>
      <w:pPr>
        <w:pStyle w:val="NormalCentered"/>
        <w:rPr>
          <w:noProof/>
        </w:rPr>
      </w:pPr>
      <w:r>
        <w:rPr>
          <w:b/>
          <w:noProof/>
        </w:rPr>
        <w:t>Подаване на митнически и немитнически данни на Съюза от икономическите оператори</w:t>
      </w:r>
    </w:p>
    <w:p>
      <w:pPr>
        <w:pStyle w:val="ManualNumPar1"/>
        <w:rPr>
          <w:noProof/>
        </w:rPr>
      </w:pPr>
      <w:r>
        <w:rPr>
          <w:noProof/>
        </w:rPr>
        <w:t>1.</w:t>
      </w:r>
      <w:r>
        <w:rPr>
          <w:noProof/>
        </w:rPr>
        <w:tab/>
        <w:t>За целите на член 11, буква а) националната среда за митническо обслужване на едно гише може да даде възможност на икономическите оператори да подават обединена декларация, съдържаща набора или наборите от данни на ПКО, заедно с митническата декларация, подавана преди представянето на стоките в съответствие с член 171 от Регламент (ЕС) № 952/2013.</w:t>
      </w:r>
    </w:p>
    <w:p>
      <w:pPr>
        <w:pStyle w:val="ManualNumPar1"/>
        <w:rPr>
          <w:noProof/>
        </w:rPr>
      </w:pPr>
      <w:r>
        <w:rPr>
          <w:noProof/>
        </w:rPr>
        <w:t>2.</w:t>
      </w:r>
      <w:r>
        <w:rPr>
          <w:noProof/>
        </w:rPr>
        <w:tab/>
        <w:t>Обединената декларация, подадена в съответствие с параграф 1, представлява едновременно митническата декларация и заявлението за придружаващи документи.</w:t>
      </w:r>
    </w:p>
    <w:p>
      <w:pPr>
        <w:pStyle w:val="Titrearticle"/>
        <w:rPr>
          <w:noProof/>
        </w:rPr>
      </w:pPr>
      <w:r>
        <w:rPr>
          <w:noProof/>
        </w:rPr>
        <w:lastRenderedPageBreak/>
        <w:t>Член 15</w:t>
      </w:r>
    </w:p>
    <w:p>
      <w:pPr>
        <w:pStyle w:val="NormalCentered"/>
        <w:rPr>
          <w:noProof/>
        </w:rPr>
      </w:pPr>
      <w:r>
        <w:rPr>
          <w:b/>
          <w:noProof/>
        </w:rPr>
        <w:t>Допълнителен обмен на информация, обработвана чрез EU CSW-CERTEX</w:t>
      </w:r>
    </w:p>
    <w:p>
      <w:pPr>
        <w:pStyle w:val="ManualNumPar1"/>
        <w:rPr>
          <w:noProof/>
        </w:rPr>
      </w:pPr>
      <w:r>
        <w:rPr>
          <w:noProof/>
        </w:rPr>
        <w:t>1.</w:t>
      </w:r>
      <w:r>
        <w:rPr>
          <w:noProof/>
        </w:rPr>
        <w:tab/>
        <w:t>EU CSW-CERTEX позволява необходимия обмен на информация между националните среди за митническо обслужване на едно гише и немитническите системи на Съюза за следните цели:</w:t>
      </w:r>
    </w:p>
    <w:p>
      <w:pPr>
        <w:pStyle w:val="Point1"/>
        <w:rPr>
          <w:noProof/>
        </w:rPr>
      </w:pPr>
      <w:r>
        <w:rPr>
          <w:noProof/>
        </w:rPr>
        <w:t>а)</w:t>
      </w:r>
      <w:r>
        <w:rPr>
          <w:noProof/>
        </w:rPr>
        <w:tab/>
        <w:t>предаване на данните, определени като общи за митническата декларация и съответното заявление за придружаващи документи съгласно член 13, параграф 4, както и приложимия набор или набори от данни на ПКО с цел позволяване на партньорските компетентни органи да изпълняват задълженията си във връзка със съответните формалности съгласно немитническото законодателство на Съюза;</w:t>
      </w:r>
    </w:p>
    <w:p>
      <w:pPr>
        <w:pStyle w:val="Point1"/>
        <w:rPr>
          <w:noProof/>
        </w:rPr>
      </w:pPr>
      <w:r>
        <w:rPr>
          <w:noProof/>
        </w:rPr>
        <w:t>б)</w:t>
      </w:r>
      <w:r>
        <w:rPr>
          <w:noProof/>
        </w:rPr>
        <w:tab/>
        <w:t>предаване на икономическите оператори за целите на член 11, буква б) на обратна информация от партньорските компетентни органи, въведена в приложимата или приложимите немитнически системи на Съюза.</w:t>
      </w:r>
    </w:p>
    <w:p>
      <w:pPr>
        <w:pStyle w:val="ManualNumPar1"/>
        <w:rPr>
          <w:noProof/>
        </w:rPr>
      </w:pPr>
      <w:r>
        <w:rPr>
          <w:noProof/>
        </w:rPr>
        <w:t>2.</w:t>
      </w:r>
      <w:r>
        <w:rPr>
          <w:noProof/>
        </w:rPr>
        <w:tab/>
        <w:t>Когато икономически оператор е регистриран от митническите органи в съответствие с член 9 от Регламент (ЕС) № 952/2013, за обмена на информация по параграф 1 се използва EORI номерът.</w:t>
      </w:r>
    </w:p>
    <w:p>
      <w:pPr>
        <w:pStyle w:val="ManualNumPar1"/>
        <w:rPr>
          <w:noProof/>
        </w:rPr>
      </w:pPr>
      <w:r>
        <w:rPr>
          <w:noProof/>
        </w:rPr>
        <w:t>3.</w:t>
      </w:r>
      <w:r>
        <w:rPr>
          <w:noProof/>
        </w:rPr>
        <w:tab/>
        <w:t>Чрез актове за изпълнение Комисията приема процедурните правила за обмена на информация по параграф 1, включително, когато е целесъобразно, специални правила за уреждане на защитата на личните данни. Тези актове за изпълнение се приемат в съответствие с процедурата по консултиране, посочена в член 22, параграф 2.</w:t>
      </w:r>
    </w:p>
    <w:p>
      <w:pPr>
        <w:pStyle w:val="SectionTitle"/>
        <w:rPr>
          <w:noProof/>
        </w:rPr>
      </w:pPr>
      <w:r>
        <w:rPr>
          <w:noProof/>
        </w:rPr>
        <w:t xml:space="preserve">Раздел 3 </w:t>
      </w:r>
      <w:r>
        <w:rPr>
          <w:noProof/>
        </w:rPr>
        <w:br/>
        <w:t>ДРУГИ ПРОЦЕДУРНИ ПРАВИЛА ЗА НЕМИТНИЧЕСКИТЕ ФОРМАЛНОСТИ НА СЪЮЗА </w:t>
      </w:r>
    </w:p>
    <w:p>
      <w:pPr>
        <w:pStyle w:val="Titrearticle"/>
        <w:rPr>
          <w:noProof/>
        </w:rPr>
      </w:pPr>
      <w:r>
        <w:rPr>
          <w:noProof/>
        </w:rPr>
        <w:t>Член 16</w:t>
      </w:r>
    </w:p>
    <w:p>
      <w:pPr>
        <w:pStyle w:val="NormalCentered"/>
        <w:rPr>
          <w:noProof/>
        </w:rPr>
      </w:pPr>
      <w:r>
        <w:rPr>
          <w:b/>
          <w:noProof/>
        </w:rPr>
        <w:t>Използване на системата EORI от партньорските компетентни органи</w:t>
      </w:r>
    </w:p>
    <w:p>
      <w:pPr>
        <w:rPr>
          <w:noProof/>
        </w:rPr>
      </w:pPr>
      <w:r>
        <w:rPr>
          <w:noProof/>
        </w:rPr>
        <w:t>При изпълнение на задълженията си партньорските компетентни органи имат достъп до системата EORI, създадена за целите на член 9 от Регламент (ЕС) № 952/2013, за да валидират съответните данни за икономическите оператори, съхранявани в тази система.</w:t>
      </w:r>
    </w:p>
    <w:p>
      <w:pPr>
        <w:pStyle w:val="Titrearticle"/>
        <w:rPr>
          <w:noProof/>
        </w:rPr>
      </w:pPr>
      <w:r>
        <w:rPr>
          <w:noProof/>
        </w:rPr>
        <w:t>Член 17</w:t>
      </w:r>
    </w:p>
    <w:p>
      <w:pPr>
        <w:pStyle w:val="NormalCentered"/>
        <w:rPr>
          <w:noProof/>
        </w:rPr>
      </w:pPr>
      <w:r>
        <w:rPr>
          <w:b/>
          <w:noProof/>
        </w:rPr>
        <w:t>Национални координатори</w:t>
      </w:r>
    </w:p>
    <w:p>
      <w:pPr>
        <w:rPr>
          <w:noProof/>
        </w:rPr>
      </w:pPr>
      <w:r>
        <w:rPr>
          <w:noProof/>
        </w:rPr>
        <w:t>Всяка държава членка определя компетентен орган, който да действа като национален координатор за средата на Европейския съюз за митническо обслужване на едно гише. Националният координатор изпълнява следните задачи:</w:t>
      </w:r>
    </w:p>
    <w:p>
      <w:pPr>
        <w:pStyle w:val="Point0"/>
        <w:rPr>
          <w:noProof/>
        </w:rPr>
      </w:pPr>
      <w:r>
        <w:rPr>
          <w:noProof/>
        </w:rPr>
        <w:t>а)</w:t>
      </w:r>
      <w:r>
        <w:rPr>
          <w:noProof/>
        </w:rPr>
        <w:tab/>
        <w:t>действа като национално звено за контакт за Комисията по всички въпроси, свързани с изпълнението на настоящия регламент;</w:t>
      </w:r>
    </w:p>
    <w:p>
      <w:pPr>
        <w:pStyle w:val="Point0"/>
        <w:rPr>
          <w:noProof/>
        </w:rPr>
      </w:pPr>
      <w:r>
        <w:rPr>
          <w:noProof/>
        </w:rPr>
        <w:t>б)</w:t>
      </w:r>
      <w:r>
        <w:rPr>
          <w:noProof/>
        </w:rPr>
        <w:tab/>
        <w:t xml:space="preserve">насърчава сътрудничеството между митническите органи и националните партньорски компетентни органи на национално равнище и координира дейностите по свързването на националните среди за митническо обслужване </w:t>
      </w:r>
      <w:r>
        <w:rPr>
          <w:noProof/>
        </w:rPr>
        <w:lastRenderedPageBreak/>
        <w:t>на едно гише с EU CSW-CERTEX в подкрепа на изпълнението на настоящия регламент. </w:t>
      </w:r>
    </w:p>
    <w:p>
      <w:pPr>
        <w:pStyle w:val="ChapterTitle"/>
        <w:rPr>
          <w:noProof/>
        </w:rPr>
      </w:pPr>
      <w:r>
        <w:rPr>
          <w:noProof/>
        </w:rPr>
        <w:t xml:space="preserve">Глава V </w:t>
      </w:r>
      <w:r>
        <w:rPr>
          <w:noProof/>
        </w:rPr>
        <w:br/>
        <w:t>Разходи за EU CSW-CERTEX, работна програма, мониторинг и докладване</w:t>
      </w:r>
    </w:p>
    <w:p>
      <w:pPr>
        <w:pStyle w:val="Titrearticle"/>
        <w:rPr>
          <w:noProof/>
        </w:rPr>
      </w:pPr>
      <w:r>
        <w:rPr>
          <w:noProof/>
        </w:rPr>
        <w:t>Член 18</w:t>
      </w:r>
    </w:p>
    <w:p>
      <w:pPr>
        <w:pStyle w:val="NormalCentered"/>
        <w:rPr>
          <w:noProof/>
        </w:rPr>
      </w:pPr>
      <w:r>
        <w:rPr>
          <w:b/>
          <w:noProof/>
        </w:rPr>
        <w:t>Разходи</w:t>
      </w:r>
    </w:p>
    <w:p>
      <w:pPr>
        <w:pStyle w:val="ManualNumPar1"/>
        <w:rPr>
          <w:noProof/>
        </w:rPr>
      </w:pPr>
      <w:r>
        <w:rPr>
          <w:noProof/>
        </w:rPr>
        <w:t>1.</w:t>
      </w:r>
      <w:r>
        <w:rPr>
          <w:noProof/>
        </w:rPr>
        <w:tab/>
        <w:t>Разходите, свързани с разработването, цялостното изграждане и експлоатацията на EU CSW-CERTEX и нейните интерфейси с немитническите системи на Съюза, се поемат от Съюза.</w:t>
      </w:r>
    </w:p>
    <w:p>
      <w:pPr>
        <w:pStyle w:val="ManualNumPar1"/>
        <w:rPr>
          <w:noProof/>
        </w:rPr>
      </w:pPr>
      <w:r>
        <w:rPr>
          <w:noProof/>
        </w:rPr>
        <w:t>2.</w:t>
      </w:r>
      <w:r>
        <w:rPr>
          <w:noProof/>
        </w:rPr>
        <w:tab/>
        <w:t>Всяка държава членка поема разходите, направени във връзка с разработването, цялостното изграждане и експлоатацията на нейната национална среда за митническо обслужване на едно гише и свързването ѝ с EU CSW-CERTEX.</w:t>
      </w:r>
    </w:p>
    <w:p>
      <w:pPr>
        <w:pStyle w:val="Titrearticle"/>
        <w:rPr>
          <w:noProof/>
        </w:rPr>
      </w:pPr>
      <w:r>
        <w:rPr>
          <w:noProof/>
        </w:rPr>
        <w:t>Член 19</w:t>
      </w:r>
    </w:p>
    <w:p>
      <w:pPr>
        <w:pStyle w:val="NormalCentered"/>
        <w:rPr>
          <w:noProof/>
        </w:rPr>
      </w:pPr>
      <w:r>
        <w:rPr>
          <w:b/>
          <w:noProof/>
        </w:rPr>
        <w:t>Работна програма</w:t>
      </w:r>
    </w:p>
    <w:p>
      <w:pPr>
        <w:rPr>
          <w:noProof/>
        </w:rPr>
      </w:pPr>
      <w:r>
        <w:rPr>
          <w:noProof/>
        </w:rPr>
        <w:t>Чрез актове за изпълнение Комисията приема работна програма в подкрепа на изпълнението на разпоредбите на настоящия регламент относно свързването на посочените в приложението немитнически системи на Съюза с EU CSW-CERTEX и включването на съответните немитнически формалности на Съюза. Работната програма се актуализира редовно. Посочените актове за изпълнение се приемат в съответствие с процедурата по консултиране по член 22, параграф 2.</w:t>
      </w:r>
    </w:p>
    <w:p>
      <w:pPr>
        <w:pStyle w:val="Titrearticle"/>
        <w:rPr>
          <w:noProof/>
        </w:rPr>
      </w:pPr>
      <w:r>
        <w:rPr>
          <w:noProof/>
        </w:rPr>
        <w:t>Член 20</w:t>
      </w:r>
    </w:p>
    <w:p>
      <w:pPr>
        <w:pStyle w:val="NormalCentered"/>
        <w:rPr>
          <w:noProof/>
        </w:rPr>
      </w:pPr>
      <w:r>
        <w:rPr>
          <w:b/>
          <w:noProof/>
        </w:rPr>
        <w:t>Мониторинг и докладване</w:t>
      </w:r>
    </w:p>
    <w:p>
      <w:pPr>
        <w:pStyle w:val="ManualNumPar1"/>
        <w:rPr>
          <w:noProof/>
        </w:rPr>
      </w:pPr>
      <w:r>
        <w:rPr>
          <w:noProof/>
        </w:rPr>
        <w:t>1.</w:t>
      </w:r>
      <w:r>
        <w:rPr>
          <w:noProof/>
        </w:rPr>
        <w:tab/>
        <w:t>Комисията редовно извършва мониторинг на функционирането на средата на Европейския съюз за митническо обслужване на едно гише.</w:t>
      </w:r>
    </w:p>
    <w:p>
      <w:pPr>
        <w:pStyle w:val="ManualNumPar1"/>
        <w:rPr>
          <w:noProof/>
        </w:rPr>
      </w:pPr>
      <w:r>
        <w:rPr>
          <w:noProof/>
        </w:rPr>
        <w:t>2.</w:t>
      </w:r>
      <w:r>
        <w:rPr>
          <w:noProof/>
        </w:rPr>
        <w:tab/>
        <w:t>Комисията редовно оценява работата на EU CSW-CERTEX.</w:t>
      </w:r>
    </w:p>
    <w:p>
      <w:pPr>
        <w:pStyle w:val="ManualNumPar1"/>
        <w:rPr>
          <w:noProof/>
        </w:rPr>
      </w:pPr>
      <w:r>
        <w:rPr>
          <w:noProof/>
        </w:rPr>
        <w:t>3.</w:t>
      </w:r>
      <w:r>
        <w:rPr>
          <w:noProof/>
        </w:rPr>
        <w:tab/>
        <w:t>Най-късно до 31 декември 2027 г. и на всеки три години след това Комисията представя на Европейския парламент и на Съвета доклад относно изпълнението на настоящия регламент. В доклада се включва и информация относно мониторинга и оценката, извършвани съответно съгласно параграфи 1 и 2.</w:t>
      </w:r>
    </w:p>
    <w:p>
      <w:pPr>
        <w:pStyle w:val="ManualNumPar1"/>
        <w:rPr>
          <w:noProof/>
        </w:rPr>
      </w:pPr>
      <w:r>
        <w:rPr>
          <w:noProof/>
        </w:rPr>
        <w:t>4.</w:t>
      </w:r>
      <w:r>
        <w:rPr>
          <w:noProof/>
        </w:rPr>
        <w:tab/>
        <w:t>По искане на Комисията държавите членки предоставят всяка информация, която е необходима за доклада по параграф 3.</w:t>
      </w:r>
    </w:p>
    <w:p>
      <w:pPr>
        <w:pStyle w:val="ChapterTitle"/>
        <w:rPr>
          <w:noProof/>
        </w:rPr>
      </w:pPr>
      <w:r>
        <w:rPr>
          <w:noProof/>
        </w:rPr>
        <w:lastRenderedPageBreak/>
        <w:t xml:space="preserve">Глава VI </w:t>
      </w:r>
      <w:r>
        <w:rPr>
          <w:noProof/>
        </w:rPr>
        <w:br/>
        <w:t>Процедури за приемане на актове за изпълнение и на делегирани актове, изменения на Регламент (ЕС) № 952/2013 и заключителни разпоредби</w:t>
      </w:r>
    </w:p>
    <w:p>
      <w:pPr>
        <w:pStyle w:val="Titrearticle"/>
        <w:rPr>
          <w:noProof/>
        </w:rPr>
      </w:pPr>
      <w:r>
        <w:rPr>
          <w:noProof/>
        </w:rPr>
        <w:t>Член 21</w:t>
      </w:r>
    </w:p>
    <w:p>
      <w:pPr>
        <w:pStyle w:val="NormalCentered"/>
        <w:rPr>
          <w:noProof/>
        </w:rPr>
      </w:pPr>
      <w:r>
        <w:rPr>
          <w:b/>
          <w:noProof/>
        </w:rPr>
        <w:t>Упражняване на делегирането</w:t>
      </w:r>
    </w:p>
    <w:p>
      <w:pPr>
        <w:pStyle w:val="ManualNumPar1"/>
        <w:rPr>
          <w:noProof/>
        </w:rPr>
      </w:pPr>
      <w:r>
        <w:rPr>
          <w:noProof/>
        </w:rPr>
        <w:t>1.</w:t>
      </w:r>
      <w:r>
        <w:rPr>
          <w:noProof/>
        </w:rPr>
        <w:tab/>
        <w:t>Правомощието да приема делегирани актове се предоставя на Комисията при спазване на предвидените в настоящия член условия.</w:t>
      </w:r>
    </w:p>
    <w:p>
      <w:pPr>
        <w:pStyle w:val="ManualNumPar1"/>
        <w:rPr>
          <w:noProof/>
        </w:rPr>
      </w:pPr>
      <w:r>
        <w:rPr>
          <w:noProof/>
        </w:rPr>
        <w:t>2.</w:t>
      </w:r>
      <w:r>
        <w:rPr>
          <w:noProof/>
        </w:rPr>
        <w:tab/>
        <w:t>Правомощието да приема делегирани актове, посочено в член 5, параграф 4, член 10, параграф 3 и член 13, параграф 4, се предоставя на Комисията за неопределен срок, считано от датата на влизане в сила на настоящия регламент.</w:t>
      </w:r>
    </w:p>
    <w:p>
      <w:pPr>
        <w:pStyle w:val="ManualNumPar1"/>
        <w:rPr>
          <w:noProof/>
        </w:rPr>
      </w:pPr>
      <w:r>
        <w:rPr>
          <w:noProof/>
        </w:rPr>
        <w:t>3.</w:t>
      </w:r>
      <w:r>
        <w:rPr>
          <w:noProof/>
        </w:rPr>
        <w:tab/>
        <w:t>Делегирането на правомощия, посочено в член 5, параграф 4, член 10, параграф 3 и член 13, параграф 4,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Официален вестник на Европейския съюз или на по-късна дата, посочена в решението. То не засяга действителността на делегираните актове, които вече са в сила.</w:t>
      </w:r>
    </w:p>
    <w:p>
      <w:pPr>
        <w:pStyle w:val="ManualNumPar1"/>
        <w:rPr>
          <w:noProof/>
        </w:rPr>
      </w:pPr>
      <w:r>
        <w:rPr>
          <w:noProof/>
        </w:rPr>
        <w:t>4.</w:t>
      </w:r>
      <w:r>
        <w:rPr>
          <w:noProof/>
        </w:rPr>
        <w:tab/>
        <w:t>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w:t>
      </w:r>
    </w:p>
    <w:p>
      <w:pPr>
        <w:pStyle w:val="ManualNumPar1"/>
        <w:rPr>
          <w:noProof/>
        </w:rPr>
      </w:pPr>
      <w:r>
        <w:rPr>
          <w:noProof/>
        </w:rPr>
        <w:t>5.</w:t>
      </w:r>
      <w:r>
        <w:rPr>
          <w:noProof/>
        </w:rPr>
        <w:tab/>
        <w:t>Веднага след като приеме делегиран акт, Комисията нотифицира акта едновременно на Европейския парламент и на Съвета.</w:t>
      </w:r>
    </w:p>
    <w:p>
      <w:pPr>
        <w:pStyle w:val="ManualNumPar1"/>
        <w:rPr>
          <w:noProof/>
        </w:rPr>
      </w:pPr>
      <w:r>
        <w:rPr>
          <w:noProof/>
        </w:rPr>
        <w:t>6.</w:t>
      </w:r>
      <w:r>
        <w:rPr>
          <w:noProof/>
        </w:rPr>
        <w:tab/>
        <w:t>Делегиран акт, приет съгласно член 5, параграф 4, член 10, параграф 3 и член 13, параграф 4, влиза в сила единствено ако нито Европейският парламент, нито Съветът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Този срок се продължава с два месеца по инициатива на Европейския парламент или на Съвета.</w:t>
      </w:r>
    </w:p>
    <w:p>
      <w:pPr>
        <w:pStyle w:val="Titrearticle"/>
        <w:rPr>
          <w:noProof/>
        </w:rPr>
      </w:pPr>
      <w:r>
        <w:rPr>
          <w:noProof/>
        </w:rPr>
        <w:t>Член 22</w:t>
      </w:r>
    </w:p>
    <w:p>
      <w:pPr>
        <w:pStyle w:val="NormalCentered"/>
        <w:rPr>
          <w:noProof/>
        </w:rPr>
      </w:pPr>
      <w:r>
        <w:rPr>
          <w:b/>
          <w:noProof/>
        </w:rPr>
        <w:t>Процедура на комитета</w:t>
      </w:r>
    </w:p>
    <w:p>
      <w:pPr>
        <w:pStyle w:val="ManualNumPar1"/>
        <w:rPr>
          <w:noProof/>
        </w:rPr>
      </w:pPr>
      <w:r>
        <w:rPr>
          <w:noProof/>
        </w:rPr>
        <w:t>1.</w:t>
      </w:r>
      <w:r>
        <w:rPr>
          <w:noProof/>
        </w:rPr>
        <w:tab/>
        <w:t>Комисията се подпомага от Комитета по митническия кодекс, създаден с Регламент (ЕС) № 952/2013. Този комитет е комитет по смисъла на Регламент (ЕС) № 182/2011.</w:t>
      </w:r>
    </w:p>
    <w:p>
      <w:pPr>
        <w:pStyle w:val="ManualNumPar1"/>
        <w:rPr>
          <w:noProof/>
        </w:rPr>
      </w:pPr>
      <w:r>
        <w:rPr>
          <w:noProof/>
        </w:rPr>
        <w:t>2.</w:t>
      </w:r>
      <w:r>
        <w:rPr>
          <w:noProof/>
        </w:rPr>
        <w:tab/>
        <w:t>При позоваване на настоящия параграф се прилага член 4 от Регламент (ЕС) № 182/2011.</w:t>
      </w:r>
    </w:p>
    <w:p>
      <w:pPr>
        <w:pStyle w:val="ManualNumPar1"/>
        <w:rPr>
          <w:noProof/>
        </w:rPr>
      </w:pPr>
      <w:r>
        <w:rPr>
          <w:noProof/>
        </w:rPr>
        <w:t>3.</w:t>
      </w:r>
      <w:r>
        <w:rPr>
          <w:noProof/>
        </w:rPr>
        <w:tab/>
        <w:t>При позоваване на настоящия параграф се прилага член 5 от Регламент (ЕС) № 182/2011.</w:t>
      </w:r>
    </w:p>
    <w:p>
      <w:pPr>
        <w:pStyle w:val="Titrearticle"/>
        <w:rPr>
          <w:noProof/>
        </w:rPr>
      </w:pPr>
      <w:r>
        <w:rPr>
          <w:noProof/>
        </w:rPr>
        <w:lastRenderedPageBreak/>
        <w:t>Член 23</w:t>
      </w:r>
    </w:p>
    <w:p>
      <w:pPr>
        <w:pStyle w:val="NormalCentered"/>
        <w:rPr>
          <w:noProof/>
        </w:rPr>
      </w:pPr>
      <w:r>
        <w:rPr>
          <w:b/>
          <w:noProof/>
        </w:rPr>
        <w:t>Изменения на Регламент (ЕС) № 952/2013</w:t>
      </w:r>
    </w:p>
    <w:p>
      <w:pPr>
        <w:rPr>
          <w:noProof/>
        </w:rPr>
      </w:pPr>
      <w:r>
        <w:rPr>
          <w:noProof/>
        </w:rPr>
        <w:t>Регламент (ЕС) № 952/2013 се изменя, както следва:</w:t>
      </w:r>
    </w:p>
    <w:p>
      <w:pPr>
        <w:rPr>
          <w:noProof/>
        </w:rPr>
      </w:pPr>
      <w:r>
        <w:rPr>
          <w:noProof/>
        </w:rPr>
        <w:t>1) В член 5, параграф 2 се добавя следната буква:</w:t>
      </w:r>
    </w:p>
    <w:p>
      <w:pPr>
        <w:rPr>
          <w:noProof/>
        </w:rPr>
      </w:pPr>
      <w:r>
        <w:rPr>
          <w:noProof/>
        </w:rPr>
        <w:t>„д) Регламент (ЕС) [...] на Европейския парламент и на Съвета* и разпоредбите за неговото допълване или изпълнение;</w:t>
      </w:r>
    </w:p>
    <w:p>
      <w:pPr>
        <w:rPr>
          <w:noProof/>
        </w:rPr>
      </w:pPr>
      <w:r>
        <w:rPr>
          <w:noProof/>
        </w:rPr>
        <w:t>* Регламент (ЕС) [...] на Европейския парламент и на Съвета от [дата] за създаване на среда на Европейския съюз за митническо обслужване на едно гише и за изменение на Регламент (ЕС) № 952/2013 (ОВ L [...], ДД/ММ/ГГГГ, стр. ХХ).</w:t>
      </w:r>
    </w:p>
    <w:p>
      <w:pPr>
        <w:rPr>
          <w:noProof/>
        </w:rPr>
      </w:pPr>
      <w:r>
        <w:rPr>
          <w:noProof/>
        </w:rPr>
        <w:t>2) В член 163, параграф 1 се добавя следната алинея:</w:t>
      </w:r>
    </w:p>
    <w:p>
      <w:pPr>
        <w:rPr>
          <w:noProof/>
        </w:rPr>
      </w:pPr>
      <w:r>
        <w:rPr>
          <w:noProof/>
        </w:rPr>
        <w:t>„Счита се, че придружаващите документи за приложимите немитнически формалности на Съюза, изброени в приложението към Регламент (ЕС) [...], са на съхранение при декларатора и на разположение на митническите органи към момента на подаване на митническата декларация, при условие че тези органи са в състояние да получат необходимите данни от съответната или съответните немитнически системи на Съюза чрез системата на Европейския съюз „Митническо обслужване на едно гише: обмен на сертификати“ в съответствие с член 10, параграф 1, букви а) и в) от посочения регламент“.</w:t>
      </w:r>
    </w:p>
    <w:p>
      <w:pPr>
        <w:pStyle w:val="Titrearticle"/>
        <w:rPr>
          <w:noProof/>
        </w:rPr>
      </w:pPr>
      <w:r>
        <w:rPr>
          <w:noProof/>
        </w:rPr>
        <w:t>Член 24</w:t>
      </w:r>
    </w:p>
    <w:p>
      <w:pPr>
        <w:pStyle w:val="NormalCentered"/>
        <w:rPr>
          <w:noProof/>
        </w:rPr>
      </w:pPr>
      <w:r>
        <w:rPr>
          <w:b/>
          <w:noProof/>
        </w:rPr>
        <w:t>Влизане в сила и прилагане</w:t>
      </w:r>
    </w:p>
    <w:p>
      <w:pPr>
        <w:rPr>
          <w:noProof/>
        </w:rPr>
      </w:pPr>
      <w:r>
        <w:rPr>
          <w:noProof/>
        </w:rPr>
        <w:t xml:space="preserve">Настоящият регламент влиза в сила на двадесетия ден след деня на публикуването му в </w:t>
      </w:r>
      <w:r>
        <w:rPr>
          <w:i/>
          <w:iCs/>
          <w:noProof/>
        </w:rPr>
        <w:t>Официален вестник на Европейския съюз</w:t>
      </w:r>
      <w:r>
        <w:rPr>
          <w:noProof/>
        </w:rPr>
        <w:t>.</w:t>
      </w:r>
    </w:p>
    <w:p>
      <w:pPr>
        <w:rPr>
          <w:noProof/>
        </w:rPr>
      </w:pPr>
      <w:r>
        <w:rPr>
          <w:noProof/>
        </w:rPr>
        <w:t>Член 5, параграфи 2 и 3, член 8, параграф 3, букви а) и б) и член 10 се прилагат за всички немитнически формалности на Съюза, изброени в приложението, считано от посочените в него дати.</w:t>
      </w:r>
    </w:p>
    <w:p>
      <w:pPr>
        <w:rPr>
          <w:noProof/>
        </w:rPr>
      </w:pPr>
      <w:r>
        <w:rPr>
          <w:noProof/>
        </w:rPr>
        <w:t>Член 8, параграф 3, буква в), член 11, член 13, параграфи 1, 2 и 3, член 14 и член 15, параграфи 1 и 2 се прилагат, считано от 1 януари 2031 г.</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keepNext/>
        <w:rPr>
          <w:noProof/>
        </w:rPr>
      </w:pPr>
      <w:r>
        <w:rPr>
          <w:noProof/>
        </w:rPr>
        <w:t>Председател</w:t>
      </w:r>
      <w:r>
        <w:rPr>
          <w:noProof/>
        </w:rPr>
        <w:tab/>
        <w:t>Председател</w:t>
      </w:r>
    </w:p>
    <w:p>
      <w:pPr>
        <w:pStyle w:val="Personnequisigne"/>
        <w:rPr>
          <w:noProof/>
        </w:rPr>
      </w:pPr>
      <w:r>
        <w:rPr>
          <w:noProof/>
        </w:rPr>
        <w:t>[...]</w:t>
      </w:r>
      <w:r>
        <w:rPr>
          <w:noProof/>
        </w:rPr>
        <w:tab/>
        <w:t>[...]</w:t>
      </w:r>
    </w:p>
    <w:p>
      <w:pPr>
        <w:rPr>
          <w:noProof/>
        </w:rPr>
        <w:sectPr>
          <w:pgSz w:w="11907" w:h="16839"/>
          <w:pgMar w:top="1134" w:right="1417" w:bottom="1134" w:left="1417" w:header="709" w:footer="709" w:gutter="0"/>
          <w:cols w:space="720"/>
          <w:docGrid w:linePitch="360"/>
        </w:sectPr>
      </w:pPr>
    </w:p>
    <w:p>
      <w:pPr>
        <w:pStyle w:val="Fichefinanciretitre"/>
        <w:rPr>
          <w:noProof/>
        </w:rPr>
      </w:pPr>
      <w:r>
        <w:rPr>
          <w:noProof/>
        </w:rPr>
        <w:lastRenderedPageBreak/>
        <w:t>ЗАКОНОДАТЕЛНА ФИНАНСОВА ОБОСНОВКА</w:t>
      </w:r>
    </w:p>
    <w:p>
      <w:pPr>
        <w:pStyle w:val="ManualHeading1"/>
        <w:rPr>
          <w:noProof/>
        </w:rPr>
      </w:pPr>
      <w:r>
        <w:rPr>
          <w:noProof/>
        </w:rPr>
        <w:t>1.</w:t>
      </w:r>
      <w:r>
        <w:rPr>
          <w:noProof/>
        </w:rPr>
        <w:tab/>
        <w:t xml:space="preserve">РАМКА НА ПРЕДЛОЖЕНИЕТО/ИНИЦИАТИВАТА </w:t>
      </w:r>
    </w:p>
    <w:p>
      <w:pPr>
        <w:pStyle w:val="ManualHeading2"/>
        <w:rPr>
          <w:b w:val="0"/>
          <w:noProof/>
        </w:rPr>
      </w:pPr>
      <w:r>
        <w:rPr>
          <w:noProof/>
        </w:rPr>
        <w:tab/>
      </w:r>
      <w:r>
        <w:rPr>
          <w:b w:val="0"/>
          <w:noProof/>
        </w:rPr>
        <w:t>1.1.</w:t>
      </w:r>
      <w:r>
        <w:rPr>
          <w:noProof/>
        </w:rPr>
        <w:tab/>
      </w:r>
      <w:r>
        <w:rPr>
          <w:b w:val="0"/>
          <w:noProof/>
        </w:rPr>
        <w:t xml:space="preserve">Наименование на предложението/инициативата </w:t>
      </w:r>
    </w:p>
    <w:p>
      <w:pPr>
        <w:pStyle w:val="ManualHeading2"/>
        <w:rPr>
          <w:b w:val="0"/>
          <w:noProof/>
        </w:rPr>
      </w:pPr>
      <w:r>
        <w:rPr>
          <w:noProof/>
        </w:rPr>
        <w:tab/>
      </w:r>
      <w:r>
        <w:rPr>
          <w:b w:val="0"/>
          <w:noProof/>
        </w:rPr>
        <w:t>1.2.</w:t>
      </w:r>
      <w:r>
        <w:rPr>
          <w:noProof/>
        </w:rPr>
        <w:tab/>
      </w:r>
      <w:r>
        <w:rPr>
          <w:b w:val="0"/>
          <w:noProof/>
        </w:rPr>
        <w:t>Съответни области на политиката в структурата на УД/БД</w:t>
      </w:r>
    </w:p>
    <w:p>
      <w:pPr>
        <w:pStyle w:val="ManualHeading2"/>
        <w:rPr>
          <w:b w:val="0"/>
          <w:noProof/>
        </w:rPr>
      </w:pPr>
      <w:r>
        <w:rPr>
          <w:noProof/>
        </w:rPr>
        <w:tab/>
      </w:r>
      <w:r>
        <w:rPr>
          <w:b w:val="0"/>
          <w:noProof/>
        </w:rPr>
        <w:t>1.3.</w:t>
      </w:r>
      <w:r>
        <w:rPr>
          <w:noProof/>
        </w:rPr>
        <w:tab/>
      </w:r>
      <w:r>
        <w:rPr>
          <w:b w:val="0"/>
          <w:noProof/>
        </w:rPr>
        <w:t xml:space="preserve">Естество на предложението/инициативата </w:t>
      </w:r>
    </w:p>
    <w:p>
      <w:pPr>
        <w:pStyle w:val="ManualHeading2"/>
        <w:rPr>
          <w:b w:val="0"/>
          <w:noProof/>
        </w:rPr>
      </w:pPr>
      <w:r>
        <w:rPr>
          <w:noProof/>
        </w:rPr>
        <w:tab/>
      </w:r>
      <w:r>
        <w:rPr>
          <w:b w:val="0"/>
          <w:noProof/>
        </w:rPr>
        <w:t>1.4.</w:t>
      </w:r>
      <w:r>
        <w:rPr>
          <w:noProof/>
        </w:rPr>
        <w:tab/>
      </w:r>
      <w:r>
        <w:rPr>
          <w:b w:val="0"/>
          <w:noProof/>
        </w:rPr>
        <w:t xml:space="preserve">Цел(и) </w:t>
      </w:r>
    </w:p>
    <w:p>
      <w:pPr>
        <w:pStyle w:val="ManualHeading2"/>
        <w:rPr>
          <w:b w:val="0"/>
          <w:noProof/>
        </w:rPr>
      </w:pPr>
      <w:r>
        <w:rPr>
          <w:noProof/>
        </w:rPr>
        <w:tab/>
      </w:r>
      <w:r>
        <w:rPr>
          <w:b w:val="0"/>
          <w:noProof/>
        </w:rPr>
        <w:t>1.5.</w:t>
      </w:r>
      <w:r>
        <w:rPr>
          <w:noProof/>
        </w:rPr>
        <w:tab/>
      </w:r>
      <w:r>
        <w:rPr>
          <w:b w:val="0"/>
          <w:noProof/>
        </w:rPr>
        <w:t xml:space="preserve">Мотиви за предложението/инициативата </w:t>
      </w:r>
    </w:p>
    <w:p>
      <w:pPr>
        <w:pStyle w:val="ManualHeading2"/>
        <w:rPr>
          <w:b w:val="0"/>
          <w:noProof/>
        </w:rPr>
      </w:pPr>
      <w:r>
        <w:rPr>
          <w:noProof/>
        </w:rPr>
        <w:tab/>
      </w:r>
      <w:r>
        <w:rPr>
          <w:b w:val="0"/>
          <w:noProof/>
        </w:rPr>
        <w:t>1.6.</w:t>
      </w:r>
      <w:r>
        <w:rPr>
          <w:noProof/>
        </w:rPr>
        <w:tab/>
      </w:r>
      <w:r>
        <w:rPr>
          <w:b w:val="0"/>
          <w:noProof/>
        </w:rPr>
        <w:t xml:space="preserve">Срок на действие и финансово отражение </w:t>
      </w:r>
    </w:p>
    <w:p>
      <w:pPr>
        <w:pStyle w:val="ManualHeading2"/>
        <w:rPr>
          <w:b w:val="0"/>
          <w:noProof/>
        </w:rPr>
      </w:pPr>
      <w:r>
        <w:rPr>
          <w:noProof/>
        </w:rPr>
        <w:tab/>
      </w:r>
      <w:r>
        <w:rPr>
          <w:b w:val="0"/>
          <w:noProof/>
        </w:rPr>
        <w:t>1.7.</w:t>
      </w:r>
      <w:r>
        <w:rPr>
          <w:noProof/>
        </w:rPr>
        <w:tab/>
      </w:r>
      <w:r>
        <w:rPr>
          <w:b w:val="0"/>
          <w:noProof/>
        </w:rPr>
        <w:t xml:space="preserve">Планирани методи на управление </w:t>
      </w:r>
    </w:p>
    <w:p>
      <w:pPr>
        <w:pStyle w:val="ManualHeading1"/>
        <w:rPr>
          <w:noProof/>
        </w:rPr>
      </w:pPr>
      <w:r>
        <w:rPr>
          <w:noProof/>
        </w:rPr>
        <w:t>2.</w:t>
      </w:r>
      <w:r>
        <w:rPr>
          <w:noProof/>
        </w:rPr>
        <w:tab/>
        <w:t xml:space="preserve">МЕРКИ ЗА УПРАВЛЕНИЕ </w:t>
      </w:r>
    </w:p>
    <w:p>
      <w:pPr>
        <w:pStyle w:val="ManualHeading2"/>
        <w:rPr>
          <w:b w:val="0"/>
          <w:noProof/>
        </w:rPr>
      </w:pPr>
      <w:r>
        <w:rPr>
          <w:noProof/>
        </w:rPr>
        <w:tab/>
      </w:r>
      <w:r>
        <w:rPr>
          <w:b w:val="0"/>
          <w:noProof/>
        </w:rPr>
        <w:t>2.1.</w:t>
      </w:r>
      <w:r>
        <w:rPr>
          <w:noProof/>
        </w:rPr>
        <w:tab/>
      </w:r>
      <w:r>
        <w:rPr>
          <w:b w:val="0"/>
          <w:noProof/>
        </w:rPr>
        <w:t xml:space="preserve">Правила за мониторинг и докладване </w:t>
      </w:r>
    </w:p>
    <w:p>
      <w:pPr>
        <w:pStyle w:val="ManualHeading2"/>
        <w:rPr>
          <w:b w:val="0"/>
          <w:noProof/>
        </w:rPr>
      </w:pPr>
      <w:r>
        <w:rPr>
          <w:noProof/>
        </w:rPr>
        <w:tab/>
      </w:r>
      <w:r>
        <w:rPr>
          <w:b w:val="0"/>
          <w:noProof/>
        </w:rPr>
        <w:t>2.2.</w:t>
      </w:r>
      <w:r>
        <w:rPr>
          <w:noProof/>
        </w:rPr>
        <w:tab/>
      </w:r>
      <w:r>
        <w:rPr>
          <w:b w:val="0"/>
          <w:noProof/>
        </w:rPr>
        <w:t xml:space="preserve">Система за управление и контрол </w:t>
      </w:r>
    </w:p>
    <w:p>
      <w:pPr>
        <w:pStyle w:val="ManualHeading2"/>
        <w:rPr>
          <w:b w:val="0"/>
          <w:noProof/>
        </w:rPr>
      </w:pPr>
      <w:r>
        <w:rPr>
          <w:noProof/>
        </w:rPr>
        <w:tab/>
      </w:r>
      <w:r>
        <w:rPr>
          <w:b w:val="0"/>
          <w:noProof/>
        </w:rPr>
        <w:t>2.3.</w:t>
      </w:r>
      <w:r>
        <w:rPr>
          <w:noProof/>
        </w:rPr>
        <w:tab/>
      </w:r>
      <w:r>
        <w:rPr>
          <w:b w:val="0"/>
          <w:noProof/>
        </w:rPr>
        <w:t xml:space="preserve">Мерки за предотвратяване на измами и нередности </w:t>
      </w:r>
    </w:p>
    <w:p>
      <w:pPr>
        <w:pStyle w:val="ManualHeading1"/>
        <w:rPr>
          <w:noProof/>
        </w:rPr>
      </w:pPr>
      <w:r>
        <w:rPr>
          <w:noProof/>
        </w:rPr>
        <w:t>3.</w:t>
      </w:r>
      <w:r>
        <w:rPr>
          <w:noProof/>
        </w:rPr>
        <w:tab/>
        <w:t xml:space="preserve">ОЧАКВАНО ФИНАНСОВО ОТРАЖЕНИЕ НА ПРЕДЛОЖЕНИЕТО/ИНИЦИАТИВАТА </w:t>
      </w:r>
    </w:p>
    <w:p>
      <w:pPr>
        <w:pStyle w:val="ManualHeading2"/>
        <w:rPr>
          <w:b w:val="0"/>
          <w:noProof/>
        </w:rPr>
      </w:pPr>
      <w:r>
        <w:rPr>
          <w:noProof/>
        </w:rPr>
        <w:tab/>
      </w:r>
      <w:r>
        <w:rPr>
          <w:b w:val="0"/>
          <w:noProof/>
        </w:rPr>
        <w:t>3.1.</w:t>
      </w:r>
      <w:r>
        <w:rPr>
          <w:noProof/>
        </w:rPr>
        <w:tab/>
      </w:r>
      <w:r>
        <w:rPr>
          <w:b w:val="0"/>
          <w:noProof/>
        </w:rPr>
        <w:t xml:space="preserve">Съответни функции от многогодишната финансова рамка и разходни бюджетни редове </w:t>
      </w:r>
    </w:p>
    <w:p>
      <w:pPr>
        <w:pStyle w:val="ManualHeading2"/>
        <w:rPr>
          <w:noProof/>
        </w:rPr>
      </w:pPr>
      <w:r>
        <w:rPr>
          <w:noProof/>
        </w:rPr>
        <w:tab/>
      </w:r>
      <w:r>
        <w:rPr>
          <w:b w:val="0"/>
          <w:noProof/>
        </w:rPr>
        <w:t>3.2.</w:t>
      </w:r>
      <w:r>
        <w:rPr>
          <w:noProof/>
        </w:rPr>
        <w:tab/>
      </w:r>
      <w:r>
        <w:rPr>
          <w:b w:val="0"/>
          <w:noProof/>
        </w:rPr>
        <w:t>Очаквано отражение върху разходите</w:t>
      </w:r>
      <w:r>
        <w:rPr>
          <w:noProof/>
        </w:rPr>
        <w:t xml:space="preserve"> </w:t>
      </w:r>
    </w:p>
    <w:p>
      <w:pPr>
        <w:pStyle w:val="ManualHeading3"/>
        <w:rPr>
          <w:noProof/>
        </w:rPr>
      </w:pPr>
      <w:r>
        <w:rPr>
          <w:noProof/>
        </w:rPr>
        <w:tab/>
        <w:t>3.2.1.</w:t>
      </w:r>
      <w:r>
        <w:rPr>
          <w:noProof/>
        </w:rPr>
        <w:tab/>
        <w:t xml:space="preserve">Обобщение на очакваното отражение върху разходите </w:t>
      </w:r>
    </w:p>
    <w:p>
      <w:pPr>
        <w:pStyle w:val="ManualHeading3"/>
        <w:rPr>
          <w:noProof/>
        </w:rPr>
      </w:pPr>
      <w:r>
        <w:rPr>
          <w:noProof/>
        </w:rPr>
        <w:tab/>
        <w:t>3.2.2.</w:t>
      </w:r>
      <w:r>
        <w:rPr>
          <w:noProof/>
        </w:rPr>
        <w:tab/>
        <w:t xml:space="preserve">Очаквано отражение върху бюджетните кредити за оперативни разходи </w:t>
      </w:r>
    </w:p>
    <w:p>
      <w:pPr>
        <w:pStyle w:val="ManualHeading3"/>
        <w:rPr>
          <w:noProof/>
        </w:rPr>
      </w:pPr>
      <w:r>
        <w:rPr>
          <w:noProof/>
        </w:rPr>
        <w:tab/>
        <w:t>3.2.3.</w:t>
      </w:r>
      <w:r>
        <w:rPr>
          <w:noProof/>
        </w:rPr>
        <w:tab/>
        <w:t>Очаквано отражение върху бюджетните кредити за административни разходи</w:t>
      </w:r>
    </w:p>
    <w:p>
      <w:pPr>
        <w:pStyle w:val="ManualHeading3"/>
        <w:rPr>
          <w:noProof/>
        </w:rPr>
      </w:pPr>
      <w:r>
        <w:rPr>
          <w:noProof/>
        </w:rPr>
        <w:tab/>
        <w:t>3.2.4.</w:t>
      </w:r>
      <w:r>
        <w:rPr>
          <w:noProof/>
        </w:rPr>
        <w:tab/>
        <w:t>Съвместимост с настоящата многогодишна финансова рамка</w:t>
      </w:r>
    </w:p>
    <w:p>
      <w:pPr>
        <w:pStyle w:val="ManualHeading3"/>
        <w:rPr>
          <w:noProof/>
        </w:rPr>
      </w:pPr>
      <w:r>
        <w:rPr>
          <w:noProof/>
        </w:rPr>
        <w:tab/>
        <w:t>3.2.5.</w:t>
      </w:r>
      <w:r>
        <w:rPr>
          <w:noProof/>
        </w:rPr>
        <w:tab/>
        <w:t xml:space="preserve">Финансов принос от трети страни </w:t>
      </w:r>
    </w:p>
    <w:p>
      <w:pPr>
        <w:pStyle w:val="ManualHeading2"/>
        <w:jc w:val="left"/>
        <w:rPr>
          <w:b w:val="0"/>
          <w:noProof/>
        </w:rPr>
        <w:sectPr>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i/>
          <w:noProof/>
        </w:rPr>
        <w:t>Очаквано отражение върху приходите</w:t>
      </w:r>
    </w:p>
    <w:p>
      <w:pPr>
        <w:jc w:val="center"/>
        <w:rPr>
          <w:noProof/>
        </w:rPr>
      </w:pPr>
      <w:r>
        <w:rPr>
          <w:b/>
          <w:noProof/>
          <w:u w:val="single"/>
        </w:rPr>
        <w:t>ЗАКОНОДАТЕЛНА ФИНАНСОВА ОБОСНОВКА</w:t>
      </w:r>
    </w:p>
    <w:p>
      <w:pPr>
        <w:pStyle w:val="ManualHeading1"/>
        <w:rPr>
          <w:noProof/>
        </w:rPr>
      </w:pPr>
      <w:r>
        <w:t>1.</w:t>
      </w:r>
      <w:r>
        <w:tab/>
      </w:r>
      <w:r>
        <w:rPr>
          <w:noProof/>
        </w:rPr>
        <w:t xml:space="preserve">РАМКА НА ПРЕДЛОЖЕНИЕТО/ИНИЦИАТИВАТА </w:t>
      </w:r>
    </w:p>
    <w:p>
      <w:pPr>
        <w:pStyle w:val="ManualHeading2"/>
        <w:rPr>
          <w:noProof/>
        </w:rPr>
      </w:pPr>
      <w:r>
        <w:t>1.1.</w:t>
      </w:r>
      <w:r>
        <w:tab/>
      </w:r>
      <w:r>
        <w:rPr>
          <w:noProof/>
        </w:rPr>
        <w:t xml:space="preserve">Наименование на предложението/инициативата </w:t>
      </w:r>
    </w:p>
    <w:p>
      <w:pPr>
        <w:pStyle w:val="Text1"/>
        <w:pBdr>
          <w:top w:val="single" w:sz="4" w:space="1" w:color="auto"/>
          <w:left w:val="single" w:sz="4" w:space="4" w:color="auto"/>
          <w:bottom w:val="single" w:sz="4" w:space="1" w:color="auto"/>
          <w:right w:val="single" w:sz="4" w:space="4" w:color="auto"/>
        </w:pBdr>
        <w:rPr>
          <w:noProof/>
        </w:rPr>
      </w:pPr>
      <w:r>
        <w:rPr>
          <w:noProof/>
        </w:rPr>
        <w:t>Предложение за РЕГЛАМЕНТ НА ЕВРОПЕЙСКИЯ ПАРЛАМЕНТ И НА СЪВЕТА за създаване на среда на ЕС за митническо обслужване на едно гише и за изменение на Регламент (ЕС) № 952/2013.</w:t>
      </w:r>
    </w:p>
    <w:p>
      <w:pPr>
        <w:pStyle w:val="Tiret1"/>
        <w:numPr>
          <w:ilvl w:val="0"/>
          <w:numId w:val="20"/>
        </w:numPr>
        <w:pBdr>
          <w:top w:val="single" w:sz="4" w:space="1" w:color="auto"/>
          <w:left w:val="single" w:sz="4" w:space="4" w:color="auto"/>
          <w:bottom w:val="single" w:sz="4" w:space="1" w:color="auto"/>
          <w:right w:val="single" w:sz="4" w:space="4" w:color="auto"/>
        </w:pBdr>
        <w:rPr>
          <w:noProof/>
        </w:rPr>
      </w:pPr>
      <w:r>
        <w:rPr>
          <w:noProof/>
        </w:rPr>
        <w:t>PLAN/2017/1149 — „ДАНЪЧНО ОБЛАГАНЕ И МИТНИЧЕСКИ СЪЮЗ“</w:t>
      </w:r>
    </w:p>
    <w:p>
      <w:pPr>
        <w:pStyle w:val="ManualHeading2"/>
        <w:rPr>
          <w:noProof/>
          <w:szCs w:val="24"/>
        </w:rPr>
      </w:pPr>
      <w:r>
        <w:t>1.2.</w:t>
      </w:r>
      <w:r>
        <w:tab/>
      </w:r>
      <w:r>
        <w:rPr>
          <w:noProof/>
        </w:rPr>
        <w:t>Съответни области на политиката в структурата на УД/БД</w:t>
      </w:r>
      <w:r>
        <w:rPr>
          <w:rStyle w:val="FootnoteReference"/>
          <w:noProof/>
        </w:rPr>
        <w:footnoteReference w:id="44"/>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 митнически съюз</w:t>
      </w:r>
    </w:p>
    <w:p>
      <w:pPr>
        <w:pStyle w:val="Text1"/>
        <w:pBdr>
          <w:top w:val="single" w:sz="4" w:space="1" w:color="auto"/>
          <w:left w:val="single" w:sz="4" w:space="4" w:color="auto"/>
          <w:bottom w:val="single" w:sz="4" w:space="1" w:color="auto"/>
          <w:right w:val="single" w:sz="4" w:space="4" w:color="auto"/>
        </w:pBdr>
        <w:rPr>
          <w:noProof/>
        </w:rPr>
      </w:pPr>
      <w:r>
        <w:rPr>
          <w:noProof/>
        </w:rPr>
        <w:t>- стратегия за електронно управление и цифровизация</w:t>
      </w:r>
    </w:p>
    <w:p>
      <w:pPr>
        <w:pStyle w:val="ManualHeading2"/>
        <w:rPr>
          <w:bCs/>
          <w:noProof/>
          <w:szCs w:val="24"/>
        </w:rPr>
      </w:pPr>
      <w:r>
        <w:t>1.3.</w:t>
      </w:r>
      <w:r>
        <w:tab/>
      </w:r>
      <w:r>
        <w:rPr>
          <w:noProof/>
        </w:rPr>
        <w:t xml:space="preserve">Естество на предложението/инициативата </w:t>
      </w:r>
    </w:p>
    <w:p>
      <w:pPr>
        <w:pStyle w:val="Text1"/>
        <w:rPr>
          <w:b/>
          <w:noProof/>
          <w:sz w:val="22"/>
        </w:rPr>
      </w:pPr>
      <w:r>
        <w:rPr>
          <w:noProof/>
          <w:sz w:val="22"/>
        </w:rPr>
        <w:sym w:font="Wingdings" w:char="F0FD"/>
      </w:r>
      <w:r>
        <w:rPr>
          <w:b/>
          <w:i/>
          <w:noProof/>
          <w:sz w:val="22"/>
        </w:rPr>
        <w:t xml:space="preserve"> </w:t>
      </w:r>
      <w:r>
        <w:rPr>
          <w:noProof/>
        </w:rPr>
        <w:t xml:space="preserve">Предложението/инициативата е във връзка с </w:t>
      </w:r>
      <w:r>
        <w:rPr>
          <w:b/>
          <w:noProof/>
        </w:rPr>
        <w:t>ново действие</w:t>
      </w:r>
      <w:r>
        <w:rPr>
          <w:b/>
          <w:noProof/>
          <w:sz w:val="22"/>
        </w:rPr>
        <w:t xml:space="preserve"> </w:t>
      </w:r>
    </w:p>
    <w:p>
      <w:pPr>
        <w:pStyle w:val="Text1"/>
        <w:rPr>
          <w:noProof/>
          <w:sz w:val="22"/>
        </w:rPr>
      </w:pPr>
      <w:r>
        <w:rPr>
          <w:noProof/>
          <w:sz w:val="22"/>
        </w:rPr>
        <w:sym w:font="Wingdings" w:char="F0A8"/>
      </w:r>
      <w:r>
        <w:rPr>
          <w:noProof/>
        </w:rPr>
        <w:t xml:space="preserve">Предложението/инициативата е във връзка с </w:t>
      </w:r>
      <w:r>
        <w:rPr>
          <w:b/>
          <w:noProof/>
        </w:rPr>
        <w:t>ново действие след пилотен проект/подготвително действие</w:t>
      </w:r>
      <w:r>
        <w:rPr>
          <w:rStyle w:val="FootnoteReference"/>
          <w:noProof/>
        </w:rPr>
        <w:footnoteReference w:id="45"/>
      </w:r>
      <w:r>
        <w:rPr>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Предложението/инициативата е във връзка с </w:t>
      </w:r>
      <w:r>
        <w:rPr>
          <w:b/>
          <w:noProof/>
        </w:rPr>
        <w:t>продължаване на съществуващо действие</w:t>
      </w:r>
      <w:r>
        <w:rPr>
          <w:noProof/>
          <w:sz w:val="22"/>
        </w:rPr>
        <w:t xml:space="preserve"> </w:t>
      </w:r>
    </w:p>
    <w:p>
      <w:pPr>
        <w:pStyle w:val="Text1"/>
        <w:rPr>
          <w:noProof/>
        </w:rPr>
      </w:pPr>
      <w:r>
        <w:rPr>
          <w:noProof/>
          <w:sz w:val="22"/>
        </w:rPr>
        <w:sym w:font="Wingdings" w:char="F0A8"/>
      </w:r>
      <w:r>
        <w:rPr>
          <w:i/>
          <w:noProof/>
          <w:sz w:val="22"/>
        </w:rPr>
        <w:t xml:space="preserve"> </w:t>
      </w:r>
      <w:r>
        <w:rPr>
          <w:noProof/>
        </w:rPr>
        <w:t xml:space="preserve">Предложението/инициативата е във връзка с </w:t>
      </w:r>
      <w:r>
        <w:rPr>
          <w:b/>
          <w:noProof/>
        </w:rPr>
        <w:t>действие, пренасочено към ново действие</w:t>
      </w:r>
      <w:r>
        <w:rPr>
          <w:noProof/>
        </w:rPr>
        <w:t xml:space="preserve"> </w:t>
      </w:r>
    </w:p>
    <w:p>
      <w:pPr>
        <w:pStyle w:val="ManualHeading2"/>
        <w:rPr>
          <w:bCs/>
          <w:noProof/>
          <w:szCs w:val="24"/>
        </w:rPr>
      </w:pPr>
      <w:r>
        <w:t>1.4.</w:t>
      </w:r>
      <w:r>
        <w:tab/>
      </w:r>
      <w:r>
        <w:rPr>
          <w:noProof/>
        </w:rPr>
        <w:t>Цел(и)</w:t>
      </w:r>
    </w:p>
    <w:p>
      <w:pPr>
        <w:pStyle w:val="ManualHeading3"/>
        <w:rPr>
          <w:noProof/>
        </w:rPr>
      </w:pPr>
      <w:r>
        <w:t>1.4.1.</w:t>
      </w:r>
      <w:r>
        <w:tab/>
      </w:r>
      <w:r>
        <w:rPr>
          <w:noProof/>
        </w:rPr>
        <w:t xml:space="preserve">Многогодишни стратегически цели на Комисията, за чието изпълнение е предназначено предложението/инициативата </w:t>
      </w:r>
    </w:p>
    <w:p>
      <w:pPr>
        <w:pStyle w:val="Text1"/>
        <w:pBdr>
          <w:top w:val="single" w:sz="4" w:space="1" w:color="auto"/>
          <w:left w:val="single" w:sz="4" w:space="4" w:color="auto"/>
          <w:bottom w:val="single" w:sz="4" w:space="1" w:color="auto"/>
          <w:right w:val="single" w:sz="4" w:space="4" w:color="auto"/>
        </w:pBdr>
        <w:rPr>
          <w:noProof/>
        </w:rPr>
      </w:pPr>
      <w:r>
        <w:rPr>
          <w:noProof/>
        </w:rPr>
        <w:t>Съобщението на Европейската комисия от 2016 г.: „Развитие на митническия съюз в ЕС и на неговото управление“ (COM (2016) 813 final)</w:t>
      </w:r>
      <w:r>
        <w:rPr>
          <w:rStyle w:val="FootnoteReference"/>
          <w:noProof/>
        </w:rPr>
        <w:footnoteReference w:id="46"/>
      </w:r>
    </w:p>
    <w:p>
      <w:pPr>
        <w:pStyle w:val="Text1"/>
        <w:pBdr>
          <w:top w:val="single" w:sz="4" w:space="1" w:color="auto"/>
          <w:left w:val="single" w:sz="4" w:space="4" w:color="auto"/>
          <w:bottom w:val="single" w:sz="4" w:space="1" w:color="auto"/>
          <w:right w:val="single" w:sz="4" w:space="4" w:color="auto"/>
        </w:pBdr>
        <w:rPr>
          <w:noProof/>
        </w:rPr>
      </w:pPr>
      <w:r>
        <w:rPr>
          <w:noProof/>
        </w:rPr>
        <w:t>Стратегически план на ГД „Данъчно облагане и митнически съюз“ за периода 2016—2020 г.</w:t>
      </w:r>
      <w:r>
        <w:rPr>
          <w:rStyle w:val="FootnoteReference"/>
          <w:noProof/>
        </w:rPr>
        <w:footnoteReference w:id="47"/>
      </w:r>
    </w:p>
    <w:p>
      <w:pPr>
        <w:pStyle w:val="Text1"/>
        <w:pBdr>
          <w:top w:val="single" w:sz="4" w:space="1" w:color="auto"/>
          <w:left w:val="single" w:sz="4" w:space="4" w:color="auto"/>
          <w:bottom w:val="single" w:sz="4" w:space="1" w:color="auto"/>
          <w:right w:val="single" w:sz="4" w:space="4" w:color="auto"/>
        </w:pBdr>
        <w:rPr>
          <w:noProof/>
          <w:szCs w:val="24"/>
        </w:rPr>
      </w:pPr>
      <w:r>
        <w:rPr>
          <w:rStyle w:val="truncate"/>
          <w:noProof/>
          <w:szCs w:val="24"/>
        </w:rPr>
        <w:t>Съобщение на Комисията до Европейския парламент, Съвета и Европейския икономически и социален комитет относно план за действие за преминаване към следващото ниво на Митническия съюз: програма за действие за силен и модерен митнически съюз</w:t>
      </w:r>
      <w:r>
        <w:rPr>
          <w:noProof/>
        </w:rPr>
        <w:t xml:space="preserve"> (PLAN/2020/6296).</w:t>
      </w:r>
    </w:p>
    <w:p>
      <w:pPr>
        <w:pStyle w:val="Text1"/>
        <w:pBdr>
          <w:top w:val="single" w:sz="4" w:space="1" w:color="auto"/>
          <w:left w:val="single" w:sz="4" w:space="4" w:color="auto"/>
          <w:bottom w:val="single" w:sz="4" w:space="1" w:color="auto"/>
          <w:right w:val="single" w:sz="4" w:space="4" w:color="auto"/>
        </w:pBdr>
        <w:rPr>
          <w:noProof/>
        </w:rPr>
      </w:pPr>
      <w:r>
        <w:rPr>
          <w:noProof/>
        </w:rPr>
        <w:t>Декларация от Талин относно електронното управление (естонско председателство на Съвета на ЕС от 6 октомври 2017 г.)</w:t>
      </w:r>
      <w:r>
        <w:rPr>
          <w:rStyle w:val="FootnoteReference"/>
          <w:noProof/>
        </w:rPr>
        <w:footnoteReference w:id="48"/>
      </w:r>
      <w:r>
        <w:rPr>
          <w:noProof/>
        </w:rPr>
        <w:t>.</w:t>
      </w:r>
    </w:p>
    <w:p>
      <w:pPr>
        <w:pStyle w:val="ManualHeading3"/>
        <w:rPr>
          <w:noProof/>
        </w:rPr>
      </w:pPr>
      <w:r>
        <w:t>1.4.2.</w:t>
      </w:r>
      <w:r>
        <w:tab/>
      </w:r>
      <w:r>
        <w:rPr>
          <w:noProof/>
        </w:rPr>
        <w:t xml:space="preserve">Конкретни цели и съответни дейности във връзка с УД/БД </w:t>
      </w:r>
    </w:p>
    <w:p>
      <w:pPr>
        <w:pStyle w:val="Text1"/>
        <w:pBdr>
          <w:top w:val="single" w:sz="4" w:space="1" w:color="auto"/>
          <w:left w:val="single" w:sz="4" w:space="4" w:color="auto"/>
          <w:bottom w:val="single" w:sz="4" w:space="1" w:color="auto"/>
          <w:right w:val="single" w:sz="4" w:space="4" w:color="auto"/>
        </w:pBdr>
        <w:rPr>
          <w:noProof/>
        </w:rPr>
      </w:pPr>
      <w:r>
        <w:rPr>
          <w:noProof/>
          <w:u w:val="single"/>
        </w:rPr>
        <w:t>Конкретни цели</w:t>
      </w:r>
    </w:p>
    <w:p>
      <w:pPr>
        <w:pStyle w:val="Point1"/>
        <w:pBdr>
          <w:top w:val="single" w:sz="4" w:space="1" w:color="auto"/>
          <w:left w:val="single" w:sz="4" w:space="4" w:color="auto"/>
          <w:bottom w:val="single" w:sz="4" w:space="1" w:color="auto"/>
          <w:right w:val="single" w:sz="4" w:space="4" w:color="auto"/>
        </w:pBdr>
        <w:rPr>
          <w:noProof/>
        </w:rPr>
      </w:pPr>
      <w:r>
        <w:rPr>
          <w:noProof/>
        </w:rPr>
        <w:t>1.</w:t>
      </w:r>
      <w:r>
        <w:rPr>
          <w:noProof/>
        </w:rPr>
        <w:tab/>
        <w:t>По-тясно сътрудничество между митническите и компетентните органи, отговарящи за принудителното изпълнение на немитническите нормативни формалности, необходими за международната търговия (наричани по-долу „партньорски компетентни органи“), с цел да се разшири и подобри пилотното ИТ решение, разработено от ГД „Данъчно облагане и митнически съюз“</w:t>
      </w:r>
      <w:r>
        <w:rPr>
          <w:rStyle w:val="FootnoteReference"/>
          <w:noProof/>
        </w:rPr>
        <w:footnoteReference w:id="49"/>
      </w:r>
      <w:r>
        <w:rPr>
          <w:noProof/>
        </w:rPr>
        <w:t>. С това решение ще се свържат по еднакъв начин националните митнически системи със системите на ЕС за управление на немитническите нормативни формалности, за да се позволи систематичен и автоматизиран обмен на информация между двете области.</w:t>
      </w:r>
    </w:p>
    <w:p>
      <w:pPr>
        <w:pStyle w:val="Point1"/>
        <w:pBdr>
          <w:top w:val="single" w:sz="4" w:space="1" w:color="auto"/>
          <w:left w:val="single" w:sz="4" w:space="4" w:color="auto"/>
          <w:bottom w:val="single" w:sz="4" w:space="1" w:color="auto"/>
          <w:right w:val="single" w:sz="4" w:space="4" w:color="auto"/>
        </w:pBdr>
        <w:rPr>
          <w:noProof/>
        </w:rPr>
      </w:pPr>
      <w:r>
        <w:rPr>
          <w:noProof/>
        </w:rPr>
        <w:t>2.</w:t>
      </w:r>
      <w:r>
        <w:rPr>
          <w:noProof/>
        </w:rPr>
        <w:tab/>
        <w:t>Подобрено принудително изпълнение на презграничните нормативни формалности. Обменът на информация между системите на митническите и немитническите органи ще позволи автоматизиран митнически контрол на придружаващите документи, електронна обратна връзка за митническото оформяне към партньорските компетентни органи и по-успешно обединяване на приложимите митнически и немитнически процедури.</w:t>
      </w:r>
    </w:p>
    <w:p>
      <w:pPr>
        <w:pStyle w:val="Point1"/>
        <w:pBdr>
          <w:top w:val="single" w:sz="4" w:space="1" w:color="auto"/>
          <w:left w:val="single" w:sz="4" w:space="4" w:color="auto"/>
          <w:bottom w:val="single" w:sz="4" w:space="1" w:color="auto"/>
          <w:right w:val="single" w:sz="4" w:space="4" w:color="auto"/>
        </w:pBdr>
        <w:rPr>
          <w:noProof/>
          <w:u w:val="single"/>
        </w:rPr>
      </w:pPr>
      <w:r>
        <w:rPr>
          <w:noProof/>
        </w:rPr>
        <w:t>3.</w:t>
      </w:r>
      <w:r>
        <w:rPr>
          <w:noProof/>
        </w:rPr>
        <w:tab/>
        <w:t>Опростени процеси за оформяне на стоките за икономическите оператори чрез определяне на рамка за хармонизиране на данните и създаване на възможност за повторно използване на данните, предоставени от икономическите оператори.</w:t>
      </w:r>
    </w:p>
    <w:p>
      <w:pPr>
        <w:pStyle w:val="Point1"/>
        <w:pBdr>
          <w:top w:val="single" w:sz="4" w:space="1" w:color="auto"/>
          <w:left w:val="single" w:sz="4" w:space="4" w:color="auto"/>
          <w:bottom w:val="single" w:sz="4" w:space="1" w:color="auto"/>
          <w:right w:val="single" w:sz="4" w:space="4" w:color="auto"/>
        </w:pBdr>
        <w:rPr>
          <w:noProof/>
        </w:rPr>
      </w:pPr>
      <w:r>
        <w:rPr>
          <w:noProof/>
        </w:rPr>
        <w:t>4.</w:t>
      </w:r>
      <w:r>
        <w:rPr>
          <w:noProof/>
        </w:rPr>
        <w:tab/>
        <w:t>Управление на количествата при немитническите формалности в рамките на целия ЕС.</w:t>
      </w:r>
    </w:p>
    <w:p>
      <w:pPr>
        <w:pStyle w:val="Text1"/>
        <w:rPr>
          <w:noProof/>
        </w:rPr>
      </w:pP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Съответни дейности във връзка с УД/БД</w:t>
      </w:r>
    </w:p>
    <w:p>
      <w:pPr>
        <w:pStyle w:val="Text1"/>
        <w:pBdr>
          <w:top w:val="single" w:sz="4" w:space="1" w:color="auto"/>
          <w:left w:val="single" w:sz="4" w:space="4" w:color="auto"/>
          <w:bottom w:val="single" w:sz="4" w:space="1" w:color="auto"/>
          <w:right w:val="single" w:sz="4" w:space="4" w:color="auto"/>
        </w:pBdr>
        <w:rPr>
          <w:noProof/>
        </w:rPr>
      </w:pPr>
      <w:r>
        <w:rPr>
          <w:noProof/>
        </w:rPr>
        <w:t>Комисията ще гарантира, че са налице механизми за наблюдение и оценка на функционирането на средата на ЕС за митническо обслужване на едно гише с оглед на основните цели на политиката. Приоритетите на политиката и съответните ресурси са очертани в раздели 1.5.1 и 3 от настоящия документ.</w:t>
      </w:r>
    </w:p>
    <w:p>
      <w:pPr>
        <w:pStyle w:val="ManualHeading3"/>
        <w:rPr>
          <w:bCs/>
          <w:noProof/>
          <w:szCs w:val="24"/>
        </w:rPr>
      </w:pPr>
      <w:r>
        <w:t>1.4.3.</w:t>
      </w:r>
      <w:r>
        <w:tab/>
      </w:r>
      <w:r>
        <w:rPr>
          <w:noProof/>
        </w:rPr>
        <w:t>Очаквани резултати и отражение</w:t>
      </w:r>
    </w:p>
    <w:p>
      <w:pPr>
        <w:pStyle w:val="Text1"/>
        <w:rPr>
          <w:i/>
          <w:noProof/>
          <w:sz w:val="20"/>
        </w:rPr>
      </w:pPr>
      <w:r>
        <w:rPr>
          <w:i/>
          <w:noProof/>
          <w:sz w:val="20"/>
        </w:rPr>
        <w:t>Да се посочи въздействието, което предложението/инициативата следва да окаже по отношение на бенефициерите/ целевите групи.</w:t>
      </w:r>
      <w:bookmarkStart w:id="1" w:name="_Toc24457138"/>
      <w:bookmarkStart w:id="2" w:name="_Toc24457190"/>
      <w:bookmarkEnd w:id="1"/>
      <w:bookmarkEnd w:id="2"/>
    </w:p>
    <w:p>
      <w:pPr>
        <w:pStyle w:val="Text1"/>
        <w:pBdr>
          <w:top w:val="single" w:sz="4" w:space="1" w:color="auto"/>
          <w:left w:val="single" w:sz="4" w:space="4" w:color="auto"/>
          <w:bottom w:val="single" w:sz="4" w:space="1" w:color="auto"/>
          <w:right w:val="single" w:sz="4" w:space="4" w:color="auto"/>
        </w:pBdr>
        <w:rPr>
          <w:noProof/>
          <w:u w:val="single"/>
        </w:rPr>
      </w:pPr>
      <w:r>
        <w:rPr>
          <w:noProof/>
          <w:szCs w:val="24"/>
          <w:u w:val="single"/>
        </w:rPr>
        <w:t>Митнически администрации на държавите членки:</w:t>
      </w:r>
      <w:r>
        <w:rPr>
          <w:noProof/>
        </w:rPr>
        <w:t xml:space="preserve"> благодарение на инициативата ще се спести значително време при митническото оформяне, тъй като придружаващите документи, свързани с обхванатите немитнически нормативни формалности, ще се предават чрез EU CSW-CERTEX на митническите информационни системи от съответната система на ЕС. Това ще създаде възможности за автоматизирана проверка и ще намали зависимостта от ръчните митнически проверки на документацията, като по този начин ще се спестят човешки ресурси и в крайна сметка ще се разшири капацитетът за контрол на митническите администрации. Промяната ще бъде особено силно изразена при нормативните формалности, при които количествата разрешени стоки може да бъдат разделени между множество митнически декларации, благодарение на въвеждането на функционалната възможност за автоматизирано управление на количествата на равнището на ЕС. Тази функция ще даде възможност за автоматизирана проверка на „отписванията“ в целия Съюз, предотвратявайки по този начин оформянето на стоки над разрешеното количество. Освен това предложението ще осигури опростяване на данните и хармонизиране на митническите и немитническите формалности, както и по-успешно съгласуване на процедурите. Очаква се и по-добро управление на риска в резултат на увеличеното количество електронни данни, получавани от икономическите оператори като част от митническата декларация, и по-лесно споделяне на данни между органите.</w:t>
      </w:r>
      <w:r>
        <w:rPr>
          <w:noProof/>
          <w:u w:val="single"/>
        </w:rPr>
        <w:t xml:space="preserve">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Партньорски компетентни органи:</w:t>
      </w:r>
      <w:r>
        <w:rPr>
          <w:noProof/>
        </w:rPr>
        <w:t xml:space="preserve"> благодарение на инициативата ще се подобри спазването и принудителното изпълнение на обхванатите немитнически нормативни формалности. Автоматизираното управление на количествата на равнище ЕС представлява по-конкретно инструмент за контрол, с който се избягва използването на придружаващи документи с цел измама. Автоматизираният обмен на информация между органите ще отстрани също така риска от освобождаване на стоки с фалшифициран придружаващ документ. Освен това стандартизирането на обмена на информация между системите на партньорските компетентните органи на ЕС и националните митнически системи ще създаде възможност за хармонизиране на изпълнението на немитническото законодателство от националните митнически администрации в целия ЕС.</w:t>
      </w:r>
      <w:r>
        <w:rPr>
          <w:noProof/>
          <w:u w:val="single"/>
        </w:rPr>
        <w:t xml:space="preserve"> </w:t>
      </w:r>
    </w:p>
    <w:p>
      <w:pPr>
        <w:pStyle w:val="Text1"/>
        <w:pBdr>
          <w:top w:val="single" w:sz="4" w:space="1" w:color="auto"/>
          <w:left w:val="single" w:sz="4" w:space="4" w:color="auto"/>
          <w:bottom w:val="single" w:sz="4" w:space="1" w:color="auto"/>
          <w:right w:val="single" w:sz="4" w:space="4" w:color="auto"/>
        </w:pBdr>
        <w:rPr>
          <w:noProof/>
          <w:szCs w:val="24"/>
        </w:rPr>
      </w:pPr>
      <w:r>
        <w:rPr>
          <w:noProof/>
          <w:u w:val="single"/>
        </w:rPr>
        <w:t>Икономически оператори:</w:t>
      </w:r>
      <w:r>
        <w:rPr>
          <w:noProof/>
        </w:rPr>
        <w:t xml:space="preserve"> очаква се обменът на информация между органите на държавното управление на ниво митнически и партньорски компетентни органи да доведе до значително повишаване на ефективността и спестяване на време при оформянето на стоки. По-конкретно за икономическите оператори ще е от полза прекият автоматизиран обмен между органите и отпадането на необходимостта да представят физически придружаващи документи за целите на митническото оформяне. Освен това в повечето случаи митническите органи ще могат да проверяват по автоматизиран начин придружаващите документи, което ще съкрати времето и ресурсите, отделяни от икономическите оператори за документни проверки. Като се има предвид непрекъснатата достъпност на услугата за автоматизирана проверка на придружаващите документи, оформянето на стандартните случаи може да се извършва дори извън работното време. В допълнение единната входна точка (при обхванатата от предложението връзка между стопанските субекти и органите на държавното управление) ще опрости изпълнението на нормативните формалности и ще реши ключови проблеми, като например необходимостта за едно и също движение да се предоставя подобна информация на множество органи. </w:t>
      </w:r>
    </w:p>
    <w:p>
      <w:pPr>
        <w:pStyle w:val="Text1"/>
        <w:pBdr>
          <w:top w:val="single" w:sz="4" w:space="1" w:color="auto"/>
          <w:left w:val="single" w:sz="4" w:space="4" w:color="auto"/>
          <w:bottom w:val="single" w:sz="4" w:space="1" w:color="auto"/>
          <w:right w:val="single" w:sz="4" w:space="4" w:color="auto"/>
        </w:pBdr>
        <w:rPr>
          <w:noProof/>
        </w:rPr>
      </w:pPr>
      <w:r>
        <w:rPr>
          <w:noProof/>
          <w:szCs w:val="24"/>
          <w:u w:val="single"/>
        </w:rPr>
        <w:t>Граждани</w:t>
      </w:r>
      <w:r>
        <w:rPr>
          <w:noProof/>
        </w:rPr>
        <w:t xml:space="preserve">: по-успешното спазване и принудително изпълнение на немитническите нормативни формалности на ЕС ще окаже положително въздействие върху защитата на общественото здраве и безопасност, увеличаването на сигурността, опазването на културното наследство, доброто състояние на животните и околната среда. Опростяването на нормативните формалности, съкращаването на времето за оформяне и на необходимите за това ресурси може в крайна сметка да бъде от полза за гражданите, тъй като по-ниските разходи може да се изразят в по-ниски цени за тях. </w:t>
      </w:r>
    </w:p>
    <w:p>
      <w:pPr>
        <w:pStyle w:val="ManualHeading3"/>
        <w:rPr>
          <w:bCs/>
          <w:noProof/>
          <w:szCs w:val="24"/>
        </w:rPr>
      </w:pPr>
      <w:r>
        <w:t>1.4.4.</w:t>
      </w:r>
      <w:r>
        <w:tab/>
      </w:r>
      <w:r>
        <w:rPr>
          <w:noProof/>
        </w:rPr>
        <w:t xml:space="preserve">Показатели за резултатите и за отражението </w:t>
      </w:r>
    </w:p>
    <w:p>
      <w:pPr>
        <w:pStyle w:val="Text1"/>
        <w:rPr>
          <w:i/>
          <w:noProof/>
          <w:sz w:val="20"/>
        </w:rPr>
      </w:pPr>
      <w:r>
        <w:rPr>
          <w:i/>
          <w:noProof/>
          <w:sz w:val="20"/>
        </w:rPr>
        <w:t>Да се посочат показателите, които позволяват да се проследи изпълнението на предложението/инициативата.</w:t>
      </w:r>
    </w:p>
    <w:p>
      <w:pPr>
        <w:pStyle w:val="Tiret1"/>
        <w:numPr>
          <w:ilvl w:val="0"/>
          <w:numId w:val="20"/>
        </w:numPr>
        <w:pBdr>
          <w:top w:val="single" w:sz="4" w:space="1" w:color="auto"/>
          <w:left w:val="single" w:sz="4" w:space="4" w:color="auto"/>
          <w:bottom w:val="single" w:sz="4" w:space="1" w:color="auto"/>
          <w:right w:val="single" w:sz="4" w:space="4" w:color="auto"/>
        </w:pBdr>
        <w:rPr>
          <w:noProof/>
        </w:rPr>
      </w:pPr>
      <w:r>
        <w:rPr>
          <w:noProof/>
        </w:rPr>
        <w:t>Брой на немитническите нормативни формалности, обхванати от инициативата през дадена година, и брой на споразуменията, подписани между ГД „Данъчно облагане и митнически съюз“ и партньорски генерални дирекции, за формалностите, обхванати от инициативата;</w:t>
      </w:r>
    </w:p>
    <w:p>
      <w:pPr>
        <w:pStyle w:val="Tiret1"/>
        <w:pBdr>
          <w:top w:val="single" w:sz="4" w:space="1" w:color="auto"/>
          <w:left w:val="single" w:sz="4" w:space="4" w:color="auto"/>
          <w:bottom w:val="single" w:sz="4" w:space="1" w:color="auto"/>
          <w:right w:val="single" w:sz="4" w:space="4" w:color="auto"/>
        </w:pBdr>
        <w:rPr>
          <w:noProof/>
        </w:rPr>
      </w:pPr>
      <w:r>
        <w:rPr>
          <w:noProof/>
        </w:rPr>
        <w:t>Брой на митническите декларации, предмет на автоматизиран обмен на информация, обработвана чрез EU CSW-CERTEX, и брой на исканията на държава членка към EU CSW-CERTEX;</w:t>
      </w:r>
    </w:p>
    <w:p>
      <w:pPr>
        <w:pStyle w:val="Tiret1"/>
        <w:pBdr>
          <w:top w:val="single" w:sz="4" w:space="1" w:color="auto"/>
          <w:left w:val="single" w:sz="4" w:space="4" w:color="auto"/>
          <w:bottom w:val="single" w:sz="4" w:space="1" w:color="auto"/>
          <w:right w:val="single" w:sz="4" w:space="4" w:color="auto"/>
        </w:pBdr>
        <w:rPr>
          <w:noProof/>
        </w:rPr>
      </w:pPr>
      <w:r>
        <w:rPr>
          <w:noProof/>
        </w:rPr>
        <w:t xml:space="preserve">Брой на несъответствията и опитите за измама, открити чрез автоматизирана кръстосана проверка на информация; </w:t>
      </w:r>
    </w:p>
    <w:p>
      <w:pPr>
        <w:pStyle w:val="Tiret1"/>
        <w:pBdr>
          <w:top w:val="single" w:sz="4" w:space="1" w:color="auto"/>
          <w:left w:val="single" w:sz="4" w:space="4" w:color="auto"/>
          <w:bottom w:val="single" w:sz="4" w:space="1" w:color="auto"/>
          <w:right w:val="single" w:sz="4" w:space="4" w:color="auto"/>
        </w:pBdr>
        <w:rPr>
          <w:noProof/>
        </w:rPr>
      </w:pPr>
      <w:r>
        <w:rPr>
          <w:noProof/>
        </w:rPr>
        <w:t>Процент на разкриваемост на документните и физическите проверки (след систематична автоматизирана кръстосана проверка на информацията благодарение на EU CSW-CERTEX) и обем на откритите несъответстващи стоки;</w:t>
      </w:r>
    </w:p>
    <w:p>
      <w:pPr>
        <w:pStyle w:val="Tiret1"/>
        <w:pBdr>
          <w:top w:val="single" w:sz="4" w:space="1" w:color="auto"/>
          <w:left w:val="single" w:sz="4" w:space="4" w:color="auto"/>
          <w:bottom w:val="single" w:sz="4" w:space="1" w:color="auto"/>
          <w:right w:val="single" w:sz="4" w:space="4" w:color="auto"/>
        </w:pBdr>
        <w:rPr>
          <w:noProof/>
        </w:rPr>
      </w:pPr>
      <w:r>
        <w:rPr>
          <w:noProof/>
        </w:rPr>
        <w:t>Дял на автоматизираните проверки, които не са последвани от ръчна намеса (документални или физически проверки);</w:t>
      </w:r>
    </w:p>
    <w:p>
      <w:pPr>
        <w:pStyle w:val="Tiret1"/>
        <w:pBdr>
          <w:top w:val="single" w:sz="4" w:space="1" w:color="auto"/>
          <w:left w:val="single" w:sz="4" w:space="4" w:color="auto"/>
          <w:bottom w:val="single" w:sz="4" w:space="1" w:color="auto"/>
          <w:right w:val="single" w:sz="4" w:space="4" w:color="auto"/>
        </w:pBdr>
        <w:rPr>
          <w:noProof/>
        </w:rPr>
      </w:pPr>
      <w:r>
        <w:rPr>
          <w:noProof/>
        </w:rPr>
        <w:t>Брой на обединените декларации</w:t>
      </w:r>
      <w:r>
        <w:rPr>
          <w:rStyle w:val="FootnoteReference"/>
          <w:noProof/>
        </w:rPr>
        <w:footnoteReference w:id="50"/>
      </w:r>
      <w:r>
        <w:rPr>
          <w:noProof/>
        </w:rPr>
        <w:t>, подадени чрез националните среди за обслужване на едно гише;</w:t>
      </w:r>
    </w:p>
    <w:p>
      <w:pPr>
        <w:pStyle w:val="Tiret1"/>
        <w:pBdr>
          <w:top w:val="single" w:sz="4" w:space="1" w:color="auto"/>
          <w:left w:val="single" w:sz="4" w:space="4" w:color="auto"/>
          <w:bottom w:val="single" w:sz="4" w:space="1" w:color="auto"/>
          <w:right w:val="single" w:sz="4" w:space="4" w:color="auto"/>
        </w:pBdr>
        <w:rPr>
          <w:noProof/>
        </w:rPr>
      </w:pPr>
      <w:r>
        <w:rPr>
          <w:noProof/>
        </w:rPr>
        <w:t>Средно необходимо време за оформяне на съответните стоки.</w:t>
      </w:r>
    </w:p>
    <w:p>
      <w:pPr>
        <w:pStyle w:val="ManualHeading2"/>
        <w:rPr>
          <w:bCs/>
          <w:noProof/>
          <w:szCs w:val="24"/>
        </w:rPr>
      </w:pPr>
      <w:r>
        <w:t>1.5.</w:t>
      </w:r>
      <w:r>
        <w:tab/>
      </w:r>
      <w:r>
        <w:rPr>
          <w:noProof/>
        </w:rPr>
        <w:t xml:space="preserve">Мотиви за предложението/инициативата </w:t>
      </w:r>
    </w:p>
    <w:p>
      <w:pPr>
        <w:pStyle w:val="ManualHeading3"/>
        <w:rPr>
          <w:noProof/>
        </w:rPr>
      </w:pPr>
      <w:r>
        <w:t>1.5.1.</w:t>
      </w:r>
      <w:r>
        <w:tab/>
      </w:r>
      <w:r>
        <w:rPr>
          <w:noProof/>
        </w:rPr>
        <w:t xml:space="preserve">Изисквания, които трябва да бъдат изпълнени в краткосрочна или дългосрочна перспектива </w:t>
      </w:r>
    </w:p>
    <w:p>
      <w:pPr>
        <w:pStyle w:val="Text1"/>
        <w:pBdr>
          <w:top w:val="single" w:sz="4" w:space="1" w:color="auto"/>
          <w:left w:val="single" w:sz="4" w:space="4" w:color="auto"/>
          <w:bottom w:val="single" w:sz="4" w:space="1" w:color="auto"/>
          <w:right w:val="single" w:sz="4" w:space="4" w:color="auto"/>
        </w:pBdr>
        <w:rPr>
          <w:noProof/>
        </w:rPr>
      </w:pPr>
      <w:r>
        <w:rPr>
          <w:noProof/>
        </w:rPr>
        <w:t>През годините Комисията и държавите — членки на ЕС, са поели редица ангажименти за разработване на услуги за обслужване на едно гише в областта на митниците. В Решението от 2008 г. относно безкнижна среда в митниците и търговията</w:t>
      </w:r>
      <w:r>
        <w:rPr>
          <w:rStyle w:val="FootnoteReference"/>
          <w:noProof/>
        </w:rPr>
        <w:footnoteReference w:id="51"/>
      </w:r>
      <w:r>
        <w:rPr>
          <w:noProof/>
        </w:rPr>
        <w:t xml:space="preserve"> държавите членки и Комисията са призовани да „положат усилия да създадат и въведат в действие рамка на услугите за обслужване на едно гише“. По-късно в декларацията от Венеция от 2014 г.</w:t>
      </w:r>
      <w:r>
        <w:rPr>
          <w:rStyle w:val="FootnoteReference"/>
          <w:noProof/>
        </w:rPr>
        <w:footnoteReference w:id="52"/>
      </w:r>
      <w:r>
        <w:rPr>
          <w:noProof/>
        </w:rPr>
        <w:t xml:space="preserve"> се предлага поетапен план за действие за въвеждане на среда на ЕС за митническо обслужване на едно гише и за разработване на съответната правна уредба. Така също в Съобщението от 2016 г. „Развитие на митническия съюз в ЕС и на неговото управление“</w:t>
      </w:r>
      <w:r>
        <w:rPr>
          <w:rStyle w:val="FootnoteReference"/>
          <w:noProof/>
        </w:rPr>
        <w:footnoteReference w:id="53"/>
      </w:r>
      <w:r>
        <w:rPr>
          <w:noProof/>
        </w:rPr>
        <w:t xml:space="preserve"> се обявяват плановете на Комисията да търси осъществимо решение за разработването и създаването на среда на ЕС за митническо обслужване на едно гише. Това е отразено и в първия двугодишен доклад за напредъка в развитието на митническия съюз на ЕС и неговото управление</w:t>
      </w:r>
      <w:r>
        <w:rPr>
          <w:rStyle w:val="FootnoteReference"/>
          <w:noProof/>
        </w:rPr>
        <w:footnoteReference w:id="54"/>
      </w:r>
      <w:r>
        <w:rPr>
          <w:noProof/>
        </w:rPr>
        <w:t>, в който средата на ЕС за митническо обслужване на едно гише се определя като приоритетна област.</w:t>
      </w:r>
    </w:p>
    <w:p>
      <w:pPr>
        <w:pStyle w:val="Text1"/>
        <w:pBdr>
          <w:top w:val="single" w:sz="4" w:space="1" w:color="auto"/>
          <w:left w:val="single" w:sz="4" w:space="4" w:color="auto"/>
          <w:bottom w:val="single" w:sz="4" w:space="1" w:color="auto"/>
          <w:right w:val="single" w:sz="4" w:space="4" w:color="auto"/>
        </w:pBdr>
        <w:rPr>
          <w:noProof/>
        </w:rPr>
      </w:pPr>
      <w:r>
        <w:rPr>
          <w:noProof/>
        </w:rPr>
        <w:t>В съответствие с политическите приоритети на ЕС, през 2015 г. Комисията започна пилотен проект, управляван съвместно от генерална дирекция „Данъчно облагане и митнически съюз „(ГД „Данъчно облагане и митнически съюз“) и генерална дирекция „Здравеопазване и безопасност на храните“ (ГД „Здравеопазване и безопасност на храните“) — „Обслужване на едно гише в митниците на ЕС — единен ветеринарен документ за въвеждане“ (EU CSW-CVED). Така беше осигурен интерфейс между националните митнически системи и система за сертифициране на равнище ЕС</w:t>
      </w:r>
      <w:r>
        <w:rPr>
          <w:rStyle w:val="FootnoteReference"/>
          <w:noProof/>
        </w:rPr>
        <w:footnoteReference w:id="55"/>
      </w:r>
      <w:r>
        <w:rPr>
          <w:noProof/>
        </w:rPr>
        <w:t xml:space="preserve"> чрез централното ИТ решение на ГД „Данъчно облагане и митнически съюз“. Той даде възможност за автоматизирана проверка на три санитарни сертификата, изисквани за въвеждането на продукти от животински/неживотински произход от митническите администрации на пет държави членки, които участваха на доброволна основа. Пилотният проект беше разширен и функционалните му възможности бяха подобрени с пускането през 2017 г. на системата на ЕС „Митническо обслужване на едно гише: обмен на сертификати“ (EU CSW-CERTEX). До края на 2018 г. бяха въведени нови сертификати и броят на участващите държави членки се увеличи от пет на девет. Предложената законодателна инициатива ще се основава на съществуващото пилотно решение, разработено от ГД „Данъчно облагане и митнически съюз“, и ще наложи задължителното му използване от всички държави членки за обмена на информация по множество нормативни формалности, съответната информация за които, изисквана от митниците за оформяне на стоките, е на разположение в електронните системи на ЕС. Постепенно, с въвеждането на нови нормативни формалности, ще бъде осъществена връзка между EU CSW-CERTEX и бъдещите електронни системи на ЕС. Планира се обхватът на тези формалности да се увеличи с включването на нови функционални възможности. По-специално, пълноценното и задължително участие на всички държави членки ще позволи автоматизираното управление на количествата в целия ЕС във връзка със съответните нормативни формалности, необходими за запълване на пропуските при принудителното изпълнение, за намаляване на измамите и грешките и за повишаване на ефикасността с времето.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В оценката на въздействието на законодателното предложение бяха очертани редица варианти на политиката (включително продължаване на базовия сценарий). Предлага се пакет от предпочитани варианти, който да осигури рамка за изпълнение на европейската политика в тази област. Той се състои от три варианта, разпределени в следните категории: </w:t>
      </w:r>
    </w:p>
    <w:p>
      <w:pPr>
        <w:pStyle w:val="Point1"/>
        <w:pBdr>
          <w:top w:val="single" w:sz="4" w:space="1" w:color="auto"/>
          <w:left w:val="single" w:sz="4" w:space="4" w:color="auto"/>
          <w:bottom w:val="single" w:sz="4" w:space="1" w:color="auto"/>
          <w:right w:val="single" w:sz="4" w:space="4" w:color="auto"/>
        </w:pBdr>
        <w:rPr>
          <w:noProof/>
        </w:rPr>
      </w:pPr>
      <w:r>
        <w:rPr>
          <w:noProof/>
        </w:rPr>
        <w:t>а)</w:t>
      </w:r>
      <w:r>
        <w:rPr>
          <w:noProof/>
        </w:rPr>
        <w:tab/>
        <w:t xml:space="preserve">сътрудничество между органите на държавното управление (вариант 1: обмен на информация между правителствата относно формалностите на ЕС, съответната информация за които, изисквана от митниците за оформяне на стоките, е на разположение в електронните системи на ЕС), </w:t>
      </w:r>
    </w:p>
    <w:p>
      <w:pPr>
        <w:pStyle w:val="Point1"/>
        <w:pBdr>
          <w:top w:val="single" w:sz="4" w:space="1" w:color="auto"/>
          <w:left w:val="single" w:sz="4" w:space="4" w:color="auto"/>
          <w:bottom w:val="single" w:sz="4" w:space="1" w:color="auto"/>
          <w:right w:val="single" w:sz="4" w:space="4" w:color="auto"/>
        </w:pBdr>
        <w:rPr>
          <w:noProof/>
        </w:rPr>
      </w:pPr>
      <w:r>
        <w:rPr>
          <w:noProof/>
        </w:rPr>
        <w:t>б)</w:t>
      </w:r>
      <w:r>
        <w:rPr>
          <w:noProof/>
        </w:rPr>
        <w:tab/>
        <w:t xml:space="preserve">сътрудничество между стопанските субекти и органите на държавното управление (вариант 6: хармонизирани национални системи за обслужване на едно гише, осигуряващи единна входна точка за икономическите оператори за изпълнение на включените в обхвата митнически и немитнически формалности), и </w:t>
      </w:r>
    </w:p>
    <w:p>
      <w:pPr>
        <w:pStyle w:val="Point1"/>
        <w:pBdr>
          <w:top w:val="single" w:sz="4" w:space="1" w:color="auto"/>
          <w:left w:val="single" w:sz="4" w:space="4" w:color="auto"/>
          <w:bottom w:val="single" w:sz="4" w:space="1" w:color="auto"/>
          <w:right w:val="single" w:sz="4" w:space="4" w:color="auto"/>
        </w:pBdr>
        <w:rPr>
          <w:noProof/>
        </w:rPr>
      </w:pPr>
      <w:r>
        <w:rPr>
          <w:noProof/>
        </w:rPr>
        <w:t>в)</w:t>
      </w:r>
      <w:r>
        <w:rPr>
          <w:noProof/>
        </w:rPr>
        <w:tab/>
        <w:t xml:space="preserve">разширяване на използването на системата за регистрация и идентификация на икономическите оператори (EORI) до партньорските компетентни органи (вариант 8ii). </w:t>
      </w:r>
    </w:p>
    <w:p>
      <w:pPr>
        <w:pStyle w:val="Text1"/>
        <w:pBdr>
          <w:top w:val="single" w:sz="4" w:space="1" w:color="auto"/>
          <w:left w:val="single" w:sz="4" w:space="4" w:color="auto"/>
          <w:bottom w:val="single" w:sz="4" w:space="1" w:color="auto"/>
          <w:right w:val="single" w:sz="4" w:space="4" w:color="auto"/>
        </w:pBdr>
        <w:rPr>
          <w:noProof/>
          <w:szCs w:val="24"/>
        </w:rPr>
      </w:pPr>
      <w:r>
        <w:rPr>
          <w:noProof/>
        </w:rPr>
        <w:t>Преките икономически разходи за Европейската комисия във връзка с предпочитания пакет се състоят от еднократни разходи за въвеждане и периодични разходи. Разходите за въвеждане включват бизнес моделиране и разходи за хардуер и софтуер за информационни системи, разработване на софтуер, изпитване, внедряване и поддръжка, управление на промените в процесите, обучение и техническо обслужване, и се очаква да бъдат посрещани поетапно за период от седем години, а в обхвата им са включени 15 нормативни формалности. Отправна точка би била съществуващата архитектура на EU CSW-CERTEX, която функционира за повече от половината от тези формалности</w:t>
      </w:r>
      <w:r>
        <w:rPr>
          <w:rStyle w:val="FootnoteReference"/>
          <w:noProof/>
          <w:szCs w:val="24"/>
          <w:lang w:eastAsia="sv-SE"/>
        </w:rPr>
        <w:footnoteReference w:id="56"/>
      </w:r>
      <w:r>
        <w:rPr>
          <w:noProof/>
        </w:rPr>
        <w:t xml:space="preserve">, разходите за въвеждането и разработването на които се оценяват на 50 % от разходите за включване на нови формалности през периода на постепенно въвеждане.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От 8-ата година нататък разходите за въвеждане ще бъдат заменени с периодични разходи, включващи поддръжка на хардуер и софтуер, периодични актуализации, непрекъснатото техническо обслужване и ежедневни операции. </w:t>
      </w:r>
    </w:p>
    <w:p>
      <w:pPr>
        <w:pStyle w:val="Text1"/>
        <w:pBdr>
          <w:top w:val="single" w:sz="4" w:space="1" w:color="auto"/>
          <w:left w:val="single" w:sz="4" w:space="4" w:color="auto"/>
          <w:bottom w:val="single" w:sz="4" w:space="1" w:color="auto"/>
          <w:right w:val="single" w:sz="4" w:space="4" w:color="auto"/>
        </w:pBdr>
        <w:rPr>
          <w:noProof/>
        </w:rPr>
      </w:pPr>
      <w:r>
        <w:rPr>
          <w:noProof/>
        </w:rPr>
        <w:t>Очаква се предпочитаният пакет да генерира разходи за въвеждане, възлизащи на общо 64,730 милиона евро, равномерно разпределени през първите 7 години на поетапното въвеждане, и 6,350 милиона евро разходи за поддръжка годишно, след като започне да функционира пълноценно.</w:t>
      </w:r>
    </w:p>
    <w:p>
      <w:pPr>
        <w:pStyle w:val="ManualHeading3"/>
        <w:rPr>
          <w:bCs/>
          <w:noProof/>
          <w:szCs w:val="24"/>
        </w:rPr>
      </w:pPr>
      <w:r>
        <w:t>1.5.2.</w:t>
      </w:r>
      <w:r>
        <w:tab/>
      </w:r>
      <w:r>
        <w:rPr>
          <w:noProof/>
        </w:rPr>
        <w:t>Добавена стойност от намесата на ЕС</w:t>
      </w:r>
    </w:p>
    <w:p>
      <w:pPr>
        <w:pStyle w:val="Text1"/>
        <w:pBdr>
          <w:top w:val="single" w:sz="4" w:space="1" w:color="auto"/>
          <w:left w:val="single" w:sz="4" w:space="4" w:color="auto"/>
          <w:bottom w:val="single" w:sz="4" w:space="1" w:color="auto"/>
          <w:right w:val="single" w:sz="4" w:space="4" w:color="auto"/>
        </w:pBdr>
        <w:rPr>
          <w:noProof/>
          <w:szCs w:val="24"/>
        </w:rPr>
      </w:pPr>
      <w:r>
        <w:rPr>
          <w:noProof/>
        </w:rPr>
        <w:t>Проблемите, които инициативата разглежда, най-вече недостатъчната координация и разпокъсаната оперативна съвместимост между митническите и партньорските компетентни органи при оформяне на конкретни стоки, са по своята същност транснационални и включват движение на стоки през границите и последици за целия ЕС от евентуални грешки и измами в отделните държави. Предвид отговорността му за митническия съюз и за въпросните немитнически нормативни формалности, ЕС е в добра позиция да координира действията, да се справи с разпокъсаността и да осъществи икономии от мащаба. Съществуващите и очакваните действия само на национално равнище са недостатъчни до голяма степен поради следните причини:</w:t>
      </w:r>
    </w:p>
    <w:p>
      <w:pPr>
        <w:pStyle w:val="Point1"/>
        <w:pBdr>
          <w:top w:val="single" w:sz="4" w:space="1" w:color="auto"/>
          <w:left w:val="single" w:sz="4" w:space="4" w:color="auto"/>
          <w:bottom w:val="single" w:sz="4" w:space="1" w:color="auto"/>
          <w:right w:val="single" w:sz="4" w:space="4" w:color="auto"/>
        </w:pBdr>
        <w:rPr>
          <w:noProof/>
        </w:rPr>
      </w:pPr>
      <w:r>
        <w:rPr>
          <w:noProof/>
        </w:rPr>
        <w:t>а)</w:t>
      </w:r>
      <w:r>
        <w:rPr>
          <w:noProof/>
        </w:rPr>
        <w:tab/>
        <w:t>продължаващата разпокъсаност и липсата на оперативна съвместимост ще ограничат ползите от постепенната цифровизация и модернизация на процесите, свързани с оформянето на някои стоки;</w:t>
      </w:r>
    </w:p>
    <w:p>
      <w:pPr>
        <w:pStyle w:val="Point1"/>
        <w:pBdr>
          <w:top w:val="single" w:sz="4" w:space="1" w:color="auto"/>
          <w:left w:val="single" w:sz="4" w:space="4" w:color="auto"/>
          <w:bottom w:val="single" w:sz="4" w:space="1" w:color="auto"/>
          <w:right w:val="single" w:sz="4" w:space="4" w:color="auto"/>
        </w:pBdr>
        <w:rPr>
          <w:noProof/>
        </w:rPr>
      </w:pPr>
      <w:r>
        <w:rPr>
          <w:noProof/>
        </w:rPr>
        <w:t>б)</w:t>
      </w:r>
      <w:r>
        <w:rPr>
          <w:noProof/>
        </w:rPr>
        <w:tab/>
        <w:t xml:space="preserve"> националните инициативи ще са малко на брой поради ограничените ресурси и липсата на определени ключови функции, като например управлението на количествата на равнище ЕС; </w:t>
      </w:r>
    </w:p>
    <w:p>
      <w:pPr>
        <w:pStyle w:val="Point1"/>
        <w:pBdr>
          <w:top w:val="single" w:sz="4" w:space="1" w:color="auto"/>
          <w:left w:val="single" w:sz="4" w:space="4" w:color="auto"/>
          <w:bottom w:val="single" w:sz="4" w:space="1" w:color="auto"/>
          <w:right w:val="single" w:sz="4" w:space="4" w:color="auto"/>
        </w:pBdr>
        <w:rPr>
          <w:noProof/>
        </w:rPr>
      </w:pPr>
      <w:r>
        <w:rPr>
          <w:noProof/>
        </w:rPr>
        <w:t>в)</w:t>
      </w:r>
      <w:r>
        <w:rPr>
          <w:noProof/>
        </w:rPr>
        <w:tab/>
        <w:t xml:space="preserve">пилотният проект EU CSW-CERTEX (инициатива на доброволни начала) ще изгуби инерция, ако не бъде последван от задължителни действия. Митническите органи на много от държавите членки вече са свикнали да я използват и постепенно са преустановили предишните ръчни процеси, базирани на хартиен носител, и вече не биха били в състояние да обработват съответните формалности без нея.                                                              </w:t>
      </w:r>
    </w:p>
    <w:p>
      <w:pPr>
        <w:pStyle w:val="Text1"/>
        <w:pBdr>
          <w:top w:val="single" w:sz="4" w:space="1" w:color="auto"/>
          <w:left w:val="single" w:sz="4" w:space="4" w:color="auto"/>
          <w:bottom w:val="single" w:sz="4" w:space="1" w:color="auto"/>
          <w:right w:val="single" w:sz="4" w:space="4" w:color="auto"/>
        </w:pBdr>
        <w:rPr>
          <w:noProof/>
          <w:szCs w:val="24"/>
        </w:rPr>
      </w:pPr>
      <w:r>
        <w:rPr>
          <w:noProof/>
        </w:rPr>
        <w:t xml:space="preserve">Като се има предвид ролята му за модернизиране на митническия съюз и за по-успешно принудителното изпълнение на митническите и немитническите нормативни формалности по границата, ЕС има единствена по рода си възможност да направи преоценка на основните практики и процедури на сегашния разпокъсан модел на спазване на нормативните изисквания. Действията на ЕС в тази област ще подобрят съответствието на нормативните формалности със законодателството на ЕС и ще улеснят допълнително презграничното движение на стоки. На свой ред това ще се отрази благоприятно върху взаимодействието между митническите и партньорските компетентни органи и върху ежедневната дейност на икономическите оператори. В крайна сметка намесата на ЕС ще доведе до значителни социални и екологични въздействия и значителни икономически ползи за обществото като цяло. </w:t>
      </w:r>
    </w:p>
    <w:p>
      <w:pPr>
        <w:pStyle w:val="ManualHeading3"/>
        <w:rPr>
          <w:bCs/>
          <w:noProof/>
          <w:szCs w:val="24"/>
        </w:rPr>
      </w:pPr>
      <w:r>
        <w:t>1.5.3.</w:t>
      </w:r>
      <w:r>
        <w:tab/>
      </w:r>
      <w:r>
        <w:rPr>
          <w:noProof/>
        </w:rPr>
        <w:t>Изводи от подобен опит в миналото</w:t>
      </w:r>
    </w:p>
    <w:p>
      <w:pPr>
        <w:pStyle w:val="Text1"/>
        <w:pBdr>
          <w:top w:val="single" w:sz="4" w:space="1" w:color="auto"/>
          <w:left w:val="single" w:sz="4" w:space="4" w:color="auto"/>
          <w:bottom w:val="single" w:sz="4" w:space="1" w:color="auto"/>
          <w:right w:val="single" w:sz="4" w:space="4" w:color="auto"/>
        </w:pBdr>
        <w:rPr>
          <w:noProof/>
        </w:rPr>
      </w:pPr>
      <w:r>
        <w:rPr>
          <w:noProof/>
        </w:rPr>
        <w:t xml:space="preserve">EU SW-CVED и неговият приемник – пилотният проект EU CSW-CERTEX, може да се разглеждат като план за инициативата. Оценката на пилотния проект, осъществена от ГД Данъчно облагане и митнически съюз“, потвърди, че той е в съответствие с нуждите на заинтересованите страни, що се отнася до по-ефикасното оформяне на стоки, и е създал възможност за автоматизирани проверки на придружаващите документи от митническите органи. Въпреки че се прилагат уговорки по отношение на обхвата на проекта до момента, пилотният проект на EU CSW-CVED и проектът EU CSW-CERTEX вече доведоха до хармонизация и обмен на данни, свързани с обхванатите нормативни формалности. На свой ред това означава по-добро сътрудничеството между компетентните органи. Има и ограничени доказателства за намаляване на измамите и човешките грешки, най-вече поради намалената човешка намеса и в резултат на възможността за национално управление на количествата. </w:t>
      </w:r>
    </w:p>
    <w:p>
      <w:pPr>
        <w:pStyle w:val="Text1"/>
        <w:pBdr>
          <w:top w:val="single" w:sz="4" w:space="1" w:color="auto"/>
          <w:left w:val="single" w:sz="4" w:space="4" w:color="auto"/>
          <w:bottom w:val="single" w:sz="4" w:space="1" w:color="auto"/>
          <w:right w:val="single" w:sz="4" w:space="4" w:color="auto"/>
        </w:pBdr>
        <w:rPr>
          <w:noProof/>
        </w:rPr>
      </w:pPr>
      <w:r>
        <w:rPr>
          <w:noProof/>
        </w:rPr>
        <w:t>Налице са обаче ограничения, свързани главно с пилотния характер на решението до момента. По-конкретно:</w:t>
      </w:r>
    </w:p>
    <w:p>
      <w:pPr>
        <w:pStyle w:val="Point1"/>
        <w:pBdr>
          <w:top w:val="single" w:sz="4" w:space="1" w:color="auto"/>
          <w:left w:val="single" w:sz="4" w:space="4" w:color="auto"/>
          <w:bottom w:val="single" w:sz="4" w:space="1" w:color="auto"/>
          <w:right w:val="single" w:sz="4" w:space="4" w:color="auto"/>
        </w:pBdr>
        <w:rPr>
          <w:noProof/>
        </w:rPr>
      </w:pPr>
      <w:r>
        <w:rPr>
          <w:noProof/>
        </w:rPr>
        <w:t>а)</w:t>
      </w:r>
      <w:r>
        <w:rPr>
          <w:noProof/>
        </w:rPr>
        <w:tab/>
        <w:t>за запълване на пропуските при принудителното изпълнение е необходимо управлението на количествата на равнище ЕС, което е невъзможно без пълноценното задължително участие на всички държави членки;</w:t>
      </w:r>
    </w:p>
    <w:p>
      <w:pPr>
        <w:pStyle w:val="Point1"/>
        <w:pBdr>
          <w:top w:val="single" w:sz="4" w:space="1" w:color="auto"/>
          <w:left w:val="single" w:sz="4" w:space="4" w:color="auto"/>
          <w:bottom w:val="single" w:sz="4" w:space="1" w:color="auto"/>
          <w:right w:val="single" w:sz="4" w:space="4" w:color="auto"/>
        </w:pBdr>
        <w:rPr>
          <w:noProof/>
        </w:rPr>
      </w:pPr>
      <w:r>
        <w:rPr>
          <w:noProof/>
        </w:rPr>
        <w:t>б)</w:t>
      </w:r>
      <w:r>
        <w:rPr>
          <w:noProof/>
        </w:rPr>
        <w:tab/>
        <w:t>за да има възможност за непрекъснато актуализиране в реално време (вместо периодично проучване), ще са необходими подобрения на връзките между системите;</w:t>
      </w:r>
    </w:p>
    <w:p>
      <w:pPr>
        <w:pStyle w:val="Point1"/>
        <w:pBdr>
          <w:top w:val="single" w:sz="4" w:space="1" w:color="auto"/>
          <w:left w:val="single" w:sz="4" w:space="4" w:color="auto"/>
          <w:bottom w:val="single" w:sz="4" w:space="1" w:color="auto"/>
          <w:right w:val="single" w:sz="4" w:space="4" w:color="auto"/>
        </w:pBdr>
        <w:rPr>
          <w:noProof/>
        </w:rPr>
      </w:pPr>
      <w:r>
        <w:rPr>
          <w:noProof/>
        </w:rPr>
        <w:t>в)</w:t>
      </w:r>
      <w:r>
        <w:rPr>
          <w:noProof/>
        </w:rPr>
        <w:tab/>
        <w:t xml:space="preserve">продължаващата необходимост икономическите оператори да предоставят документи на хартиен носител наред с цифровите ограничава ползите за икономическите оператори; за разрешаването на този въпрос ще е необходима законодателна рамка, която да дава правна стойност на електронните подписи. </w:t>
      </w:r>
    </w:p>
    <w:p>
      <w:pPr>
        <w:pStyle w:val="ManualHeading3"/>
        <w:rPr>
          <w:bCs/>
          <w:noProof/>
          <w:szCs w:val="24"/>
        </w:rPr>
      </w:pPr>
      <w:r>
        <w:t>1.5.4.</w:t>
      </w:r>
      <w:r>
        <w:tab/>
      </w:r>
      <w:r>
        <w:rPr>
          <w:noProof/>
        </w:rPr>
        <w:t>Съгласуваност и евентуална синергия с други актове</w:t>
      </w:r>
    </w:p>
    <w:p>
      <w:pPr>
        <w:pStyle w:val="Text1"/>
        <w:pBdr>
          <w:top w:val="single" w:sz="4" w:space="1" w:color="auto"/>
          <w:left w:val="single" w:sz="4" w:space="4" w:color="auto"/>
          <w:bottom w:val="single" w:sz="4" w:space="1" w:color="auto"/>
          <w:right w:val="single" w:sz="4" w:space="4" w:color="auto"/>
        </w:pBdr>
        <w:rPr>
          <w:noProof/>
        </w:rPr>
      </w:pPr>
      <w:r>
        <w:rPr>
          <w:noProof/>
        </w:rPr>
        <w:t>Законодателното предложение попада в обхвата на предстоящата програма „Митници 2027“ и програмите, които ще я последват.</w:t>
      </w:r>
      <w:r>
        <w:rPr>
          <w:i/>
          <w:noProof/>
        </w:rPr>
        <w:t xml:space="preserve"> </w:t>
      </w:r>
      <w:r>
        <w:rPr>
          <w:noProof/>
          <w:color w:val="000000" w:themeColor="text1"/>
        </w:rPr>
        <w:t>То е част от текущия план за действие относно митническия съюз (PLAN/2020/6296), замислен с цел изпълнение на приоритета на Комисията за преминаване към следващото ниво на митническия съюз. С този план за действие ще бъде предложена преразгледана дългосрочна стратегия за митническия съюз, включително законодателни и незаконодателни действия. Настоящото предложение представлява първото законодателно действие за модернизиране на процеса по митническо оформяне.</w:t>
      </w:r>
    </w:p>
    <w:p>
      <w:pPr>
        <w:pStyle w:val="ManualHeading2"/>
        <w:rPr>
          <w:bCs/>
          <w:noProof/>
          <w:szCs w:val="24"/>
        </w:rPr>
      </w:pPr>
      <w:r>
        <w:rPr>
          <w:noProof/>
        </w:rPr>
        <w:br w:type="page"/>
      </w:r>
      <w:r>
        <w:t>1.6.</w:t>
      </w:r>
      <w:r>
        <w:tab/>
      </w:r>
      <w:r>
        <w:rPr>
          <w:noProof/>
        </w:rPr>
        <w:t xml:space="preserve">Срок на действие и финансово отражение </w:t>
      </w:r>
    </w:p>
    <w:p>
      <w:pPr>
        <w:pStyle w:val="Text1"/>
        <w:rPr>
          <w:noProof/>
        </w:rPr>
      </w:pPr>
      <w:r>
        <w:rPr>
          <w:noProof/>
        </w:rPr>
        <w:sym w:font="Wingdings" w:char="F0A8"/>
      </w:r>
      <w:r>
        <w:rPr>
          <w:b/>
          <w:i/>
          <w:noProof/>
        </w:rPr>
        <w:t xml:space="preserve"> </w:t>
      </w:r>
      <w:r>
        <w:rPr>
          <w:noProof/>
        </w:rPr>
        <w:t xml:space="preserve">Предложение/инициатива с </w:t>
      </w:r>
      <w:r>
        <w:rPr>
          <w:b/>
          <w:noProof/>
        </w:rPr>
        <w:t xml:space="preserve">ограничен срок на действие </w:t>
      </w:r>
    </w:p>
    <w:p>
      <w:pPr>
        <w:pStyle w:val="ListDash2"/>
        <w:rPr>
          <w:noProof/>
        </w:rPr>
      </w:pPr>
      <w:r>
        <w:rPr>
          <w:noProof/>
        </w:rPr>
        <w:sym w:font="Wingdings" w:char="F0A8"/>
      </w:r>
      <w:r>
        <w:rPr>
          <w:noProof/>
        </w:rPr>
        <w:tab/>
        <w:t xml:space="preserve">Предложение/инициатива в сила от [ДД/ММ]ГГГГ до [ДД/ММ]ГГГГ </w:t>
      </w:r>
    </w:p>
    <w:p>
      <w:pPr>
        <w:pStyle w:val="ListDash2"/>
        <w:rPr>
          <w:noProof/>
        </w:rPr>
      </w:pPr>
      <w:r>
        <w:rPr>
          <w:noProof/>
        </w:rPr>
        <w:sym w:font="Wingdings" w:char="F0A8"/>
      </w:r>
      <w:r>
        <w:rPr>
          <w:noProof/>
        </w:rPr>
        <w:tab/>
        <w:t xml:space="preserve">Финансово отражение от ГГГГ до ГГГГ </w:t>
      </w:r>
    </w:p>
    <w:p>
      <w:pPr>
        <w:pStyle w:val="Text1"/>
        <w:rPr>
          <w:noProof/>
        </w:rPr>
      </w:pPr>
      <w:r>
        <w:rPr>
          <w:noProof/>
        </w:rPr>
        <w:sym w:font="Wingdings" w:char="F0FD"/>
      </w:r>
      <w:r>
        <w:rPr>
          <w:b/>
          <w:i/>
          <w:noProof/>
        </w:rPr>
        <w:t xml:space="preserve"> </w:t>
      </w:r>
      <w:r>
        <w:rPr>
          <w:noProof/>
        </w:rPr>
        <w:t xml:space="preserve">Предложение/инициатива с </w:t>
      </w:r>
      <w:r>
        <w:rPr>
          <w:b/>
          <w:noProof/>
        </w:rPr>
        <w:t>неограничен срок на действие</w:t>
      </w:r>
    </w:p>
    <w:p>
      <w:pPr>
        <w:pStyle w:val="ListDash1"/>
        <w:rPr>
          <w:noProof/>
        </w:rPr>
      </w:pPr>
      <w:r>
        <w:rPr>
          <w:noProof/>
        </w:rPr>
        <w:t>Изпълнение с период на започване на дейност от 2022 г. до 2029 г.,</w:t>
      </w:r>
    </w:p>
    <w:p>
      <w:pPr>
        <w:pStyle w:val="ListDash1"/>
        <w:rPr>
          <w:noProof/>
        </w:rPr>
      </w:pPr>
      <w:r>
        <w:rPr>
          <w:noProof/>
        </w:rPr>
        <w:t>последван от функциониране с пълен капацитет.</w:t>
      </w:r>
    </w:p>
    <w:p>
      <w:pPr>
        <w:pStyle w:val="ManualHeading2"/>
        <w:rPr>
          <w:bCs/>
          <w:noProof/>
          <w:szCs w:val="24"/>
        </w:rPr>
      </w:pPr>
      <w:r>
        <w:t>1.7.</w:t>
      </w:r>
      <w:r>
        <w:tab/>
      </w:r>
      <w:r>
        <w:rPr>
          <w:noProof/>
        </w:rPr>
        <w:t>Планирани методи на управление</w:t>
      </w:r>
      <w:r>
        <w:rPr>
          <w:rStyle w:val="FootnoteReference"/>
          <w:noProof/>
        </w:rPr>
        <w:footnoteReference w:id="57"/>
      </w:r>
      <w:r>
        <w:rPr>
          <w:rStyle w:val="FootnoteReference"/>
          <w:noProof/>
        </w:rPr>
        <w:t xml:space="preserve">  </w:t>
      </w:r>
    </w:p>
    <w:p>
      <w:pPr>
        <w:pStyle w:val="Text1"/>
        <w:rPr>
          <w:noProof/>
        </w:rPr>
      </w:pPr>
      <w:r>
        <w:rPr>
          <w:noProof/>
        </w:rPr>
        <w:sym w:font="Wingdings" w:char="F0FD"/>
      </w:r>
      <w:r>
        <w:rPr>
          <w:i/>
          <w:noProof/>
        </w:rPr>
        <w:t xml:space="preserve"> </w:t>
      </w:r>
      <w:r>
        <w:rPr>
          <w:b/>
          <w:noProof/>
        </w:rPr>
        <w:t>Пряко управление</w:t>
      </w:r>
      <w:r>
        <w:rPr>
          <w:noProof/>
        </w:rPr>
        <w:t xml:space="preserve"> от Комисията</w:t>
      </w:r>
    </w:p>
    <w:p>
      <w:pPr>
        <w:pStyle w:val="ListDash2"/>
        <w:rPr>
          <w:rFonts w:cs="EUAlbertina"/>
          <w:noProof/>
        </w:rPr>
      </w:pPr>
      <w:r>
        <w:rPr>
          <w:noProof/>
        </w:rPr>
        <w:sym w:font="Wingdings" w:char="F0FD"/>
      </w:r>
      <w:r>
        <w:rPr>
          <w:noProof/>
        </w:rPr>
        <w:tab/>
        <w:t xml:space="preserve">от нейните служби, включително от нейния персонал в делегациите на Съюза; </w:t>
      </w:r>
    </w:p>
    <w:p>
      <w:pPr>
        <w:pStyle w:val="ListDash2"/>
        <w:rPr>
          <w:noProof/>
        </w:rPr>
      </w:pPr>
      <w:r>
        <w:rPr>
          <w:noProof/>
        </w:rPr>
        <w:sym w:font="Wingdings" w:char="F0A8"/>
      </w:r>
      <w:r>
        <w:rPr>
          <w:noProof/>
        </w:rPr>
        <w:tab/>
        <w:t xml:space="preserve">от изпълнителните агенции </w:t>
      </w:r>
    </w:p>
    <w:p>
      <w:pPr>
        <w:pStyle w:val="Text1"/>
        <w:rPr>
          <w:noProof/>
        </w:rPr>
      </w:pPr>
      <w:r>
        <w:rPr>
          <w:noProof/>
        </w:rPr>
        <w:sym w:font="Wingdings" w:char="F0A8"/>
      </w:r>
      <w:r>
        <w:rPr>
          <w:b/>
          <w:i/>
          <w:noProof/>
        </w:rPr>
        <w:t xml:space="preserve"> </w:t>
      </w:r>
      <w:r>
        <w:rPr>
          <w:b/>
          <w:noProof/>
        </w:rPr>
        <w:t>Споделено управление</w:t>
      </w:r>
      <w:r>
        <w:rPr>
          <w:noProof/>
        </w:rPr>
        <w:t xml:space="preserve"> с държавите членки </w:t>
      </w:r>
    </w:p>
    <w:p>
      <w:pPr>
        <w:pStyle w:val="Text1"/>
        <w:rPr>
          <w:noProof/>
        </w:rPr>
      </w:pPr>
      <w:r>
        <w:rPr>
          <w:noProof/>
        </w:rPr>
        <w:sym w:font="Wingdings" w:char="F0A8"/>
      </w:r>
      <w:r>
        <w:rPr>
          <w:i/>
          <w:noProof/>
        </w:rPr>
        <w:t xml:space="preserve"> </w:t>
      </w:r>
      <w:r>
        <w:rPr>
          <w:b/>
          <w:noProof/>
        </w:rPr>
        <w:t>Непряко управление</w:t>
      </w:r>
      <w:r>
        <w:rPr>
          <w:noProof/>
        </w:rPr>
        <w:t xml:space="preserve"> чрез възлагане на задачи по изпълнението на бюджета на:</w:t>
      </w:r>
    </w:p>
    <w:p>
      <w:pPr>
        <w:pStyle w:val="ListDash2"/>
        <w:rPr>
          <w:noProof/>
        </w:rPr>
      </w:pPr>
      <w:r>
        <w:rPr>
          <w:noProof/>
        </w:rPr>
        <w:sym w:font="Wingdings" w:char="F0A8"/>
      </w:r>
      <w:r>
        <w:rPr>
          <w:noProof/>
        </w:rPr>
        <w:t xml:space="preserve"> трети държави или на органите, определени от тях;</w:t>
      </w:r>
    </w:p>
    <w:p>
      <w:pPr>
        <w:pStyle w:val="ListDash2"/>
        <w:rPr>
          <w:noProof/>
        </w:rPr>
      </w:pPr>
      <w:r>
        <w:rPr>
          <w:noProof/>
        </w:rPr>
        <w:sym w:font="Wingdings" w:char="F0A8"/>
      </w:r>
      <w:r>
        <w:rPr>
          <w:noProof/>
        </w:rPr>
        <w:t xml:space="preserve"> международни организации и техните агенции (да се уточни);</w:t>
      </w:r>
    </w:p>
    <w:p>
      <w:pPr>
        <w:pStyle w:val="ListDash2"/>
        <w:rPr>
          <w:noProof/>
        </w:rPr>
      </w:pPr>
      <w:r>
        <w:rPr>
          <w:noProof/>
        </w:rPr>
        <w:sym w:font="Wingdings" w:char="F0A8"/>
      </w:r>
      <w:r>
        <w:rPr>
          <w:noProof/>
        </w:rPr>
        <w:t xml:space="preserve"> ЕИБ и Европейския инвестиционен фонд;</w:t>
      </w:r>
    </w:p>
    <w:p>
      <w:pPr>
        <w:pStyle w:val="ListDash2"/>
        <w:rPr>
          <w:noProof/>
        </w:rPr>
      </w:pPr>
      <w:r>
        <w:rPr>
          <w:noProof/>
        </w:rPr>
        <w:sym w:font="Wingdings" w:char="F0A8"/>
      </w:r>
      <w:r>
        <w:rPr>
          <w:noProof/>
        </w:rPr>
        <w:t xml:space="preserve"> органите, посочени в членове 208 и 209 от Финансовия регламент;</w:t>
      </w:r>
    </w:p>
    <w:p>
      <w:pPr>
        <w:pStyle w:val="ListDash2"/>
        <w:rPr>
          <w:noProof/>
        </w:rPr>
      </w:pPr>
      <w:r>
        <w:rPr>
          <w:noProof/>
        </w:rPr>
        <w:sym w:font="Wingdings" w:char="F0A8"/>
      </w:r>
      <w:r>
        <w:rPr>
          <w:noProof/>
        </w:rPr>
        <w:t xml:space="preserve"> публичноправни органи;</w:t>
      </w:r>
    </w:p>
    <w:p>
      <w:pPr>
        <w:pStyle w:val="ListDash2"/>
        <w:rPr>
          <w:noProof/>
        </w:rPr>
      </w:pPr>
      <w:r>
        <w:rPr>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pPr>
        <w:pStyle w:val="ListDash2"/>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ListDash2"/>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pStyle w:val="ListDash2"/>
        <w:rPr>
          <w:i/>
          <w:noProof/>
          <w:sz w:val="18"/>
          <w:u w:val="single"/>
        </w:rPr>
      </w:pPr>
      <w:r>
        <w:rPr>
          <w:i/>
          <w:noProof/>
          <w:sz w:val="18"/>
        </w:rPr>
        <w:t>Ако е посочен повече от един метод на управление, пояснете в частта „Забележки“.</w:t>
      </w:r>
    </w:p>
    <w:p>
      <w:pPr>
        <w:rPr>
          <w:noProof/>
        </w:rPr>
      </w:pPr>
      <w:r>
        <w:rPr>
          <w:noProof/>
        </w:rPr>
        <w:t xml:space="preserve">Забележки </w:t>
      </w:r>
    </w:p>
    <w:p>
      <w:pPr>
        <w:pBdr>
          <w:top w:val="single" w:sz="4" w:space="1" w:color="auto"/>
          <w:left w:val="single" w:sz="4" w:space="4" w:color="auto"/>
          <w:bottom w:val="single" w:sz="4" w:space="1" w:color="auto"/>
          <w:right w:val="single" w:sz="4" w:space="4" w:color="auto"/>
        </w:pBdr>
        <w:rPr>
          <w:noProof/>
        </w:rPr>
      </w:pPr>
      <w:r>
        <w:rPr>
          <w:noProof/>
          <w:color w:val="000000"/>
        </w:rPr>
        <w:t>Със законодателното предложение ще се създаде хармонизирана и оперативно съвместима среда на ЕС за митническо обслужване на едно гише. Тази среда включва набор от напълно обединени електронни услуги, предоставяни на съюзно и на национално равнище за обмен на информация между митническите и партньорските компетентни органи и за рационализиране на процесите по оформяне за икономическите оператори. В сътрудничество с държавите членки Комисията ще продължи да разработва, поддържа и управлява централната електронна система (EU CSW-CERTEX), за да улеснява обмена на данни между всички участници в оформянето на стоки.</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2.</w:t>
      </w:r>
      <w:r>
        <w:tab/>
      </w:r>
      <w:r>
        <w:rPr>
          <w:noProof/>
        </w:rPr>
        <w:t xml:space="preserve">МЕРКИ ЗА УПРАВЛЕНИЕ </w:t>
      </w:r>
    </w:p>
    <w:p>
      <w:pPr>
        <w:pStyle w:val="ManualHeading2"/>
        <w:rPr>
          <w:noProof/>
        </w:rPr>
      </w:pPr>
      <w:r>
        <w:t>2.1.</w:t>
      </w:r>
      <w:r>
        <w:tab/>
      </w:r>
      <w:r>
        <w:rPr>
          <w:noProof/>
        </w:rPr>
        <w:t xml:space="preserve">Правила за мониторинг и докладване </w:t>
      </w:r>
    </w:p>
    <w:p>
      <w:pPr>
        <w:pStyle w:val="Text1"/>
        <w:rPr>
          <w:i/>
          <w:noProof/>
          <w:sz w:val="20"/>
          <w:u w:val="single"/>
        </w:rPr>
      </w:pPr>
      <w:r>
        <w:rPr>
          <w:i/>
          <w:noProof/>
          <w:sz w:val="20"/>
        </w:rPr>
        <w:t>Да се посочат честотата и условията.</w:t>
      </w:r>
    </w:p>
    <w:p>
      <w:pPr>
        <w:pStyle w:val="Text1"/>
        <w:pBdr>
          <w:top w:val="single" w:sz="4" w:space="1" w:color="auto"/>
          <w:left w:val="single" w:sz="4" w:space="4" w:color="auto"/>
          <w:bottom w:val="single" w:sz="4" w:space="1" w:color="auto"/>
          <w:right w:val="single" w:sz="4" w:space="4" w:color="auto"/>
        </w:pBdr>
        <w:rPr>
          <w:noProof/>
        </w:rPr>
      </w:pPr>
      <w:r>
        <w:rPr>
          <w:noProof/>
        </w:rPr>
        <w:t xml:space="preserve">За редовния мониторинг ще се разчита възможно най-много на източници на равнището на ЕС, като например доклади с дезагрегирани данни относно резултатите от митническия съюз, дейността на EU CSW-CERTEX и резултати и статистически данни във връзка с информационните технологии. Ще бъде направено допитване до националните митнически администрации, за да се определи дали и до каква степен ще е възможно да се използват и други източници. </w:t>
      </w:r>
    </w:p>
    <w:p>
      <w:pPr>
        <w:pStyle w:val="Text1"/>
        <w:pBdr>
          <w:top w:val="single" w:sz="4" w:space="1" w:color="auto"/>
          <w:left w:val="single" w:sz="4" w:space="4" w:color="auto"/>
          <w:bottom w:val="single" w:sz="4" w:space="1" w:color="auto"/>
          <w:right w:val="single" w:sz="4" w:space="4" w:color="auto"/>
        </w:pBdr>
        <w:rPr>
          <w:noProof/>
        </w:rPr>
      </w:pPr>
      <w:r>
        <w:rPr>
          <w:noProof/>
        </w:rPr>
        <w:t xml:space="preserve">Шест години след влизане в сила на законодателството и на всеки три години след това Комисията следва да представя на Европейския парламент и на Съвета доклад относно функционирането на средата на ЕС за митническо обслужване на едно гише, включително цялостна оценка на системата EU CSW-CERTEX. Като се има предвид, че инициативата все още няма да е напълно изпълнена към момента на първата оценка, ударението ще бъде върху изготвянето на преглед на напредъка, определянето на области за подобрение и отправянето на препоръки за бъдещето. При втората оценка ще се възприеме по-обобщаващ подход. </w:t>
      </w:r>
    </w:p>
    <w:p>
      <w:pPr>
        <w:pStyle w:val="Text1"/>
        <w:pBdr>
          <w:top w:val="single" w:sz="4" w:space="1" w:color="auto"/>
          <w:left w:val="single" w:sz="4" w:space="4" w:color="auto"/>
          <w:bottom w:val="single" w:sz="4" w:space="1" w:color="auto"/>
          <w:right w:val="single" w:sz="4" w:space="4" w:color="auto"/>
        </w:pBdr>
        <w:rPr>
          <w:noProof/>
        </w:rPr>
      </w:pPr>
      <w:r>
        <w:rPr>
          <w:noProof/>
        </w:rPr>
        <w:t>Очаква се показателите за мониторинг да бъдат събирани по възможност постоянно от системата EU CSW-CERTEX. За целите на оценката годишните статистически данни ще се изчисляват и сравняват за последователни години. Когато е възможно, ще се използва сравнение с изходната ситуация, взета като тенденция или като средна стойност от трите години, предшестващи влизането в експлоатация.</w:t>
      </w:r>
    </w:p>
    <w:p>
      <w:pPr>
        <w:pStyle w:val="ManualHeading2"/>
        <w:rPr>
          <w:bCs/>
          <w:noProof/>
          <w:szCs w:val="24"/>
        </w:rPr>
      </w:pPr>
      <w:r>
        <w:t>2.2.</w:t>
      </w:r>
      <w:r>
        <w:tab/>
      </w:r>
      <w:r>
        <w:rPr>
          <w:noProof/>
        </w:rPr>
        <w:t xml:space="preserve">Система за управление и контрол </w:t>
      </w:r>
    </w:p>
    <w:p>
      <w:pPr>
        <w:pStyle w:val="ManualHeading3"/>
        <w:rPr>
          <w:noProof/>
        </w:rPr>
      </w:pPr>
      <w:r>
        <w:t>2.2.1.</w:t>
      </w:r>
      <w:r>
        <w:tab/>
      </w:r>
      <w:r>
        <w:rPr>
          <w:noProof/>
        </w:rPr>
        <w:t xml:space="preserve">Установени рискове </w:t>
      </w:r>
    </w:p>
    <w:p>
      <w:pPr>
        <w:pStyle w:val="Text1"/>
        <w:pBdr>
          <w:top w:val="single" w:sz="4" w:space="1" w:color="auto"/>
          <w:left w:val="single" w:sz="4" w:space="4" w:color="auto"/>
          <w:bottom w:val="single" w:sz="4" w:space="1" w:color="auto"/>
          <w:right w:val="single" w:sz="4" w:space="4" w:color="auto"/>
        </w:pBdr>
        <w:rPr>
          <w:noProof/>
        </w:rPr>
      </w:pPr>
      <w:r>
        <w:rPr>
          <w:noProof/>
        </w:rPr>
        <w:t>Основните рискове са свързани с изпълнението на проекта по план. Първо, евентуалната липса на човешки и финансови ресурси би могла да се изрази в бюджетни съкращения вследствие на резултатите от преговорите по следващата многогодишна финансова рамка (МФР) за периода 2021—2027 г.</w:t>
      </w:r>
      <w:r>
        <w:rPr>
          <w:rStyle w:val="FootnoteReference"/>
          <w:noProof/>
        </w:rPr>
        <w:footnoteReference w:id="58"/>
      </w:r>
      <w:r>
        <w:rPr>
          <w:noProof/>
        </w:rPr>
        <w:t xml:space="preserve">. Освен това важен рисков фактор е свързан с хоризонталния характер на проекта, който изисква активното участие на няколко генерални дирекции, и с многообразието от нормативни формалности в обхвата му. </w:t>
      </w:r>
    </w:p>
    <w:p>
      <w:pPr>
        <w:pStyle w:val="ManualHeading3"/>
        <w:rPr>
          <w:bCs/>
          <w:noProof/>
          <w:szCs w:val="24"/>
        </w:rPr>
      </w:pPr>
      <w:r>
        <w:t>2.2.2.</w:t>
      </w:r>
      <w:r>
        <w:tab/>
      </w:r>
      <w:r>
        <w:rPr>
          <w:noProof/>
        </w:rPr>
        <w:t>Информация за изградената система за вътрешен контрол</w:t>
      </w:r>
    </w:p>
    <w:p>
      <w:pPr>
        <w:pStyle w:val="Text1"/>
        <w:pBdr>
          <w:top w:val="single" w:sz="4" w:space="1" w:color="auto"/>
          <w:left w:val="single" w:sz="4" w:space="4" w:color="auto"/>
          <w:bottom w:val="single" w:sz="4" w:space="1" w:color="auto"/>
          <w:right w:val="single" w:sz="4" w:space="4" w:color="auto"/>
        </w:pBdr>
        <w:rPr>
          <w:noProof/>
        </w:rPr>
      </w:pPr>
      <w:r>
        <w:rPr>
          <w:noProof/>
        </w:rPr>
        <w:t xml:space="preserve">Проектирането, функционалните и техническите спецификации, разработването, изпитването, внедряването, експлоатацията и поддръжката на EU CSW-CERTEX се извършват въз основа на съществуващи рамкови договори с доставчици на информационни технологии, меморандуми за разбирателство с други генерални дирекции на Комисията, както и споразумения за нивото на обслужване с държавите членки. Съществуващото в рамките на генералните дирекции на Комисията синхронизиране на работните правила и информационните технологии намалява евентуалното припокриване на дейности. </w:t>
      </w:r>
    </w:p>
    <w:p>
      <w:pPr>
        <w:pStyle w:val="Text1"/>
        <w:pBdr>
          <w:top w:val="single" w:sz="4" w:space="1" w:color="auto"/>
          <w:left w:val="single" w:sz="4" w:space="4" w:color="auto"/>
          <w:bottom w:val="single" w:sz="4" w:space="1" w:color="auto"/>
          <w:right w:val="single" w:sz="4" w:space="4" w:color="auto"/>
        </w:pBdr>
        <w:rPr>
          <w:noProof/>
        </w:rPr>
      </w:pPr>
      <w:r>
        <w:rPr>
          <w:noProof/>
        </w:rPr>
        <w:t>Финансовите операции са обект на предварителен контрол в съответствие със системата за контрол на ГД „Данъчно облагане и митнически съюз“.</w:t>
      </w:r>
    </w:p>
    <w:p>
      <w:pPr>
        <w:pStyle w:val="ManualHeading3"/>
        <w:rPr>
          <w:noProof/>
        </w:rPr>
      </w:pPr>
      <w:r>
        <w:t>2.2.3.</w:t>
      </w:r>
      <w:r>
        <w:tab/>
      </w:r>
      <w:r>
        <w:rPr>
          <w:noProof/>
        </w:rPr>
        <w:t xml:space="preserve">Оценка на разходите и ползите от проверките и на очакваната степен на риска от грешки </w:t>
      </w:r>
    </w:p>
    <w:p>
      <w:pPr>
        <w:pStyle w:val="Text1"/>
        <w:pBdr>
          <w:top w:val="single" w:sz="4" w:space="1" w:color="auto"/>
          <w:left w:val="single" w:sz="4" w:space="4" w:color="auto"/>
          <w:bottom w:val="single" w:sz="4" w:space="1" w:color="auto"/>
          <w:right w:val="single" w:sz="4" w:space="4" w:color="auto"/>
        </w:pBdr>
        <w:rPr>
          <w:noProof/>
        </w:rPr>
      </w:pPr>
      <w:r>
        <w:rPr>
          <w:noProof/>
        </w:rPr>
        <w:t>Не е предоставена оценка, тъй като контролирането и намаляването на рисковете са присъща задача на структурата за управление на проекта.</w:t>
      </w:r>
    </w:p>
    <w:p>
      <w:pPr>
        <w:pStyle w:val="Text1"/>
        <w:pBdr>
          <w:top w:val="single" w:sz="4" w:space="1" w:color="auto"/>
          <w:left w:val="single" w:sz="4" w:space="4" w:color="auto"/>
          <w:bottom w:val="single" w:sz="4" w:space="1" w:color="auto"/>
          <w:right w:val="single" w:sz="4" w:space="4" w:color="auto"/>
        </w:pBdr>
        <w:rPr>
          <w:noProof/>
        </w:rPr>
      </w:pPr>
      <w:r>
        <w:rPr>
          <w:noProof/>
        </w:rPr>
        <w:t>Нивото на риска от грешки е ограничено (понастоящем се оценява на 0,5 % за дейностите, свързани с възлагането на обществени поръчки).</w:t>
      </w:r>
    </w:p>
    <w:p>
      <w:pPr>
        <w:pStyle w:val="ManualHeading2"/>
        <w:rPr>
          <w:bCs/>
          <w:noProof/>
          <w:szCs w:val="24"/>
        </w:rPr>
      </w:pPr>
      <w:r>
        <w:t>2.3.</w:t>
      </w:r>
      <w:r>
        <w:tab/>
      </w:r>
      <w:r>
        <w:rPr>
          <w:noProof/>
        </w:rPr>
        <w:t xml:space="preserve">Мерки за предотвратяване на измами и нередности </w:t>
      </w:r>
    </w:p>
    <w:p>
      <w:pPr>
        <w:pStyle w:val="Text1"/>
        <w:rPr>
          <w:i/>
          <w:noProof/>
          <w:sz w:val="20"/>
        </w:rPr>
      </w:pPr>
      <w:r>
        <w:rPr>
          <w:i/>
          <w:noProof/>
          <w:sz w:val="20"/>
        </w:rPr>
        <w:t>Да се посочат съществуващите или планираните мерки за превенция и защита.</w:t>
      </w:r>
    </w:p>
    <w:p>
      <w:pPr>
        <w:pStyle w:val="Text1"/>
        <w:pBdr>
          <w:top w:val="single" w:sz="4" w:space="1" w:color="auto"/>
          <w:left w:val="single" w:sz="4" w:space="4" w:color="auto"/>
          <w:bottom w:val="single" w:sz="4" w:space="1" w:color="auto"/>
          <w:right w:val="single" w:sz="4" w:space="4" w:color="auto"/>
        </w:pBdr>
        <w:rPr>
          <w:noProof/>
        </w:rPr>
      </w:pPr>
      <w:r>
        <w:rPr>
          <w:noProof/>
        </w:rPr>
        <w:t>Мерките, прилагани от Комисията, ще бъдат подложени на предварителни и последващи проверки в съответствие с Финансовия регламент. В договорите и споразуменията за финансиране на изпълнението на настоящия регламент ще се дава разрешение на Комисията и на Сметната палата да извършват одити и инспекции.</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3.</w:t>
      </w:r>
      <w:r>
        <w:tab/>
      </w:r>
      <w:r>
        <w:rPr>
          <w:noProof/>
        </w:rPr>
        <w:t xml:space="preserve">ОЧАКВАНО ФИНАНСОВО ОТРАЖЕНИЕ НА ПРЕДЛОЖЕНИЕТО/ИНИЦИАТИВАТА </w:t>
      </w:r>
    </w:p>
    <w:p>
      <w:pPr>
        <w:pStyle w:val="ManualHeading2"/>
        <w:rPr>
          <w:noProof/>
        </w:rPr>
      </w:pPr>
      <w:r>
        <w:t>3.1.</w:t>
      </w:r>
      <w:r>
        <w:tab/>
      </w:r>
      <w:r>
        <w:rPr>
          <w:noProof/>
        </w:rPr>
        <w:t xml:space="preserve">Съответни функции от многогодишната финансова рамка и разходни бюджетни редове </w:t>
      </w:r>
    </w:p>
    <w:p>
      <w:pPr>
        <w:pStyle w:val="ListBullet1"/>
        <w:rPr>
          <w:noProof/>
        </w:rPr>
      </w:pPr>
      <w:r>
        <w:rPr>
          <w:noProof/>
        </w:rPr>
        <w:t xml:space="preserve">Съществуващи бюджетни редове </w:t>
      </w:r>
    </w:p>
    <w:p>
      <w:pPr>
        <w:pStyle w:val="Text1"/>
        <w:rPr>
          <w:noProof/>
        </w:rPr>
      </w:pPr>
      <w:r>
        <w:rPr>
          <w:noProof/>
          <w:u w:val="single"/>
        </w:rPr>
        <w:t>По реда</w:t>
      </w:r>
      <w:r>
        <w:rPr>
          <w:noProof/>
        </w:rPr>
        <w:t xml:space="preserve"> на функциите от многогодишната финансова рамка и на бюджетните редове.</w:t>
      </w:r>
    </w:p>
    <w:tbl>
      <w:tblPr>
        <w:tblW w:w="10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1044"/>
        <w:gridCol w:w="851"/>
        <w:gridCol w:w="992"/>
        <w:gridCol w:w="1553"/>
      </w:tblGrid>
      <w:tr>
        <w:trPr>
          <w:jc w:val="center"/>
        </w:trPr>
        <w:tc>
          <w:tcPr>
            <w:tcW w:w="1080" w:type="dxa"/>
            <w:vMerge w:val="restart"/>
            <w:vAlign w:val="center"/>
          </w:tcPr>
          <w:p>
            <w:pPr>
              <w:spacing w:before="60" w:after="60"/>
              <w:jc w:val="center"/>
              <w:rPr>
                <w:noProof/>
                <w:sz w:val="18"/>
                <w:szCs w:val="18"/>
              </w:rPr>
            </w:pPr>
            <w:r>
              <w:rPr>
                <w:noProof/>
                <w:sz w:val="18"/>
              </w:rPr>
              <w:t>Функция от многогодишната финансова рамка</w:t>
            </w:r>
          </w:p>
        </w:tc>
        <w:tc>
          <w:tcPr>
            <w:tcW w:w="3960" w:type="dxa"/>
            <w:vAlign w:val="center"/>
          </w:tcPr>
          <w:p>
            <w:pPr>
              <w:spacing w:before="60" w:after="60"/>
              <w:jc w:val="center"/>
              <w:rPr>
                <w:noProof/>
              </w:rPr>
            </w:pPr>
            <w:r>
              <w:rPr>
                <w:noProof/>
                <w:sz w:val="20"/>
              </w:rPr>
              <w:t>Бюджетен ред</w:t>
            </w:r>
          </w:p>
        </w:tc>
        <w:tc>
          <w:tcPr>
            <w:tcW w:w="1080" w:type="dxa"/>
            <w:vAlign w:val="center"/>
          </w:tcPr>
          <w:p>
            <w:pPr>
              <w:spacing w:before="60" w:after="60"/>
              <w:jc w:val="center"/>
              <w:rPr>
                <w:noProof/>
              </w:rPr>
            </w:pPr>
            <w:r>
              <w:rPr>
                <w:noProof/>
                <w:sz w:val="18"/>
              </w:rPr>
              <w:t>Вид</w:t>
            </w:r>
            <w:r>
              <w:rPr>
                <w:noProof/>
              </w:rPr>
              <w:t xml:space="preserve"> </w:t>
            </w:r>
            <w:r>
              <w:rPr>
                <w:noProof/>
              </w:rPr>
              <w:br/>
            </w:r>
            <w:r>
              <w:rPr>
                <w:noProof/>
                <w:sz w:val="18"/>
              </w:rPr>
              <w:t>разход</w:t>
            </w:r>
          </w:p>
        </w:tc>
        <w:tc>
          <w:tcPr>
            <w:tcW w:w="4440" w:type="dxa"/>
            <w:gridSpan w:val="4"/>
            <w:vAlign w:val="center"/>
          </w:tcPr>
          <w:p>
            <w:pPr>
              <w:spacing w:before="60" w:after="60"/>
              <w:jc w:val="center"/>
              <w:rPr>
                <w:noProof/>
              </w:rPr>
            </w:pPr>
            <w:r>
              <w:rPr>
                <w:noProof/>
                <w:sz w:val="20"/>
              </w:rPr>
              <w:t xml:space="preserve">Финансов принос </w:t>
            </w:r>
          </w:p>
        </w:tc>
      </w:tr>
      <w:tr>
        <w:trPr>
          <w:jc w:val="center"/>
        </w:trPr>
        <w:tc>
          <w:tcPr>
            <w:tcW w:w="1080" w:type="dxa"/>
            <w:vMerge/>
            <w:vAlign w:val="center"/>
          </w:tcPr>
          <w:p>
            <w:pPr>
              <w:jc w:val="center"/>
              <w:rPr>
                <w:noProof/>
              </w:rPr>
            </w:pPr>
          </w:p>
        </w:tc>
        <w:tc>
          <w:tcPr>
            <w:tcW w:w="3960" w:type="dxa"/>
            <w:vAlign w:val="center"/>
          </w:tcPr>
          <w:p>
            <w:pPr>
              <w:rPr>
                <w:noProof/>
              </w:rPr>
            </w:pPr>
            <w:r>
              <w:rPr>
                <w:noProof/>
                <w:sz w:val="20"/>
              </w:rPr>
              <w:t>Номер</w:t>
            </w:r>
            <w:r>
              <w:rPr>
                <w:noProof/>
              </w:rPr>
              <w:t xml:space="preserve"> </w:t>
            </w:r>
            <w:r>
              <w:rPr>
                <w:noProof/>
                <w:sz w:val="20"/>
              </w:rPr>
              <w:t>[Функция………………………...……………]</w:t>
            </w:r>
          </w:p>
        </w:tc>
        <w:tc>
          <w:tcPr>
            <w:tcW w:w="1080" w:type="dxa"/>
            <w:vAlign w:val="center"/>
          </w:tcPr>
          <w:p>
            <w:pPr>
              <w:jc w:val="center"/>
              <w:rPr>
                <w:noProof/>
              </w:rPr>
            </w:pPr>
            <w:r>
              <w:rPr>
                <w:noProof/>
                <w:sz w:val="18"/>
              </w:rPr>
              <w:t>Многогод./едногод.</w:t>
            </w:r>
          </w:p>
        </w:tc>
        <w:tc>
          <w:tcPr>
            <w:tcW w:w="1044" w:type="dxa"/>
            <w:vAlign w:val="center"/>
          </w:tcPr>
          <w:p>
            <w:pPr>
              <w:jc w:val="center"/>
              <w:rPr>
                <w:noProof/>
                <w:sz w:val="18"/>
              </w:rPr>
            </w:pPr>
            <w:r>
              <w:rPr>
                <w:noProof/>
                <w:sz w:val="18"/>
              </w:rPr>
              <w:t>от държави от ЕАСТ</w:t>
            </w:r>
          </w:p>
        </w:tc>
        <w:tc>
          <w:tcPr>
            <w:tcW w:w="851" w:type="dxa"/>
            <w:vAlign w:val="center"/>
          </w:tcPr>
          <w:p>
            <w:pPr>
              <w:jc w:val="center"/>
              <w:rPr>
                <w:noProof/>
                <w:sz w:val="18"/>
              </w:rPr>
            </w:pPr>
            <w:r>
              <w:rPr>
                <w:noProof/>
                <w:sz w:val="18"/>
              </w:rPr>
              <w:t>от държави кандидатки</w:t>
            </w:r>
          </w:p>
        </w:tc>
        <w:tc>
          <w:tcPr>
            <w:tcW w:w="992" w:type="dxa"/>
            <w:vAlign w:val="center"/>
          </w:tcPr>
          <w:p>
            <w:pPr>
              <w:jc w:val="center"/>
              <w:rPr>
                <w:noProof/>
                <w:sz w:val="18"/>
              </w:rPr>
            </w:pPr>
            <w:r>
              <w:rPr>
                <w:noProof/>
                <w:sz w:val="18"/>
              </w:rPr>
              <w:t>от трети държави</w:t>
            </w:r>
          </w:p>
        </w:tc>
        <w:tc>
          <w:tcPr>
            <w:tcW w:w="1553" w:type="dxa"/>
            <w:vAlign w:val="center"/>
          </w:tcPr>
          <w:p>
            <w:pPr>
              <w:jc w:val="center"/>
              <w:rPr>
                <w:noProof/>
              </w:rPr>
            </w:pPr>
            <w:r>
              <w:rPr>
                <w:noProof/>
                <w:sz w:val="16"/>
              </w:rPr>
              <w:t xml:space="preserve">по смисъла на член 21, параграф 2, буква б) от Финансовия регламент </w:t>
            </w:r>
          </w:p>
        </w:tc>
      </w:tr>
      <w:tr>
        <w:trPr>
          <w:jc w:val="center"/>
        </w:trPr>
        <w:tc>
          <w:tcPr>
            <w:tcW w:w="1080" w:type="dxa"/>
            <w:vAlign w:val="center"/>
          </w:tcPr>
          <w:p>
            <w:pPr>
              <w:jc w:val="center"/>
              <w:rPr>
                <w:noProof/>
              </w:rPr>
            </w:pPr>
          </w:p>
        </w:tc>
        <w:tc>
          <w:tcPr>
            <w:tcW w:w="3960" w:type="dxa"/>
            <w:vAlign w:val="bottom"/>
          </w:tcPr>
          <w:p>
            <w:pPr>
              <w:spacing w:before="60"/>
              <w:rPr>
                <w:noProof/>
              </w:rPr>
            </w:pPr>
            <w:r>
              <w:rPr>
                <w:noProof/>
              </w:rPr>
              <w:t>N/A</w:t>
            </w:r>
          </w:p>
          <w:p>
            <w:pPr>
              <w:spacing w:after="60"/>
              <w:rPr>
                <w:noProof/>
              </w:rPr>
            </w:pPr>
          </w:p>
        </w:tc>
        <w:tc>
          <w:tcPr>
            <w:tcW w:w="1080" w:type="dxa"/>
            <w:vAlign w:val="center"/>
          </w:tcPr>
          <w:p>
            <w:pPr>
              <w:jc w:val="center"/>
              <w:rPr>
                <w:noProof/>
              </w:rPr>
            </w:pPr>
          </w:p>
        </w:tc>
        <w:tc>
          <w:tcPr>
            <w:tcW w:w="1044" w:type="dxa"/>
            <w:vAlign w:val="center"/>
          </w:tcPr>
          <w:p>
            <w:pPr>
              <w:jc w:val="center"/>
              <w:rPr>
                <w:noProof/>
              </w:rPr>
            </w:pPr>
          </w:p>
        </w:tc>
        <w:tc>
          <w:tcPr>
            <w:tcW w:w="851" w:type="dxa"/>
            <w:vAlign w:val="center"/>
          </w:tcPr>
          <w:p>
            <w:pPr>
              <w:jc w:val="center"/>
              <w:rPr>
                <w:noProof/>
                <w:sz w:val="18"/>
              </w:rPr>
            </w:pPr>
          </w:p>
        </w:tc>
        <w:tc>
          <w:tcPr>
            <w:tcW w:w="992" w:type="dxa"/>
            <w:vAlign w:val="center"/>
          </w:tcPr>
          <w:p>
            <w:pPr>
              <w:jc w:val="center"/>
              <w:rPr>
                <w:noProof/>
                <w:sz w:val="18"/>
              </w:rPr>
            </w:pPr>
          </w:p>
        </w:tc>
        <w:tc>
          <w:tcPr>
            <w:tcW w:w="1553" w:type="dxa"/>
            <w:vAlign w:val="center"/>
          </w:tcPr>
          <w:p>
            <w:pPr>
              <w:jc w:val="center"/>
              <w:rPr>
                <w:noProof/>
              </w:rPr>
            </w:pPr>
          </w:p>
        </w:tc>
      </w:tr>
    </w:tbl>
    <w:p>
      <w:pPr>
        <w:pStyle w:val="Text1"/>
        <w:rPr>
          <w:noProof/>
        </w:rPr>
      </w:pPr>
    </w:p>
    <w:p>
      <w:pPr>
        <w:pStyle w:val="ListBullet1"/>
        <w:rPr>
          <w:noProof/>
        </w:rPr>
      </w:pPr>
      <w:r>
        <w:rPr>
          <w:noProof/>
        </w:rPr>
        <w:t xml:space="preserve">Поискани нови бюджетни редове </w:t>
      </w:r>
    </w:p>
    <w:p>
      <w:pPr>
        <w:pStyle w:val="Text1"/>
        <w:rPr>
          <w:i/>
          <w:noProof/>
        </w:rPr>
      </w:pPr>
      <w:r>
        <w:rPr>
          <w:i/>
          <w:noProof/>
          <w:u w:val="single"/>
        </w:rPr>
        <w:t>По реда</w:t>
      </w:r>
      <w:r>
        <w:rPr>
          <w:i/>
          <w:noProof/>
        </w:rPr>
        <w:t xml:space="preserve"> на функциите от многогодишната финансова рамка и на бюджетните редове.</w:t>
      </w:r>
    </w:p>
    <w:tbl>
      <w:tblPr>
        <w:tblW w:w="10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1044"/>
        <w:gridCol w:w="1134"/>
        <w:gridCol w:w="814"/>
        <w:gridCol w:w="1448"/>
      </w:tblGrid>
      <w:tr>
        <w:trPr>
          <w:jc w:val="center"/>
        </w:trPr>
        <w:tc>
          <w:tcPr>
            <w:tcW w:w="1080" w:type="dxa"/>
            <w:vMerge w:val="restart"/>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sz w:val="18"/>
              </w:rPr>
            </w:pPr>
            <w:r>
              <w:rPr>
                <w:noProof/>
                <w:sz w:val="18"/>
              </w:rPr>
              <w:t>Функция от многогодишната финансова рамка</w:t>
            </w:r>
          </w:p>
        </w:tc>
        <w:tc>
          <w:tcPr>
            <w:tcW w:w="3960"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sz w:val="20"/>
              </w:rPr>
            </w:pPr>
            <w:r>
              <w:rPr>
                <w:noProof/>
                <w:sz w:val="20"/>
              </w:rPr>
              <w:t>Бюджетен ред</w:t>
            </w:r>
          </w:p>
        </w:tc>
        <w:tc>
          <w:tcPr>
            <w:tcW w:w="1080"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sz w:val="18"/>
              </w:rPr>
            </w:pPr>
            <w:r>
              <w:rPr>
                <w:noProof/>
                <w:sz w:val="18"/>
              </w:rPr>
              <w:t xml:space="preserve">Вид </w:t>
            </w:r>
            <w:r>
              <w:rPr>
                <w:noProof/>
              </w:rPr>
              <w:t xml:space="preserve"> </w:t>
            </w:r>
            <w:r>
              <w:rPr>
                <w:noProof/>
              </w:rPr>
              <w:br/>
            </w:r>
            <w:r>
              <w:rPr>
                <w:noProof/>
                <w:sz w:val="18"/>
              </w:rPr>
              <w:t>разход</w:t>
            </w:r>
          </w:p>
        </w:tc>
        <w:tc>
          <w:tcPr>
            <w:tcW w:w="4440" w:type="dxa"/>
            <w:gridSpan w:val="4"/>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sz w:val="20"/>
              </w:rPr>
            </w:pPr>
            <w:r>
              <w:rPr>
                <w:noProof/>
                <w:sz w:val="20"/>
              </w:rPr>
              <w:t xml:space="preserve">Финансов принос </w:t>
            </w:r>
          </w:p>
        </w:tc>
      </w:tr>
      <w:tr>
        <w:trPr>
          <w:jc w:val="center"/>
        </w:trPr>
        <w:tc>
          <w:tcPr>
            <w:tcW w:w="1080" w:type="dxa"/>
            <w:vMerge/>
            <w:vAlign w:val="center"/>
          </w:tcPr>
          <w:p>
            <w:pPr>
              <w:jc w:val="center"/>
              <w:rPr>
                <w:noProof/>
              </w:rPr>
            </w:pPr>
          </w:p>
        </w:tc>
        <w:tc>
          <w:tcPr>
            <w:tcW w:w="3960" w:type="dxa"/>
            <w:vAlign w:val="center"/>
          </w:tcPr>
          <w:p>
            <w:pPr>
              <w:rPr>
                <w:noProof/>
              </w:rPr>
            </w:pPr>
            <w:r>
              <w:rPr>
                <w:noProof/>
                <w:sz w:val="20"/>
              </w:rPr>
              <w:t>Номер</w:t>
            </w:r>
            <w:r>
              <w:rPr>
                <w:noProof/>
              </w:rPr>
              <w:br/>
            </w:r>
            <w:r>
              <w:rPr>
                <w:noProof/>
                <w:sz w:val="20"/>
              </w:rPr>
              <w:t>[Функция………………………...……………]</w:t>
            </w:r>
          </w:p>
        </w:tc>
        <w:tc>
          <w:tcPr>
            <w:tcW w:w="1080" w:type="dxa"/>
            <w:vAlign w:val="center"/>
          </w:tcPr>
          <w:p>
            <w:pPr>
              <w:jc w:val="center"/>
              <w:rPr>
                <w:noProof/>
              </w:rPr>
            </w:pPr>
            <w:r>
              <w:rPr>
                <w:noProof/>
                <w:sz w:val="18"/>
              </w:rPr>
              <w:t>Многогод./едногод</w:t>
            </w:r>
            <w:r>
              <w:rPr>
                <w:rStyle w:val="FootnoteReference"/>
                <w:noProof/>
                <w:sz w:val="18"/>
              </w:rPr>
              <w:footnoteReference w:id="59"/>
            </w:r>
            <w:r>
              <w:rPr>
                <w:noProof/>
              </w:rPr>
              <w:t>.</w:t>
            </w:r>
          </w:p>
        </w:tc>
        <w:tc>
          <w:tcPr>
            <w:tcW w:w="1044" w:type="dxa"/>
            <w:vAlign w:val="center"/>
          </w:tcPr>
          <w:p>
            <w:pPr>
              <w:jc w:val="center"/>
              <w:rPr>
                <w:noProof/>
              </w:rPr>
            </w:pPr>
            <w:r>
              <w:rPr>
                <w:noProof/>
                <w:sz w:val="18"/>
              </w:rPr>
              <w:t>от държави от ЕАСТ</w:t>
            </w:r>
            <w:r>
              <w:rPr>
                <w:rStyle w:val="FootnoteReference"/>
                <w:noProof/>
                <w:sz w:val="18"/>
              </w:rPr>
              <w:footnoteReference w:id="60"/>
            </w:r>
          </w:p>
          <w:p>
            <w:pPr>
              <w:spacing w:after="0"/>
              <w:jc w:val="center"/>
              <w:rPr>
                <w:b/>
                <w:noProof/>
                <w:sz w:val="18"/>
              </w:rPr>
            </w:pPr>
          </w:p>
        </w:tc>
        <w:tc>
          <w:tcPr>
            <w:tcW w:w="1134" w:type="dxa"/>
            <w:vAlign w:val="center"/>
          </w:tcPr>
          <w:p>
            <w:pPr>
              <w:jc w:val="center"/>
              <w:rPr>
                <w:noProof/>
              </w:rPr>
            </w:pPr>
            <w:r>
              <w:rPr>
                <w:noProof/>
                <w:sz w:val="18"/>
              </w:rPr>
              <w:t>от държави кандидатки</w:t>
            </w:r>
            <w:r>
              <w:rPr>
                <w:rStyle w:val="FootnoteReference"/>
                <w:noProof/>
                <w:sz w:val="18"/>
              </w:rPr>
              <w:footnoteReference w:id="61"/>
            </w:r>
          </w:p>
          <w:p>
            <w:pPr>
              <w:spacing w:after="0"/>
              <w:jc w:val="center"/>
              <w:rPr>
                <w:noProof/>
                <w:sz w:val="18"/>
              </w:rPr>
            </w:pPr>
          </w:p>
        </w:tc>
        <w:tc>
          <w:tcPr>
            <w:tcW w:w="814" w:type="dxa"/>
            <w:vAlign w:val="center"/>
          </w:tcPr>
          <w:p>
            <w:pPr>
              <w:jc w:val="center"/>
              <w:rPr>
                <w:noProof/>
                <w:sz w:val="18"/>
              </w:rPr>
            </w:pPr>
            <w:r>
              <w:rPr>
                <w:noProof/>
                <w:sz w:val="18"/>
              </w:rPr>
              <w:t>от трети държави</w:t>
            </w:r>
          </w:p>
        </w:tc>
        <w:tc>
          <w:tcPr>
            <w:tcW w:w="1448" w:type="dxa"/>
            <w:vAlign w:val="center"/>
          </w:tcPr>
          <w:p>
            <w:pPr>
              <w:jc w:val="center"/>
              <w:rPr>
                <w:noProof/>
              </w:rPr>
            </w:pPr>
            <w:r>
              <w:rPr>
                <w:noProof/>
                <w:sz w:val="16"/>
              </w:rPr>
              <w:t xml:space="preserve">по смисъла на член 21, параграф 2, буква б) от Финансовия регламент </w:t>
            </w:r>
          </w:p>
        </w:tc>
      </w:tr>
      <w:tr>
        <w:trPr>
          <w:jc w:val="center"/>
        </w:trPr>
        <w:tc>
          <w:tcPr>
            <w:tcW w:w="1080" w:type="dxa"/>
            <w:vAlign w:val="center"/>
          </w:tcPr>
          <w:p>
            <w:pPr>
              <w:jc w:val="center"/>
              <w:rPr>
                <w:noProof/>
              </w:rPr>
            </w:pPr>
            <w:r>
              <w:rPr>
                <w:noProof/>
              </w:rPr>
              <w:t>1</w:t>
            </w:r>
          </w:p>
        </w:tc>
        <w:tc>
          <w:tcPr>
            <w:tcW w:w="3960" w:type="dxa"/>
            <w:vAlign w:val="center"/>
          </w:tcPr>
          <w:p>
            <w:pPr>
              <w:spacing w:before="60"/>
              <w:rPr>
                <w:noProof/>
              </w:rPr>
            </w:pPr>
          </w:p>
          <w:p>
            <w:pPr>
              <w:spacing w:before="60"/>
              <w:rPr>
                <w:noProof/>
              </w:rPr>
            </w:pPr>
            <w:r>
              <w:rPr>
                <w:noProof/>
              </w:rPr>
              <w:t>03.05.01</w:t>
            </w:r>
          </w:p>
          <w:p>
            <w:pPr>
              <w:spacing w:after="60"/>
              <w:rPr>
                <w:noProof/>
              </w:rPr>
            </w:pPr>
          </w:p>
        </w:tc>
        <w:tc>
          <w:tcPr>
            <w:tcW w:w="1080" w:type="dxa"/>
            <w:vAlign w:val="center"/>
          </w:tcPr>
          <w:p>
            <w:pPr>
              <w:jc w:val="center"/>
              <w:rPr>
                <w:noProof/>
              </w:rPr>
            </w:pPr>
            <w:r>
              <w:rPr>
                <w:noProof/>
              </w:rPr>
              <w:t>Многогод.</w:t>
            </w:r>
          </w:p>
        </w:tc>
        <w:tc>
          <w:tcPr>
            <w:tcW w:w="1044" w:type="dxa"/>
            <w:vAlign w:val="center"/>
          </w:tcPr>
          <w:p>
            <w:pPr>
              <w:jc w:val="center"/>
              <w:rPr>
                <w:noProof/>
              </w:rPr>
            </w:pPr>
            <w:r>
              <w:rPr>
                <w:noProof/>
              </w:rPr>
              <w:t>НЕ</w:t>
            </w:r>
          </w:p>
        </w:tc>
        <w:tc>
          <w:tcPr>
            <w:tcW w:w="1134" w:type="dxa"/>
            <w:vAlign w:val="center"/>
          </w:tcPr>
          <w:p>
            <w:pPr>
              <w:jc w:val="center"/>
              <w:rPr>
                <w:noProof/>
              </w:rPr>
            </w:pPr>
            <w:r>
              <w:rPr>
                <w:noProof/>
              </w:rPr>
              <w:t>НЕ</w:t>
            </w:r>
          </w:p>
        </w:tc>
        <w:tc>
          <w:tcPr>
            <w:tcW w:w="814" w:type="dxa"/>
            <w:vAlign w:val="center"/>
          </w:tcPr>
          <w:p>
            <w:pPr>
              <w:jc w:val="center"/>
              <w:rPr>
                <w:noProof/>
              </w:rPr>
            </w:pPr>
            <w:r>
              <w:rPr>
                <w:noProof/>
              </w:rPr>
              <w:t>НЕ</w:t>
            </w:r>
          </w:p>
        </w:tc>
        <w:tc>
          <w:tcPr>
            <w:tcW w:w="1448" w:type="dxa"/>
            <w:vAlign w:val="center"/>
          </w:tcPr>
          <w:p>
            <w:pPr>
              <w:jc w:val="center"/>
              <w:rPr>
                <w:noProof/>
              </w:rPr>
            </w:pPr>
            <w:r>
              <w:rPr>
                <w:noProof/>
              </w:rPr>
              <w:t>НЕ</w:t>
            </w:r>
          </w:p>
        </w:tc>
      </w:tr>
      <w:tr>
        <w:trPr>
          <w:jc w:val="center"/>
        </w:trPr>
        <w:tc>
          <w:tcPr>
            <w:tcW w:w="1080" w:type="dxa"/>
            <w:vAlign w:val="center"/>
          </w:tcPr>
          <w:p>
            <w:pPr>
              <w:jc w:val="center"/>
              <w:rPr>
                <w:noProof/>
              </w:rPr>
            </w:pPr>
            <w:r>
              <w:rPr>
                <w:noProof/>
              </w:rPr>
              <w:t>Предстои да се определи</w:t>
            </w:r>
          </w:p>
        </w:tc>
        <w:tc>
          <w:tcPr>
            <w:tcW w:w="3960" w:type="dxa"/>
            <w:vAlign w:val="center"/>
          </w:tcPr>
          <w:p>
            <w:pPr>
              <w:spacing w:before="60"/>
              <w:rPr>
                <w:noProof/>
              </w:rPr>
            </w:pPr>
            <w:r>
              <w:rPr>
                <w:noProof/>
              </w:rPr>
              <w:t>Бюджетни редове за участващи ГД</w:t>
            </w:r>
          </w:p>
        </w:tc>
        <w:tc>
          <w:tcPr>
            <w:tcW w:w="1080" w:type="dxa"/>
            <w:vAlign w:val="center"/>
          </w:tcPr>
          <w:p>
            <w:pPr>
              <w:jc w:val="center"/>
              <w:rPr>
                <w:noProof/>
              </w:rPr>
            </w:pPr>
            <w:r>
              <w:rPr>
                <w:noProof/>
              </w:rPr>
              <w:t>Многогод.</w:t>
            </w:r>
          </w:p>
        </w:tc>
        <w:tc>
          <w:tcPr>
            <w:tcW w:w="1044" w:type="dxa"/>
            <w:vAlign w:val="center"/>
          </w:tcPr>
          <w:p>
            <w:pPr>
              <w:jc w:val="center"/>
              <w:rPr>
                <w:noProof/>
              </w:rPr>
            </w:pPr>
            <w:r>
              <w:rPr>
                <w:noProof/>
              </w:rPr>
              <w:t>НЕ</w:t>
            </w:r>
          </w:p>
        </w:tc>
        <w:tc>
          <w:tcPr>
            <w:tcW w:w="1134" w:type="dxa"/>
            <w:vAlign w:val="center"/>
          </w:tcPr>
          <w:p>
            <w:pPr>
              <w:jc w:val="center"/>
              <w:rPr>
                <w:noProof/>
              </w:rPr>
            </w:pPr>
            <w:r>
              <w:rPr>
                <w:noProof/>
              </w:rPr>
              <w:t>НЕ</w:t>
            </w:r>
          </w:p>
        </w:tc>
        <w:tc>
          <w:tcPr>
            <w:tcW w:w="814" w:type="dxa"/>
            <w:vAlign w:val="center"/>
          </w:tcPr>
          <w:p>
            <w:pPr>
              <w:jc w:val="center"/>
              <w:rPr>
                <w:noProof/>
              </w:rPr>
            </w:pPr>
            <w:r>
              <w:rPr>
                <w:noProof/>
              </w:rPr>
              <w:t>НЕ</w:t>
            </w:r>
          </w:p>
        </w:tc>
        <w:tc>
          <w:tcPr>
            <w:tcW w:w="1448" w:type="dxa"/>
            <w:vAlign w:val="center"/>
          </w:tcPr>
          <w:p>
            <w:pPr>
              <w:jc w:val="center"/>
              <w:rPr>
                <w:noProof/>
              </w:rPr>
            </w:pPr>
            <w:r>
              <w:rPr>
                <w:noProof/>
              </w:rPr>
              <w:t>НЕ</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 xml:space="preserve">Очаквано отражение върху разходите </w:t>
      </w:r>
    </w:p>
    <w:p>
      <w:pPr>
        <w:pStyle w:val="Text1"/>
        <w:rPr>
          <w:noProof/>
        </w:rPr>
      </w:pPr>
      <w:r>
        <w:rPr>
          <w:noProof/>
          <w:highlight w:val="lightGray"/>
        </w:rPr>
        <w:t>[Тази част следва да бъде попълнена, като се използва</w:t>
      </w:r>
      <w:r>
        <w:rPr>
          <w:noProof/>
        </w:rPr>
        <w:t xml:space="preserve"> </w:t>
      </w:r>
      <w:hyperlink r:id="rId13" w:history="1">
        <w:r>
          <w:rPr>
            <w:rStyle w:val="Hyperlink"/>
            <w:b/>
            <w:noProof/>
            <w:highlight w:val="lightGray"/>
          </w:rPr>
          <w:t>таблицата за бюджетни данни от административно естество</w:t>
        </w:r>
      </w:hyperlink>
      <w:r>
        <w:rPr>
          <w:noProof/>
        </w:rPr>
        <w:t xml:space="preserve"> </w:t>
      </w:r>
      <w:r>
        <w:rPr>
          <w:noProof/>
          <w:highlight w:val="lightGray"/>
        </w:rPr>
        <w:t>(вторият документ в приложението към настоящата финансова обосновка), която трябва да се качи в CISNET за провеждането на междуведомствени консултации.]</w:t>
      </w:r>
    </w:p>
    <w:p>
      <w:pPr>
        <w:pStyle w:val="ManualHeading3"/>
        <w:rPr>
          <w:noProof/>
          <w:u w:val="single"/>
        </w:rPr>
      </w:pPr>
      <w:r>
        <w:t>3.2.1.</w:t>
      </w:r>
      <w:r>
        <w:tab/>
      </w:r>
      <w:r>
        <w:rPr>
          <w:noProof/>
        </w:rPr>
        <w:t xml:space="preserve">Обобщение на очакваното отражение върху разходите </w:t>
      </w:r>
    </w:p>
    <w:p>
      <w:pPr>
        <w:jc w:val="right"/>
        <w:rPr>
          <w:noProof/>
          <w:sz w:val="20"/>
        </w:rPr>
      </w:pPr>
      <w:r>
        <w:rPr>
          <w:noProof/>
          <w:sz w:val="20"/>
        </w:rPr>
        <w:t>млн. евро (до 3-тия знак след десетичната запетая)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4"/>
        <w:gridCol w:w="1212"/>
        <w:gridCol w:w="8773"/>
      </w:tblGrid>
      <w:tr>
        <w:trPr>
          <w:jc w:val="center"/>
        </w:trPr>
        <w:tc>
          <w:tcPr>
            <w:tcW w:w="4744" w:type="dxa"/>
            <w:shd w:val="thinDiagStripe" w:color="C0C0C0" w:fill="auto"/>
            <w:vAlign w:val="center"/>
          </w:tcPr>
          <w:p>
            <w:pPr>
              <w:spacing w:before="60" w:after="60"/>
              <w:jc w:val="center"/>
              <w:rPr>
                <w:b/>
                <w:noProof/>
              </w:rPr>
            </w:pPr>
            <w:r>
              <w:rPr>
                <w:b/>
                <w:noProof/>
              </w:rPr>
              <w:t>Функция от многогодишната финансова</w:t>
            </w:r>
            <w:r>
              <w:rPr>
                <w:noProof/>
              </w:rPr>
              <w:t xml:space="preserve"> </w:t>
            </w:r>
            <w:r>
              <w:rPr>
                <w:noProof/>
              </w:rPr>
              <w:br/>
            </w:r>
            <w:r>
              <w:rPr>
                <w:b/>
                <w:noProof/>
              </w:rPr>
              <w:t xml:space="preserve">рамка </w:t>
            </w:r>
          </w:p>
        </w:tc>
        <w:tc>
          <w:tcPr>
            <w:tcW w:w="1080" w:type="dxa"/>
            <w:vAlign w:val="center"/>
          </w:tcPr>
          <w:p>
            <w:pPr>
              <w:spacing w:before="60" w:after="60"/>
              <w:jc w:val="center"/>
              <w:rPr>
                <w:noProof/>
              </w:rPr>
            </w:pPr>
            <w:r>
              <w:rPr>
                <w:noProof/>
              </w:rPr>
              <w:t>Номер 1</w:t>
            </w:r>
          </w:p>
        </w:tc>
        <w:tc>
          <w:tcPr>
            <w:tcW w:w="7817" w:type="dxa"/>
            <w:vAlign w:val="center"/>
          </w:tcPr>
          <w:p>
            <w:pPr>
              <w:spacing w:before="60" w:after="60"/>
              <w:rPr>
                <w:noProof/>
              </w:rPr>
            </w:pPr>
            <w:r>
              <w:rPr>
                <w:noProof/>
                <w:color w:val="000000" w:themeColor="text1"/>
              </w:rPr>
              <w:t>Средствата, отпуснати за настоящото законодателно предложение, са обхванати от бюджета на програма „Митници“ в размер на 950 милиона евро, предложен от Комисията на 8 юни 2018 г. за следващата МФР за периода 2021—2027 г. Въпреки че настоящата инициатива не оказва допълнително въздействие върху бюджета, ефективното ѝ изпълнение ще зависи от това дали вследствие на резултата от преговорите по МФР за периода 2021—2027 г. ще бъдат осигурени достатъчно ресурси.</w:t>
            </w:r>
          </w:p>
        </w:tc>
      </w:tr>
    </w:tbl>
    <w:p>
      <w:pPr>
        <w:rPr>
          <w:noProof/>
          <w:sz w:val="16"/>
        </w:rPr>
      </w:pPr>
    </w:p>
    <w:tbl>
      <w:tblPr>
        <w:tblW w:w="13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1340"/>
        <w:gridCol w:w="111"/>
        <w:gridCol w:w="509"/>
        <w:gridCol w:w="941"/>
        <w:gridCol w:w="941"/>
        <w:gridCol w:w="941"/>
        <w:gridCol w:w="815"/>
        <w:gridCol w:w="929"/>
        <w:gridCol w:w="885"/>
        <w:gridCol w:w="884"/>
        <w:gridCol w:w="1627"/>
      </w:tblGrid>
      <w:tr>
        <w:trPr>
          <w:gridAfter w:val="1"/>
          <w:wAfter w:w="1627" w:type="dxa"/>
          <w:jc w:val="center"/>
        </w:trPr>
        <w:tc>
          <w:tcPr>
            <w:tcW w:w="3648" w:type="dxa"/>
            <w:vAlign w:val="center"/>
          </w:tcPr>
          <w:p>
            <w:pPr>
              <w:jc w:val="center"/>
              <w:rPr>
                <w:b/>
                <w:noProof/>
              </w:rPr>
            </w:pPr>
            <w:r>
              <w:rPr>
                <w:b/>
                <w:noProof/>
              </w:rPr>
              <w:t>ГД: „Данъчно облагане и митнически съюз“</w:t>
            </w:r>
          </w:p>
        </w:tc>
        <w:tc>
          <w:tcPr>
            <w:tcW w:w="1451" w:type="dxa"/>
            <w:gridSpan w:val="2"/>
          </w:tcPr>
          <w:p>
            <w:pPr>
              <w:rPr>
                <w:noProof/>
                <w:sz w:val="20"/>
              </w:rPr>
            </w:pPr>
          </w:p>
        </w:tc>
        <w:tc>
          <w:tcPr>
            <w:tcW w:w="509" w:type="dxa"/>
          </w:tcPr>
          <w:p>
            <w:pPr>
              <w:jc w:val="center"/>
              <w:rPr>
                <w:noProof/>
                <w:sz w:val="20"/>
              </w:rPr>
            </w:pPr>
          </w:p>
        </w:tc>
        <w:tc>
          <w:tcPr>
            <w:tcW w:w="941" w:type="dxa"/>
            <w:vAlign w:val="center"/>
          </w:tcPr>
          <w:p>
            <w:pPr>
              <w:jc w:val="center"/>
              <w:rPr>
                <w:noProof/>
                <w:sz w:val="20"/>
              </w:rPr>
            </w:pPr>
            <w:r>
              <w:rPr>
                <w:noProof/>
                <w:sz w:val="20"/>
              </w:rPr>
              <w:t>Година</w:t>
            </w:r>
            <w:r>
              <w:rPr>
                <w:noProof/>
              </w:rPr>
              <w:t xml:space="preserve"> </w:t>
            </w:r>
            <w:r>
              <w:rPr>
                <w:noProof/>
              </w:rPr>
              <w:br/>
            </w:r>
            <w:r>
              <w:rPr>
                <w:b/>
                <w:noProof/>
                <w:sz w:val="20"/>
              </w:rPr>
              <w:t>2022 г.</w:t>
            </w:r>
            <w:r>
              <w:rPr>
                <w:rStyle w:val="FootnoteReference"/>
                <w:b/>
                <w:noProof/>
                <w:sz w:val="20"/>
              </w:rPr>
              <w:footnoteReference w:id="62"/>
            </w:r>
          </w:p>
        </w:tc>
        <w:tc>
          <w:tcPr>
            <w:tcW w:w="941" w:type="dxa"/>
            <w:vAlign w:val="center"/>
          </w:tcPr>
          <w:p>
            <w:pPr>
              <w:jc w:val="center"/>
              <w:rPr>
                <w:noProof/>
                <w:sz w:val="20"/>
              </w:rPr>
            </w:pPr>
            <w:r>
              <w:rPr>
                <w:noProof/>
                <w:sz w:val="20"/>
              </w:rPr>
              <w:t>Година</w:t>
            </w:r>
            <w:r>
              <w:rPr>
                <w:noProof/>
              </w:rPr>
              <w:t xml:space="preserve"> </w:t>
            </w:r>
            <w:r>
              <w:rPr>
                <w:noProof/>
              </w:rPr>
              <w:br/>
            </w:r>
            <w:r>
              <w:rPr>
                <w:b/>
                <w:noProof/>
                <w:sz w:val="20"/>
              </w:rPr>
              <w:t>2023 г.</w:t>
            </w:r>
          </w:p>
        </w:tc>
        <w:tc>
          <w:tcPr>
            <w:tcW w:w="941" w:type="dxa"/>
            <w:vAlign w:val="center"/>
          </w:tcPr>
          <w:p>
            <w:pPr>
              <w:jc w:val="center"/>
              <w:rPr>
                <w:noProof/>
                <w:sz w:val="20"/>
              </w:rPr>
            </w:pPr>
            <w:r>
              <w:rPr>
                <w:noProof/>
                <w:sz w:val="20"/>
              </w:rPr>
              <w:t>Година</w:t>
            </w:r>
            <w:r>
              <w:rPr>
                <w:noProof/>
              </w:rPr>
              <w:t xml:space="preserve"> </w:t>
            </w:r>
            <w:r>
              <w:rPr>
                <w:noProof/>
              </w:rPr>
              <w:br/>
            </w:r>
            <w:r>
              <w:rPr>
                <w:b/>
                <w:noProof/>
                <w:sz w:val="20"/>
              </w:rPr>
              <w:t>2024 г.</w:t>
            </w:r>
          </w:p>
        </w:tc>
        <w:tc>
          <w:tcPr>
            <w:tcW w:w="815" w:type="dxa"/>
            <w:vAlign w:val="center"/>
          </w:tcPr>
          <w:p>
            <w:pPr>
              <w:jc w:val="center"/>
              <w:rPr>
                <w:noProof/>
                <w:sz w:val="20"/>
              </w:rPr>
            </w:pPr>
            <w:r>
              <w:rPr>
                <w:noProof/>
                <w:sz w:val="20"/>
              </w:rPr>
              <w:t>Година</w:t>
            </w:r>
            <w:r>
              <w:rPr>
                <w:noProof/>
              </w:rPr>
              <w:t xml:space="preserve"> </w:t>
            </w:r>
            <w:r>
              <w:rPr>
                <w:noProof/>
              </w:rPr>
              <w:br/>
            </w:r>
            <w:r>
              <w:rPr>
                <w:b/>
                <w:noProof/>
                <w:sz w:val="20"/>
              </w:rPr>
              <w:t>2025 г.</w:t>
            </w:r>
          </w:p>
        </w:tc>
        <w:tc>
          <w:tcPr>
            <w:tcW w:w="929" w:type="dxa"/>
          </w:tcPr>
          <w:p>
            <w:pPr>
              <w:jc w:val="center"/>
              <w:rPr>
                <w:noProof/>
                <w:sz w:val="18"/>
              </w:rPr>
            </w:pPr>
            <w:r>
              <w:rPr>
                <w:noProof/>
                <w:sz w:val="20"/>
              </w:rPr>
              <w:t>Година</w:t>
            </w:r>
            <w:r>
              <w:rPr>
                <w:noProof/>
              </w:rPr>
              <w:t xml:space="preserve"> </w:t>
            </w:r>
            <w:r>
              <w:rPr>
                <w:noProof/>
              </w:rPr>
              <w:br/>
            </w:r>
            <w:r>
              <w:rPr>
                <w:b/>
                <w:noProof/>
                <w:sz w:val="20"/>
              </w:rPr>
              <w:t>2026 г.</w:t>
            </w:r>
          </w:p>
        </w:tc>
        <w:tc>
          <w:tcPr>
            <w:tcW w:w="885" w:type="dxa"/>
          </w:tcPr>
          <w:p>
            <w:pPr>
              <w:jc w:val="center"/>
              <w:rPr>
                <w:noProof/>
                <w:sz w:val="18"/>
              </w:rPr>
            </w:pPr>
            <w:r>
              <w:rPr>
                <w:noProof/>
                <w:sz w:val="20"/>
              </w:rPr>
              <w:t>Година</w:t>
            </w:r>
            <w:r>
              <w:rPr>
                <w:noProof/>
              </w:rPr>
              <w:t xml:space="preserve"> </w:t>
            </w:r>
            <w:r>
              <w:rPr>
                <w:noProof/>
              </w:rPr>
              <w:br/>
            </w:r>
            <w:r>
              <w:rPr>
                <w:b/>
                <w:noProof/>
                <w:sz w:val="20"/>
              </w:rPr>
              <w:t>2027 г.</w:t>
            </w:r>
          </w:p>
        </w:tc>
        <w:tc>
          <w:tcPr>
            <w:tcW w:w="884" w:type="dxa"/>
          </w:tcPr>
          <w:p>
            <w:pPr>
              <w:jc w:val="center"/>
              <w:rPr>
                <w:noProof/>
                <w:sz w:val="18"/>
              </w:rPr>
            </w:pPr>
            <w:r>
              <w:rPr>
                <w:noProof/>
                <w:sz w:val="20"/>
              </w:rPr>
              <w:t>След</w:t>
            </w:r>
            <w:r>
              <w:rPr>
                <w:noProof/>
              </w:rPr>
              <w:t xml:space="preserve"> </w:t>
            </w:r>
            <w:r>
              <w:rPr>
                <w:noProof/>
              </w:rPr>
              <w:br/>
            </w:r>
            <w:r>
              <w:rPr>
                <w:b/>
                <w:noProof/>
                <w:sz w:val="20"/>
              </w:rPr>
              <w:t>2027 г.</w:t>
            </w:r>
            <w:r>
              <w:rPr>
                <w:rStyle w:val="FootnoteReference"/>
                <w:b/>
                <w:noProof/>
                <w:sz w:val="20"/>
              </w:rPr>
              <w:footnoteReference w:id="63"/>
            </w:r>
          </w:p>
        </w:tc>
      </w:tr>
      <w:tr>
        <w:trPr>
          <w:trHeight w:val="213"/>
          <w:jc w:val="center"/>
        </w:trPr>
        <w:tc>
          <w:tcPr>
            <w:tcW w:w="5608" w:type="dxa"/>
            <w:gridSpan w:val="4"/>
            <w:vAlign w:val="center"/>
          </w:tcPr>
          <w:p>
            <w:pPr>
              <w:spacing w:before="20" w:after="20"/>
              <w:rPr>
                <w:noProof/>
                <w:sz w:val="21"/>
              </w:rPr>
            </w:pPr>
            <w:r>
              <w:rPr>
                <w:noProof/>
                <w:sz w:val="21"/>
              </w:rPr>
              <w:sym w:font="Wingdings" w:char="F09F"/>
            </w:r>
            <w:r>
              <w:rPr>
                <w:noProof/>
              </w:rPr>
              <w:t xml:space="preserve"> Бюджетни кредити за оперативни разходи</w:t>
            </w:r>
            <w:r>
              <w:rPr>
                <w:noProof/>
                <w:sz w:val="21"/>
              </w:rPr>
              <w:t xml:space="preserve"> </w:t>
            </w:r>
          </w:p>
        </w:tc>
        <w:tc>
          <w:tcPr>
            <w:tcW w:w="941" w:type="dxa"/>
            <w:vAlign w:val="center"/>
          </w:tcPr>
          <w:p>
            <w:pPr>
              <w:rPr>
                <w:noProof/>
                <w:sz w:val="20"/>
              </w:rPr>
            </w:pPr>
          </w:p>
        </w:tc>
        <w:tc>
          <w:tcPr>
            <w:tcW w:w="941" w:type="dxa"/>
            <w:vAlign w:val="center"/>
          </w:tcPr>
          <w:p>
            <w:pPr>
              <w:rPr>
                <w:noProof/>
                <w:sz w:val="20"/>
              </w:rPr>
            </w:pPr>
          </w:p>
        </w:tc>
        <w:tc>
          <w:tcPr>
            <w:tcW w:w="941" w:type="dxa"/>
            <w:vAlign w:val="center"/>
          </w:tcPr>
          <w:p>
            <w:pPr>
              <w:rPr>
                <w:noProof/>
                <w:sz w:val="20"/>
              </w:rPr>
            </w:pPr>
          </w:p>
        </w:tc>
        <w:tc>
          <w:tcPr>
            <w:tcW w:w="815" w:type="dxa"/>
            <w:vAlign w:val="center"/>
          </w:tcPr>
          <w:p>
            <w:pPr>
              <w:rPr>
                <w:noProof/>
                <w:sz w:val="20"/>
              </w:rPr>
            </w:pPr>
          </w:p>
        </w:tc>
        <w:tc>
          <w:tcPr>
            <w:tcW w:w="929" w:type="dxa"/>
            <w:vAlign w:val="center"/>
          </w:tcPr>
          <w:p>
            <w:pPr>
              <w:rPr>
                <w:noProof/>
                <w:sz w:val="20"/>
              </w:rPr>
            </w:pPr>
          </w:p>
        </w:tc>
        <w:tc>
          <w:tcPr>
            <w:tcW w:w="885" w:type="dxa"/>
            <w:vAlign w:val="center"/>
          </w:tcPr>
          <w:p>
            <w:pPr>
              <w:rPr>
                <w:noProof/>
                <w:sz w:val="20"/>
              </w:rPr>
            </w:pPr>
          </w:p>
        </w:tc>
        <w:tc>
          <w:tcPr>
            <w:tcW w:w="884" w:type="dxa"/>
            <w:vAlign w:val="center"/>
          </w:tcPr>
          <w:p>
            <w:pPr>
              <w:rPr>
                <w:noProof/>
                <w:sz w:val="20"/>
              </w:rPr>
            </w:pPr>
          </w:p>
        </w:tc>
        <w:tc>
          <w:tcPr>
            <w:tcW w:w="1627" w:type="dxa"/>
            <w:vAlign w:val="center"/>
          </w:tcPr>
          <w:p>
            <w:pPr>
              <w:jc w:val="center"/>
              <w:rPr>
                <w:b/>
                <w:noProof/>
                <w:sz w:val="20"/>
              </w:rPr>
            </w:pPr>
            <w:r>
              <w:rPr>
                <w:b/>
                <w:noProof/>
                <w:sz w:val="20"/>
              </w:rPr>
              <w:t>ОБЩО</w:t>
            </w:r>
          </w:p>
        </w:tc>
      </w:tr>
      <w:tr>
        <w:trPr>
          <w:trHeight w:val="277"/>
          <w:jc w:val="center"/>
        </w:trPr>
        <w:tc>
          <w:tcPr>
            <w:tcW w:w="3648" w:type="dxa"/>
            <w:vMerge w:val="restart"/>
            <w:vAlign w:val="center"/>
          </w:tcPr>
          <w:p>
            <w:pPr>
              <w:rPr>
                <w:noProof/>
              </w:rPr>
            </w:pPr>
            <w:r>
              <w:rPr>
                <w:noProof/>
              </w:rPr>
              <w:t>03.05.01</w:t>
            </w:r>
          </w:p>
        </w:tc>
        <w:tc>
          <w:tcPr>
            <w:tcW w:w="1340" w:type="dxa"/>
            <w:vAlign w:val="center"/>
          </w:tcPr>
          <w:p>
            <w:pPr>
              <w:spacing w:before="20" w:after="20"/>
              <w:rPr>
                <w:noProof/>
                <w:sz w:val="18"/>
              </w:rPr>
            </w:pPr>
            <w:r>
              <w:rPr>
                <w:noProof/>
                <w:sz w:val="18"/>
              </w:rPr>
              <w:t>Поети задължения</w:t>
            </w:r>
          </w:p>
        </w:tc>
        <w:tc>
          <w:tcPr>
            <w:tcW w:w="620" w:type="dxa"/>
            <w:gridSpan w:val="2"/>
            <w:vAlign w:val="center"/>
          </w:tcPr>
          <w:p>
            <w:pPr>
              <w:spacing w:before="20" w:after="20"/>
              <w:jc w:val="center"/>
              <w:rPr>
                <w:noProof/>
                <w:sz w:val="14"/>
              </w:rPr>
            </w:pPr>
            <w:r>
              <w:rPr>
                <w:noProof/>
                <w:sz w:val="14"/>
              </w:rPr>
              <w:t>(1)</w:t>
            </w:r>
          </w:p>
        </w:tc>
        <w:tc>
          <w:tcPr>
            <w:tcW w:w="941" w:type="dxa"/>
            <w:vAlign w:val="center"/>
          </w:tcPr>
          <w:p>
            <w:pPr>
              <w:spacing w:after="0"/>
              <w:jc w:val="right"/>
              <w:rPr>
                <w:noProof/>
                <w:sz w:val="18"/>
                <w:szCs w:val="18"/>
              </w:rPr>
            </w:pPr>
            <w:r>
              <w:rPr>
                <w:noProof/>
                <w:sz w:val="18"/>
                <w:szCs w:val="18"/>
              </w:rPr>
              <w:t>3,964</w:t>
            </w:r>
          </w:p>
        </w:tc>
        <w:tc>
          <w:tcPr>
            <w:tcW w:w="941" w:type="dxa"/>
            <w:vAlign w:val="center"/>
          </w:tcPr>
          <w:p>
            <w:pPr>
              <w:spacing w:after="0"/>
              <w:jc w:val="right"/>
              <w:rPr>
                <w:noProof/>
                <w:sz w:val="18"/>
                <w:szCs w:val="18"/>
              </w:rPr>
            </w:pPr>
            <w:r>
              <w:rPr>
                <w:noProof/>
                <w:sz w:val="18"/>
                <w:szCs w:val="18"/>
              </w:rPr>
              <w:t>3,964</w:t>
            </w:r>
          </w:p>
        </w:tc>
        <w:tc>
          <w:tcPr>
            <w:tcW w:w="941" w:type="dxa"/>
            <w:vAlign w:val="center"/>
          </w:tcPr>
          <w:p>
            <w:pPr>
              <w:spacing w:after="0"/>
              <w:jc w:val="right"/>
              <w:rPr>
                <w:noProof/>
                <w:sz w:val="18"/>
                <w:szCs w:val="18"/>
              </w:rPr>
            </w:pPr>
            <w:r>
              <w:rPr>
                <w:noProof/>
                <w:sz w:val="18"/>
                <w:szCs w:val="18"/>
              </w:rPr>
              <w:t>3,964</w:t>
            </w:r>
          </w:p>
        </w:tc>
        <w:tc>
          <w:tcPr>
            <w:tcW w:w="815" w:type="dxa"/>
            <w:vAlign w:val="center"/>
          </w:tcPr>
          <w:p>
            <w:pPr>
              <w:spacing w:after="0"/>
              <w:jc w:val="right"/>
              <w:rPr>
                <w:noProof/>
                <w:sz w:val="18"/>
                <w:szCs w:val="18"/>
              </w:rPr>
            </w:pPr>
            <w:r>
              <w:rPr>
                <w:noProof/>
                <w:sz w:val="18"/>
                <w:szCs w:val="18"/>
              </w:rPr>
              <w:t>3,964</w:t>
            </w:r>
          </w:p>
        </w:tc>
        <w:tc>
          <w:tcPr>
            <w:tcW w:w="929" w:type="dxa"/>
            <w:vAlign w:val="center"/>
          </w:tcPr>
          <w:p>
            <w:pPr>
              <w:spacing w:after="0"/>
              <w:jc w:val="right"/>
              <w:rPr>
                <w:noProof/>
                <w:sz w:val="18"/>
                <w:szCs w:val="18"/>
              </w:rPr>
            </w:pPr>
            <w:r>
              <w:rPr>
                <w:noProof/>
                <w:sz w:val="18"/>
                <w:szCs w:val="18"/>
              </w:rPr>
              <w:t>3,964</w:t>
            </w:r>
          </w:p>
        </w:tc>
        <w:tc>
          <w:tcPr>
            <w:tcW w:w="885" w:type="dxa"/>
            <w:vAlign w:val="center"/>
          </w:tcPr>
          <w:p>
            <w:pPr>
              <w:spacing w:after="0"/>
              <w:jc w:val="right"/>
              <w:rPr>
                <w:noProof/>
                <w:sz w:val="18"/>
                <w:szCs w:val="18"/>
              </w:rPr>
            </w:pPr>
            <w:r>
              <w:rPr>
                <w:noProof/>
                <w:sz w:val="18"/>
                <w:szCs w:val="18"/>
              </w:rPr>
              <w:t>3,964</w:t>
            </w:r>
          </w:p>
        </w:tc>
        <w:tc>
          <w:tcPr>
            <w:tcW w:w="884" w:type="dxa"/>
            <w:vAlign w:val="center"/>
          </w:tcPr>
          <w:p>
            <w:pPr>
              <w:spacing w:before="20" w:after="20"/>
              <w:jc w:val="right"/>
              <w:rPr>
                <w:noProof/>
                <w:sz w:val="18"/>
                <w:szCs w:val="18"/>
              </w:rPr>
            </w:pPr>
          </w:p>
        </w:tc>
        <w:tc>
          <w:tcPr>
            <w:tcW w:w="1627" w:type="dxa"/>
            <w:vAlign w:val="center"/>
          </w:tcPr>
          <w:p>
            <w:pPr>
              <w:spacing w:before="20" w:after="20"/>
              <w:jc w:val="center"/>
              <w:rPr>
                <w:b/>
                <w:noProof/>
                <w:sz w:val="20"/>
                <w:szCs w:val="20"/>
              </w:rPr>
            </w:pPr>
            <w:r>
              <w:rPr>
                <w:b/>
                <w:noProof/>
                <w:sz w:val="20"/>
                <w:szCs w:val="20"/>
              </w:rPr>
              <w:t>23,781</w:t>
            </w:r>
          </w:p>
        </w:tc>
      </w:tr>
      <w:tr>
        <w:trPr>
          <w:jc w:val="center"/>
        </w:trPr>
        <w:tc>
          <w:tcPr>
            <w:tcW w:w="3648" w:type="dxa"/>
            <w:vMerge/>
          </w:tcPr>
          <w:p>
            <w:pPr>
              <w:jc w:val="center"/>
              <w:rPr>
                <w:noProof/>
                <w:sz w:val="20"/>
              </w:rPr>
            </w:pPr>
          </w:p>
        </w:tc>
        <w:tc>
          <w:tcPr>
            <w:tcW w:w="1340" w:type="dxa"/>
            <w:vAlign w:val="center"/>
          </w:tcPr>
          <w:p>
            <w:pPr>
              <w:spacing w:before="20" w:after="20"/>
              <w:rPr>
                <w:noProof/>
                <w:sz w:val="18"/>
              </w:rPr>
            </w:pPr>
            <w:r>
              <w:rPr>
                <w:noProof/>
                <w:sz w:val="18"/>
              </w:rPr>
              <w:t>Плащания</w:t>
            </w:r>
          </w:p>
        </w:tc>
        <w:tc>
          <w:tcPr>
            <w:tcW w:w="620" w:type="dxa"/>
            <w:gridSpan w:val="2"/>
            <w:vAlign w:val="center"/>
          </w:tcPr>
          <w:p>
            <w:pPr>
              <w:spacing w:before="20" w:after="20"/>
              <w:jc w:val="center"/>
              <w:rPr>
                <w:noProof/>
                <w:sz w:val="14"/>
              </w:rPr>
            </w:pPr>
            <w:r>
              <w:rPr>
                <w:noProof/>
                <w:sz w:val="14"/>
              </w:rPr>
              <w:t>(2)</w:t>
            </w:r>
          </w:p>
        </w:tc>
        <w:tc>
          <w:tcPr>
            <w:tcW w:w="941" w:type="dxa"/>
            <w:vAlign w:val="center"/>
          </w:tcPr>
          <w:p>
            <w:pPr>
              <w:spacing w:before="20" w:after="20"/>
              <w:jc w:val="right"/>
              <w:rPr>
                <w:noProof/>
                <w:sz w:val="18"/>
                <w:szCs w:val="18"/>
              </w:rPr>
            </w:pPr>
            <w:r>
              <w:rPr>
                <w:noProof/>
                <w:sz w:val="18"/>
                <w:szCs w:val="18"/>
              </w:rPr>
              <w:t>0,793</w:t>
            </w:r>
          </w:p>
        </w:tc>
        <w:tc>
          <w:tcPr>
            <w:tcW w:w="941" w:type="dxa"/>
            <w:vAlign w:val="center"/>
          </w:tcPr>
          <w:p>
            <w:pPr>
              <w:spacing w:before="20" w:after="20"/>
              <w:jc w:val="right"/>
              <w:rPr>
                <w:noProof/>
                <w:sz w:val="18"/>
                <w:szCs w:val="18"/>
              </w:rPr>
            </w:pPr>
            <w:r>
              <w:rPr>
                <w:noProof/>
                <w:sz w:val="18"/>
                <w:szCs w:val="18"/>
              </w:rPr>
              <w:t>2,775</w:t>
            </w:r>
          </w:p>
        </w:tc>
        <w:tc>
          <w:tcPr>
            <w:tcW w:w="941" w:type="dxa"/>
            <w:vAlign w:val="center"/>
          </w:tcPr>
          <w:p>
            <w:pPr>
              <w:spacing w:before="20" w:after="20"/>
              <w:jc w:val="right"/>
              <w:rPr>
                <w:noProof/>
                <w:sz w:val="18"/>
                <w:szCs w:val="18"/>
              </w:rPr>
            </w:pPr>
            <w:r>
              <w:rPr>
                <w:noProof/>
                <w:sz w:val="18"/>
                <w:szCs w:val="18"/>
              </w:rPr>
              <w:t>3,567</w:t>
            </w:r>
          </w:p>
        </w:tc>
        <w:tc>
          <w:tcPr>
            <w:tcW w:w="815" w:type="dxa"/>
            <w:vAlign w:val="center"/>
          </w:tcPr>
          <w:p>
            <w:pPr>
              <w:spacing w:before="20" w:after="20"/>
              <w:jc w:val="right"/>
              <w:rPr>
                <w:noProof/>
                <w:sz w:val="18"/>
                <w:szCs w:val="18"/>
              </w:rPr>
            </w:pPr>
            <w:r>
              <w:rPr>
                <w:noProof/>
                <w:sz w:val="18"/>
                <w:szCs w:val="18"/>
              </w:rPr>
              <w:t>3,964</w:t>
            </w:r>
          </w:p>
        </w:tc>
        <w:tc>
          <w:tcPr>
            <w:tcW w:w="929" w:type="dxa"/>
            <w:vAlign w:val="center"/>
          </w:tcPr>
          <w:p>
            <w:pPr>
              <w:spacing w:before="20" w:after="20"/>
              <w:jc w:val="right"/>
              <w:rPr>
                <w:noProof/>
                <w:sz w:val="18"/>
                <w:szCs w:val="18"/>
              </w:rPr>
            </w:pPr>
            <w:r>
              <w:rPr>
                <w:noProof/>
                <w:sz w:val="18"/>
                <w:szCs w:val="18"/>
              </w:rPr>
              <w:t>3,964</w:t>
            </w:r>
          </w:p>
        </w:tc>
        <w:tc>
          <w:tcPr>
            <w:tcW w:w="885" w:type="dxa"/>
            <w:vAlign w:val="center"/>
          </w:tcPr>
          <w:p>
            <w:pPr>
              <w:spacing w:before="20" w:after="20"/>
              <w:jc w:val="right"/>
              <w:rPr>
                <w:noProof/>
                <w:sz w:val="18"/>
                <w:szCs w:val="18"/>
              </w:rPr>
            </w:pPr>
            <w:r>
              <w:rPr>
                <w:noProof/>
                <w:sz w:val="18"/>
                <w:szCs w:val="18"/>
              </w:rPr>
              <w:t>3,964</w:t>
            </w:r>
          </w:p>
        </w:tc>
        <w:tc>
          <w:tcPr>
            <w:tcW w:w="884" w:type="dxa"/>
            <w:vAlign w:val="center"/>
          </w:tcPr>
          <w:p>
            <w:pPr>
              <w:spacing w:before="20" w:after="20"/>
              <w:jc w:val="right"/>
              <w:rPr>
                <w:noProof/>
                <w:sz w:val="18"/>
                <w:szCs w:val="18"/>
              </w:rPr>
            </w:pPr>
            <w:r>
              <w:rPr>
                <w:noProof/>
                <w:sz w:val="18"/>
                <w:szCs w:val="18"/>
              </w:rPr>
              <w:t>4,756</w:t>
            </w:r>
          </w:p>
        </w:tc>
        <w:tc>
          <w:tcPr>
            <w:tcW w:w="1627" w:type="dxa"/>
            <w:vAlign w:val="center"/>
          </w:tcPr>
          <w:p>
            <w:pPr>
              <w:spacing w:before="20" w:after="20"/>
              <w:jc w:val="center"/>
              <w:rPr>
                <w:b/>
                <w:noProof/>
                <w:sz w:val="20"/>
                <w:szCs w:val="20"/>
              </w:rPr>
            </w:pPr>
            <w:r>
              <w:rPr>
                <w:b/>
                <w:noProof/>
                <w:sz w:val="20"/>
                <w:szCs w:val="20"/>
              </w:rPr>
              <w:t>23,781</w:t>
            </w:r>
          </w:p>
        </w:tc>
      </w:tr>
      <w:tr>
        <w:trPr>
          <w:jc w:val="center"/>
        </w:trPr>
        <w:tc>
          <w:tcPr>
            <w:tcW w:w="3648" w:type="dxa"/>
            <w:vMerge w:val="restart"/>
            <w:vAlign w:val="center"/>
          </w:tcPr>
          <w:p>
            <w:pPr>
              <w:rPr>
                <w:noProof/>
              </w:rPr>
            </w:pPr>
            <w:r>
              <w:rPr>
                <w:noProof/>
                <w:sz w:val="20"/>
              </w:rPr>
              <w:t>неизвестно</w:t>
            </w:r>
          </w:p>
        </w:tc>
        <w:tc>
          <w:tcPr>
            <w:tcW w:w="1340" w:type="dxa"/>
            <w:vAlign w:val="center"/>
          </w:tcPr>
          <w:p>
            <w:pPr>
              <w:spacing w:before="20" w:after="20"/>
              <w:rPr>
                <w:noProof/>
                <w:sz w:val="18"/>
              </w:rPr>
            </w:pPr>
            <w:r>
              <w:rPr>
                <w:noProof/>
                <w:sz w:val="18"/>
              </w:rPr>
              <w:t>Поети задължения</w:t>
            </w:r>
          </w:p>
        </w:tc>
        <w:tc>
          <w:tcPr>
            <w:tcW w:w="620" w:type="dxa"/>
            <w:gridSpan w:val="2"/>
            <w:vAlign w:val="center"/>
          </w:tcPr>
          <w:p>
            <w:pPr>
              <w:spacing w:before="20" w:after="20"/>
              <w:jc w:val="center"/>
              <w:rPr>
                <w:noProof/>
                <w:sz w:val="14"/>
              </w:rPr>
            </w:pPr>
            <w:r>
              <w:rPr>
                <w:noProof/>
                <w:sz w:val="14"/>
              </w:rPr>
              <w:t>(1a)</w:t>
            </w:r>
          </w:p>
        </w:tc>
        <w:tc>
          <w:tcPr>
            <w:tcW w:w="941" w:type="dxa"/>
            <w:vAlign w:val="center"/>
          </w:tcPr>
          <w:p>
            <w:pPr>
              <w:spacing w:before="20" w:after="20"/>
              <w:jc w:val="right"/>
              <w:rPr>
                <w:noProof/>
                <w:sz w:val="18"/>
                <w:szCs w:val="18"/>
              </w:rPr>
            </w:pPr>
          </w:p>
        </w:tc>
        <w:tc>
          <w:tcPr>
            <w:tcW w:w="941" w:type="dxa"/>
            <w:vAlign w:val="center"/>
          </w:tcPr>
          <w:p>
            <w:pPr>
              <w:spacing w:before="20" w:after="20"/>
              <w:jc w:val="right"/>
              <w:rPr>
                <w:noProof/>
                <w:sz w:val="18"/>
                <w:szCs w:val="18"/>
              </w:rPr>
            </w:pPr>
          </w:p>
        </w:tc>
        <w:tc>
          <w:tcPr>
            <w:tcW w:w="941" w:type="dxa"/>
            <w:vAlign w:val="center"/>
          </w:tcPr>
          <w:p>
            <w:pPr>
              <w:spacing w:before="20" w:after="20"/>
              <w:jc w:val="right"/>
              <w:rPr>
                <w:noProof/>
                <w:sz w:val="18"/>
                <w:szCs w:val="18"/>
              </w:rPr>
            </w:pPr>
          </w:p>
        </w:tc>
        <w:tc>
          <w:tcPr>
            <w:tcW w:w="815" w:type="dxa"/>
            <w:vAlign w:val="center"/>
          </w:tcPr>
          <w:p>
            <w:pPr>
              <w:spacing w:before="20" w:after="20"/>
              <w:jc w:val="right"/>
              <w:rPr>
                <w:noProof/>
                <w:sz w:val="18"/>
                <w:szCs w:val="18"/>
              </w:rPr>
            </w:pPr>
          </w:p>
        </w:tc>
        <w:tc>
          <w:tcPr>
            <w:tcW w:w="929" w:type="dxa"/>
            <w:vAlign w:val="center"/>
          </w:tcPr>
          <w:p>
            <w:pPr>
              <w:spacing w:before="20" w:after="20"/>
              <w:jc w:val="right"/>
              <w:rPr>
                <w:noProof/>
                <w:sz w:val="18"/>
                <w:szCs w:val="18"/>
              </w:rPr>
            </w:pPr>
          </w:p>
        </w:tc>
        <w:tc>
          <w:tcPr>
            <w:tcW w:w="885" w:type="dxa"/>
            <w:vAlign w:val="center"/>
          </w:tcPr>
          <w:p>
            <w:pPr>
              <w:spacing w:before="20" w:after="20"/>
              <w:jc w:val="right"/>
              <w:rPr>
                <w:noProof/>
                <w:sz w:val="18"/>
                <w:szCs w:val="18"/>
              </w:rPr>
            </w:pPr>
          </w:p>
        </w:tc>
        <w:tc>
          <w:tcPr>
            <w:tcW w:w="884" w:type="dxa"/>
            <w:vAlign w:val="center"/>
          </w:tcPr>
          <w:p>
            <w:pPr>
              <w:spacing w:after="0"/>
              <w:jc w:val="right"/>
              <w:rPr>
                <w:noProof/>
                <w:sz w:val="18"/>
                <w:szCs w:val="18"/>
              </w:rPr>
            </w:pPr>
            <w:r>
              <w:rPr>
                <w:noProof/>
                <w:sz w:val="18"/>
                <w:szCs w:val="18"/>
              </w:rPr>
              <w:t>9,190</w:t>
            </w:r>
          </w:p>
        </w:tc>
        <w:tc>
          <w:tcPr>
            <w:tcW w:w="1627" w:type="dxa"/>
            <w:vAlign w:val="center"/>
          </w:tcPr>
          <w:p>
            <w:pPr>
              <w:spacing w:before="20" w:after="20"/>
              <w:jc w:val="center"/>
              <w:rPr>
                <w:b/>
                <w:noProof/>
                <w:sz w:val="20"/>
                <w:szCs w:val="20"/>
              </w:rPr>
            </w:pPr>
            <w:r>
              <w:rPr>
                <w:b/>
                <w:noProof/>
                <w:sz w:val="20"/>
                <w:szCs w:val="20"/>
              </w:rPr>
              <w:t>9,189</w:t>
            </w:r>
          </w:p>
        </w:tc>
      </w:tr>
      <w:tr>
        <w:trPr>
          <w:jc w:val="center"/>
        </w:trPr>
        <w:tc>
          <w:tcPr>
            <w:tcW w:w="3648" w:type="dxa"/>
            <w:vMerge/>
          </w:tcPr>
          <w:p>
            <w:pPr>
              <w:jc w:val="center"/>
              <w:rPr>
                <w:noProof/>
                <w:sz w:val="20"/>
              </w:rPr>
            </w:pPr>
          </w:p>
        </w:tc>
        <w:tc>
          <w:tcPr>
            <w:tcW w:w="1340" w:type="dxa"/>
            <w:vAlign w:val="center"/>
          </w:tcPr>
          <w:p>
            <w:pPr>
              <w:spacing w:before="20" w:after="20"/>
              <w:rPr>
                <w:noProof/>
                <w:sz w:val="18"/>
              </w:rPr>
            </w:pPr>
            <w:r>
              <w:rPr>
                <w:noProof/>
                <w:sz w:val="18"/>
              </w:rPr>
              <w:t>Плащания</w:t>
            </w:r>
          </w:p>
        </w:tc>
        <w:tc>
          <w:tcPr>
            <w:tcW w:w="620" w:type="dxa"/>
            <w:gridSpan w:val="2"/>
            <w:vAlign w:val="center"/>
          </w:tcPr>
          <w:p>
            <w:pPr>
              <w:spacing w:before="20" w:after="20"/>
              <w:jc w:val="center"/>
              <w:rPr>
                <w:noProof/>
                <w:sz w:val="14"/>
              </w:rPr>
            </w:pPr>
            <w:r>
              <w:rPr>
                <w:noProof/>
                <w:sz w:val="14"/>
              </w:rPr>
              <w:t>(2a)</w:t>
            </w:r>
          </w:p>
        </w:tc>
        <w:tc>
          <w:tcPr>
            <w:tcW w:w="941" w:type="dxa"/>
            <w:vAlign w:val="center"/>
          </w:tcPr>
          <w:p>
            <w:pPr>
              <w:spacing w:before="20" w:after="20"/>
              <w:jc w:val="right"/>
              <w:rPr>
                <w:noProof/>
                <w:sz w:val="18"/>
                <w:szCs w:val="18"/>
              </w:rPr>
            </w:pPr>
          </w:p>
        </w:tc>
        <w:tc>
          <w:tcPr>
            <w:tcW w:w="941" w:type="dxa"/>
            <w:vAlign w:val="center"/>
          </w:tcPr>
          <w:p>
            <w:pPr>
              <w:spacing w:before="20" w:after="20"/>
              <w:jc w:val="right"/>
              <w:rPr>
                <w:noProof/>
                <w:sz w:val="18"/>
                <w:szCs w:val="18"/>
              </w:rPr>
            </w:pPr>
          </w:p>
        </w:tc>
        <w:tc>
          <w:tcPr>
            <w:tcW w:w="941" w:type="dxa"/>
            <w:vAlign w:val="center"/>
          </w:tcPr>
          <w:p>
            <w:pPr>
              <w:spacing w:before="20" w:after="20"/>
              <w:jc w:val="right"/>
              <w:rPr>
                <w:noProof/>
                <w:sz w:val="18"/>
                <w:szCs w:val="18"/>
              </w:rPr>
            </w:pPr>
          </w:p>
        </w:tc>
        <w:tc>
          <w:tcPr>
            <w:tcW w:w="815" w:type="dxa"/>
            <w:vAlign w:val="center"/>
          </w:tcPr>
          <w:p>
            <w:pPr>
              <w:spacing w:before="20" w:after="20"/>
              <w:jc w:val="right"/>
              <w:rPr>
                <w:noProof/>
                <w:sz w:val="18"/>
                <w:szCs w:val="18"/>
              </w:rPr>
            </w:pPr>
          </w:p>
        </w:tc>
        <w:tc>
          <w:tcPr>
            <w:tcW w:w="929" w:type="dxa"/>
            <w:vAlign w:val="center"/>
          </w:tcPr>
          <w:p>
            <w:pPr>
              <w:spacing w:before="20" w:after="20"/>
              <w:jc w:val="right"/>
              <w:rPr>
                <w:noProof/>
                <w:sz w:val="18"/>
                <w:szCs w:val="18"/>
              </w:rPr>
            </w:pPr>
          </w:p>
        </w:tc>
        <w:tc>
          <w:tcPr>
            <w:tcW w:w="885" w:type="dxa"/>
            <w:vAlign w:val="center"/>
          </w:tcPr>
          <w:p>
            <w:pPr>
              <w:spacing w:before="20" w:after="20"/>
              <w:jc w:val="right"/>
              <w:rPr>
                <w:noProof/>
                <w:sz w:val="18"/>
                <w:szCs w:val="18"/>
              </w:rPr>
            </w:pPr>
          </w:p>
        </w:tc>
        <w:tc>
          <w:tcPr>
            <w:tcW w:w="884" w:type="dxa"/>
            <w:vAlign w:val="center"/>
          </w:tcPr>
          <w:p>
            <w:pPr>
              <w:spacing w:before="20" w:after="20"/>
              <w:jc w:val="right"/>
              <w:rPr>
                <w:noProof/>
                <w:sz w:val="18"/>
                <w:szCs w:val="18"/>
              </w:rPr>
            </w:pPr>
            <w:r>
              <w:rPr>
                <w:noProof/>
                <w:sz w:val="18"/>
                <w:szCs w:val="18"/>
              </w:rPr>
              <w:t>5,918</w:t>
            </w:r>
          </w:p>
        </w:tc>
        <w:tc>
          <w:tcPr>
            <w:tcW w:w="1627" w:type="dxa"/>
            <w:vAlign w:val="center"/>
          </w:tcPr>
          <w:p>
            <w:pPr>
              <w:spacing w:before="20" w:after="20"/>
              <w:jc w:val="center"/>
              <w:rPr>
                <w:b/>
                <w:noProof/>
                <w:sz w:val="20"/>
                <w:szCs w:val="20"/>
              </w:rPr>
            </w:pPr>
            <w:r>
              <w:rPr>
                <w:b/>
                <w:noProof/>
                <w:sz w:val="20"/>
                <w:szCs w:val="20"/>
              </w:rPr>
              <w:t>5,918</w:t>
            </w:r>
          </w:p>
        </w:tc>
      </w:tr>
      <w:tr>
        <w:trPr>
          <w:trHeight w:val="231"/>
          <w:jc w:val="center"/>
        </w:trPr>
        <w:tc>
          <w:tcPr>
            <w:tcW w:w="5608" w:type="dxa"/>
            <w:gridSpan w:val="4"/>
            <w:vAlign w:val="center"/>
          </w:tcPr>
          <w:p>
            <w:pPr>
              <w:spacing w:before="20" w:after="20"/>
              <w:rPr>
                <w:noProof/>
              </w:rPr>
            </w:pPr>
            <w:r>
              <w:rPr>
                <w:noProof/>
                <w:sz w:val="21"/>
              </w:rPr>
              <w:t>Бюджетни кредити за административни разходи, финансирани от пакета за специфични програми</w:t>
            </w:r>
            <w:r>
              <w:rPr>
                <w:rStyle w:val="FootnoteReference"/>
                <w:noProof/>
                <w:sz w:val="21"/>
              </w:rPr>
              <w:footnoteReference w:id="64"/>
            </w:r>
            <w:r>
              <w:rPr>
                <w:noProof/>
                <w:sz w:val="21"/>
              </w:rPr>
              <w:t xml:space="preserve"> </w:t>
            </w:r>
          </w:p>
          <w:p>
            <w:pPr>
              <w:spacing w:after="0"/>
              <w:rPr>
                <w:noProof/>
              </w:rPr>
            </w:pPr>
          </w:p>
        </w:tc>
        <w:tc>
          <w:tcPr>
            <w:tcW w:w="941" w:type="dxa"/>
            <w:vAlign w:val="center"/>
          </w:tcPr>
          <w:p>
            <w:pPr>
              <w:jc w:val="right"/>
              <w:rPr>
                <w:b/>
                <w:noProof/>
                <w:sz w:val="18"/>
                <w:szCs w:val="18"/>
              </w:rPr>
            </w:pPr>
            <w:r>
              <w:rPr>
                <w:b/>
                <w:noProof/>
                <w:sz w:val="18"/>
                <w:szCs w:val="18"/>
              </w:rPr>
              <w:t>N/A</w:t>
            </w:r>
          </w:p>
        </w:tc>
        <w:tc>
          <w:tcPr>
            <w:tcW w:w="941" w:type="dxa"/>
            <w:vAlign w:val="center"/>
          </w:tcPr>
          <w:p>
            <w:pPr>
              <w:rPr>
                <w:b/>
                <w:noProof/>
                <w:sz w:val="18"/>
                <w:szCs w:val="18"/>
              </w:rPr>
            </w:pPr>
          </w:p>
        </w:tc>
        <w:tc>
          <w:tcPr>
            <w:tcW w:w="941" w:type="dxa"/>
            <w:vAlign w:val="center"/>
          </w:tcPr>
          <w:p>
            <w:pPr>
              <w:rPr>
                <w:b/>
                <w:noProof/>
                <w:sz w:val="18"/>
                <w:szCs w:val="18"/>
              </w:rPr>
            </w:pPr>
          </w:p>
        </w:tc>
        <w:tc>
          <w:tcPr>
            <w:tcW w:w="815" w:type="dxa"/>
            <w:vAlign w:val="center"/>
          </w:tcPr>
          <w:p>
            <w:pPr>
              <w:rPr>
                <w:b/>
                <w:noProof/>
                <w:sz w:val="18"/>
                <w:szCs w:val="18"/>
              </w:rPr>
            </w:pPr>
          </w:p>
        </w:tc>
        <w:tc>
          <w:tcPr>
            <w:tcW w:w="929" w:type="dxa"/>
            <w:vAlign w:val="center"/>
          </w:tcPr>
          <w:p>
            <w:pPr>
              <w:rPr>
                <w:b/>
                <w:noProof/>
                <w:sz w:val="18"/>
                <w:szCs w:val="18"/>
              </w:rPr>
            </w:pPr>
          </w:p>
        </w:tc>
        <w:tc>
          <w:tcPr>
            <w:tcW w:w="885" w:type="dxa"/>
            <w:vAlign w:val="center"/>
          </w:tcPr>
          <w:p>
            <w:pPr>
              <w:rPr>
                <w:b/>
                <w:noProof/>
                <w:sz w:val="18"/>
                <w:szCs w:val="18"/>
              </w:rPr>
            </w:pPr>
          </w:p>
        </w:tc>
        <w:tc>
          <w:tcPr>
            <w:tcW w:w="884" w:type="dxa"/>
            <w:vAlign w:val="center"/>
          </w:tcPr>
          <w:p>
            <w:pPr>
              <w:rPr>
                <w:b/>
                <w:noProof/>
                <w:sz w:val="18"/>
                <w:szCs w:val="18"/>
              </w:rPr>
            </w:pPr>
          </w:p>
        </w:tc>
        <w:tc>
          <w:tcPr>
            <w:tcW w:w="1627" w:type="dxa"/>
            <w:vAlign w:val="center"/>
          </w:tcPr>
          <w:p>
            <w:pPr>
              <w:jc w:val="center"/>
              <w:rPr>
                <w:b/>
                <w:noProof/>
                <w:sz w:val="20"/>
                <w:szCs w:val="20"/>
              </w:rPr>
            </w:pPr>
          </w:p>
        </w:tc>
      </w:tr>
      <w:tr>
        <w:trPr>
          <w:trHeight w:val="319"/>
          <w:jc w:val="center"/>
        </w:trPr>
        <w:tc>
          <w:tcPr>
            <w:tcW w:w="3648" w:type="dxa"/>
            <w:vAlign w:val="center"/>
          </w:tcPr>
          <w:p>
            <w:pPr>
              <w:spacing w:before="60" w:after="60"/>
              <w:rPr>
                <w:noProof/>
              </w:rPr>
            </w:pPr>
            <w:r>
              <w:rPr>
                <w:noProof/>
                <w:sz w:val="20"/>
              </w:rPr>
              <w:t>Номер на бюджетния ред</w:t>
            </w:r>
          </w:p>
        </w:tc>
        <w:tc>
          <w:tcPr>
            <w:tcW w:w="1340" w:type="dxa"/>
            <w:vAlign w:val="center"/>
          </w:tcPr>
          <w:p>
            <w:pPr>
              <w:spacing w:before="40" w:after="40"/>
              <w:jc w:val="right"/>
              <w:rPr>
                <w:noProof/>
                <w:sz w:val="18"/>
              </w:rPr>
            </w:pPr>
          </w:p>
        </w:tc>
        <w:tc>
          <w:tcPr>
            <w:tcW w:w="620" w:type="dxa"/>
            <w:gridSpan w:val="2"/>
            <w:vAlign w:val="center"/>
          </w:tcPr>
          <w:p>
            <w:pPr>
              <w:spacing w:before="40" w:after="40"/>
              <w:jc w:val="center"/>
              <w:rPr>
                <w:noProof/>
                <w:sz w:val="14"/>
              </w:rPr>
            </w:pPr>
            <w:r>
              <w:rPr>
                <w:noProof/>
                <w:sz w:val="14"/>
              </w:rPr>
              <w:t>(3)</w:t>
            </w:r>
          </w:p>
        </w:tc>
        <w:tc>
          <w:tcPr>
            <w:tcW w:w="941" w:type="dxa"/>
            <w:vAlign w:val="center"/>
          </w:tcPr>
          <w:p>
            <w:pPr>
              <w:spacing w:before="40" w:after="40"/>
              <w:jc w:val="right"/>
              <w:rPr>
                <w:b/>
                <w:noProof/>
                <w:sz w:val="18"/>
                <w:szCs w:val="18"/>
              </w:rPr>
            </w:pPr>
            <w:r>
              <w:rPr>
                <w:b/>
                <w:noProof/>
                <w:sz w:val="18"/>
                <w:szCs w:val="18"/>
              </w:rPr>
              <w:t>N/A</w:t>
            </w:r>
          </w:p>
        </w:tc>
        <w:tc>
          <w:tcPr>
            <w:tcW w:w="941" w:type="dxa"/>
            <w:vAlign w:val="center"/>
          </w:tcPr>
          <w:p>
            <w:pPr>
              <w:spacing w:before="40" w:after="40"/>
              <w:jc w:val="right"/>
              <w:rPr>
                <w:b/>
                <w:noProof/>
                <w:sz w:val="18"/>
                <w:szCs w:val="18"/>
              </w:rPr>
            </w:pPr>
          </w:p>
        </w:tc>
        <w:tc>
          <w:tcPr>
            <w:tcW w:w="941" w:type="dxa"/>
            <w:vAlign w:val="center"/>
          </w:tcPr>
          <w:p>
            <w:pPr>
              <w:spacing w:before="40" w:after="40"/>
              <w:jc w:val="right"/>
              <w:rPr>
                <w:b/>
                <w:noProof/>
                <w:sz w:val="18"/>
                <w:szCs w:val="18"/>
              </w:rPr>
            </w:pPr>
          </w:p>
        </w:tc>
        <w:tc>
          <w:tcPr>
            <w:tcW w:w="815" w:type="dxa"/>
            <w:vAlign w:val="center"/>
          </w:tcPr>
          <w:p>
            <w:pPr>
              <w:spacing w:before="40" w:after="40"/>
              <w:jc w:val="right"/>
              <w:rPr>
                <w:b/>
                <w:noProof/>
                <w:sz w:val="18"/>
                <w:szCs w:val="18"/>
              </w:rPr>
            </w:pPr>
          </w:p>
        </w:tc>
        <w:tc>
          <w:tcPr>
            <w:tcW w:w="929" w:type="dxa"/>
            <w:vAlign w:val="center"/>
          </w:tcPr>
          <w:p>
            <w:pPr>
              <w:spacing w:before="40" w:after="40"/>
              <w:jc w:val="right"/>
              <w:rPr>
                <w:b/>
                <w:noProof/>
                <w:sz w:val="18"/>
                <w:szCs w:val="18"/>
              </w:rPr>
            </w:pPr>
          </w:p>
        </w:tc>
        <w:tc>
          <w:tcPr>
            <w:tcW w:w="885" w:type="dxa"/>
            <w:vAlign w:val="center"/>
          </w:tcPr>
          <w:p>
            <w:pPr>
              <w:spacing w:before="40" w:after="40"/>
              <w:jc w:val="right"/>
              <w:rPr>
                <w:b/>
                <w:noProof/>
                <w:sz w:val="18"/>
                <w:szCs w:val="18"/>
              </w:rPr>
            </w:pPr>
          </w:p>
        </w:tc>
        <w:tc>
          <w:tcPr>
            <w:tcW w:w="884" w:type="dxa"/>
            <w:vAlign w:val="center"/>
          </w:tcPr>
          <w:p>
            <w:pPr>
              <w:spacing w:before="40" w:after="40"/>
              <w:jc w:val="right"/>
              <w:rPr>
                <w:b/>
                <w:noProof/>
                <w:sz w:val="18"/>
                <w:szCs w:val="18"/>
              </w:rPr>
            </w:pPr>
          </w:p>
        </w:tc>
        <w:tc>
          <w:tcPr>
            <w:tcW w:w="1627" w:type="dxa"/>
            <w:vAlign w:val="center"/>
          </w:tcPr>
          <w:p>
            <w:pPr>
              <w:spacing w:before="40" w:after="40"/>
              <w:jc w:val="center"/>
              <w:rPr>
                <w:b/>
                <w:noProof/>
                <w:sz w:val="20"/>
                <w:szCs w:val="20"/>
              </w:rPr>
            </w:pPr>
          </w:p>
        </w:tc>
      </w:tr>
      <w:tr>
        <w:trPr>
          <w:jc w:val="center"/>
        </w:trPr>
        <w:tc>
          <w:tcPr>
            <w:tcW w:w="3648" w:type="dxa"/>
            <w:vMerge w:val="restart"/>
            <w:vAlign w:val="center"/>
          </w:tcPr>
          <w:p>
            <w:pPr>
              <w:jc w:val="center"/>
              <w:rPr>
                <w:b/>
                <w:noProof/>
              </w:rPr>
            </w:pPr>
            <w:r>
              <w:rPr>
                <w:b/>
                <w:noProof/>
              </w:rPr>
              <w:t>ОБЩО бюджетни кредити</w:t>
            </w:r>
            <w:r>
              <w:rPr>
                <w:noProof/>
              </w:rPr>
              <w:t xml:space="preserve"> </w:t>
            </w:r>
            <w:r>
              <w:rPr>
                <w:noProof/>
              </w:rPr>
              <w:br/>
            </w:r>
            <w:r>
              <w:rPr>
                <w:b/>
                <w:noProof/>
              </w:rPr>
              <w:t>за ГД „Данъчно облагане и митнически съюз“</w:t>
            </w:r>
          </w:p>
        </w:tc>
        <w:tc>
          <w:tcPr>
            <w:tcW w:w="1340" w:type="dxa"/>
            <w:vAlign w:val="center"/>
          </w:tcPr>
          <w:p>
            <w:pPr>
              <w:rPr>
                <w:noProof/>
                <w:sz w:val="18"/>
              </w:rPr>
            </w:pPr>
            <w:r>
              <w:rPr>
                <w:noProof/>
                <w:sz w:val="18"/>
              </w:rPr>
              <w:t>Поети задължения</w:t>
            </w:r>
          </w:p>
        </w:tc>
        <w:tc>
          <w:tcPr>
            <w:tcW w:w="620" w:type="dxa"/>
            <w:gridSpan w:val="2"/>
            <w:vAlign w:val="center"/>
          </w:tcPr>
          <w:p>
            <w:pPr>
              <w:jc w:val="center"/>
              <w:rPr>
                <w:noProof/>
                <w:sz w:val="14"/>
              </w:rPr>
            </w:pPr>
            <w:r>
              <w:rPr>
                <w:noProof/>
                <w:sz w:val="14"/>
              </w:rPr>
              <w:t>=1+1a +3</w:t>
            </w:r>
          </w:p>
        </w:tc>
        <w:tc>
          <w:tcPr>
            <w:tcW w:w="941" w:type="dxa"/>
            <w:vAlign w:val="center"/>
          </w:tcPr>
          <w:p>
            <w:pPr>
              <w:spacing w:before="20" w:after="20"/>
              <w:jc w:val="right"/>
              <w:rPr>
                <w:noProof/>
                <w:sz w:val="18"/>
                <w:szCs w:val="18"/>
              </w:rPr>
            </w:pPr>
            <w:r>
              <w:rPr>
                <w:noProof/>
                <w:sz w:val="18"/>
                <w:szCs w:val="18"/>
              </w:rPr>
              <w:t>3,964</w:t>
            </w:r>
          </w:p>
        </w:tc>
        <w:tc>
          <w:tcPr>
            <w:tcW w:w="941" w:type="dxa"/>
            <w:vAlign w:val="center"/>
          </w:tcPr>
          <w:p>
            <w:pPr>
              <w:spacing w:before="20" w:after="20"/>
              <w:jc w:val="right"/>
              <w:rPr>
                <w:noProof/>
                <w:sz w:val="18"/>
                <w:szCs w:val="18"/>
              </w:rPr>
            </w:pPr>
            <w:r>
              <w:rPr>
                <w:noProof/>
                <w:sz w:val="18"/>
                <w:szCs w:val="18"/>
              </w:rPr>
              <w:t>3,964</w:t>
            </w:r>
          </w:p>
        </w:tc>
        <w:tc>
          <w:tcPr>
            <w:tcW w:w="941" w:type="dxa"/>
            <w:vAlign w:val="center"/>
          </w:tcPr>
          <w:p>
            <w:pPr>
              <w:spacing w:before="20" w:after="20"/>
              <w:jc w:val="right"/>
              <w:rPr>
                <w:noProof/>
                <w:sz w:val="18"/>
                <w:szCs w:val="18"/>
              </w:rPr>
            </w:pPr>
            <w:r>
              <w:rPr>
                <w:noProof/>
                <w:sz w:val="18"/>
                <w:szCs w:val="18"/>
              </w:rPr>
              <w:t>3,964</w:t>
            </w:r>
          </w:p>
        </w:tc>
        <w:tc>
          <w:tcPr>
            <w:tcW w:w="815" w:type="dxa"/>
            <w:vAlign w:val="center"/>
          </w:tcPr>
          <w:p>
            <w:pPr>
              <w:spacing w:before="20" w:after="20"/>
              <w:jc w:val="right"/>
              <w:rPr>
                <w:noProof/>
                <w:sz w:val="18"/>
                <w:szCs w:val="18"/>
              </w:rPr>
            </w:pPr>
            <w:r>
              <w:rPr>
                <w:noProof/>
                <w:sz w:val="18"/>
                <w:szCs w:val="18"/>
              </w:rPr>
              <w:t>3,964</w:t>
            </w:r>
          </w:p>
        </w:tc>
        <w:tc>
          <w:tcPr>
            <w:tcW w:w="929" w:type="dxa"/>
            <w:vAlign w:val="center"/>
          </w:tcPr>
          <w:p>
            <w:pPr>
              <w:spacing w:before="20" w:after="20"/>
              <w:jc w:val="right"/>
              <w:rPr>
                <w:noProof/>
                <w:sz w:val="18"/>
                <w:szCs w:val="18"/>
              </w:rPr>
            </w:pPr>
            <w:r>
              <w:rPr>
                <w:noProof/>
                <w:sz w:val="18"/>
                <w:szCs w:val="18"/>
              </w:rPr>
              <w:t>3,964</w:t>
            </w:r>
          </w:p>
        </w:tc>
        <w:tc>
          <w:tcPr>
            <w:tcW w:w="885" w:type="dxa"/>
            <w:vAlign w:val="center"/>
          </w:tcPr>
          <w:p>
            <w:pPr>
              <w:spacing w:before="20" w:after="20"/>
              <w:jc w:val="right"/>
              <w:rPr>
                <w:noProof/>
                <w:sz w:val="18"/>
                <w:szCs w:val="18"/>
              </w:rPr>
            </w:pPr>
            <w:r>
              <w:rPr>
                <w:noProof/>
                <w:sz w:val="18"/>
                <w:szCs w:val="18"/>
              </w:rPr>
              <w:t>3,964</w:t>
            </w:r>
          </w:p>
        </w:tc>
        <w:tc>
          <w:tcPr>
            <w:tcW w:w="884" w:type="dxa"/>
            <w:vAlign w:val="center"/>
          </w:tcPr>
          <w:p>
            <w:pPr>
              <w:spacing w:before="20" w:after="20"/>
              <w:jc w:val="right"/>
              <w:rPr>
                <w:noProof/>
                <w:sz w:val="18"/>
                <w:szCs w:val="18"/>
              </w:rPr>
            </w:pPr>
            <w:r>
              <w:rPr>
                <w:noProof/>
                <w:sz w:val="18"/>
                <w:szCs w:val="18"/>
              </w:rPr>
              <w:t>9,190</w:t>
            </w:r>
          </w:p>
        </w:tc>
        <w:tc>
          <w:tcPr>
            <w:tcW w:w="1627" w:type="dxa"/>
            <w:vAlign w:val="center"/>
          </w:tcPr>
          <w:p>
            <w:pPr>
              <w:spacing w:before="20" w:after="20"/>
              <w:jc w:val="center"/>
              <w:rPr>
                <w:b/>
                <w:noProof/>
                <w:sz w:val="20"/>
                <w:szCs w:val="20"/>
              </w:rPr>
            </w:pPr>
            <w:r>
              <w:rPr>
                <w:b/>
                <w:noProof/>
                <w:sz w:val="20"/>
                <w:szCs w:val="20"/>
              </w:rPr>
              <w:t>32,970</w:t>
            </w:r>
          </w:p>
        </w:tc>
      </w:tr>
      <w:tr>
        <w:trPr>
          <w:jc w:val="center"/>
        </w:trPr>
        <w:tc>
          <w:tcPr>
            <w:tcW w:w="3648" w:type="dxa"/>
            <w:vMerge/>
          </w:tcPr>
          <w:p>
            <w:pPr>
              <w:rPr>
                <w:noProof/>
                <w:sz w:val="20"/>
              </w:rPr>
            </w:pPr>
          </w:p>
        </w:tc>
        <w:tc>
          <w:tcPr>
            <w:tcW w:w="1340" w:type="dxa"/>
            <w:vAlign w:val="center"/>
          </w:tcPr>
          <w:p>
            <w:pPr>
              <w:rPr>
                <w:noProof/>
                <w:sz w:val="18"/>
              </w:rPr>
            </w:pPr>
            <w:r>
              <w:rPr>
                <w:noProof/>
                <w:sz w:val="18"/>
              </w:rPr>
              <w:t>Плащания</w:t>
            </w:r>
          </w:p>
        </w:tc>
        <w:tc>
          <w:tcPr>
            <w:tcW w:w="620" w:type="dxa"/>
            <w:gridSpan w:val="2"/>
            <w:vAlign w:val="center"/>
          </w:tcPr>
          <w:p>
            <w:pPr>
              <w:jc w:val="center"/>
              <w:rPr>
                <w:noProof/>
                <w:sz w:val="14"/>
              </w:rPr>
            </w:pPr>
            <w:r>
              <w:rPr>
                <w:noProof/>
                <w:sz w:val="14"/>
              </w:rPr>
              <w:t>=2+2a</w:t>
            </w:r>
          </w:p>
          <w:p>
            <w:pPr>
              <w:jc w:val="center"/>
              <w:rPr>
                <w:noProof/>
                <w:sz w:val="14"/>
              </w:rPr>
            </w:pPr>
            <w:r>
              <w:rPr>
                <w:noProof/>
                <w:sz w:val="14"/>
              </w:rPr>
              <w:t>+3</w:t>
            </w:r>
          </w:p>
        </w:tc>
        <w:tc>
          <w:tcPr>
            <w:tcW w:w="941" w:type="dxa"/>
            <w:vAlign w:val="center"/>
          </w:tcPr>
          <w:p>
            <w:pPr>
              <w:spacing w:before="20" w:after="20"/>
              <w:jc w:val="right"/>
              <w:rPr>
                <w:noProof/>
                <w:sz w:val="18"/>
                <w:szCs w:val="18"/>
              </w:rPr>
            </w:pPr>
            <w:r>
              <w:rPr>
                <w:noProof/>
                <w:sz w:val="18"/>
                <w:szCs w:val="18"/>
              </w:rPr>
              <w:t>0,793</w:t>
            </w:r>
          </w:p>
        </w:tc>
        <w:tc>
          <w:tcPr>
            <w:tcW w:w="941" w:type="dxa"/>
            <w:vAlign w:val="center"/>
          </w:tcPr>
          <w:p>
            <w:pPr>
              <w:spacing w:before="20" w:after="20"/>
              <w:jc w:val="right"/>
              <w:rPr>
                <w:noProof/>
                <w:sz w:val="18"/>
                <w:szCs w:val="18"/>
              </w:rPr>
            </w:pPr>
            <w:r>
              <w:rPr>
                <w:noProof/>
                <w:sz w:val="18"/>
                <w:szCs w:val="18"/>
              </w:rPr>
              <w:t>2,775</w:t>
            </w:r>
          </w:p>
        </w:tc>
        <w:tc>
          <w:tcPr>
            <w:tcW w:w="941" w:type="dxa"/>
            <w:vAlign w:val="center"/>
          </w:tcPr>
          <w:p>
            <w:pPr>
              <w:spacing w:before="20" w:after="20"/>
              <w:jc w:val="right"/>
              <w:rPr>
                <w:noProof/>
                <w:sz w:val="18"/>
                <w:szCs w:val="18"/>
              </w:rPr>
            </w:pPr>
            <w:r>
              <w:rPr>
                <w:noProof/>
                <w:sz w:val="18"/>
                <w:szCs w:val="18"/>
              </w:rPr>
              <w:t>3,567</w:t>
            </w:r>
          </w:p>
        </w:tc>
        <w:tc>
          <w:tcPr>
            <w:tcW w:w="815" w:type="dxa"/>
            <w:vAlign w:val="center"/>
          </w:tcPr>
          <w:p>
            <w:pPr>
              <w:spacing w:before="20" w:after="20"/>
              <w:jc w:val="right"/>
              <w:rPr>
                <w:noProof/>
                <w:sz w:val="18"/>
                <w:szCs w:val="18"/>
              </w:rPr>
            </w:pPr>
            <w:r>
              <w:rPr>
                <w:noProof/>
                <w:sz w:val="18"/>
                <w:szCs w:val="18"/>
              </w:rPr>
              <w:t>3,964</w:t>
            </w:r>
          </w:p>
        </w:tc>
        <w:tc>
          <w:tcPr>
            <w:tcW w:w="929" w:type="dxa"/>
            <w:vAlign w:val="center"/>
          </w:tcPr>
          <w:p>
            <w:pPr>
              <w:spacing w:before="20" w:after="20"/>
              <w:jc w:val="right"/>
              <w:rPr>
                <w:noProof/>
                <w:sz w:val="18"/>
                <w:szCs w:val="18"/>
              </w:rPr>
            </w:pPr>
            <w:r>
              <w:rPr>
                <w:noProof/>
                <w:sz w:val="18"/>
                <w:szCs w:val="18"/>
              </w:rPr>
              <w:t>3,964</w:t>
            </w:r>
          </w:p>
        </w:tc>
        <w:tc>
          <w:tcPr>
            <w:tcW w:w="885" w:type="dxa"/>
            <w:vAlign w:val="center"/>
          </w:tcPr>
          <w:p>
            <w:pPr>
              <w:spacing w:before="20" w:after="20"/>
              <w:jc w:val="right"/>
              <w:rPr>
                <w:noProof/>
                <w:sz w:val="18"/>
                <w:szCs w:val="18"/>
              </w:rPr>
            </w:pPr>
            <w:r>
              <w:rPr>
                <w:noProof/>
                <w:sz w:val="18"/>
                <w:szCs w:val="18"/>
              </w:rPr>
              <w:t>3,964</w:t>
            </w:r>
          </w:p>
        </w:tc>
        <w:tc>
          <w:tcPr>
            <w:tcW w:w="884" w:type="dxa"/>
            <w:vAlign w:val="center"/>
          </w:tcPr>
          <w:p>
            <w:pPr>
              <w:spacing w:before="20" w:after="20"/>
              <w:jc w:val="right"/>
              <w:rPr>
                <w:noProof/>
                <w:sz w:val="18"/>
                <w:szCs w:val="18"/>
              </w:rPr>
            </w:pPr>
            <w:r>
              <w:rPr>
                <w:noProof/>
                <w:sz w:val="18"/>
                <w:szCs w:val="18"/>
              </w:rPr>
              <w:t>10,675</w:t>
            </w:r>
          </w:p>
        </w:tc>
        <w:tc>
          <w:tcPr>
            <w:tcW w:w="1627" w:type="dxa"/>
            <w:vAlign w:val="center"/>
          </w:tcPr>
          <w:p>
            <w:pPr>
              <w:spacing w:before="20" w:after="20"/>
              <w:jc w:val="center"/>
              <w:rPr>
                <w:b/>
                <w:noProof/>
                <w:sz w:val="20"/>
                <w:szCs w:val="20"/>
              </w:rPr>
            </w:pPr>
            <w:r>
              <w:rPr>
                <w:b/>
                <w:noProof/>
                <w:sz w:val="20"/>
                <w:szCs w:val="20"/>
              </w:rPr>
              <w:t>29,700</w:t>
            </w:r>
          </w:p>
        </w:tc>
      </w:tr>
      <w:tr>
        <w:trPr>
          <w:gridAfter w:val="1"/>
          <w:wAfter w:w="1627" w:type="dxa"/>
          <w:jc w:val="center"/>
        </w:trPr>
        <w:tc>
          <w:tcPr>
            <w:tcW w:w="3648" w:type="dxa"/>
            <w:vAlign w:val="center"/>
          </w:tcPr>
          <w:p>
            <w:pPr>
              <w:jc w:val="center"/>
              <w:rPr>
                <w:b/>
                <w:noProof/>
              </w:rPr>
            </w:pPr>
            <w:r>
              <w:rPr>
                <w:b/>
                <w:noProof/>
              </w:rPr>
              <w:t>ГД: партньорски ГД, участващи в инициативата</w:t>
            </w:r>
          </w:p>
        </w:tc>
        <w:tc>
          <w:tcPr>
            <w:tcW w:w="1451" w:type="dxa"/>
            <w:gridSpan w:val="2"/>
          </w:tcPr>
          <w:p>
            <w:pPr>
              <w:rPr>
                <w:noProof/>
                <w:sz w:val="20"/>
              </w:rPr>
            </w:pPr>
          </w:p>
        </w:tc>
        <w:tc>
          <w:tcPr>
            <w:tcW w:w="509" w:type="dxa"/>
          </w:tcPr>
          <w:p>
            <w:pPr>
              <w:jc w:val="center"/>
              <w:rPr>
                <w:noProof/>
                <w:sz w:val="20"/>
              </w:rPr>
            </w:pPr>
          </w:p>
        </w:tc>
        <w:tc>
          <w:tcPr>
            <w:tcW w:w="941" w:type="dxa"/>
            <w:vAlign w:val="center"/>
          </w:tcPr>
          <w:p>
            <w:pPr>
              <w:jc w:val="center"/>
              <w:rPr>
                <w:noProof/>
                <w:sz w:val="20"/>
              </w:rPr>
            </w:pPr>
            <w:r>
              <w:rPr>
                <w:noProof/>
                <w:sz w:val="20"/>
              </w:rPr>
              <w:t>Година</w:t>
            </w:r>
            <w:r>
              <w:rPr>
                <w:noProof/>
              </w:rPr>
              <w:t xml:space="preserve"> </w:t>
            </w:r>
            <w:r>
              <w:rPr>
                <w:noProof/>
              </w:rPr>
              <w:br/>
            </w:r>
            <w:r>
              <w:rPr>
                <w:b/>
                <w:noProof/>
                <w:sz w:val="20"/>
              </w:rPr>
              <w:t>2022 г.</w:t>
            </w:r>
            <w:r>
              <w:rPr>
                <w:rStyle w:val="FootnoteReference"/>
                <w:b/>
                <w:noProof/>
                <w:sz w:val="20"/>
              </w:rPr>
              <w:footnoteReference w:id="65"/>
            </w:r>
          </w:p>
        </w:tc>
        <w:tc>
          <w:tcPr>
            <w:tcW w:w="941" w:type="dxa"/>
            <w:vAlign w:val="center"/>
          </w:tcPr>
          <w:p>
            <w:pPr>
              <w:jc w:val="center"/>
              <w:rPr>
                <w:noProof/>
                <w:sz w:val="20"/>
              </w:rPr>
            </w:pPr>
            <w:r>
              <w:rPr>
                <w:noProof/>
                <w:sz w:val="20"/>
              </w:rPr>
              <w:t>Година</w:t>
            </w:r>
            <w:r>
              <w:rPr>
                <w:noProof/>
              </w:rPr>
              <w:t xml:space="preserve"> </w:t>
            </w:r>
            <w:r>
              <w:rPr>
                <w:noProof/>
              </w:rPr>
              <w:br/>
            </w:r>
            <w:r>
              <w:rPr>
                <w:b/>
                <w:noProof/>
                <w:sz w:val="20"/>
              </w:rPr>
              <w:t>2023 г.</w:t>
            </w:r>
          </w:p>
        </w:tc>
        <w:tc>
          <w:tcPr>
            <w:tcW w:w="941" w:type="dxa"/>
            <w:vAlign w:val="center"/>
          </w:tcPr>
          <w:p>
            <w:pPr>
              <w:jc w:val="center"/>
              <w:rPr>
                <w:noProof/>
                <w:sz w:val="20"/>
              </w:rPr>
            </w:pPr>
            <w:r>
              <w:rPr>
                <w:noProof/>
                <w:sz w:val="20"/>
              </w:rPr>
              <w:t>Година</w:t>
            </w:r>
            <w:r>
              <w:rPr>
                <w:noProof/>
              </w:rPr>
              <w:t xml:space="preserve"> </w:t>
            </w:r>
            <w:r>
              <w:rPr>
                <w:noProof/>
              </w:rPr>
              <w:br/>
            </w:r>
            <w:r>
              <w:rPr>
                <w:b/>
                <w:noProof/>
                <w:sz w:val="20"/>
              </w:rPr>
              <w:t>2024 г.</w:t>
            </w:r>
          </w:p>
        </w:tc>
        <w:tc>
          <w:tcPr>
            <w:tcW w:w="815" w:type="dxa"/>
            <w:vAlign w:val="center"/>
          </w:tcPr>
          <w:p>
            <w:pPr>
              <w:jc w:val="center"/>
              <w:rPr>
                <w:noProof/>
                <w:sz w:val="20"/>
              </w:rPr>
            </w:pPr>
            <w:r>
              <w:rPr>
                <w:noProof/>
                <w:sz w:val="20"/>
              </w:rPr>
              <w:t>Година</w:t>
            </w:r>
            <w:r>
              <w:rPr>
                <w:noProof/>
              </w:rPr>
              <w:t xml:space="preserve"> </w:t>
            </w:r>
            <w:r>
              <w:rPr>
                <w:noProof/>
              </w:rPr>
              <w:br/>
            </w:r>
            <w:r>
              <w:rPr>
                <w:b/>
                <w:noProof/>
                <w:sz w:val="20"/>
              </w:rPr>
              <w:t>2025 г.</w:t>
            </w:r>
          </w:p>
        </w:tc>
        <w:tc>
          <w:tcPr>
            <w:tcW w:w="929" w:type="dxa"/>
          </w:tcPr>
          <w:p>
            <w:pPr>
              <w:jc w:val="center"/>
              <w:rPr>
                <w:noProof/>
                <w:sz w:val="18"/>
              </w:rPr>
            </w:pPr>
            <w:r>
              <w:rPr>
                <w:noProof/>
                <w:sz w:val="20"/>
              </w:rPr>
              <w:t>Година</w:t>
            </w:r>
            <w:r>
              <w:rPr>
                <w:noProof/>
              </w:rPr>
              <w:t xml:space="preserve"> </w:t>
            </w:r>
            <w:r>
              <w:rPr>
                <w:noProof/>
              </w:rPr>
              <w:br/>
            </w:r>
            <w:r>
              <w:rPr>
                <w:b/>
                <w:noProof/>
                <w:sz w:val="20"/>
              </w:rPr>
              <w:t>2026 г.</w:t>
            </w:r>
          </w:p>
        </w:tc>
        <w:tc>
          <w:tcPr>
            <w:tcW w:w="885" w:type="dxa"/>
          </w:tcPr>
          <w:p>
            <w:pPr>
              <w:jc w:val="center"/>
              <w:rPr>
                <w:noProof/>
                <w:sz w:val="18"/>
              </w:rPr>
            </w:pPr>
            <w:r>
              <w:rPr>
                <w:noProof/>
                <w:sz w:val="20"/>
              </w:rPr>
              <w:t>Година</w:t>
            </w:r>
            <w:r>
              <w:rPr>
                <w:noProof/>
              </w:rPr>
              <w:t xml:space="preserve"> </w:t>
            </w:r>
            <w:r>
              <w:rPr>
                <w:noProof/>
              </w:rPr>
              <w:br/>
            </w:r>
            <w:r>
              <w:rPr>
                <w:b/>
                <w:noProof/>
                <w:sz w:val="20"/>
              </w:rPr>
              <w:t>2027 г.</w:t>
            </w:r>
          </w:p>
        </w:tc>
        <w:tc>
          <w:tcPr>
            <w:tcW w:w="884" w:type="dxa"/>
          </w:tcPr>
          <w:p>
            <w:pPr>
              <w:jc w:val="center"/>
              <w:rPr>
                <w:noProof/>
                <w:sz w:val="18"/>
              </w:rPr>
            </w:pPr>
            <w:r>
              <w:rPr>
                <w:noProof/>
                <w:sz w:val="20"/>
              </w:rPr>
              <w:t>След</w:t>
            </w:r>
            <w:r>
              <w:rPr>
                <w:noProof/>
              </w:rPr>
              <w:t xml:space="preserve"> </w:t>
            </w:r>
            <w:r>
              <w:rPr>
                <w:noProof/>
              </w:rPr>
              <w:br/>
            </w:r>
            <w:r>
              <w:rPr>
                <w:b/>
                <w:noProof/>
                <w:sz w:val="20"/>
              </w:rPr>
              <w:t>2027 г.</w:t>
            </w:r>
          </w:p>
        </w:tc>
      </w:tr>
      <w:tr>
        <w:trPr>
          <w:trHeight w:val="213"/>
          <w:jc w:val="center"/>
        </w:trPr>
        <w:tc>
          <w:tcPr>
            <w:tcW w:w="5608" w:type="dxa"/>
            <w:gridSpan w:val="4"/>
            <w:vAlign w:val="center"/>
          </w:tcPr>
          <w:p>
            <w:pPr>
              <w:spacing w:before="20" w:after="20"/>
              <w:rPr>
                <w:noProof/>
                <w:sz w:val="21"/>
              </w:rPr>
            </w:pPr>
            <w:r>
              <w:rPr>
                <w:noProof/>
                <w:sz w:val="21"/>
              </w:rPr>
              <w:sym w:font="Wingdings" w:char="F09F"/>
            </w:r>
            <w:r>
              <w:rPr>
                <w:noProof/>
              </w:rPr>
              <w:t xml:space="preserve"> Бюджетни кредити за оперативни разходи</w:t>
            </w:r>
            <w:r>
              <w:rPr>
                <w:noProof/>
                <w:sz w:val="21"/>
              </w:rPr>
              <w:t xml:space="preserve"> </w:t>
            </w:r>
          </w:p>
        </w:tc>
        <w:tc>
          <w:tcPr>
            <w:tcW w:w="941" w:type="dxa"/>
            <w:vAlign w:val="center"/>
          </w:tcPr>
          <w:p>
            <w:pPr>
              <w:rPr>
                <w:noProof/>
                <w:sz w:val="20"/>
              </w:rPr>
            </w:pPr>
          </w:p>
        </w:tc>
        <w:tc>
          <w:tcPr>
            <w:tcW w:w="941" w:type="dxa"/>
            <w:vAlign w:val="center"/>
          </w:tcPr>
          <w:p>
            <w:pPr>
              <w:rPr>
                <w:noProof/>
                <w:sz w:val="20"/>
              </w:rPr>
            </w:pPr>
          </w:p>
        </w:tc>
        <w:tc>
          <w:tcPr>
            <w:tcW w:w="941" w:type="dxa"/>
            <w:vAlign w:val="center"/>
          </w:tcPr>
          <w:p>
            <w:pPr>
              <w:rPr>
                <w:noProof/>
                <w:sz w:val="20"/>
              </w:rPr>
            </w:pPr>
          </w:p>
        </w:tc>
        <w:tc>
          <w:tcPr>
            <w:tcW w:w="815" w:type="dxa"/>
            <w:vAlign w:val="center"/>
          </w:tcPr>
          <w:p>
            <w:pPr>
              <w:rPr>
                <w:noProof/>
                <w:sz w:val="20"/>
              </w:rPr>
            </w:pPr>
          </w:p>
        </w:tc>
        <w:tc>
          <w:tcPr>
            <w:tcW w:w="929" w:type="dxa"/>
          </w:tcPr>
          <w:p>
            <w:pPr>
              <w:rPr>
                <w:noProof/>
                <w:sz w:val="20"/>
              </w:rPr>
            </w:pPr>
          </w:p>
        </w:tc>
        <w:tc>
          <w:tcPr>
            <w:tcW w:w="885" w:type="dxa"/>
          </w:tcPr>
          <w:p>
            <w:pPr>
              <w:rPr>
                <w:noProof/>
                <w:sz w:val="20"/>
              </w:rPr>
            </w:pPr>
          </w:p>
        </w:tc>
        <w:tc>
          <w:tcPr>
            <w:tcW w:w="884" w:type="dxa"/>
          </w:tcPr>
          <w:p>
            <w:pPr>
              <w:rPr>
                <w:noProof/>
                <w:sz w:val="20"/>
              </w:rPr>
            </w:pPr>
          </w:p>
        </w:tc>
        <w:tc>
          <w:tcPr>
            <w:tcW w:w="1627" w:type="dxa"/>
            <w:vAlign w:val="center"/>
          </w:tcPr>
          <w:p>
            <w:pPr>
              <w:jc w:val="center"/>
              <w:rPr>
                <w:b/>
                <w:noProof/>
                <w:sz w:val="20"/>
              </w:rPr>
            </w:pPr>
            <w:r>
              <w:rPr>
                <w:b/>
                <w:noProof/>
                <w:sz w:val="20"/>
              </w:rPr>
              <w:t>ОБЩО</w:t>
            </w:r>
          </w:p>
        </w:tc>
      </w:tr>
      <w:tr>
        <w:trPr>
          <w:trHeight w:val="277"/>
          <w:jc w:val="center"/>
        </w:trPr>
        <w:tc>
          <w:tcPr>
            <w:tcW w:w="3648" w:type="dxa"/>
            <w:vMerge w:val="restart"/>
            <w:vAlign w:val="center"/>
          </w:tcPr>
          <w:p>
            <w:pPr>
              <w:rPr>
                <w:noProof/>
              </w:rPr>
            </w:pPr>
            <w:r>
              <w:rPr>
                <w:noProof/>
              </w:rPr>
              <w:t>Бюджетни редове за участващи ГД</w:t>
            </w:r>
          </w:p>
        </w:tc>
        <w:tc>
          <w:tcPr>
            <w:tcW w:w="1340" w:type="dxa"/>
            <w:vAlign w:val="center"/>
          </w:tcPr>
          <w:p>
            <w:pPr>
              <w:spacing w:before="20" w:after="20"/>
              <w:rPr>
                <w:noProof/>
                <w:sz w:val="18"/>
              </w:rPr>
            </w:pPr>
            <w:r>
              <w:rPr>
                <w:noProof/>
                <w:sz w:val="18"/>
              </w:rPr>
              <w:t>Поети задължения</w:t>
            </w:r>
          </w:p>
        </w:tc>
        <w:tc>
          <w:tcPr>
            <w:tcW w:w="620" w:type="dxa"/>
            <w:gridSpan w:val="2"/>
            <w:vAlign w:val="center"/>
          </w:tcPr>
          <w:p>
            <w:pPr>
              <w:spacing w:before="20" w:after="20"/>
              <w:jc w:val="center"/>
              <w:rPr>
                <w:noProof/>
                <w:sz w:val="14"/>
              </w:rPr>
            </w:pPr>
            <w:r>
              <w:rPr>
                <w:noProof/>
                <w:sz w:val="14"/>
              </w:rPr>
              <w:t>(1)</w:t>
            </w:r>
          </w:p>
        </w:tc>
        <w:tc>
          <w:tcPr>
            <w:tcW w:w="941" w:type="dxa"/>
            <w:vAlign w:val="center"/>
          </w:tcPr>
          <w:p>
            <w:pPr>
              <w:spacing w:after="0"/>
              <w:jc w:val="right"/>
              <w:rPr>
                <w:noProof/>
                <w:sz w:val="18"/>
                <w:szCs w:val="18"/>
              </w:rPr>
            </w:pPr>
            <w:r>
              <w:rPr>
                <w:noProof/>
                <w:sz w:val="18"/>
                <w:szCs w:val="18"/>
              </w:rPr>
              <w:t>3,964</w:t>
            </w:r>
          </w:p>
        </w:tc>
        <w:tc>
          <w:tcPr>
            <w:tcW w:w="941" w:type="dxa"/>
            <w:vAlign w:val="center"/>
          </w:tcPr>
          <w:p>
            <w:pPr>
              <w:spacing w:after="0"/>
              <w:jc w:val="right"/>
              <w:rPr>
                <w:noProof/>
                <w:sz w:val="18"/>
                <w:szCs w:val="18"/>
              </w:rPr>
            </w:pPr>
            <w:r>
              <w:rPr>
                <w:noProof/>
                <w:sz w:val="18"/>
                <w:szCs w:val="18"/>
              </w:rPr>
              <w:t>3,964</w:t>
            </w:r>
          </w:p>
        </w:tc>
        <w:tc>
          <w:tcPr>
            <w:tcW w:w="941" w:type="dxa"/>
            <w:vAlign w:val="center"/>
          </w:tcPr>
          <w:p>
            <w:pPr>
              <w:spacing w:after="0"/>
              <w:jc w:val="right"/>
              <w:rPr>
                <w:noProof/>
                <w:sz w:val="18"/>
                <w:szCs w:val="18"/>
              </w:rPr>
            </w:pPr>
            <w:r>
              <w:rPr>
                <w:noProof/>
                <w:sz w:val="18"/>
                <w:szCs w:val="18"/>
              </w:rPr>
              <w:t>3,964</w:t>
            </w:r>
          </w:p>
        </w:tc>
        <w:tc>
          <w:tcPr>
            <w:tcW w:w="815" w:type="dxa"/>
            <w:vAlign w:val="center"/>
          </w:tcPr>
          <w:p>
            <w:pPr>
              <w:spacing w:after="0"/>
              <w:jc w:val="right"/>
              <w:rPr>
                <w:noProof/>
                <w:sz w:val="18"/>
                <w:szCs w:val="18"/>
              </w:rPr>
            </w:pPr>
            <w:r>
              <w:rPr>
                <w:noProof/>
                <w:sz w:val="18"/>
                <w:szCs w:val="18"/>
              </w:rPr>
              <w:t>3,964</w:t>
            </w:r>
          </w:p>
        </w:tc>
        <w:tc>
          <w:tcPr>
            <w:tcW w:w="929" w:type="dxa"/>
            <w:vAlign w:val="center"/>
          </w:tcPr>
          <w:p>
            <w:pPr>
              <w:spacing w:after="0"/>
              <w:jc w:val="right"/>
              <w:rPr>
                <w:noProof/>
                <w:sz w:val="18"/>
                <w:szCs w:val="18"/>
              </w:rPr>
            </w:pPr>
            <w:r>
              <w:rPr>
                <w:noProof/>
                <w:sz w:val="18"/>
                <w:szCs w:val="18"/>
              </w:rPr>
              <w:t>3,964</w:t>
            </w:r>
          </w:p>
        </w:tc>
        <w:tc>
          <w:tcPr>
            <w:tcW w:w="885" w:type="dxa"/>
            <w:vAlign w:val="center"/>
          </w:tcPr>
          <w:p>
            <w:pPr>
              <w:spacing w:after="0"/>
              <w:jc w:val="right"/>
              <w:rPr>
                <w:noProof/>
                <w:sz w:val="18"/>
                <w:szCs w:val="18"/>
              </w:rPr>
            </w:pPr>
            <w:r>
              <w:rPr>
                <w:noProof/>
                <w:sz w:val="18"/>
                <w:szCs w:val="18"/>
              </w:rPr>
              <w:t>3,964</w:t>
            </w:r>
          </w:p>
        </w:tc>
        <w:tc>
          <w:tcPr>
            <w:tcW w:w="884" w:type="dxa"/>
            <w:vAlign w:val="center"/>
          </w:tcPr>
          <w:p>
            <w:pPr>
              <w:spacing w:before="20" w:after="20"/>
              <w:jc w:val="right"/>
              <w:rPr>
                <w:noProof/>
                <w:sz w:val="18"/>
                <w:szCs w:val="18"/>
              </w:rPr>
            </w:pPr>
          </w:p>
        </w:tc>
        <w:tc>
          <w:tcPr>
            <w:tcW w:w="1627" w:type="dxa"/>
            <w:vAlign w:val="center"/>
          </w:tcPr>
          <w:p>
            <w:pPr>
              <w:spacing w:before="20" w:after="20"/>
              <w:jc w:val="center"/>
              <w:rPr>
                <w:b/>
                <w:noProof/>
                <w:sz w:val="20"/>
              </w:rPr>
            </w:pPr>
            <w:r>
              <w:rPr>
                <w:b/>
                <w:noProof/>
                <w:sz w:val="20"/>
              </w:rPr>
              <w:t>23,781</w:t>
            </w:r>
          </w:p>
        </w:tc>
      </w:tr>
      <w:tr>
        <w:trPr>
          <w:jc w:val="center"/>
        </w:trPr>
        <w:tc>
          <w:tcPr>
            <w:tcW w:w="3648" w:type="dxa"/>
            <w:vMerge/>
          </w:tcPr>
          <w:p>
            <w:pPr>
              <w:jc w:val="center"/>
              <w:rPr>
                <w:noProof/>
                <w:sz w:val="20"/>
              </w:rPr>
            </w:pPr>
          </w:p>
        </w:tc>
        <w:tc>
          <w:tcPr>
            <w:tcW w:w="1340" w:type="dxa"/>
            <w:vAlign w:val="center"/>
          </w:tcPr>
          <w:p>
            <w:pPr>
              <w:spacing w:before="20" w:after="20"/>
              <w:rPr>
                <w:noProof/>
                <w:sz w:val="18"/>
              </w:rPr>
            </w:pPr>
            <w:r>
              <w:rPr>
                <w:noProof/>
                <w:sz w:val="18"/>
              </w:rPr>
              <w:t>Плащания</w:t>
            </w:r>
          </w:p>
        </w:tc>
        <w:tc>
          <w:tcPr>
            <w:tcW w:w="620" w:type="dxa"/>
            <w:gridSpan w:val="2"/>
            <w:vAlign w:val="center"/>
          </w:tcPr>
          <w:p>
            <w:pPr>
              <w:spacing w:before="20" w:after="20"/>
              <w:jc w:val="center"/>
              <w:rPr>
                <w:noProof/>
                <w:sz w:val="14"/>
              </w:rPr>
            </w:pPr>
            <w:r>
              <w:rPr>
                <w:noProof/>
                <w:sz w:val="14"/>
              </w:rPr>
              <w:t>(2)</w:t>
            </w:r>
          </w:p>
        </w:tc>
        <w:tc>
          <w:tcPr>
            <w:tcW w:w="941" w:type="dxa"/>
            <w:vAlign w:val="center"/>
          </w:tcPr>
          <w:p>
            <w:pPr>
              <w:spacing w:before="20" w:after="20"/>
              <w:jc w:val="right"/>
              <w:rPr>
                <w:noProof/>
                <w:sz w:val="18"/>
                <w:szCs w:val="18"/>
              </w:rPr>
            </w:pPr>
            <w:r>
              <w:rPr>
                <w:noProof/>
                <w:sz w:val="18"/>
                <w:szCs w:val="18"/>
              </w:rPr>
              <w:t>0,793</w:t>
            </w:r>
          </w:p>
        </w:tc>
        <w:tc>
          <w:tcPr>
            <w:tcW w:w="941" w:type="dxa"/>
            <w:vAlign w:val="center"/>
          </w:tcPr>
          <w:p>
            <w:pPr>
              <w:spacing w:before="20" w:after="20"/>
              <w:jc w:val="right"/>
              <w:rPr>
                <w:noProof/>
                <w:sz w:val="18"/>
                <w:szCs w:val="18"/>
              </w:rPr>
            </w:pPr>
            <w:r>
              <w:rPr>
                <w:noProof/>
                <w:sz w:val="18"/>
                <w:szCs w:val="18"/>
              </w:rPr>
              <w:t>2,775</w:t>
            </w:r>
          </w:p>
        </w:tc>
        <w:tc>
          <w:tcPr>
            <w:tcW w:w="941" w:type="dxa"/>
            <w:vAlign w:val="center"/>
          </w:tcPr>
          <w:p>
            <w:pPr>
              <w:spacing w:before="20" w:after="20"/>
              <w:jc w:val="right"/>
              <w:rPr>
                <w:noProof/>
                <w:sz w:val="18"/>
                <w:szCs w:val="18"/>
              </w:rPr>
            </w:pPr>
            <w:r>
              <w:rPr>
                <w:noProof/>
                <w:sz w:val="18"/>
                <w:szCs w:val="18"/>
              </w:rPr>
              <w:t>3,567</w:t>
            </w:r>
          </w:p>
        </w:tc>
        <w:tc>
          <w:tcPr>
            <w:tcW w:w="815" w:type="dxa"/>
            <w:vAlign w:val="center"/>
          </w:tcPr>
          <w:p>
            <w:pPr>
              <w:spacing w:before="20" w:after="20"/>
              <w:jc w:val="right"/>
              <w:rPr>
                <w:noProof/>
                <w:sz w:val="18"/>
                <w:szCs w:val="18"/>
              </w:rPr>
            </w:pPr>
            <w:r>
              <w:rPr>
                <w:noProof/>
                <w:sz w:val="18"/>
                <w:szCs w:val="18"/>
              </w:rPr>
              <w:t>3,964</w:t>
            </w:r>
          </w:p>
        </w:tc>
        <w:tc>
          <w:tcPr>
            <w:tcW w:w="929" w:type="dxa"/>
            <w:vAlign w:val="center"/>
          </w:tcPr>
          <w:p>
            <w:pPr>
              <w:spacing w:before="20" w:after="20"/>
              <w:jc w:val="right"/>
              <w:rPr>
                <w:noProof/>
                <w:sz w:val="18"/>
                <w:szCs w:val="18"/>
              </w:rPr>
            </w:pPr>
            <w:r>
              <w:rPr>
                <w:noProof/>
                <w:sz w:val="18"/>
                <w:szCs w:val="18"/>
              </w:rPr>
              <w:t>3,964</w:t>
            </w:r>
          </w:p>
        </w:tc>
        <w:tc>
          <w:tcPr>
            <w:tcW w:w="885" w:type="dxa"/>
            <w:vAlign w:val="center"/>
          </w:tcPr>
          <w:p>
            <w:pPr>
              <w:spacing w:before="20" w:after="20"/>
              <w:jc w:val="right"/>
              <w:rPr>
                <w:noProof/>
                <w:sz w:val="18"/>
                <w:szCs w:val="18"/>
              </w:rPr>
            </w:pPr>
            <w:r>
              <w:rPr>
                <w:noProof/>
                <w:sz w:val="18"/>
                <w:szCs w:val="18"/>
              </w:rPr>
              <w:t>3,964</w:t>
            </w:r>
          </w:p>
        </w:tc>
        <w:tc>
          <w:tcPr>
            <w:tcW w:w="884" w:type="dxa"/>
            <w:vAlign w:val="center"/>
          </w:tcPr>
          <w:p>
            <w:pPr>
              <w:spacing w:before="20" w:after="20"/>
              <w:jc w:val="right"/>
              <w:rPr>
                <w:noProof/>
                <w:sz w:val="18"/>
                <w:szCs w:val="18"/>
              </w:rPr>
            </w:pPr>
            <w:r>
              <w:rPr>
                <w:noProof/>
                <w:sz w:val="18"/>
                <w:szCs w:val="18"/>
              </w:rPr>
              <w:t>4,756</w:t>
            </w:r>
          </w:p>
        </w:tc>
        <w:tc>
          <w:tcPr>
            <w:tcW w:w="1627" w:type="dxa"/>
            <w:vAlign w:val="center"/>
          </w:tcPr>
          <w:p>
            <w:pPr>
              <w:spacing w:before="20" w:after="20"/>
              <w:jc w:val="center"/>
              <w:rPr>
                <w:b/>
                <w:noProof/>
                <w:sz w:val="20"/>
              </w:rPr>
            </w:pPr>
            <w:r>
              <w:rPr>
                <w:b/>
                <w:noProof/>
                <w:sz w:val="20"/>
              </w:rPr>
              <w:t>23,781</w:t>
            </w:r>
          </w:p>
        </w:tc>
      </w:tr>
      <w:tr>
        <w:trPr>
          <w:jc w:val="center"/>
        </w:trPr>
        <w:tc>
          <w:tcPr>
            <w:tcW w:w="3648" w:type="dxa"/>
            <w:vMerge w:val="restart"/>
            <w:vAlign w:val="center"/>
          </w:tcPr>
          <w:p>
            <w:pPr>
              <w:rPr>
                <w:noProof/>
              </w:rPr>
            </w:pPr>
            <w:r>
              <w:rPr>
                <w:noProof/>
              </w:rPr>
              <w:t>Бюджетни редове за участващи ГД</w:t>
            </w:r>
          </w:p>
        </w:tc>
        <w:tc>
          <w:tcPr>
            <w:tcW w:w="1340" w:type="dxa"/>
            <w:vAlign w:val="center"/>
          </w:tcPr>
          <w:p>
            <w:pPr>
              <w:spacing w:before="20" w:after="20"/>
              <w:rPr>
                <w:noProof/>
                <w:sz w:val="18"/>
              </w:rPr>
            </w:pPr>
            <w:r>
              <w:rPr>
                <w:noProof/>
                <w:sz w:val="18"/>
              </w:rPr>
              <w:t>Поети задължения</w:t>
            </w:r>
          </w:p>
        </w:tc>
        <w:tc>
          <w:tcPr>
            <w:tcW w:w="620" w:type="dxa"/>
            <w:gridSpan w:val="2"/>
            <w:vAlign w:val="center"/>
          </w:tcPr>
          <w:p>
            <w:pPr>
              <w:spacing w:before="20" w:after="20"/>
              <w:jc w:val="center"/>
              <w:rPr>
                <w:noProof/>
                <w:sz w:val="14"/>
              </w:rPr>
            </w:pPr>
            <w:r>
              <w:rPr>
                <w:noProof/>
                <w:sz w:val="14"/>
              </w:rPr>
              <w:t>(1a)</w:t>
            </w:r>
          </w:p>
        </w:tc>
        <w:tc>
          <w:tcPr>
            <w:tcW w:w="941" w:type="dxa"/>
            <w:vAlign w:val="center"/>
          </w:tcPr>
          <w:p>
            <w:pPr>
              <w:spacing w:before="20" w:after="20"/>
              <w:jc w:val="right"/>
              <w:rPr>
                <w:noProof/>
                <w:sz w:val="18"/>
                <w:szCs w:val="18"/>
              </w:rPr>
            </w:pPr>
          </w:p>
        </w:tc>
        <w:tc>
          <w:tcPr>
            <w:tcW w:w="941" w:type="dxa"/>
            <w:vAlign w:val="center"/>
          </w:tcPr>
          <w:p>
            <w:pPr>
              <w:spacing w:before="20" w:after="20"/>
              <w:jc w:val="right"/>
              <w:rPr>
                <w:noProof/>
                <w:sz w:val="18"/>
                <w:szCs w:val="18"/>
              </w:rPr>
            </w:pPr>
          </w:p>
        </w:tc>
        <w:tc>
          <w:tcPr>
            <w:tcW w:w="941" w:type="dxa"/>
            <w:vAlign w:val="center"/>
          </w:tcPr>
          <w:p>
            <w:pPr>
              <w:spacing w:before="20" w:after="20"/>
              <w:jc w:val="right"/>
              <w:rPr>
                <w:noProof/>
                <w:sz w:val="18"/>
                <w:szCs w:val="18"/>
              </w:rPr>
            </w:pPr>
          </w:p>
        </w:tc>
        <w:tc>
          <w:tcPr>
            <w:tcW w:w="815" w:type="dxa"/>
            <w:vAlign w:val="center"/>
          </w:tcPr>
          <w:p>
            <w:pPr>
              <w:spacing w:before="20" w:after="20"/>
              <w:jc w:val="right"/>
              <w:rPr>
                <w:noProof/>
                <w:sz w:val="18"/>
                <w:szCs w:val="18"/>
              </w:rPr>
            </w:pPr>
          </w:p>
        </w:tc>
        <w:tc>
          <w:tcPr>
            <w:tcW w:w="929" w:type="dxa"/>
            <w:vAlign w:val="center"/>
          </w:tcPr>
          <w:p>
            <w:pPr>
              <w:spacing w:before="20" w:after="20"/>
              <w:jc w:val="right"/>
              <w:rPr>
                <w:noProof/>
                <w:sz w:val="18"/>
                <w:szCs w:val="18"/>
              </w:rPr>
            </w:pPr>
          </w:p>
        </w:tc>
        <w:tc>
          <w:tcPr>
            <w:tcW w:w="885" w:type="dxa"/>
            <w:vAlign w:val="center"/>
          </w:tcPr>
          <w:p>
            <w:pPr>
              <w:spacing w:before="20" w:after="20"/>
              <w:jc w:val="right"/>
              <w:rPr>
                <w:noProof/>
                <w:sz w:val="18"/>
                <w:szCs w:val="18"/>
              </w:rPr>
            </w:pPr>
          </w:p>
        </w:tc>
        <w:tc>
          <w:tcPr>
            <w:tcW w:w="884" w:type="dxa"/>
            <w:vAlign w:val="center"/>
          </w:tcPr>
          <w:p>
            <w:pPr>
              <w:spacing w:after="0"/>
              <w:jc w:val="right"/>
              <w:rPr>
                <w:noProof/>
                <w:sz w:val="18"/>
                <w:szCs w:val="18"/>
              </w:rPr>
            </w:pPr>
            <w:r>
              <w:rPr>
                <w:noProof/>
                <w:sz w:val="18"/>
                <w:szCs w:val="18"/>
              </w:rPr>
              <w:t>9,190</w:t>
            </w:r>
          </w:p>
        </w:tc>
        <w:tc>
          <w:tcPr>
            <w:tcW w:w="1627" w:type="dxa"/>
            <w:vAlign w:val="center"/>
          </w:tcPr>
          <w:p>
            <w:pPr>
              <w:spacing w:before="20" w:after="20"/>
              <w:jc w:val="center"/>
              <w:rPr>
                <w:b/>
                <w:noProof/>
                <w:sz w:val="20"/>
              </w:rPr>
            </w:pPr>
            <w:r>
              <w:rPr>
                <w:b/>
                <w:noProof/>
                <w:sz w:val="20"/>
              </w:rPr>
              <w:t>9,189</w:t>
            </w:r>
          </w:p>
        </w:tc>
      </w:tr>
      <w:tr>
        <w:trPr>
          <w:jc w:val="center"/>
        </w:trPr>
        <w:tc>
          <w:tcPr>
            <w:tcW w:w="3648" w:type="dxa"/>
            <w:vMerge/>
          </w:tcPr>
          <w:p>
            <w:pPr>
              <w:jc w:val="center"/>
              <w:rPr>
                <w:noProof/>
                <w:sz w:val="20"/>
              </w:rPr>
            </w:pPr>
          </w:p>
        </w:tc>
        <w:tc>
          <w:tcPr>
            <w:tcW w:w="1340" w:type="dxa"/>
            <w:vAlign w:val="center"/>
          </w:tcPr>
          <w:p>
            <w:pPr>
              <w:spacing w:before="20" w:after="20"/>
              <w:rPr>
                <w:noProof/>
                <w:sz w:val="18"/>
              </w:rPr>
            </w:pPr>
            <w:r>
              <w:rPr>
                <w:noProof/>
                <w:sz w:val="18"/>
              </w:rPr>
              <w:t>Плащания</w:t>
            </w:r>
          </w:p>
        </w:tc>
        <w:tc>
          <w:tcPr>
            <w:tcW w:w="620" w:type="dxa"/>
            <w:gridSpan w:val="2"/>
            <w:vAlign w:val="center"/>
          </w:tcPr>
          <w:p>
            <w:pPr>
              <w:spacing w:before="20" w:after="20"/>
              <w:jc w:val="center"/>
              <w:rPr>
                <w:noProof/>
                <w:sz w:val="14"/>
              </w:rPr>
            </w:pPr>
            <w:r>
              <w:rPr>
                <w:noProof/>
                <w:sz w:val="14"/>
              </w:rPr>
              <w:t>(2a)</w:t>
            </w:r>
          </w:p>
        </w:tc>
        <w:tc>
          <w:tcPr>
            <w:tcW w:w="941" w:type="dxa"/>
            <w:vAlign w:val="center"/>
          </w:tcPr>
          <w:p>
            <w:pPr>
              <w:spacing w:before="20" w:after="20"/>
              <w:jc w:val="right"/>
              <w:rPr>
                <w:noProof/>
                <w:sz w:val="18"/>
                <w:szCs w:val="18"/>
              </w:rPr>
            </w:pPr>
          </w:p>
        </w:tc>
        <w:tc>
          <w:tcPr>
            <w:tcW w:w="941" w:type="dxa"/>
            <w:vAlign w:val="center"/>
          </w:tcPr>
          <w:p>
            <w:pPr>
              <w:spacing w:before="20" w:after="20"/>
              <w:jc w:val="right"/>
              <w:rPr>
                <w:noProof/>
                <w:sz w:val="18"/>
                <w:szCs w:val="18"/>
              </w:rPr>
            </w:pPr>
          </w:p>
        </w:tc>
        <w:tc>
          <w:tcPr>
            <w:tcW w:w="941" w:type="dxa"/>
            <w:vAlign w:val="center"/>
          </w:tcPr>
          <w:p>
            <w:pPr>
              <w:spacing w:before="20" w:after="20"/>
              <w:jc w:val="right"/>
              <w:rPr>
                <w:noProof/>
                <w:sz w:val="18"/>
                <w:szCs w:val="18"/>
              </w:rPr>
            </w:pPr>
          </w:p>
        </w:tc>
        <w:tc>
          <w:tcPr>
            <w:tcW w:w="815" w:type="dxa"/>
            <w:vAlign w:val="center"/>
          </w:tcPr>
          <w:p>
            <w:pPr>
              <w:spacing w:before="20" w:after="20"/>
              <w:jc w:val="right"/>
              <w:rPr>
                <w:noProof/>
                <w:sz w:val="18"/>
                <w:szCs w:val="18"/>
              </w:rPr>
            </w:pPr>
          </w:p>
        </w:tc>
        <w:tc>
          <w:tcPr>
            <w:tcW w:w="929" w:type="dxa"/>
            <w:vAlign w:val="center"/>
          </w:tcPr>
          <w:p>
            <w:pPr>
              <w:spacing w:before="20" w:after="20"/>
              <w:jc w:val="right"/>
              <w:rPr>
                <w:noProof/>
                <w:sz w:val="18"/>
                <w:szCs w:val="18"/>
              </w:rPr>
            </w:pPr>
          </w:p>
        </w:tc>
        <w:tc>
          <w:tcPr>
            <w:tcW w:w="885" w:type="dxa"/>
            <w:vAlign w:val="center"/>
          </w:tcPr>
          <w:p>
            <w:pPr>
              <w:spacing w:before="20" w:after="20"/>
              <w:jc w:val="right"/>
              <w:rPr>
                <w:noProof/>
                <w:sz w:val="18"/>
                <w:szCs w:val="18"/>
              </w:rPr>
            </w:pPr>
          </w:p>
        </w:tc>
        <w:tc>
          <w:tcPr>
            <w:tcW w:w="884" w:type="dxa"/>
            <w:vAlign w:val="center"/>
          </w:tcPr>
          <w:p>
            <w:pPr>
              <w:spacing w:before="20" w:after="20"/>
              <w:jc w:val="right"/>
              <w:rPr>
                <w:noProof/>
                <w:sz w:val="18"/>
                <w:szCs w:val="18"/>
              </w:rPr>
            </w:pPr>
            <w:r>
              <w:rPr>
                <w:noProof/>
                <w:sz w:val="18"/>
                <w:szCs w:val="18"/>
              </w:rPr>
              <w:t>5,918</w:t>
            </w:r>
          </w:p>
        </w:tc>
        <w:tc>
          <w:tcPr>
            <w:tcW w:w="1627" w:type="dxa"/>
            <w:vAlign w:val="center"/>
          </w:tcPr>
          <w:p>
            <w:pPr>
              <w:spacing w:before="20" w:after="20"/>
              <w:jc w:val="center"/>
              <w:rPr>
                <w:b/>
                <w:noProof/>
                <w:sz w:val="20"/>
              </w:rPr>
            </w:pPr>
            <w:r>
              <w:rPr>
                <w:b/>
                <w:noProof/>
                <w:sz w:val="20"/>
              </w:rPr>
              <w:t>5,918</w:t>
            </w:r>
          </w:p>
        </w:tc>
      </w:tr>
      <w:tr>
        <w:trPr>
          <w:trHeight w:val="231"/>
          <w:jc w:val="center"/>
        </w:trPr>
        <w:tc>
          <w:tcPr>
            <w:tcW w:w="5608" w:type="dxa"/>
            <w:gridSpan w:val="4"/>
            <w:vAlign w:val="center"/>
          </w:tcPr>
          <w:p>
            <w:pPr>
              <w:spacing w:before="20" w:after="20"/>
              <w:rPr>
                <w:noProof/>
              </w:rPr>
            </w:pPr>
            <w:r>
              <w:rPr>
                <w:noProof/>
                <w:sz w:val="21"/>
              </w:rPr>
              <w:t>Бюджетни кредити за административни разходи, финансирани от пакета за специфични програми</w:t>
            </w:r>
            <w:r>
              <w:rPr>
                <w:rStyle w:val="FootnoteReference"/>
                <w:noProof/>
                <w:sz w:val="21"/>
              </w:rPr>
              <w:footnoteReference w:id="66"/>
            </w:r>
            <w:r>
              <w:rPr>
                <w:noProof/>
                <w:sz w:val="21"/>
              </w:rPr>
              <w:t xml:space="preserve"> </w:t>
            </w:r>
          </w:p>
          <w:p>
            <w:pPr>
              <w:spacing w:after="0"/>
              <w:rPr>
                <w:noProof/>
              </w:rPr>
            </w:pPr>
          </w:p>
        </w:tc>
        <w:tc>
          <w:tcPr>
            <w:tcW w:w="941" w:type="dxa"/>
            <w:vAlign w:val="center"/>
          </w:tcPr>
          <w:p>
            <w:pPr>
              <w:rPr>
                <w:b/>
                <w:noProof/>
                <w:sz w:val="18"/>
                <w:szCs w:val="18"/>
              </w:rPr>
            </w:pPr>
          </w:p>
        </w:tc>
        <w:tc>
          <w:tcPr>
            <w:tcW w:w="941" w:type="dxa"/>
            <w:vAlign w:val="center"/>
          </w:tcPr>
          <w:p>
            <w:pPr>
              <w:rPr>
                <w:b/>
                <w:noProof/>
                <w:sz w:val="18"/>
                <w:szCs w:val="18"/>
              </w:rPr>
            </w:pPr>
          </w:p>
        </w:tc>
        <w:tc>
          <w:tcPr>
            <w:tcW w:w="941" w:type="dxa"/>
            <w:vAlign w:val="center"/>
          </w:tcPr>
          <w:p>
            <w:pPr>
              <w:rPr>
                <w:b/>
                <w:noProof/>
                <w:sz w:val="18"/>
                <w:szCs w:val="18"/>
              </w:rPr>
            </w:pPr>
          </w:p>
        </w:tc>
        <w:tc>
          <w:tcPr>
            <w:tcW w:w="815" w:type="dxa"/>
            <w:vAlign w:val="center"/>
          </w:tcPr>
          <w:p>
            <w:pPr>
              <w:rPr>
                <w:b/>
                <w:noProof/>
                <w:sz w:val="18"/>
                <w:szCs w:val="18"/>
              </w:rPr>
            </w:pPr>
          </w:p>
        </w:tc>
        <w:tc>
          <w:tcPr>
            <w:tcW w:w="929" w:type="dxa"/>
            <w:vAlign w:val="center"/>
          </w:tcPr>
          <w:p>
            <w:pPr>
              <w:rPr>
                <w:b/>
                <w:noProof/>
                <w:sz w:val="18"/>
                <w:szCs w:val="18"/>
              </w:rPr>
            </w:pPr>
          </w:p>
        </w:tc>
        <w:tc>
          <w:tcPr>
            <w:tcW w:w="885" w:type="dxa"/>
            <w:vAlign w:val="center"/>
          </w:tcPr>
          <w:p>
            <w:pPr>
              <w:rPr>
                <w:b/>
                <w:noProof/>
                <w:sz w:val="18"/>
                <w:szCs w:val="18"/>
              </w:rPr>
            </w:pPr>
          </w:p>
        </w:tc>
        <w:tc>
          <w:tcPr>
            <w:tcW w:w="884" w:type="dxa"/>
            <w:vAlign w:val="center"/>
          </w:tcPr>
          <w:p>
            <w:pPr>
              <w:rPr>
                <w:b/>
                <w:noProof/>
                <w:sz w:val="18"/>
                <w:szCs w:val="18"/>
              </w:rPr>
            </w:pPr>
          </w:p>
        </w:tc>
        <w:tc>
          <w:tcPr>
            <w:tcW w:w="1627" w:type="dxa"/>
            <w:vAlign w:val="center"/>
          </w:tcPr>
          <w:p>
            <w:pPr>
              <w:jc w:val="center"/>
              <w:rPr>
                <w:b/>
                <w:noProof/>
                <w:sz w:val="20"/>
              </w:rPr>
            </w:pPr>
          </w:p>
        </w:tc>
      </w:tr>
      <w:tr>
        <w:trPr>
          <w:trHeight w:val="319"/>
          <w:jc w:val="center"/>
        </w:trPr>
        <w:tc>
          <w:tcPr>
            <w:tcW w:w="3648" w:type="dxa"/>
            <w:vAlign w:val="center"/>
          </w:tcPr>
          <w:p>
            <w:pPr>
              <w:spacing w:before="60" w:after="60"/>
              <w:rPr>
                <w:noProof/>
              </w:rPr>
            </w:pPr>
            <w:r>
              <w:rPr>
                <w:noProof/>
                <w:sz w:val="20"/>
              </w:rPr>
              <w:t>Номер на бюджетния ред</w:t>
            </w:r>
          </w:p>
        </w:tc>
        <w:tc>
          <w:tcPr>
            <w:tcW w:w="1340" w:type="dxa"/>
            <w:vAlign w:val="center"/>
          </w:tcPr>
          <w:p>
            <w:pPr>
              <w:spacing w:before="40" w:after="40"/>
              <w:jc w:val="right"/>
              <w:rPr>
                <w:noProof/>
                <w:sz w:val="18"/>
              </w:rPr>
            </w:pPr>
          </w:p>
        </w:tc>
        <w:tc>
          <w:tcPr>
            <w:tcW w:w="620" w:type="dxa"/>
            <w:gridSpan w:val="2"/>
            <w:vAlign w:val="center"/>
          </w:tcPr>
          <w:p>
            <w:pPr>
              <w:spacing w:before="40" w:after="40"/>
              <w:jc w:val="center"/>
              <w:rPr>
                <w:noProof/>
                <w:sz w:val="14"/>
              </w:rPr>
            </w:pPr>
            <w:r>
              <w:rPr>
                <w:noProof/>
                <w:sz w:val="14"/>
              </w:rPr>
              <w:t>(3)</w:t>
            </w:r>
          </w:p>
        </w:tc>
        <w:tc>
          <w:tcPr>
            <w:tcW w:w="941" w:type="dxa"/>
            <w:vAlign w:val="center"/>
          </w:tcPr>
          <w:p>
            <w:pPr>
              <w:spacing w:before="40" w:after="40"/>
              <w:jc w:val="right"/>
              <w:rPr>
                <w:b/>
                <w:noProof/>
                <w:sz w:val="18"/>
                <w:szCs w:val="18"/>
              </w:rPr>
            </w:pPr>
          </w:p>
        </w:tc>
        <w:tc>
          <w:tcPr>
            <w:tcW w:w="941" w:type="dxa"/>
            <w:vAlign w:val="center"/>
          </w:tcPr>
          <w:p>
            <w:pPr>
              <w:spacing w:before="40" w:after="40"/>
              <w:jc w:val="right"/>
              <w:rPr>
                <w:b/>
                <w:noProof/>
                <w:sz w:val="18"/>
                <w:szCs w:val="18"/>
              </w:rPr>
            </w:pPr>
          </w:p>
        </w:tc>
        <w:tc>
          <w:tcPr>
            <w:tcW w:w="941" w:type="dxa"/>
            <w:vAlign w:val="center"/>
          </w:tcPr>
          <w:p>
            <w:pPr>
              <w:spacing w:before="40" w:after="40"/>
              <w:jc w:val="right"/>
              <w:rPr>
                <w:b/>
                <w:noProof/>
                <w:sz w:val="18"/>
                <w:szCs w:val="18"/>
              </w:rPr>
            </w:pPr>
          </w:p>
        </w:tc>
        <w:tc>
          <w:tcPr>
            <w:tcW w:w="815" w:type="dxa"/>
            <w:vAlign w:val="center"/>
          </w:tcPr>
          <w:p>
            <w:pPr>
              <w:spacing w:before="40" w:after="40"/>
              <w:jc w:val="right"/>
              <w:rPr>
                <w:b/>
                <w:noProof/>
                <w:sz w:val="18"/>
                <w:szCs w:val="18"/>
              </w:rPr>
            </w:pPr>
          </w:p>
        </w:tc>
        <w:tc>
          <w:tcPr>
            <w:tcW w:w="929" w:type="dxa"/>
            <w:vAlign w:val="center"/>
          </w:tcPr>
          <w:p>
            <w:pPr>
              <w:spacing w:before="40" w:after="40"/>
              <w:jc w:val="right"/>
              <w:rPr>
                <w:b/>
                <w:noProof/>
                <w:sz w:val="18"/>
                <w:szCs w:val="18"/>
              </w:rPr>
            </w:pPr>
          </w:p>
        </w:tc>
        <w:tc>
          <w:tcPr>
            <w:tcW w:w="885" w:type="dxa"/>
            <w:vAlign w:val="center"/>
          </w:tcPr>
          <w:p>
            <w:pPr>
              <w:spacing w:before="40" w:after="40"/>
              <w:jc w:val="right"/>
              <w:rPr>
                <w:b/>
                <w:noProof/>
                <w:sz w:val="18"/>
                <w:szCs w:val="18"/>
              </w:rPr>
            </w:pPr>
          </w:p>
        </w:tc>
        <w:tc>
          <w:tcPr>
            <w:tcW w:w="884" w:type="dxa"/>
            <w:vAlign w:val="center"/>
          </w:tcPr>
          <w:p>
            <w:pPr>
              <w:spacing w:before="40" w:after="40"/>
              <w:jc w:val="right"/>
              <w:rPr>
                <w:b/>
                <w:noProof/>
                <w:sz w:val="18"/>
                <w:szCs w:val="18"/>
              </w:rPr>
            </w:pPr>
          </w:p>
        </w:tc>
        <w:tc>
          <w:tcPr>
            <w:tcW w:w="1627" w:type="dxa"/>
            <w:vAlign w:val="center"/>
          </w:tcPr>
          <w:p>
            <w:pPr>
              <w:spacing w:before="40" w:after="40"/>
              <w:jc w:val="center"/>
              <w:rPr>
                <w:b/>
                <w:noProof/>
                <w:sz w:val="20"/>
              </w:rPr>
            </w:pPr>
          </w:p>
        </w:tc>
      </w:tr>
      <w:tr>
        <w:trPr>
          <w:jc w:val="center"/>
        </w:trPr>
        <w:tc>
          <w:tcPr>
            <w:tcW w:w="3648" w:type="dxa"/>
            <w:vMerge w:val="restart"/>
            <w:vAlign w:val="center"/>
          </w:tcPr>
          <w:p>
            <w:pPr>
              <w:jc w:val="center"/>
              <w:rPr>
                <w:b/>
                <w:noProof/>
              </w:rPr>
            </w:pPr>
            <w:r>
              <w:rPr>
                <w:b/>
                <w:noProof/>
              </w:rPr>
              <w:t>ОБЩО бюджетни кредити</w:t>
            </w:r>
            <w:r>
              <w:rPr>
                <w:noProof/>
              </w:rPr>
              <w:t xml:space="preserve"> </w:t>
            </w:r>
            <w:r>
              <w:rPr>
                <w:noProof/>
              </w:rPr>
              <w:br/>
            </w:r>
            <w:r>
              <w:rPr>
                <w:b/>
                <w:noProof/>
              </w:rPr>
              <w:t>за партньорски ГД, участващи в инициативата</w:t>
            </w:r>
          </w:p>
        </w:tc>
        <w:tc>
          <w:tcPr>
            <w:tcW w:w="1340" w:type="dxa"/>
            <w:vAlign w:val="center"/>
          </w:tcPr>
          <w:p>
            <w:pPr>
              <w:rPr>
                <w:noProof/>
                <w:sz w:val="18"/>
              </w:rPr>
            </w:pPr>
            <w:r>
              <w:rPr>
                <w:noProof/>
                <w:sz w:val="18"/>
              </w:rPr>
              <w:t>Поети задължения</w:t>
            </w:r>
          </w:p>
        </w:tc>
        <w:tc>
          <w:tcPr>
            <w:tcW w:w="620" w:type="dxa"/>
            <w:gridSpan w:val="2"/>
            <w:vAlign w:val="center"/>
          </w:tcPr>
          <w:p>
            <w:pPr>
              <w:jc w:val="center"/>
              <w:rPr>
                <w:noProof/>
                <w:sz w:val="14"/>
              </w:rPr>
            </w:pPr>
            <w:r>
              <w:rPr>
                <w:noProof/>
                <w:sz w:val="14"/>
              </w:rPr>
              <w:t>=1+1a +3</w:t>
            </w:r>
          </w:p>
        </w:tc>
        <w:tc>
          <w:tcPr>
            <w:tcW w:w="941" w:type="dxa"/>
            <w:vAlign w:val="center"/>
          </w:tcPr>
          <w:p>
            <w:pPr>
              <w:spacing w:before="20" w:after="20"/>
              <w:jc w:val="right"/>
              <w:rPr>
                <w:noProof/>
                <w:sz w:val="18"/>
                <w:szCs w:val="18"/>
              </w:rPr>
            </w:pPr>
            <w:r>
              <w:rPr>
                <w:noProof/>
                <w:sz w:val="18"/>
                <w:szCs w:val="18"/>
              </w:rPr>
              <w:t>3,964</w:t>
            </w:r>
          </w:p>
        </w:tc>
        <w:tc>
          <w:tcPr>
            <w:tcW w:w="941" w:type="dxa"/>
            <w:vAlign w:val="center"/>
          </w:tcPr>
          <w:p>
            <w:pPr>
              <w:spacing w:before="20" w:after="20"/>
              <w:jc w:val="right"/>
              <w:rPr>
                <w:noProof/>
                <w:sz w:val="18"/>
                <w:szCs w:val="18"/>
              </w:rPr>
            </w:pPr>
            <w:r>
              <w:rPr>
                <w:noProof/>
                <w:sz w:val="18"/>
                <w:szCs w:val="18"/>
              </w:rPr>
              <w:t>3,964</w:t>
            </w:r>
          </w:p>
        </w:tc>
        <w:tc>
          <w:tcPr>
            <w:tcW w:w="941" w:type="dxa"/>
            <w:vAlign w:val="center"/>
          </w:tcPr>
          <w:p>
            <w:pPr>
              <w:spacing w:before="20" w:after="20"/>
              <w:jc w:val="right"/>
              <w:rPr>
                <w:noProof/>
                <w:sz w:val="18"/>
                <w:szCs w:val="18"/>
              </w:rPr>
            </w:pPr>
            <w:r>
              <w:rPr>
                <w:noProof/>
                <w:sz w:val="18"/>
                <w:szCs w:val="18"/>
              </w:rPr>
              <w:t>3,964</w:t>
            </w:r>
          </w:p>
        </w:tc>
        <w:tc>
          <w:tcPr>
            <w:tcW w:w="815" w:type="dxa"/>
            <w:vAlign w:val="center"/>
          </w:tcPr>
          <w:p>
            <w:pPr>
              <w:spacing w:before="20" w:after="20"/>
              <w:jc w:val="right"/>
              <w:rPr>
                <w:noProof/>
                <w:sz w:val="18"/>
                <w:szCs w:val="18"/>
              </w:rPr>
            </w:pPr>
            <w:r>
              <w:rPr>
                <w:noProof/>
                <w:sz w:val="18"/>
                <w:szCs w:val="18"/>
              </w:rPr>
              <w:t>3,964</w:t>
            </w:r>
          </w:p>
        </w:tc>
        <w:tc>
          <w:tcPr>
            <w:tcW w:w="929" w:type="dxa"/>
            <w:vAlign w:val="center"/>
          </w:tcPr>
          <w:p>
            <w:pPr>
              <w:spacing w:before="20" w:after="20"/>
              <w:jc w:val="right"/>
              <w:rPr>
                <w:noProof/>
                <w:sz w:val="18"/>
                <w:szCs w:val="18"/>
              </w:rPr>
            </w:pPr>
            <w:r>
              <w:rPr>
                <w:noProof/>
                <w:sz w:val="18"/>
                <w:szCs w:val="18"/>
              </w:rPr>
              <w:t>3,964</w:t>
            </w:r>
          </w:p>
        </w:tc>
        <w:tc>
          <w:tcPr>
            <w:tcW w:w="885" w:type="dxa"/>
            <w:vAlign w:val="center"/>
          </w:tcPr>
          <w:p>
            <w:pPr>
              <w:spacing w:before="20" w:after="20"/>
              <w:jc w:val="right"/>
              <w:rPr>
                <w:noProof/>
                <w:sz w:val="18"/>
                <w:szCs w:val="18"/>
              </w:rPr>
            </w:pPr>
            <w:r>
              <w:rPr>
                <w:noProof/>
                <w:sz w:val="18"/>
                <w:szCs w:val="18"/>
              </w:rPr>
              <w:t>3,964</w:t>
            </w:r>
          </w:p>
        </w:tc>
        <w:tc>
          <w:tcPr>
            <w:tcW w:w="884" w:type="dxa"/>
            <w:vAlign w:val="center"/>
          </w:tcPr>
          <w:p>
            <w:pPr>
              <w:spacing w:before="20" w:after="20"/>
              <w:jc w:val="right"/>
              <w:rPr>
                <w:noProof/>
                <w:sz w:val="18"/>
                <w:szCs w:val="18"/>
              </w:rPr>
            </w:pPr>
            <w:r>
              <w:rPr>
                <w:noProof/>
                <w:sz w:val="18"/>
                <w:szCs w:val="18"/>
              </w:rPr>
              <w:t>9,190</w:t>
            </w:r>
          </w:p>
        </w:tc>
        <w:tc>
          <w:tcPr>
            <w:tcW w:w="1627" w:type="dxa"/>
            <w:vAlign w:val="center"/>
          </w:tcPr>
          <w:p>
            <w:pPr>
              <w:spacing w:before="20" w:after="20"/>
              <w:jc w:val="center"/>
              <w:rPr>
                <w:b/>
                <w:noProof/>
                <w:sz w:val="20"/>
              </w:rPr>
            </w:pPr>
            <w:r>
              <w:rPr>
                <w:b/>
                <w:noProof/>
                <w:sz w:val="20"/>
              </w:rPr>
              <w:t>32,970</w:t>
            </w:r>
          </w:p>
        </w:tc>
      </w:tr>
      <w:tr>
        <w:trPr>
          <w:jc w:val="center"/>
        </w:trPr>
        <w:tc>
          <w:tcPr>
            <w:tcW w:w="3648" w:type="dxa"/>
            <w:vMerge/>
          </w:tcPr>
          <w:p>
            <w:pPr>
              <w:rPr>
                <w:noProof/>
                <w:sz w:val="20"/>
              </w:rPr>
            </w:pPr>
          </w:p>
        </w:tc>
        <w:tc>
          <w:tcPr>
            <w:tcW w:w="1340" w:type="dxa"/>
            <w:vAlign w:val="center"/>
          </w:tcPr>
          <w:p>
            <w:pPr>
              <w:rPr>
                <w:noProof/>
                <w:sz w:val="18"/>
              </w:rPr>
            </w:pPr>
            <w:r>
              <w:rPr>
                <w:noProof/>
                <w:sz w:val="18"/>
              </w:rPr>
              <w:t>Плащания</w:t>
            </w:r>
          </w:p>
        </w:tc>
        <w:tc>
          <w:tcPr>
            <w:tcW w:w="620" w:type="dxa"/>
            <w:gridSpan w:val="2"/>
            <w:vAlign w:val="center"/>
          </w:tcPr>
          <w:p>
            <w:pPr>
              <w:jc w:val="center"/>
              <w:rPr>
                <w:noProof/>
                <w:sz w:val="14"/>
              </w:rPr>
            </w:pPr>
            <w:r>
              <w:rPr>
                <w:noProof/>
                <w:sz w:val="14"/>
              </w:rPr>
              <w:t>=2+2a</w:t>
            </w:r>
          </w:p>
          <w:p>
            <w:pPr>
              <w:jc w:val="center"/>
              <w:rPr>
                <w:noProof/>
                <w:sz w:val="14"/>
              </w:rPr>
            </w:pPr>
            <w:r>
              <w:rPr>
                <w:noProof/>
                <w:sz w:val="14"/>
              </w:rPr>
              <w:t>+3</w:t>
            </w:r>
          </w:p>
        </w:tc>
        <w:tc>
          <w:tcPr>
            <w:tcW w:w="941" w:type="dxa"/>
            <w:vAlign w:val="center"/>
          </w:tcPr>
          <w:p>
            <w:pPr>
              <w:spacing w:before="20" w:after="20"/>
              <w:jc w:val="right"/>
              <w:rPr>
                <w:noProof/>
                <w:sz w:val="18"/>
                <w:szCs w:val="18"/>
              </w:rPr>
            </w:pPr>
            <w:r>
              <w:rPr>
                <w:noProof/>
                <w:sz w:val="18"/>
                <w:szCs w:val="18"/>
              </w:rPr>
              <w:t>0,793</w:t>
            </w:r>
          </w:p>
        </w:tc>
        <w:tc>
          <w:tcPr>
            <w:tcW w:w="941" w:type="dxa"/>
            <w:vAlign w:val="center"/>
          </w:tcPr>
          <w:p>
            <w:pPr>
              <w:spacing w:before="20" w:after="20"/>
              <w:jc w:val="right"/>
              <w:rPr>
                <w:noProof/>
                <w:sz w:val="18"/>
                <w:szCs w:val="18"/>
              </w:rPr>
            </w:pPr>
            <w:r>
              <w:rPr>
                <w:noProof/>
                <w:sz w:val="18"/>
                <w:szCs w:val="18"/>
              </w:rPr>
              <w:t>2,775</w:t>
            </w:r>
          </w:p>
        </w:tc>
        <w:tc>
          <w:tcPr>
            <w:tcW w:w="941" w:type="dxa"/>
            <w:vAlign w:val="center"/>
          </w:tcPr>
          <w:p>
            <w:pPr>
              <w:spacing w:before="20" w:after="20"/>
              <w:jc w:val="right"/>
              <w:rPr>
                <w:noProof/>
                <w:sz w:val="18"/>
                <w:szCs w:val="18"/>
              </w:rPr>
            </w:pPr>
            <w:r>
              <w:rPr>
                <w:noProof/>
                <w:sz w:val="18"/>
                <w:szCs w:val="18"/>
              </w:rPr>
              <w:t>3,567</w:t>
            </w:r>
          </w:p>
        </w:tc>
        <w:tc>
          <w:tcPr>
            <w:tcW w:w="815" w:type="dxa"/>
            <w:vAlign w:val="center"/>
          </w:tcPr>
          <w:p>
            <w:pPr>
              <w:spacing w:before="20" w:after="20"/>
              <w:jc w:val="right"/>
              <w:rPr>
                <w:noProof/>
                <w:sz w:val="18"/>
                <w:szCs w:val="18"/>
              </w:rPr>
            </w:pPr>
            <w:r>
              <w:rPr>
                <w:noProof/>
                <w:sz w:val="18"/>
                <w:szCs w:val="18"/>
              </w:rPr>
              <w:t>3,964</w:t>
            </w:r>
          </w:p>
        </w:tc>
        <w:tc>
          <w:tcPr>
            <w:tcW w:w="929" w:type="dxa"/>
            <w:vAlign w:val="center"/>
          </w:tcPr>
          <w:p>
            <w:pPr>
              <w:spacing w:before="20" w:after="20"/>
              <w:jc w:val="right"/>
              <w:rPr>
                <w:noProof/>
                <w:sz w:val="18"/>
                <w:szCs w:val="18"/>
              </w:rPr>
            </w:pPr>
            <w:r>
              <w:rPr>
                <w:noProof/>
                <w:sz w:val="18"/>
                <w:szCs w:val="18"/>
              </w:rPr>
              <w:t>3,964</w:t>
            </w:r>
          </w:p>
        </w:tc>
        <w:tc>
          <w:tcPr>
            <w:tcW w:w="885" w:type="dxa"/>
            <w:vAlign w:val="center"/>
          </w:tcPr>
          <w:p>
            <w:pPr>
              <w:spacing w:before="20" w:after="20"/>
              <w:jc w:val="right"/>
              <w:rPr>
                <w:noProof/>
                <w:sz w:val="18"/>
                <w:szCs w:val="18"/>
              </w:rPr>
            </w:pPr>
            <w:r>
              <w:rPr>
                <w:noProof/>
                <w:sz w:val="18"/>
                <w:szCs w:val="18"/>
              </w:rPr>
              <w:t>3,964</w:t>
            </w:r>
          </w:p>
        </w:tc>
        <w:tc>
          <w:tcPr>
            <w:tcW w:w="884" w:type="dxa"/>
            <w:vAlign w:val="center"/>
          </w:tcPr>
          <w:p>
            <w:pPr>
              <w:spacing w:before="20" w:after="20"/>
              <w:jc w:val="right"/>
              <w:rPr>
                <w:noProof/>
                <w:sz w:val="18"/>
                <w:szCs w:val="18"/>
              </w:rPr>
            </w:pPr>
            <w:r>
              <w:rPr>
                <w:noProof/>
                <w:sz w:val="18"/>
                <w:szCs w:val="18"/>
              </w:rPr>
              <w:t>10,675</w:t>
            </w:r>
          </w:p>
        </w:tc>
        <w:tc>
          <w:tcPr>
            <w:tcW w:w="1627" w:type="dxa"/>
            <w:vAlign w:val="center"/>
          </w:tcPr>
          <w:p>
            <w:pPr>
              <w:spacing w:before="20" w:after="20"/>
              <w:jc w:val="center"/>
              <w:rPr>
                <w:b/>
                <w:noProof/>
                <w:sz w:val="20"/>
              </w:rPr>
            </w:pPr>
            <w:r>
              <w:rPr>
                <w:b/>
                <w:noProof/>
                <w:sz w:val="20"/>
              </w:rPr>
              <w:t>29,700</w:t>
            </w:r>
          </w:p>
        </w:tc>
      </w:tr>
    </w:tbl>
    <w:p>
      <w:pPr>
        <w:rPr>
          <w:noProof/>
        </w:rPr>
      </w:pPr>
      <w:r>
        <w:rPr>
          <w:noProof/>
        </w:rPr>
        <w:t xml:space="preserve"> </w:t>
      </w:r>
      <w:r>
        <w:rPr>
          <w:noProof/>
        </w:rPr>
        <w:br/>
      </w:r>
    </w:p>
    <w:p>
      <w:pPr>
        <w:rPr>
          <w:noProof/>
        </w:rPr>
      </w:pPr>
    </w:p>
    <w:p>
      <w:pPr>
        <w:rPr>
          <w:noProof/>
        </w:rPr>
      </w:pPr>
      <w:r>
        <w:rPr>
          <w:noProof/>
        </w:rPr>
        <w:t xml:space="preserve"> </w:t>
      </w:r>
      <w:r>
        <w:rPr>
          <w:noProof/>
        </w:rPr>
        <w:br/>
      </w:r>
    </w:p>
    <w:p>
      <w:pPr>
        <w:rPr>
          <w:noProof/>
        </w:rPr>
      </w:pPr>
    </w:p>
    <w:p>
      <w:pPr>
        <w:rPr>
          <w:noProof/>
        </w:rPr>
      </w:pPr>
    </w:p>
    <w:p>
      <w:pPr>
        <w:rPr>
          <w:noProof/>
        </w:rPr>
      </w:pPr>
      <w:r>
        <w:rPr>
          <w:noProof/>
        </w:rPr>
        <w:t xml:space="preserve"> </w:t>
      </w:r>
      <w:r>
        <w:rPr>
          <w:noProof/>
        </w:rPr>
        <w:br/>
      </w:r>
    </w:p>
    <w:tbl>
      <w:tblPr>
        <w:tblW w:w="13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2"/>
        <w:gridCol w:w="1344"/>
        <w:gridCol w:w="598"/>
        <w:gridCol w:w="932"/>
        <w:gridCol w:w="931"/>
        <w:gridCol w:w="931"/>
        <w:gridCol w:w="931"/>
        <w:gridCol w:w="932"/>
        <w:gridCol w:w="931"/>
        <w:gridCol w:w="931"/>
        <w:gridCol w:w="1453"/>
      </w:tblGrid>
      <w:tr>
        <w:trPr>
          <w:trHeight w:val="277"/>
          <w:jc w:val="center"/>
        </w:trPr>
        <w:tc>
          <w:tcPr>
            <w:tcW w:w="3662" w:type="dxa"/>
            <w:vMerge w:val="restart"/>
            <w:vAlign w:val="center"/>
          </w:tcPr>
          <w:p>
            <w:pPr>
              <w:spacing w:before="20" w:after="20"/>
              <w:rPr>
                <w:noProof/>
              </w:rPr>
            </w:pPr>
            <w:r>
              <w:rPr>
                <w:noProof/>
              </w:rPr>
              <w:br w:type="page"/>
            </w:r>
            <w:r>
              <w:rPr>
                <w:noProof/>
                <w:sz w:val="21"/>
              </w:rPr>
              <w:sym w:font="Wingdings" w:char="F09F"/>
            </w:r>
            <w:r>
              <w:rPr>
                <w:noProof/>
              </w:rPr>
              <w:t xml:space="preserve"> ОБЩО бюджетни кредити за оперативни разходи</w:t>
            </w:r>
            <w:r>
              <w:rPr>
                <w:noProof/>
                <w:sz w:val="21"/>
              </w:rPr>
              <w:t xml:space="preserve"> </w:t>
            </w:r>
          </w:p>
        </w:tc>
        <w:tc>
          <w:tcPr>
            <w:tcW w:w="1344" w:type="dxa"/>
            <w:vAlign w:val="center"/>
          </w:tcPr>
          <w:p>
            <w:pPr>
              <w:spacing w:beforeLines="20" w:before="48" w:afterLines="20" w:after="48"/>
              <w:rPr>
                <w:noProof/>
                <w:sz w:val="18"/>
              </w:rPr>
            </w:pPr>
            <w:r>
              <w:rPr>
                <w:noProof/>
                <w:sz w:val="18"/>
              </w:rPr>
              <w:t>Поети задължения</w:t>
            </w:r>
          </w:p>
        </w:tc>
        <w:tc>
          <w:tcPr>
            <w:tcW w:w="598" w:type="dxa"/>
            <w:vAlign w:val="center"/>
          </w:tcPr>
          <w:p>
            <w:pPr>
              <w:spacing w:beforeLines="20" w:before="48" w:afterLines="20" w:after="48"/>
              <w:jc w:val="center"/>
              <w:rPr>
                <w:noProof/>
                <w:sz w:val="14"/>
              </w:rPr>
            </w:pPr>
            <w:r>
              <w:rPr>
                <w:noProof/>
                <w:sz w:val="14"/>
              </w:rPr>
              <w:t>(4)</w:t>
            </w:r>
          </w:p>
        </w:tc>
        <w:tc>
          <w:tcPr>
            <w:tcW w:w="932" w:type="dxa"/>
            <w:vAlign w:val="center"/>
          </w:tcPr>
          <w:p>
            <w:pPr>
              <w:spacing w:before="20" w:after="20"/>
              <w:jc w:val="right"/>
              <w:rPr>
                <w:noProof/>
                <w:sz w:val="18"/>
                <w:szCs w:val="18"/>
              </w:rPr>
            </w:pPr>
            <w:r>
              <w:rPr>
                <w:noProof/>
                <w:sz w:val="18"/>
                <w:szCs w:val="18"/>
              </w:rPr>
              <w:t>7,927</w:t>
            </w:r>
          </w:p>
        </w:tc>
        <w:tc>
          <w:tcPr>
            <w:tcW w:w="931" w:type="dxa"/>
            <w:vAlign w:val="center"/>
          </w:tcPr>
          <w:p>
            <w:pPr>
              <w:spacing w:before="20" w:after="20"/>
              <w:jc w:val="right"/>
              <w:rPr>
                <w:noProof/>
                <w:sz w:val="18"/>
                <w:szCs w:val="18"/>
              </w:rPr>
            </w:pPr>
            <w:r>
              <w:rPr>
                <w:noProof/>
                <w:sz w:val="18"/>
                <w:szCs w:val="18"/>
              </w:rPr>
              <w:t>7,927</w:t>
            </w:r>
          </w:p>
        </w:tc>
        <w:tc>
          <w:tcPr>
            <w:tcW w:w="931" w:type="dxa"/>
            <w:vAlign w:val="center"/>
          </w:tcPr>
          <w:p>
            <w:pPr>
              <w:spacing w:before="20" w:after="20"/>
              <w:jc w:val="right"/>
              <w:rPr>
                <w:noProof/>
                <w:sz w:val="18"/>
                <w:szCs w:val="18"/>
              </w:rPr>
            </w:pPr>
            <w:r>
              <w:rPr>
                <w:noProof/>
                <w:sz w:val="18"/>
                <w:szCs w:val="18"/>
              </w:rPr>
              <w:t>7,927</w:t>
            </w:r>
          </w:p>
        </w:tc>
        <w:tc>
          <w:tcPr>
            <w:tcW w:w="931" w:type="dxa"/>
            <w:vAlign w:val="center"/>
          </w:tcPr>
          <w:p>
            <w:pPr>
              <w:spacing w:before="20" w:after="20"/>
              <w:jc w:val="right"/>
              <w:rPr>
                <w:noProof/>
                <w:sz w:val="18"/>
                <w:szCs w:val="18"/>
              </w:rPr>
            </w:pPr>
            <w:r>
              <w:rPr>
                <w:noProof/>
                <w:sz w:val="18"/>
                <w:szCs w:val="18"/>
              </w:rPr>
              <w:t>7,927</w:t>
            </w:r>
          </w:p>
        </w:tc>
        <w:tc>
          <w:tcPr>
            <w:tcW w:w="932" w:type="dxa"/>
            <w:vAlign w:val="center"/>
          </w:tcPr>
          <w:p>
            <w:pPr>
              <w:spacing w:before="20" w:after="20"/>
              <w:jc w:val="right"/>
              <w:rPr>
                <w:noProof/>
                <w:sz w:val="18"/>
                <w:szCs w:val="18"/>
              </w:rPr>
            </w:pPr>
            <w:r>
              <w:rPr>
                <w:noProof/>
                <w:sz w:val="18"/>
                <w:szCs w:val="18"/>
              </w:rPr>
              <w:t>7,927</w:t>
            </w:r>
          </w:p>
        </w:tc>
        <w:tc>
          <w:tcPr>
            <w:tcW w:w="931" w:type="dxa"/>
            <w:vAlign w:val="center"/>
          </w:tcPr>
          <w:p>
            <w:pPr>
              <w:spacing w:before="20" w:after="20"/>
              <w:jc w:val="right"/>
              <w:rPr>
                <w:noProof/>
                <w:sz w:val="18"/>
                <w:szCs w:val="18"/>
              </w:rPr>
            </w:pPr>
            <w:r>
              <w:rPr>
                <w:noProof/>
                <w:sz w:val="18"/>
                <w:szCs w:val="18"/>
              </w:rPr>
              <w:t>7,927</w:t>
            </w:r>
          </w:p>
        </w:tc>
        <w:tc>
          <w:tcPr>
            <w:tcW w:w="931" w:type="dxa"/>
            <w:vAlign w:val="center"/>
          </w:tcPr>
          <w:p>
            <w:pPr>
              <w:spacing w:before="20" w:after="20"/>
              <w:jc w:val="right"/>
              <w:rPr>
                <w:noProof/>
                <w:sz w:val="18"/>
                <w:szCs w:val="18"/>
              </w:rPr>
            </w:pPr>
            <w:r>
              <w:rPr>
                <w:noProof/>
                <w:sz w:val="18"/>
                <w:szCs w:val="18"/>
              </w:rPr>
              <w:t>18,377</w:t>
            </w:r>
          </w:p>
        </w:tc>
        <w:tc>
          <w:tcPr>
            <w:tcW w:w="1453" w:type="dxa"/>
            <w:vAlign w:val="center"/>
          </w:tcPr>
          <w:p>
            <w:pPr>
              <w:spacing w:before="20" w:after="20"/>
              <w:jc w:val="center"/>
              <w:rPr>
                <w:b/>
                <w:noProof/>
                <w:sz w:val="20"/>
                <w:szCs w:val="20"/>
              </w:rPr>
            </w:pPr>
            <w:r>
              <w:rPr>
                <w:b/>
                <w:noProof/>
                <w:sz w:val="20"/>
                <w:szCs w:val="20"/>
              </w:rPr>
              <w:t>65,940</w:t>
            </w:r>
          </w:p>
        </w:tc>
      </w:tr>
      <w:tr>
        <w:trPr>
          <w:jc w:val="center"/>
        </w:trPr>
        <w:tc>
          <w:tcPr>
            <w:tcW w:w="3662" w:type="dxa"/>
            <w:vMerge/>
          </w:tcPr>
          <w:p>
            <w:pPr>
              <w:jc w:val="center"/>
              <w:rPr>
                <w:noProof/>
                <w:sz w:val="20"/>
              </w:rPr>
            </w:pPr>
          </w:p>
        </w:tc>
        <w:tc>
          <w:tcPr>
            <w:tcW w:w="1344" w:type="dxa"/>
            <w:vAlign w:val="center"/>
          </w:tcPr>
          <w:p>
            <w:pPr>
              <w:spacing w:beforeLines="20" w:before="48" w:afterLines="20" w:after="48"/>
              <w:rPr>
                <w:noProof/>
                <w:sz w:val="18"/>
              </w:rPr>
            </w:pPr>
            <w:r>
              <w:rPr>
                <w:noProof/>
                <w:sz w:val="18"/>
              </w:rPr>
              <w:t>Плащания</w:t>
            </w:r>
          </w:p>
        </w:tc>
        <w:tc>
          <w:tcPr>
            <w:tcW w:w="598" w:type="dxa"/>
            <w:vAlign w:val="center"/>
          </w:tcPr>
          <w:p>
            <w:pPr>
              <w:spacing w:beforeLines="20" w:before="48" w:afterLines="20" w:after="48"/>
              <w:jc w:val="center"/>
              <w:rPr>
                <w:noProof/>
                <w:sz w:val="14"/>
              </w:rPr>
            </w:pPr>
            <w:r>
              <w:rPr>
                <w:noProof/>
                <w:sz w:val="14"/>
              </w:rPr>
              <w:t>(5)</w:t>
            </w:r>
          </w:p>
        </w:tc>
        <w:tc>
          <w:tcPr>
            <w:tcW w:w="932" w:type="dxa"/>
            <w:vAlign w:val="center"/>
          </w:tcPr>
          <w:p>
            <w:pPr>
              <w:spacing w:before="20" w:after="20"/>
              <w:jc w:val="right"/>
              <w:rPr>
                <w:noProof/>
                <w:sz w:val="18"/>
                <w:szCs w:val="18"/>
              </w:rPr>
            </w:pPr>
            <w:r>
              <w:rPr>
                <w:noProof/>
                <w:sz w:val="18"/>
                <w:szCs w:val="18"/>
              </w:rPr>
              <w:t>1,585</w:t>
            </w:r>
          </w:p>
        </w:tc>
        <w:tc>
          <w:tcPr>
            <w:tcW w:w="931" w:type="dxa"/>
            <w:vAlign w:val="center"/>
          </w:tcPr>
          <w:p>
            <w:pPr>
              <w:spacing w:before="20" w:after="20"/>
              <w:jc w:val="right"/>
              <w:rPr>
                <w:noProof/>
                <w:sz w:val="18"/>
                <w:szCs w:val="18"/>
              </w:rPr>
            </w:pPr>
            <w:r>
              <w:rPr>
                <w:noProof/>
                <w:sz w:val="18"/>
                <w:szCs w:val="18"/>
              </w:rPr>
              <w:t>5,549</w:t>
            </w:r>
          </w:p>
        </w:tc>
        <w:tc>
          <w:tcPr>
            <w:tcW w:w="931" w:type="dxa"/>
            <w:vAlign w:val="center"/>
          </w:tcPr>
          <w:p>
            <w:pPr>
              <w:spacing w:before="20" w:after="20"/>
              <w:jc w:val="right"/>
              <w:rPr>
                <w:noProof/>
                <w:sz w:val="18"/>
                <w:szCs w:val="18"/>
              </w:rPr>
            </w:pPr>
            <w:r>
              <w:rPr>
                <w:noProof/>
                <w:sz w:val="18"/>
                <w:szCs w:val="18"/>
              </w:rPr>
              <w:t>7,134</w:t>
            </w:r>
          </w:p>
        </w:tc>
        <w:tc>
          <w:tcPr>
            <w:tcW w:w="931" w:type="dxa"/>
            <w:vAlign w:val="center"/>
          </w:tcPr>
          <w:p>
            <w:pPr>
              <w:spacing w:before="20" w:after="20"/>
              <w:jc w:val="right"/>
              <w:rPr>
                <w:noProof/>
                <w:sz w:val="18"/>
                <w:szCs w:val="18"/>
              </w:rPr>
            </w:pPr>
            <w:r>
              <w:rPr>
                <w:noProof/>
                <w:sz w:val="18"/>
                <w:szCs w:val="18"/>
              </w:rPr>
              <w:t>7,927</w:t>
            </w:r>
          </w:p>
        </w:tc>
        <w:tc>
          <w:tcPr>
            <w:tcW w:w="932" w:type="dxa"/>
            <w:vAlign w:val="center"/>
          </w:tcPr>
          <w:p>
            <w:pPr>
              <w:spacing w:before="20" w:after="20"/>
              <w:jc w:val="right"/>
              <w:rPr>
                <w:noProof/>
                <w:sz w:val="18"/>
                <w:szCs w:val="18"/>
              </w:rPr>
            </w:pPr>
            <w:r>
              <w:rPr>
                <w:noProof/>
                <w:sz w:val="18"/>
                <w:szCs w:val="18"/>
              </w:rPr>
              <w:t>7,927</w:t>
            </w:r>
          </w:p>
        </w:tc>
        <w:tc>
          <w:tcPr>
            <w:tcW w:w="931" w:type="dxa"/>
            <w:vAlign w:val="center"/>
          </w:tcPr>
          <w:p>
            <w:pPr>
              <w:spacing w:before="20" w:after="20"/>
              <w:jc w:val="right"/>
              <w:rPr>
                <w:noProof/>
                <w:sz w:val="18"/>
                <w:szCs w:val="18"/>
              </w:rPr>
            </w:pPr>
            <w:r>
              <w:rPr>
                <w:noProof/>
                <w:sz w:val="18"/>
                <w:szCs w:val="18"/>
              </w:rPr>
              <w:t>7,927</w:t>
            </w:r>
          </w:p>
        </w:tc>
        <w:tc>
          <w:tcPr>
            <w:tcW w:w="931" w:type="dxa"/>
            <w:vAlign w:val="center"/>
          </w:tcPr>
          <w:p>
            <w:pPr>
              <w:spacing w:before="20" w:after="20"/>
              <w:jc w:val="right"/>
              <w:rPr>
                <w:b/>
                <w:noProof/>
                <w:sz w:val="18"/>
                <w:szCs w:val="18"/>
              </w:rPr>
            </w:pPr>
            <w:r>
              <w:rPr>
                <w:noProof/>
                <w:sz w:val="18"/>
                <w:szCs w:val="18"/>
              </w:rPr>
              <w:t>21,35</w:t>
            </w:r>
          </w:p>
        </w:tc>
        <w:tc>
          <w:tcPr>
            <w:tcW w:w="1453" w:type="dxa"/>
            <w:vAlign w:val="center"/>
          </w:tcPr>
          <w:p>
            <w:pPr>
              <w:spacing w:before="20" w:after="20"/>
              <w:jc w:val="center"/>
              <w:rPr>
                <w:b/>
                <w:noProof/>
                <w:sz w:val="20"/>
                <w:szCs w:val="20"/>
              </w:rPr>
            </w:pPr>
            <w:r>
              <w:rPr>
                <w:b/>
                <w:noProof/>
                <w:sz w:val="20"/>
                <w:szCs w:val="20"/>
              </w:rPr>
              <w:t>59,400</w:t>
            </w:r>
          </w:p>
        </w:tc>
      </w:tr>
      <w:tr>
        <w:trPr>
          <w:trHeight w:val="533"/>
          <w:jc w:val="center"/>
        </w:trPr>
        <w:tc>
          <w:tcPr>
            <w:tcW w:w="5006" w:type="dxa"/>
            <w:gridSpan w:val="2"/>
            <w:vAlign w:val="center"/>
          </w:tcPr>
          <w:p>
            <w:pPr>
              <w:spacing w:beforeLines="20" w:before="48" w:afterLines="20" w:after="48"/>
              <w:rPr>
                <w:noProof/>
              </w:rPr>
            </w:pPr>
            <w:r>
              <w:rPr>
                <w:noProof/>
                <w:sz w:val="21"/>
              </w:rPr>
              <w:sym w:font="Wingdings" w:char="F09F"/>
            </w:r>
            <w:r>
              <w:rPr>
                <w:noProof/>
                <w:sz w:val="21"/>
              </w:rPr>
              <w:t xml:space="preserve">ОБЩО бюджетни кредити за административни разходи, финансирани от пакета за специфични програми </w:t>
            </w:r>
          </w:p>
        </w:tc>
        <w:tc>
          <w:tcPr>
            <w:tcW w:w="598" w:type="dxa"/>
            <w:vAlign w:val="center"/>
          </w:tcPr>
          <w:p>
            <w:pPr>
              <w:spacing w:beforeLines="20" w:before="48" w:afterLines="20" w:after="48"/>
              <w:jc w:val="center"/>
              <w:rPr>
                <w:noProof/>
                <w:sz w:val="14"/>
              </w:rPr>
            </w:pPr>
            <w:r>
              <w:rPr>
                <w:noProof/>
                <w:sz w:val="14"/>
              </w:rPr>
              <w:t>(6)</w:t>
            </w:r>
          </w:p>
        </w:tc>
        <w:tc>
          <w:tcPr>
            <w:tcW w:w="932" w:type="dxa"/>
            <w:vAlign w:val="center"/>
          </w:tcPr>
          <w:p>
            <w:pPr>
              <w:spacing w:before="20" w:after="20"/>
              <w:jc w:val="right"/>
              <w:rPr>
                <w:b/>
                <w:noProof/>
                <w:sz w:val="20"/>
              </w:rPr>
            </w:pPr>
          </w:p>
        </w:tc>
        <w:tc>
          <w:tcPr>
            <w:tcW w:w="931" w:type="dxa"/>
            <w:vAlign w:val="center"/>
          </w:tcPr>
          <w:p>
            <w:pPr>
              <w:spacing w:before="20" w:after="20"/>
              <w:jc w:val="right"/>
              <w:rPr>
                <w:b/>
                <w:noProof/>
                <w:sz w:val="20"/>
              </w:rPr>
            </w:pPr>
          </w:p>
        </w:tc>
        <w:tc>
          <w:tcPr>
            <w:tcW w:w="931" w:type="dxa"/>
            <w:vAlign w:val="center"/>
          </w:tcPr>
          <w:p>
            <w:pPr>
              <w:spacing w:before="20" w:after="20"/>
              <w:jc w:val="right"/>
              <w:rPr>
                <w:b/>
                <w:noProof/>
                <w:sz w:val="20"/>
              </w:rPr>
            </w:pPr>
          </w:p>
        </w:tc>
        <w:tc>
          <w:tcPr>
            <w:tcW w:w="931" w:type="dxa"/>
            <w:vAlign w:val="center"/>
          </w:tcPr>
          <w:p>
            <w:pPr>
              <w:spacing w:before="20" w:after="20"/>
              <w:jc w:val="right"/>
              <w:rPr>
                <w:b/>
                <w:noProof/>
                <w:sz w:val="20"/>
              </w:rPr>
            </w:pPr>
          </w:p>
        </w:tc>
        <w:tc>
          <w:tcPr>
            <w:tcW w:w="932" w:type="dxa"/>
            <w:vAlign w:val="center"/>
          </w:tcPr>
          <w:p>
            <w:pPr>
              <w:spacing w:before="20" w:after="20"/>
              <w:jc w:val="right"/>
              <w:rPr>
                <w:b/>
                <w:noProof/>
                <w:sz w:val="20"/>
              </w:rPr>
            </w:pPr>
          </w:p>
        </w:tc>
        <w:tc>
          <w:tcPr>
            <w:tcW w:w="931" w:type="dxa"/>
            <w:vAlign w:val="center"/>
          </w:tcPr>
          <w:p>
            <w:pPr>
              <w:spacing w:before="20" w:after="20"/>
              <w:jc w:val="right"/>
              <w:rPr>
                <w:b/>
                <w:noProof/>
                <w:sz w:val="20"/>
              </w:rPr>
            </w:pPr>
          </w:p>
        </w:tc>
        <w:tc>
          <w:tcPr>
            <w:tcW w:w="931" w:type="dxa"/>
            <w:vAlign w:val="center"/>
          </w:tcPr>
          <w:p>
            <w:pPr>
              <w:spacing w:before="20" w:after="20"/>
              <w:jc w:val="right"/>
              <w:rPr>
                <w:b/>
                <w:noProof/>
                <w:sz w:val="20"/>
              </w:rPr>
            </w:pPr>
          </w:p>
        </w:tc>
        <w:tc>
          <w:tcPr>
            <w:tcW w:w="1453" w:type="dxa"/>
            <w:vAlign w:val="center"/>
          </w:tcPr>
          <w:p>
            <w:pPr>
              <w:spacing w:before="20" w:after="20"/>
              <w:jc w:val="center"/>
              <w:rPr>
                <w:b/>
                <w:noProof/>
                <w:sz w:val="20"/>
                <w:szCs w:val="20"/>
              </w:rPr>
            </w:pPr>
          </w:p>
        </w:tc>
      </w:tr>
      <w:tr>
        <w:trPr>
          <w:jc w:val="center"/>
        </w:trPr>
        <w:tc>
          <w:tcPr>
            <w:tcW w:w="3662" w:type="dxa"/>
            <w:vMerge w:val="restart"/>
            <w:shd w:val="thinDiagStripe" w:color="C0C0C0" w:fill="auto"/>
            <w:vAlign w:val="center"/>
          </w:tcPr>
          <w:p>
            <w:pPr>
              <w:jc w:val="center"/>
              <w:rPr>
                <w:b/>
                <w:noProof/>
              </w:rPr>
            </w:pPr>
            <w:r>
              <w:rPr>
                <w:b/>
                <w:noProof/>
              </w:rPr>
              <w:t>ОБЩО бюджетни кредити</w:t>
            </w:r>
            <w:r>
              <w:rPr>
                <w:noProof/>
              </w:rPr>
              <w:br/>
            </w:r>
            <w:r>
              <w:rPr>
                <w:b/>
                <w:noProof/>
              </w:rPr>
              <w:t>за ФУНКЦИЯ 1</w:t>
            </w:r>
            <w:r>
              <w:rPr>
                <w:noProof/>
              </w:rPr>
              <w:t xml:space="preserve"> </w:t>
            </w:r>
            <w:r>
              <w:rPr>
                <w:noProof/>
              </w:rPr>
              <w:br/>
              <w:t>от многогодишната финансова рамка</w:t>
            </w:r>
          </w:p>
        </w:tc>
        <w:tc>
          <w:tcPr>
            <w:tcW w:w="1344" w:type="dxa"/>
            <w:vAlign w:val="center"/>
          </w:tcPr>
          <w:p>
            <w:pPr>
              <w:rPr>
                <w:noProof/>
                <w:sz w:val="18"/>
              </w:rPr>
            </w:pPr>
            <w:r>
              <w:rPr>
                <w:noProof/>
                <w:sz w:val="18"/>
              </w:rPr>
              <w:t>Поети задължения</w:t>
            </w:r>
          </w:p>
        </w:tc>
        <w:tc>
          <w:tcPr>
            <w:tcW w:w="598" w:type="dxa"/>
            <w:vAlign w:val="center"/>
          </w:tcPr>
          <w:p>
            <w:pPr>
              <w:jc w:val="center"/>
              <w:rPr>
                <w:noProof/>
                <w:sz w:val="14"/>
              </w:rPr>
            </w:pPr>
            <w:r>
              <w:rPr>
                <w:noProof/>
                <w:sz w:val="14"/>
              </w:rPr>
              <w:t>=4+ 6</w:t>
            </w:r>
          </w:p>
        </w:tc>
        <w:tc>
          <w:tcPr>
            <w:tcW w:w="932" w:type="dxa"/>
            <w:vAlign w:val="center"/>
          </w:tcPr>
          <w:p>
            <w:pPr>
              <w:spacing w:before="20" w:after="20"/>
              <w:jc w:val="right"/>
              <w:rPr>
                <w:noProof/>
                <w:sz w:val="18"/>
                <w:szCs w:val="18"/>
              </w:rPr>
            </w:pPr>
            <w:r>
              <w:rPr>
                <w:noProof/>
                <w:sz w:val="18"/>
                <w:szCs w:val="18"/>
              </w:rPr>
              <w:t>7,927</w:t>
            </w:r>
          </w:p>
        </w:tc>
        <w:tc>
          <w:tcPr>
            <w:tcW w:w="931" w:type="dxa"/>
            <w:vAlign w:val="center"/>
          </w:tcPr>
          <w:p>
            <w:pPr>
              <w:spacing w:before="20" w:after="20"/>
              <w:jc w:val="right"/>
              <w:rPr>
                <w:noProof/>
                <w:sz w:val="18"/>
                <w:szCs w:val="18"/>
              </w:rPr>
            </w:pPr>
            <w:r>
              <w:rPr>
                <w:noProof/>
                <w:sz w:val="18"/>
                <w:szCs w:val="18"/>
              </w:rPr>
              <w:t>7,927</w:t>
            </w:r>
          </w:p>
        </w:tc>
        <w:tc>
          <w:tcPr>
            <w:tcW w:w="931" w:type="dxa"/>
            <w:vAlign w:val="center"/>
          </w:tcPr>
          <w:p>
            <w:pPr>
              <w:spacing w:before="20" w:after="20"/>
              <w:jc w:val="right"/>
              <w:rPr>
                <w:noProof/>
                <w:sz w:val="18"/>
                <w:szCs w:val="18"/>
              </w:rPr>
            </w:pPr>
            <w:r>
              <w:rPr>
                <w:noProof/>
                <w:sz w:val="18"/>
                <w:szCs w:val="18"/>
              </w:rPr>
              <w:t>7,927</w:t>
            </w:r>
          </w:p>
        </w:tc>
        <w:tc>
          <w:tcPr>
            <w:tcW w:w="931" w:type="dxa"/>
            <w:vAlign w:val="center"/>
          </w:tcPr>
          <w:p>
            <w:pPr>
              <w:spacing w:before="20" w:after="20"/>
              <w:jc w:val="right"/>
              <w:rPr>
                <w:noProof/>
                <w:sz w:val="18"/>
                <w:szCs w:val="18"/>
              </w:rPr>
            </w:pPr>
            <w:r>
              <w:rPr>
                <w:noProof/>
                <w:sz w:val="18"/>
                <w:szCs w:val="18"/>
              </w:rPr>
              <w:t>7,927</w:t>
            </w:r>
          </w:p>
        </w:tc>
        <w:tc>
          <w:tcPr>
            <w:tcW w:w="932" w:type="dxa"/>
            <w:vAlign w:val="center"/>
          </w:tcPr>
          <w:p>
            <w:pPr>
              <w:spacing w:before="20" w:after="20"/>
              <w:jc w:val="right"/>
              <w:rPr>
                <w:noProof/>
                <w:sz w:val="18"/>
                <w:szCs w:val="18"/>
              </w:rPr>
            </w:pPr>
            <w:r>
              <w:rPr>
                <w:noProof/>
                <w:sz w:val="18"/>
                <w:szCs w:val="18"/>
              </w:rPr>
              <w:t>7,927</w:t>
            </w:r>
          </w:p>
        </w:tc>
        <w:tc>
          <w:tcPr>
            <w:tcW w:w="931" w:type="dxa"/>
            <w:vAlign w:val="center"/>
          </w:tcPr>
          <w:p>
            <w:pPr>
              <w:spacing w:before="20" w:after="20"/>
              <w:jc w:val="right"/>
              <w:rPr>
                <w:noProof/>
                <w:sz w:val="18"/>
                <w:szCs w:val="18"/>
              </w:rPr>
            </w:pPr>
            <w:r>
              <w:rPr>
                <w:noProof/>
                <w:sz w:val="18"/>
                <w:szCs w:val="18"/>
              </w:rPr>
              <w:t>7,927</w:t>
            </w:r>
          </w:p>
        </w:tc>
        <w:tc>
          <w:tcPr>
            <w:tcW w:w="931" w:type="dxa"/>
            <w:vAlign w:val="center"/>
          </w:tcPr>
          <w:p>
            <w:pPr>
              <w:spacing w:before="20" w:after="20"/>
              <w:jc w:val="right"/>
              <w:rPr>
                <w:b/>
                <w:noProof/>
                <w:sz w:val="18"/>
                <w:szCs w:val="18"/>
              </w:rPr>
            </w:pPr>
            <w:r>
              <w:rPr>
                <w:noProof/>
                <w:sz w:val="18"/>
                <w:szCs w:val="18"/>
              </w:rPr>
              <w:t>18,377</w:t>
            </w:r>
          </w:p>
        </w:tc>
        <w:tc>
          <w:tcPr>
            <w:tcW w:w="1453" w:type="dxa"/>
            <w:vAlign w:val="center"/>
          </w:tcPr>
          <w:p>
            <w:pPr>
              <w:spacing w:before="20" w:after="20"/>
              <w:jc w:val="center"/>
              <w:rPr>
                <w:b/>
                <w:noProof/>
                <w:sz w:val="20"/>
                <w:szCs w:val="20"/>
              </w:rPr>
            </w:pPr>
            <w:r>
              <w:rPr>
                <w:b/>
                <w:noProof/>
                <w:sz w:val="20"/>
                <w:szCs w:val="20"/>
              </w:rPr>
              <w:t>65,940</w:t>
            </w:r>
          </w:p>
        </w:tc>
      </w:tr>
      <w:tr>
        <w:trPr>
          <w:jc w:val="center"/>
        </w:trPr>
        <w:tc>
          <w:tcPr>
            <w:tcW w:w="3662" w:type="dxa"/>
            <w:vMerge/>
            <w:shd w:val="thinDiagStripe" w:color="C0C0C0" w:fill="auto"/>
          </w:tcPr>
          <w:p>
            <w:pPr>
              <w:rPr>
                <w:noProof/>
                <w:sz w:val="20"/>
              </w:rPr>
            </w:pPr>
          </w:p>
        </w:tc>
        <w:tc>
          <w:tcPr>
            <w:tcW w:w="1344" w:type="dxa"/>
            <w:vAlign w:val="center"/>
          </w:tcPr>
          <w:p>
            <w:pPr>
              <w:rPr>
                <w:noProof/>
                <w:sz w:val="18"/>
              </w:rPr>
            </w:pPr>
            <w:r>
              <w:rPr>
                <w:noProof/>
                <w:sz w:val="18"/>
              </w:rPr>
              <w:t>Плащания</w:t>
            </w:r>
          </w:p>
        </w:tc>
        <w:tc>
          <w:tcPr>
            <w:tcW w:w="598" w:type="dxa"/>
            <w:vAlign w:val="center"/>
          </w:tcPr>
          <w:p>
            <w:pPr>
              <w:jc w:val="center"/>
              <w:rPr>
                <w:noProof/>
                <w:sz w:val="14"/>
              </w:rPr>
            </w:pPr>
            <w:r>
              <w:rPr>
                <w:noProof/>
                <w:sz w:val="14"/>
              </w:rPr>
              <w:t>=5+ 6</w:t>
            </w:r>
          </w:p>
        </w:tc>
        <w:tc>
          <w:tcPr>
            <w:tcW w:w="932" w:type="dxa"/>
            <w:vAlign w:val="center"/>
          </w:tcPr>
          <w:p>
            <w:pPr>
              <w:spacing w:before="20" w:after="20"/>
              <w:jc w:val="right"/>
              <w:rPr>
                <w:noProof/>
                <w:sz w:val="18"/>
                <w:szCs w:val="18"/>
              </w:rPr>
            </w:pPr>
            <w:r>
              <w:rPr>
                <w:noProof/>
                <w:sz w:val="18"/>
                <w:szCs w:val="18"/>
              </w:rPr>
              <w:t>1,585</w:t>
            </w:r>
          </w:p>
        </w:tc>
        <w:tc>
          <w:tcPr>
            <w:tcW w:w="931" w:type="dxa"/>
            <w:vAlign w:val="center"/>
          </w:tcPr>
          <w:p>
            <w:pPr>
              <w:spacing w:before="20" w:after="20"/>
              <w:jc w:val="right"/>
              <w:rPr>
                <w:noProof/>
                <w:sz w:val="18"/>
                <w:szCs w:val="18"/>
              </w:rPr>
            </w:pPr>
            <w:r>
              <w:rPr>
                <w:noProof/>
                <w:sz w:val="18"/>
                <w:szCs w:val="18"/>
              </w:rPr>
              <w:t>5,549</w:t>
            </w:r>
          </w:p>
        </w:tc>
        <w:tc>
          <w:tcPr>
            <w:tcW w:w="931" w:type="dxa"/>
            <w:vAlign w:val="center"/>
          </w:tcPr>
          <w:p>
            <w:pPr>
              <w:spacing w:before="20" w:after="20"/>
              <w:jc w:val="right"/>
              <w:rPr>
                <w:noProof/>
                <w:sz w:val="18"/>
                <w:szCs w:val="18"/>
              </w:rPr>
            </w:pPr>
            <w:r>
              <w:rPr>
                <w:noProof/>
                <w:sz w:val="18"/>
                <w:szCs w:val="18"/>
              </w:rPr>
              <w:t>7,134</w:t>
            </w:r>
          </w:p>
        </w:tc>
        <w:tc>
          <w:tcPr>
            <w:tcW w:w="931" w:type="dxa"/>
            <w:vAlign w:val="center"/>
          </w:tcPr>
          <w:p>
            <w:pPr>
              <w:spacing w:before="20" w:after="20"/>
              <w:jc w:val="right"/>
              <w:rPr>
                <w:noProof/>
                <w:sz w:val="18"/>
                <w:szCs w:val="18"/>
              </w:rPr>
            </w:pPr>
            <w:r>
              <w:rPr>
                <w:noProof/>
                <w:sz w:val="18"/>
                <w:szCs w:val="18"/>
              </w:rPr>
              <w:t>7,927</w:t>
            </w:r>
          </w:p>
        </w:tc>
        <w:tc>
          <w:tcPr>
            <w:tcW w:w="932" w:type="dxa"/>
            <w:vAlign w:val="center"/>
          </w:tcPr>
          <w:p>
            <w:pPr>
              <w:spacing w:before="20" w:after="20"/>
              <w:jc w:val="right"/>
              <w:rPr>
                <w:noProof/>
                <w:sz w:val="18"/>
                <w:szCs w:val="18"/>
              </w:rPr>
            </w:pPr>
            <w:r>
              <w:rPr>
                <w:noProof/>
                <w:sz w:val="18"/>
                <w:szCs w:val="18"/>
              </w:rPr>
              <w:t>7,927</w:t>
            </w:r>
          </w:p>
        </w:tc>
        <w:tc>
          <w:tcPr>
            <w:tcW w:w="931" w:type="dxa"/>
            <w:vAlign w:val="center"/>
          </w:tcPr>
          <w:p>
            <w:pPr>
              <w:spacing w:before="20" w:after="20"/>
              <w:jc w:val="right"/>
              <w:rPr>
                <w:noProof/>
                <w:sz w:val="18"/>
                <w:szCs w:val="18"/>
              </w:rPr>
            </w:pPr>
            <w:r>
              <w:rPr>
                <w:noProof/>
                <w:sz w:val="18"/>
                <w:szCs w:val="18"/>
              </w:rPr>
              <w:t>7,927</w:t>
            </w:r>
          </w:p>
        </w:tc>
        <w:tc>
          <w:tcPr>
            <w:tcW w:w="931" w:type="dxa"/>
            <w:vAlign w:val="center"/>
          </w:tcPr>
          <w:p>
            <w:pPr>
              <w:spacing w:before="20" w:after="20"/>
              <w:jc w:val="right"/>
              <w:rPr>
                <w:b/>
                <w:noProof/>
                <w:sz w:val="18"/>
                <w:szCs w:val="18"/>
              </w:rPr>
            </w:pPr>
            <w:r>
              <w:rPr>
                <w:noProof/>
                <w:sz w:val="18"/>
                <w:szCs w:val="18"/>
              </w:rPr>
              <w:t>21,35</w:t>
            </w:r>
          </w:p>
        </w:tc>
        <w:tc>
          <w:tcPr>
            <w:tcW w:w="1453" w:type="dxa"/>
            <w:vAlign w:val="center"/>
          </w:tcPr>
          <w:p>
            <w:pPr>
              <w:spacing w:before="20" w:after="20"/>
              <w:jc w:val="center"/>
              <w:rPr>
                <w:b/>
                <w:noProof/>
                <w:sz w:val="20"/>
                <w:szCs w:val="20"/>
              </w:rPr>
            </w:pPr>
            <w:r>
              <w:rPr>
                <w:b/>
                <w:noProof/>
                <w:sz w:val="20"/>
                <w:szCs w:val="20"/>
              </w:rPr>
              <w:t>59,400</w:t>
            </w:r>
          </w:p>
        </w:tc>
      </w:tr>
    </w:tbl>
    <w:p>
      <w:pPr>
        <w:spacing w:after="40"/>
        <w:rPr>
          <w:b/>
          <w:noProof/>
          <w:u w:val="single"/>
        </w:rPr>
      </w:pPr>
      <w:r>
        <w:rPr>
          <w:b/>
          <w:noProof/>
          <w:u w:val="single"/>
        </w:rPr>
        <w:t>Ако предложението/инициативата има отражение върху повече от една функция:</w:t>
      </w:r>
    </w:p>
    <w:tbl>
      <w:tblPr>
        <w:tblW w:w="15309" w:type="dxa"/>
        <w:jc w:val="center"/>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662"/>
        <w:gridCol w:w="1344"/>
        <w:gridCol w:w="620"/>
        <w:gridCol w:w="910"/>
        <w:gridCol w:w="931"/>
        <w:gridCol w:w="931"/>
        <w:gridCol w:w="931"/>
        <w:gridCol w:w="932"/>
        <w:gridCol w:w="931"/>
        <w:gridCol w:w="931"/>
        <w:gridCol w:w="802"/>
        <w:gridCol w:w="931"/>
        <w:gridCol w:w="1453"/>
      </w:tblGrid>
      <w:tr>
        <w:trPr>
          <w:trHeight w:val="277"/>
          <w:jc w:val="center"/>
        </w:trPr>
        <w:tc>
          <w:tcPr>
            <w:tcW w:w="3960" w:type="dxa"/>
            <w:vMerge w:val="restart"/>
            <w:tcBorders>
              <w:top w:val="single" w:sz="4" w:space="0" w:color="auto"/>
              <w:left w:val="single" w:sz="4" w:space="0" w:color="auto"/>
              <w:bottom w:val="single" w:sz="4" w:space="0" w:color="FF0000"/>
            </w:tcBorders>
            <w:vAlign w:val="center"/>
          </w:tcPr>
          <w:p>
            <w:pPr>
              <w:spacing w:before="20" w:after="20"/>
              <w:rPr>
                <w:noProof/>
              </w:rPr>
            </w:pPr>
            <w:r>
              <w:rPr>
                <w:noProof/>
                <w:sz w:val="21"/>
              </w:rPr>
              <w:sym w:font="Wingdings" w:char="F09F"/>
            </w:r>
            <w:r>
              <w:rPr>
                <w:noProof/>
              </w:rPr>
              <w:t xml:space="preserve"> ОБЩО бюджетни кредити за оперативни разходи</w:t>
            </w:r>
            <w:r>
              <w:rPr>
                <w:noProof/>
                <w:sz w:val="21"/>
              </w:rPr>
              <w:t xml:space="preserve"> </w:t>
            </w:r>
          </w:p>
        </w:tc>
        <w:tc>
          <w:tcPr>
            <w:tcW w:w="1440" w:type="dxa"/>
            <w:tcBorders>
              <w:top w:val="single" w:sz="4" w:space="0" w:color="auto"/>
            </w:tcBorders>
            <w:vAlign w:val="center"/>
          </w:tcPr>
          <w:p>
            <w:pPr>
              <w:spacing w:beforeLines="20" w:before="48" w:afterLines="20" w:after="48"/>
              <w:rPr>
                <w:noProof/>
                <w:sz w:val="18"/>
              </w:rPr>
            </w:pPr>
            <w:r>
              <w:rPr>
                <w:noProof/>
                <w:sz w:val="18"/>
              </w:rPr>
              <w:t>Поети задължения</w:t>
            </w:r>
          </w:p>
        </w:tc>
        <w:tc>
          <w:tcPr>
            <w:tcW w:w="654" w:type="dxa"/>
            <w:tcBorders>
              <w:top w:val="single" w:sz="4" w:space="0" w:color="auto"/>
            </w:tcBorders>
            <w:vAlign w:val="center"/>
          </w:tcPr>
          <w:p>
            <w:pPr>
              <w:spacing w:beforeLines="20" w:before="48" w:afterLines="20" w:after="48"/>
              <w:jc w:val="center"/>
              <w:rPr>
                <w:noProof/>
                <w:sz w:val="14"/>
              </w:rPr>
            </w:pPr>
            <w:r>
              <w:rPr>
                <w:noProof/>
                <w:sz w:val="14"/>
              </w:rPr>
              <w:t>(4)</w:t>
            </w:r>
          </w:p>
        </w:tc>
        <w:tc>
          <w:tcPr>
            <w:tcW w:w="969" w:type="dxa"/>
            <w:tcBorders>
              <w:top w:val="single" w:sz="4" w:space="0" w:color="auto"/>
            </w:tcBorders>
            <w:vAlign w:val="center"/>
          </w:tcPr>
          <w:p>
            <w:pPr>
              <w:spacing w:before="20" w:after="20"/>
              <w:jc w:val="right"/>
              <w:rPr>
                <w:noProof/>
                <w:sz w:val="20"/>
              </w:rPr>
            </w:pPr>
          </w:p>
        </w:tc>
        <w:tc>
          <w:tcPr>
            <w:tcW w:w="992" w:type="dxa"/>
            <w:tcBorders>
              <w:top w:val="single" w:sz="4" w:space="0" w:color="auto"/>
            </w:tcBorders>
            <w:vAlign w:val="center"/>
          </w:tcPr>
          <w:p>
            <w:pPr>
              <w:spacing w:before="20" w:after="20"/>
              <w:jc w:val="right"/>
              <w:rPr>
                <w:noProof/>
                <w:sz w:val="20"/>
              </w:rPr>
            </w:pPr>
          </w:p>
        </w:tc>
        <w:tc>
          <w:tcPr>
            <w:tcW w:w="992" w:type="dxa"/>
            <w:tcBorders>
              <w:top w:val="single" w:sz="4" w:space="0" w:color="auto"/>
            </w:tcBorders>
            <w:vAlign w:val="center"/>
          </w:tcPr>
          <w:p>
            <w:pPr>
              <w:spacing w:before="20" w:after="20"/>
              <w:jc w:val="right"/>
              <w:rPr>
                <w:noProof/>
                <w:sz w:val="20"/>
              </w:rPr>
            </w:pPr>
          </w:p>
        </w:tc>
        <w:tc>
          <w:tcPr>
            <w:tcW w:w="992" w:type="dxa"/>
            <w:tcBorders>
              <w:top w:val="single" w:sz="4" w:space="0" w:color="auto"/>
            </w:tcBorders>
            <w:vAlign w:val="center"/>
          </w:tcPr>
          <w:p>
            <w:pPr>
              <w:spacing w:before="20" w:after="20"/>
              <w:jc w:val="right"/>
              <w:rPr>
                <w:noProof/>
                <w:sz w:val="20"/>
              </w:rPr>
            </w:pPr>
          </w:p>
        </w:tc>
        <w:tc>
          <w:tcPr>
            <w:tcW w:w="993" w:type="dxa"/>
            <w:tcBorders>
              <w:top w:val="single" w:sz="4" w:space="0" w:color="auto"/>
            </w:tcBorders>
            <w:vAlign w:val="center"/>
          </w:tcPr>
          <w:p>
            <w:pPr>
              <w:spacing w:before="20" w:after="20"/>
              <w:jc w:val="right"/>
              <w:rPr>
                <w:noProof/>
                <w:sz w:val="20"/>
              </w:rPr>
            </w:pPr>
          </w:p>
        </w:tc>
        <w:tc>
          <w:tcPr>
            <w:tcW w:w="992" w:type="dxa"/>
            <w:tcBorders>
              <w:top w:val="single" w:sz="4" w:space="0" w:color="auto"/>
            </w:tcBorders>
            <w:vAlign w:val="center"/>
          </w:tcPr>
          <w:p>
            <w:pPr>
              <w:spacing w:before="20" w:after="20"/>
              <w:jc w:val="right"/>
              <w:rPr>
                <w:noProof/>
                <w:sz w:val="20"/>
              </w:rPr>
            </w:pPr>
          </w:p>
        </w:tc>
        <w:tc>
          <w:tcPr>
            <w:tcW w:w="992" w:type="dxa"/>
            <w:tcBorders>
              <w:top w:val="single" w:sz="4" w:space="0" w:color="auto"/>
            </w:tcBorders>
            <w:vAlign w:val="center"/>
          </w:tcPr>
          <w:p>
            <w:pPr>
              <w:spacing w:before="20" w:after="20"/>
              <w:jc w:val="right"/>
              <w:rPr>
                <w:b/>
                <w:noProof/>
                <w:sz w:val="20"/>
              </w:rPr>
            </w:pPr>
          </w:p>
        </w:tc>
        <w:tc>
          <w:tcPr>
            <w:tcW w:w="851" w:type="dxa"/>
            <w:tcBorders>
              <w:top w:val="single" w:sz="4" w:space="0" w:color="auto"/>
              <w:right w:val="single" w:sz="4" w:space="0" w:color="auto"/>
            </w:tcBorders>
            <w:vAlign w:val="center"/>
          </w:tcPr>
          <w:p>
            <w:pPr>
              <w:spacing w:before="20" w:after="20"/>
              <w:jc w:val="right"/>
              <w:rPr>
                <w:b/>
                <w:noProof/>
                <w:sz w:val="20"/>
              </w:rPr>
            </w:pPr>
          </w:p>
        </w:tc>
        <w:tc>
          <w:tcPr>
            <w:tcW w:w="992" w:type="dxa"/>
            <w:tcBorders>
              <w:top w:val="single" w:sz="4" w:space="0" w:color="auto"/>
              <w:right w:val="single" w:sz="4" w:space="0" w:color="auto"/>
            </w:tcBorders>
            <w:vAlign w:val="center"/>
          </w:tcPr>
          <w:p>
            <w:pPr>
              <w:spacing w:before="20" w:after="20"/>
              <w:jc w:val="right"/>
              <w:rPr>
                <w:b/>
                <w:noProof/>
                <w:sz w:val="20"/>
              </w:rPr>
            </w:pPr>
          </w:p>
        </w:tc>
        <w:tc>
          <w:tcPr>
            <w:tcW w:w="1559" w:type="dxa"/>
            <w:tcBorders>
              <w:top w:val="single" w:sz="4" w:space="0" w:color="auto"/>
              <w:right w:val="single" w:sz="4" w:space="0" w:color="auto"/>
            </w:tcBorders>
            <w:vAlign w:val="center"/>
          </w:tcPr>
          <w:p>
            <w:pPr>
              <w:spacing w:before="20" w:after="20"/>
              <w:jc w:val="right"/>
              <w:rPr>
                <w:b/>
                <w:noProof/>
                <w:sz w:val="20"/>
              </w:rPr>
            </w:pPr>
          </w:p>
        </w:tc>
      </w:tr>
      <w:tr>
        <w:trPr>
          <w:jc w:val="center"/>
        </w:trPr>
        <w:tc>
          <w:tcPr>
            <w:tcW w:w="3960" w:type="dxa"/>
            <w:vMerge/>
            <w:tcBorders>
              <w:top w:val="single" w:sz="4" w:space="0" w:color="FF0000"/>
              <w:left w:val="single" w:sz="4" w:space="0" w:color="auto"/>
              <w:bottom w:val="single" w:sz="4" w:space="0" w:color="FF0000"/>
            </w:tcBorders>
          </w:tcPr>
          <w:p>
            <w:pPr>
              <w:jc w:val="center"/>
              <w:rPr>
                <w:noProof/>
                <w:sz w:val="20"/>
              </w:rPr>
            </w:pPr>
          </w:p>
        </w:tc>
        <w:tc>
          <w:tcPr>
            <w:tcW w:w="1440" w:type="dxa"/>
            <w:vAlign w:val="center"/>
          </w:tcPr>
          <w:p>
            <w:pPr>
              <w:spacing w:beforeLines="20" w:before="48" w:afterLines="20" w:after="48"/>
              <w:rPr>
                <w:noProof/>
                <w:sz w:val="18"/>
              </w:rPr>
            </w:pPr>
            <w:r>
              <w:rPr>
                <w:noProof/>
                <w:sz w:val="18"/>
              </w:rPr>
              <w:t>Плащания</w:t>
            </w:r>
          </w:p>
        </w:tc>
        <w:tc>
          <w:tcPr>
            <w:tcW w:w="654" w:type="dxa"/>
            <w:vAlign w:val="center"/>
          </w:tcPr>
          <w:p>
            <w:pPr>
              <w:spacing w:beforeLines="20" w:before="48" w:afterLines="20" w:after="48"/>
              <w:jc w:val="center"/>
              <w:rPr>
                <w:noProof/>
                <w:sz w:val="14"/>
              </w:rPr>
            </w:pPr>
            <w:r>
              <w:rPr>
                <w:noProof/>
                <w:sz w:val="14"/>
              </w:rPr>
              <w:t>(5)</w:t>
            </w:r>
          </w:p>
        </w:tc>
        <w:tc>
          <w:tcPr>
            <w:tcW w:w="969" w:type="dxa"/>
            <w:vAlign w:val="center"/>
          </w:tcPr>
          <w:p>
            <w:pPr>
              <w:spacing w:before="20" w:after="20"/>
              <w:jc w:val="right"/>
              <w:rPr>
                <w:noProof/>
                <w:sz w:val="20"/>
              </w:rPr>
            </w:pPr>
          </w:p>
        </w:tc>
        <w:tc>
          <w:tcPr>
            <w:tcW w:w="992" w:type="dxa"/>
            <w:vAlign w:val="center"/>
          </w:tcPr>
          <w:p>
            <w:pPr>
              <w:spacing w:before="20" w:after="20"/>
              <w:jc w:val="right"/>
              <w:rPr>
                <w:noProof/>
                <w:sz w:val="20"/>
              </w:rPr>
            </w:pPr>
          </w:p>
        </w:tc>
        <w:tc>
          <w:tcPr>
            <w:tcW w:w="992" w:type="dxa"/>
            <w:vAlign w:val="center"/>
          </w:tcPr>
          <w:p>
            <w:pPr>
              <w:spacing w:before="20" w:after="20"/>
              <w:jc w:val="right"/>
              <w:rPr>
                <w:noProof/>
                <w:sz w:val="20"/>
              </w:rPr>
            </w:pPr>
          </w:p>
        </w:tc>
        <w:tc>
          <w:tcPr>
            <w:tcW w:w="992" w:type="dxa"/>
            <w:vAlign w:val="center"/>
          </w:tcPr>
          <w:p>
            <w:pPr>
              <w:spacing w:before="20" w:after="20"/>
              <w:jc w:val="right"/>
              <w:rPr>
                <w:noProof/>
                <w:sz w:val="20"/>
              </w:rPr>
            </w:pPr>
          </w:p>
        </w:tc>
        <w:tc>
          <w:tcPr>
            <w:tcW w:w="993" w:type="dxa"/>
            <w:vAlign w:val="center"/>
          </w:tcPr>
          <w:p>
            <w:pPr>
              <w:spacing w:before="20" w:after="20"/>
              <w:jc w:val="right"/>
              <w:rPr>
                <w:noProof/>
                <w:sz w:val="20"/>
              </w:rPr>
            </w:pPr>
          </w:p>
        </w:tc>
        <w:tc>
          <w:tcPr>
            <w:tcW w:w="992" w:type="dxa"/>
            <w:vAlign w:val="center"/>
          </w:tcPr>
          <w:p>
            <w:pPr>
              <w:spacing w:before="20" w:after="20"/>
              <w:jc w:val="right"/>
              <w:rPr>
                <w:noProof/>
                <w:sz w:val="20"/>
              </w:rPr>
            </w:pPr>
          </w:p>
        </w:tc>
        <w:tc>
          <w:tcPr>
            <w:tcW w:w="992" w:type="dxa"/>
            <w:vAlign w:val="center"/>
          </w:tcPr>
          <w:p>
            <w:pPr>
              <w:spacing w:before="20" w:after="20"/>
              <w:jc w:val="right"/>
              <w:rPr>
                <w:b/>
                <w:noProof/>
                <w:sz w:val="20"/>
              </w:rPr>
            </w:pPr>
          </w:p>
        </w:tc>
        <w:tc>
          <w:tcPr>
            <w:tcW w:w="851" w:type="dxa"/>
            <w:tcBorders>
              <w:right w:val="single" w:sz="4" w:space="0" w:color="auto"/>
            </w:tcBorders>
            <w:vAlign w:val="center"/>
          </w:tcPr>
          <w:p>
            <w:pPr>
              <w:spacing w:before="20" w:after="20"/>
              <w:jc w:val="right"/>
              <w:rPr>
                <w:b/>
                <w:noProof/>
                <w:sz w:val="20"/>
              </w:rPr>
            </w:pPr>
          </w:p>
        </w:tc>
        <w:tc>
          <w:tcPr>
            <w:tcW w:w="992" w:type="dxa"/>
            <w:tcBorders>
              <w:right w:val="single" w:sz="4" w:space="0" w:color="auto"/>
            </w:tcBorders>
            <w:vAlign w:val="center"/>
          </w:tcPr>
          <w:p>
            <w:pPr>
              <w:spacing w:before="20" w:after="20"/>
              <w:jc w:val="right"/>
              <w:rPr>
                <w:b/>
                <w:noProof/>
                <w:sz w:val="20"/>
              </w:rPr>
            </w:pPr>
          </w:p>
        </w:tc>
        <w:tc>
          <w:tcPr>
            <w:tcW w:w="1559" w:type="dxa"/>
            <w:tcBorders>
              <w:right w:val="single" w:sz="4" w:space="0" w:color="auto"/>
            </w:tcBorders>
            <w:vAlign w:val="center"/>
          </w:tcPr>
          <w:p>
            <w:pPr>
              <w:spacing w:before="20" w:after="20"/>
              <w:jc w:val="right"/>
              <w:rPr>
                <w:b/>
                <w:noProof/>
                <w:sz w:val="20"/>
              </w:rPr>
            </w:pPr>
          </w:p>
        </w:tc>
      </w:tr>
      <w:tr>
        <w:tblPrEx>
          <w:tblBorders>
            <w:top w:val="single" w:sz="4" w:space="0" w:color="auto"/>
            <w:left w:val="single" w:sz="4" w:space="0" w:color="auto"/>
            <w:bottom w:val="single" w:sz="4" w:space="0" w:color="auto"/>
            <w:right w:val="single" w:sz="4" w:space="0" w:color="auto"/>
          </w:tblBorders>
        </w:tblPrEx>
        <w:trPr>
          <w:trHeight w:val="533"/>
          <w:jc w:val="center"/>
        </w:trPr>
        <w:tc>
          <w:tcPr>
            <w:tcW w:w="5400" w:type="dxa"/>
            <w:gridSpan w:val="2"/>
            <w:vAlign w:val="center"/>
          </w:tcPr>
          <w:p>
            <w:pPr>
              <w:spacing w:beforeLines="20" w:before="48" w:afterLines="20" w:after="48"/>
              <w:rPr>
                <w:noProof/>
              </w:rPr>
            </w:pPr>
            <w:r>
              <w:rPr>
                <w:noProof/>
                <w:sz w:val="21"/>
              </w:rPr>
              <w:sym w:font="Wingdings" w:char="F09F"/>
            </w:r>
            <w:r>
              <w:rPr>
                <w:noProof/>
                <w:sz w:val="21"/>
              </w:rPr>
              <w:t xml:space="preserve">ОБЩО бюджетни кредити за административни разходи, финансирани от пакета за специфични програми </w:t>
            </w:r>
          </w:p>
        </w:tc>
        <w:tc>
          <w:tcPr>
            <w:tcW w:w="654" w:type="dxa"/>
            <w:vAlign w:val="center"/>
          </w:tcPr>
          <w:p>
            <w:pPr>
              <w:spacing w:beforeLines="20" w:before="48" w:afterLines="20" w:after="48"/>
              <w:jc w:val="center"/>
              <w:rPr>
                <w:noProof/>
                <w:sz w:val="14"/>
              </w:rPr>
            </w:pPr>
            <w:r>
              <w:rPr>
                <w:noProof/>
                <w:sz w:val="14"/>
              </w:rPr>
              <w:t>(6)</w:t>
            </w:r>
          </w:p>
        </w:tc>
        <w:tc>
          <w:tcPr>
            <w:tcW w:w="969" w:type="dxa"/>
            <w:vAlign w:val="center"/>
          </w:tcPr>
          <w:p>
            <w:pPr>
              <w:spacing w:before="20" w:after="20"/>
              <w:jc w:val="right"/>
              <w:rPr>
                <w:b/>
                <w:noProof/>
                <w:sz w:val="20"/>
              </w:rPr>
            </w:pPr>
          </w:p>
        </w:tc>
        <w:tc>
          <w:tcPr>
            <w:tcW w:w="992" w:type="dxa"/>
            <w:vAlign w:val="center"/>
          </w:tcPr>
          <w:p>
            <w:pPr>
              <w:spacing w:before="20" w:after="20"/>
              <w:jc w:val="right"/>
              <w:rPr>
                <w:b/>
                <w:noProof/>
                <w:sz w:val="20"/>
              </w:rPr>
            </w:pPr>
          </w:p>
        </w:tc>
        <w:tc>
          <w:tcPr>
            <w:tcW w:w="992" w:type="dxa"/>
            <w:vAlign w:val="center"/>
          </w:tcPr>
          <w:p>
            <w:pPr>
              <w:spacing w:before="20" w:after="20"/>
              <w:jc w:val="right"/>
              <w:rPr>
                <w:b/>
                <w:noProof/>
                <w:sz w:val="20"/>
              </w:rPr>
            </w:pPr>
          </w:p>
        </w:tc>
        <w:tc>
          <w:tcPr>
            <w:tcW w:w="992" w:type="dxa"/>
            <w:vAlign w:val="center"/>
          </w:tcPr>
          <w:p>
            <w:pPr>
              <w:spacing w:before="20" w:after="20"/>
              <w:jc w:val="right"/>
              <w:rPr>
                <w:b/>
                <w:noProof/>
                <w:sz w:val="20"/>
              </w:rPr>
            </w:pPr>
          </w:p>
        </w:tc>
        <w:tc>
          <w:tcPr>
            <w:tcW w:w="993" w:type="dxa"/>
            <w:vAlign w:val="center"/>
          </w:tcPr>
          <w:p>
            <w:pPr>
              <w:spacing w:before="20" w:after="20"/>
              <w:jc w:val="right"/>
              <w:rPr>
                <w:b/>
                <w:noProof/>
                <w:sz w:val="20"/>
              </w:rPr>
            </w:pPr>
          </w:p>
        </w:tc>
        <w:tc>
          <w:tcPr>
            <w:tcW w:w="992" w:type="dxa"/>
            <w:vAlign w:val="center"/>
          </w:tcPr>
          <w:p>
            <w:pPr>
              <w:spacing w:before="20" w:after="20"/>
              <w:jc w:val="right"/>
              <w:rPr>
                <w:b/>
                <w:noProof/>
                <w:sz w:val="20"/>
              </w:rPr>
            </w:pPr>
          </w:p>
        </w:tc>
        <w:tc>
          <w:tcPr>
            <w:tcW w:w="992" w:type="dxa"/>
            <w:vAlign w:val="center"/>
          </w:tcPr>
          <w:p>
            <w:pPr>
              <w:spacing w:before="20" w:after="20"/>
              <w:jc w:val="right"/>
              <w:rPr>
                <w:b/>
                <w:noProof/>
                <w:sz w:val="20"/>
              </w:rPr>
            </w:pPr>
          </w:p>
        </w:tc>
        <w:tc>
          <w:tcPr>
            <w:tcW w:w="851" w:type="dxa"/>
            <w:vAlign w:val="center"/>
          </w:tcPr>
          <w:p>
            <w:pPr>
              <w:spacing w:before="20" w:after="20"/>
              <w:jc w:val="right"/>
              <w:rPr>
                <w:b/>
                <w:noProof/>
                <w:sz w:val="20"/>
              </w:rPr>
            </w:pPr>
          </w:p>
        </w:tc>
        <w:tc>
          <w:tcPr>
            <w:tcW w:w="992" w:type="dxa"/>
            <w:vAlign w:val="center"/>
          </w:tcPr>
          <w:p>
            <w:pPr>
              <w:spacing w:before="20" w:after="20"/>
              <w:jc w:val="right"/>
              <w:rPr>
                <w:b/>
                <w:noProof/>
                <w:sz w:val="20"/>
              </w:rPr>
            </w:pPr>
          </w:p>
        </w:tc>
        <w:tc>
          <w:tcPr>
            <w:tcW w:w="1559" w:type="dxa"/>
            <w:vAlign w:val="center"/>
          </w:tcPr>
          <w:p>
            <w:pPr>
              <w:spacing w:before="20" w:after="20"/>
              <w:jc w:val="right"/>
              <w:rPr>
                <w:b/>
                <w:noProof/>
                <w:sz w:val="20"/>
              </w:rPr>
            </w:pPr>
          </w:p>
        </w:tc>
      </w:tr>
      <w:tr>
        <w:trPr>
          <w:jc w:val="center"/>
        </w:trP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rPr>
            </w:pPr>
            <w:r>
              <w:rPr>
                <w:b/>
                <w:noProof/>
              </w:rPr>
              <w:t>ОБЩО бюджетни кредити</w:t>
            </w:r>
            <w:r>
              <w:rPr>
                <w:noProof/>
              </w:rPr>
              <w:br/>
            </w:r>
            <w:r>
              <w:rPr>
                <w:b/>
                <w:noProof/>
              </w:rPr>
              <w:t>за ФУНКЦИИ 1—4</w:t>
            </w:r>
            <w:r>
              <w:rPr>
                <w:noProof/>
              </w:rPr>
              <w:t xml:space="preserve"> </w:t>
            </w:r>
            <w:r>
              <w:rPr>
                <w:noProof/>
              </w:rPr>
              <w:br/>
              <w:t xml:space="preserve">от многогодишната финансова рамка </w:t>
            </w:r>
            <w:r>
              <w:rPr>
                <w:noProof/>
              </w:rPr>
              <w:br/>
            </w:r>
            <w:r>
              <w:rPr>
                <w:noProof/>
                <w:sz w:val="20"/>
              </w:rPr>
              <w:t>(Референтна стойност)</w:t>
            </w:r>
          </w:p>
        </w:tc>
        <w:tc>
          <w:tcPr>
            <w:tcW w:w="1440" w:type="dxa"/>
            <w:vAlign w:val="center"/>
          </w:tcPr>
          <w:p>
            <w:pPr>
              <w:rPr>
                <w:noProof/>
                <w:sz w:val="18"/>
              </w:rPr>
            </w:pPr>
            <w:r>
              <w:rPr>
                <w:noProof/>
                <w:sz w:val="18"/>
              </w:rPr>
              <w:t>Поети задължения</w:t>
            </w:r>
          </w:p>
        </w:tc>
        <w:tc>
          <w:tcPr>
            <w:tcW w:w="654" w:type="dxa"/>
            <w:vAlign w:val="center"/>
          </w:tcPr>
          <w:p>
            <w:pPr>
              <w:jc w:val="center"/>
              <w:rPr>
                <w:noProof/>
                <w:sz w:val="14"/>
              </w:rPr>
            </w:pPr>
            <w:r>
              <w:rPr>
                <w:noProof/>
                <w:sz w:val="14"/>
              </w:rPr>
              <w:t>=4+ 6</w:t>
            </w:r>
          </w:p>
        </w:tc>
        <w:tc>
          <w:tcPr>
            <w:tcW w:w="969" w:type="dxa"/>
            <w:vAlign w:val="center"/>
          </w:tcPr>
          <w:p>
            <w:pPr>
              <w:spacing w:before="20" w:after="20"/>
              <w:jc w:val="right"/>
              <w:rPr>
                <w:noProof/>
                <w:sz w:val="20"/>
              </w:rPr>
            </w:pPr>
          </w:p>
        </w:tc>
        <w:tc>
          <w:tcPr>
            <w:tcW w:w="992" w:type="dxa"/>
            <w:vAlign w:val="center"/>
          </w:tcPr>
          <w:p>
            <w:pPr>
              <w:spacing w:before="20" w:after="20"/>
              <w:jc w:val="right"/>
              <w:rPr>
                <w:noProof/>
                <w:sz w:val="20"/>
              </w:rPr>
            </w:pPr>
          </w:p>
        </w:tc>
        <w:tc>
          <w:tcPr>
            <w:tcW w:w="992" w:type="dxa"/>
            <w:vAlign w:val="center"/>
          </w:tcPr>
          <w:p>
            <w:pPr>
              <w:spacing w:before="20" w:after="20"/>
              <w:jc w:val="right"/>
              <w:rPr>
                <w:noProof/>
                <w:sz w:val="20"/>
              </w:rPr>
            </w:pPr>
          </w:p>
        </w:tc>
        <w:tc>
          <w:tcPr>
            <w:tcW w:w="992" w:type="dxa"/>
            <w:vAlign w:val="center"/>
          </w:tcPr>
          <w:p>
            <w:pPr>
              <w:spacing w:before="20" w:after="20"/>
              <w:jc w:val="right"/>
              <w:rPr>
                <w:noProof/>
                <w:sz w:val="20"/>
              </w:rPr>
            </w:pPr>
          </w:p>
        </w:tc>
        <w:tc>
          <w:tcPr>
            <w:tcW w:w="993" w:type="dxa"/>
            <w:vAlign w:val="center"/>
          </w:tcPr>
          <w:p>
            <w:pPr>
              <w:spacing w:before="20" w:after="20"/>
              <w:jc w:val="right"/>
              <w:rPr>
                <w:noProof/>
                <w:sz w:val="20"/>
              </w:rPr>
            </w:pPr>
          </w:p>
        </w:tc>
        <w:tc>
          <w:tcPr>
            <w:tcW w:w="992" w:type="dxa"/>
            <w:vAlign w:val="center"/>
          </w:tcPr>
          <w:p>
            <w:pPr>
              <w:spacing w:before="20" w:after="20"/>
              <w:jc w:val="right"/>
              <w:rPr>
                <w:noProof/>
                <w:sz w:val="20"/>
              </w:rPr>
            </w:pPr>
          </w:p>
        </w:tc>
        <w:tc>
          <w:tcPr>
            <w:tcW w:w="992" w:type="dxa"/>
            <w:vAlign w:val="center"/>
          </w:tcPr>
          <w:p>
            <w:pPr>
              <w:spacing w:before="20" w:after="20"/>
              <w:jc w:val="right"/>
              <w:rPr>
                <w:b/>
                <w:noProof/>
                <w:sz w:val="20"/>
              </w:rPr>
            </w:pPr>
          </w:p>
        </w:tc>
        <w:tc>
          <w:tcPr>
            <w:tcW w:w="851" w:type="dxa"/>
            <w:tcBorders>
              <w:right w:val="single" w:sz="4" w:space="0" w:color="auto"/>
            </w:tcBorders>
            <w:vAlign w:val="center"/>
          </w:tcPr>
          <w:p>
            <w:pPr>
              <w:spacing w:before="20" w:after="20"/>
              <w:jc w:val="right"/>
              <w:rPr>
                <w:b/>
                <w:noProof/>
                <w:sz w:val="20"/>
              </w:rPr>
            </w:pPr>
          </w:p>
        </w:tc>
        <w:tc>
          <w:tcPr>
            <w:tcW w:w="992" w:type="dxa"/>
            <w:tcBorders>
              <w:right w:val="single" w:sz="4" w:space="0" w:color="auto"/>
            </w:tcBorders>
            <w:vAlign w:val="center"/>
          </w:tcPr>
          <w:p>
            <w:pPr>
              <w:spacing w:before="20" w:after="20"/>
              <w:jc w:val="right"/>
              <w:rPr>
                <w:b/>
                <w:noProof/>
                <w:sz w:val="20"/>
              </w:rPr>
            </w:pPr>
          </w:p>
        </w:tc>
        <w:tc>
          <w:tcPr>
            <w:tcW w:w="1559" w:type="dxa"/>
            <w:tcBorders>
              <w:right w:val="single" w:sz="4" w:space="0" w:color="auto"/>
            </w:tcBorders>
            <w:vAlign w:val="center"/>
          </w:tcPr>
          <w:p>
            <w:pPr>
              <w:spacing w:before="20" w:after="20"/>
              <w:jc w:val="right"/>
              <w:rPr>
                <w:b/>
                <w:noProof/>
                <w:sz w:val="20"/>
              </w:rPr>
            </w:pPr>
          </w:p>
        </w:tc>
      </w:tr>
      <w:tr>
        <w:trPr>
          <w:jc w:val="center"/>
        </w:trPr>
        <w:tc>
          <w:tcPr>
            <w:tcW w:w="3960" w:type="dxa"/>
            <w:vMerge/>
            <w:tcBorders>
              <w:top w:val="single" w:sz="4" w:space="0" w:color="FF0000"/>
              <w:left w:val="single" w:sz="4" w:space="0" w:color="auto"/>
              <w:bottom w:val="single" w:sz="4" w:space="0" w:color="auto"/>
            </w:tcBorders>
            <w:shd w:val="thinDiagStripe" w:color="C0C0C0" w:fill="auto"/>
          </w:tcPr>
          <w:p>
            <w:pPr>
              <w:rPr>
                <w:noProof/>
                <w:sz w:val="20"/>
              </w:rPr>
            </w:pPr>
          </w:p>
        </w:tc>
        <w:tc>
          <w:tcPr>
            <w:tcW w:w="1440" w:type="dxa"/>
            <w:tcBorders>
              <w:bottom w:val="single" w:sz="4" w:space="0" w:color="auto"/>
            </w:tcBorders>
            <w:vAlign w:val="center"/>
          </w:tcPr>
          <w:p>
            <w:pPr>
              <w:rPr>
                <w:noProof/>
                <w:sz w:val="18"/>
              </w:rPr>
            </w:pPr>
            <w:r>
              <w:rPr>
                <w:noProof/>
                <w:sz w:val="18"/>
              </w:rPr>
              <w:t>Плащания</w:t>
            </w:r>
          </w:p>
        </w:tc>
        <w:tc>
          <w:tcPr>
            <w:tcW w:w="654" w:type="dxa"/>
            <w:tcBorders>
              <w:bottom w:val="single" w:sz="4" w:space="0" w:color="auto"/>
            </w:tcBorders>
            <w:vAlign w:val="center"/>
          </w:tcPr>
          <w:p>
            <w:pPr>
              <w:jc w:val="center"/>
              <w:rPr>
                <w:noProof/>
                <w:sz w:val="14"/>
              </w:rPr>
            </w:pPr>
            <w:r>
              <w:rPr>
                <w:noProof/>
                <w:sz w:val="14"/>
              </w:rPr>
              <w:t>=5+ 6</w:t>
            </w:r>
          </w:p>
        </w:tc>
        <w:tc>
          <w:tcPr>
            <w:tcW w:w="969" w:type="dxa"/>
            <w:tcBorders>
              <w:bottom w:val="single" w:sz="4" w:space="0" w:color="auto"/>
            </w:tcBorders>
            <w:vAlign w:val="center"/>
          </w:tcPr>
          <w:p>
            <w:pPr>
              <w:spacing w:before="20" w:after="20"/>
              <w:jc w:val="right"/>
              <w:rPr>
                <w:noProof/>
                <w:sz w:val="20"/>
              </w:rPr>
            </w:pPr>
          </w:p>
        </w:tc>
        <w:tc>
          <w:tcPr>
            <w:tcW w:w="992" w:type="dxa"/>
            <w:tcBorders>
              <w:bottom w:val="single" w:sz="4" w:space="0" w:color="auto"/>
            </w:tcBorders>
            <w:vAlign w:val="center"/>
          </w:tcPr>
          <w:p>
            <w:pPr>
              <w:spacing w:before="20" w:after="20"/>
              <w:jc w:val="right"/>
              <w:rPr>
                <w:noProof/>
                <w:sz w:val="20"/>
              </w:rPr>
            </w:pPr>
          </w:p>
        </w:tc>
        <w:tc>
          <w:tcPr>
            <w:tcW w:w="992" w:type="dxa"/>
            <w:tcBorders>
              <w:bottom w:val="single" w:sz="4" w:space="0" w:color="auto"/>
            </w:tcBorders>
            <w:vAlign w:val="center"/>
          </w:tcPr>
          <w:p>
            <w:pPr>
              <w:spacing w:before="20" w:after="20"/>
              <w:jc w:val="right"/>
              <w:rPr>
                <w:noProof/>
                <w:sz w:val="20"/>
              </w:rPr>
            </w:pPr>
          </w:p>
        </w:tc>
        <w:tc>
          <w:tcPr>
            <w:tcW w:w="992" w:type="dxa"/>
            <w:tcBorders>
              <w:bottom w:val="single" w:sz="4" w:space="0" w:color="auto"/>
            </w:tcBorders>
            <w:vAlign w:val="center"/>
          </w:tcPr>
          <w:p>
            <w:pPr>
              <w:spacing w:before="20" w:after="20"/>
              <w:jc w:val="right"/>
              <w:rPr>
                <w:noProof/>
                <w:sz w:val="20"/>
              </w:rPr>
            </w:pPr>
          </w:p>
        </w:tc>
        <w:tc>
          <w:tcPr>
            <w:tcW w:w="993" w:type="dxa"/>
            <w:tcBorders>
              <w:bottom w:val="single" w:sz="4" w:space="0" w:color="auto"/>
            </w:tcBorders>
            <w:vAlign w:val="center"/>
          </w:tcPr>
          <w:p>
            <w:pPr>
              <w:spacing w:before="20" w:after="20"/>
              <w:jc w:val="right"/>
              <w:rPr>
                <w:noProof/>
                <w:sz w:val="20"/>
              </w:rPr>
            </w:pPr>
          </w:p>
        </w:tc>
        <w:tc>
          <w:tcPr>
            <w:tcW w:w="992" w:type="dxa"/>
            <w:tcBorders>
              <w:bottom w:val="single" w:sz="4" w:space="0" w:color="auto"/>
            </w:tcBorders>
            <w:vAlign w:val="center"/>
          </w:tcPr>
          <w:p>
            <w:pPr>
              <w:spacing w:before="20" w:after="20"/>
              <w:jc w:val="right"/>
              <w:rPr>
                <w:noProof/>
                <w:sz w:val="20"/>
              </w:rPr>
            </w:pPr>
          </w:p>
        </w:tc>
        <w:tc>
          <w:tcPr>
            <w:tcW w:w="992" w:type="dxa"/>
            <w:tcBorders>
              <w:bottom w:val="single" w:sz="4" w:space="0" w:color="auto"/>
            </w:tcBorders>
            <w:vAlign w:val="center"/>
          </w:tcPr>
          <w:p>
            <w:pPr>
              <w:spacing w:before="20" w:after="20"/>
              <w:jc w:val="right"/>
              <w:rPr>
                <w:b/>
                <w:noProof/>
                <w:sz w:val="20"/>
              </w:rPr>
            </w:pPr>
          </w:p>
        </w:tc>
        <w:tc>
          <w:tcPr>
            <w:tcW w:w="851" w:type="dxa"/>
            <w:tcBorders>
              <w:bottom w:val="single" w:sz="4" w:space="0" w:color="auto"/>
              <w:right w:val="single" w:sz="4" w:space="0" w:color="auto"/>
            </w:tcBorders>
            <w:vAlign w:val="center"/>
          </w:tcPr>
          <w:p>
            <w:pPr>
              <w:spacing w:before="20" w:after="20"/>
              <w:jc w:val="right"/>
              <w:rPr>
                <w:b/>
                <w:noProof/>
                <w:sz w:val="20"/>
              </w:rPr>
            </w:pPr>
          </w:p>
        </w:tc>
        <w:tc>
          <w:tcPr>
            <w:tcW w:w="992" w:type="dxa"/>
            <w:tcBorders>
              <w:bottom w:val="single" w:sz="4" w:space="0" w:color="auto"/>
              <w:right w:val="single" w:sz="4" w:space="0" w:color="auto"/>
            </w:tcBorders>
            <w:vAlign w:val="center"/>
          </w:tcPr>
          <w:p>
            <w:pPr>
              <w:spacing w:before="20" w:after="20"/>
              <w:jc w:val="right"/>
              <w:rPr>
                <w:b/>
                <w:noProof/>
                <w:sz w:val="20"/>
              </w:rPr>
            </w:pPr>
          </w:p>
        </w:tc>
        <w:tc>
          <w:tcPr>
            <w:tcW w:w="1559" w:type="dxa"/>
            <w:tcBorders>
              <w:bottom w:val="single" w:sz="4" w:space="0" w:color="auto"/>
              <w:right w:val="single" w:sz="4" w:space="0" w:color="auto"/>
            </w:tcBorders>
            <w:vAlign w:val="center"/>
          </w:tcPr>
          <w:p>
            <w:pPr>
              <w:spacing w:before="20" w:after="20"/>
              <w:jc w:val="right"/>
              <w:rPr>
                <w:b/>
                <w:noProof/>
                <w:sz w:val="20"/>
              </w:rPr>
            </w:pPr>
          </w:p>
        </w:tc>
      </w:tr>
    </w:tbl>
    <w:p>
      <w:pPr>
        <w:rPr>
          <w:noProof/>
        </w:rPr>
      </w:pPr>
    </w:p>
    <w:p>
      <w:pPr>
        <w:rPr>
          <w:noProof/>
        </w:rPr>
      </w:pPr>
      <w:r>
        <w:rPr>
          <w:noProof/>
        </w:rPr>
        <w:br w:type="page"/>
      </w:r>
    </w:p>
    <w:tbl>
      <w:tblPr>
        <w:tblW w:w="13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38"/>
        <w:gridCol w:w="1124"/>
        <w:gridCol w:w="776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rPr>
              <w:t>Функция от многогодишната финансова</w:t>
            </w:r>
            <w:r>
              <w:rPr>
                <w:noProof/>
              </w:rPr>
              <w:t xml:space="preserve"> </w:t>
            </w:r>
            <w:r>
              <w:rPr>
                <w:noProof/>
              </w:rPr>
              <w:br/>
            </w:r>
            <w:r>
              <w:rPr>
                <w:b/>
                <w:noProof/>
              </w:rPr>
              <w:t xml:space="preserve">рамка </w:t>
            </w:r>
          </w:p>
        </w:tc>
        <w:tc>
          <w:tcPr>
            <w:tcW w:w="1080" w:type="dxa"/>
            <w:shd w:val="thinDiagStripe" w:color="C0C0C0" w:fill="auto"/>
            <w:vAlign w:val="center"/>
          </w:tcPr>
          <w:p>
            <w:pPr>
              <w:spacing w:before="60" w:after="60"/>
              <w:jc w:val="center"/>
              <w:rPr>
                <w:noProof/>
              </w:rPr>
            </w:pPr>
            <w:r>
              <w:rPr>
                <w:b/>
                <w:noProof/>
              </w:rPr>
              <w:t>5</w:t>
            </w:r>
          </w:p>
        </w:tc>
        <w:tc>
          <w:tcPr>
            <w:tcW w:w="7462" w:type="dxa"/>
            <w:vAlign w:val="center"/>
          </w:tcPr>
          <w:p>
            <w:pPr>
              <w:spacing w:before="60" w:after="60"/>
              <w:rPr>
                <w:noProof/>
              </w:rPr>
            </w:pPr>
            <w:r>
              <w:rPr>
                <w:noProof/>
              </w:rPr>
              <w:t>„Административни разходи“</w:t>
            </w:r>
          </w:p>
        </w:tc>
      </w:tr>
    </w:tbl>
    <w:p>
      <w:pPr>
        <w:jc w:val="right"/>
        <w:rPr>
          <w:noProof/>
          <w:sz w:val="20"/>
        </w:rPr>
      </w:pPr>
      <w:r>
        <w:rPr>
          <w:noProof/>
          <w:sz w:val="20"/>
        </w:rPr>
        <w:t>млн. евро (до 3-тия знак след десетичната запетая)</w:t>
      </w:r>
    </w:p>
    <w:tbl>
      <w:tblPr>
        <w:tblW w:w="12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236"/>
        <w:gridCol w:w="236"/>
        <w:gridCol w:w="930"/>
        <w:gridCol w:w="592"/>
        <w:gridCol w:w="236"/>
        <w:gridCol w:w="40"/>
        <w:gridCol w:w="868"/>
        <w:gridCol w:w="868"/>
        <w:gridCol w:w="868"/>
        <w:gridCol w:w="868"/>
        <w:gridCol w:w="868"/>
      </w:tblGrid>
      <w:tr>
        <w:trPr>
          <w:jc w:val="center"/>
        </w:trP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236" w:type="dxa"/>
            <w:tcBorders>
              <w:top w:val="nil"/>
              <w:left w:val="nil"/>
            </w:tcBorders>
          </w:tcPr>
          <w:p>
            <w:pPr>
              <w:jc w:val="center"/>
              <w:rPr>
                <w:noProof/>
                <w:sz w:val="20"/>
              </w:rPr>
            </w:pPr>
          </w:p>
        </w:tc>
        <w:tc>
          <w:tcPr>
            <w:tcW w:w="1166" w:type="dxa"/>
            <w:gridSpan w:val="2"/>
            <w:vAlign w:val="center"/>
          </w:tcPr>
          <w:p>
            <w:pPr>
              <w:jc w:val="center"/>
              <w:rPr>
                <w:noProof/>
                <w:sz w:val="20"/>
              </w:rPr>
            </w:pPr>
            <w:r>
              <w:rPr>
                <w:noProof/>
                <w:sz w:val="20"/>
              </w:rPr>
              <w:t>Година</w:t>
            </w:r>
            <w:r>
              <w:rPr>
                <w:noProof/>
              </w:rPr>
              <w:t xml:space="preserve"> </w:t>
            </w:r>
            <w:r>
              <w:rPr>
                <w:noProof/>
              </w:rPr>
              <w:br/>
            </w:r>
            <w:r>
              <w:rPr>
                <w:b/>
                <w:noProof/>
                <w:sz w:val="20"/>
              </w:rPr>
              <w:t>2022 г.</w:t>
            </w:r>
          </w:p>
        </w:tc>
        <w:tc>
          <w:tcPr>
            <w:tcW w:w="868" w:type="dxa"/>
            <w:gridSpan w:val="3"/>
            <w:vAlign w:val="center"/>
          </w:tcPr>
          <w:p>
            <w:pPr>
              <w:jc w:val="center"/>
              <w:rPr>
                <w:noProof/>
                <w:sz w:val="20"/>
              </w:rPr>
            </w:pPr>
            <w:r>
              <w:rPr>
                <w:noProof/>
                <w:sz w:val="20"/>
              </w:rPr>
              <w:t>Година</w:t>
            </w:r>
            <w:r>
              <w:rPr>
                <w:noProof/>
              </w:rPr>
              <w:t xml:space="preserve"> </w:t>
            </w:r>
            <w:r>
              <w:rPr>
                <w:noProof/>
              </w:rPr>
              <w:br/>
            </w:r>
            <w:r>
              <w:rPr>
                <w:b/>
                <w:noProof/>
                <w:sz w:val="20"/>
              </w:rPr>
              <w:t>2023 г.</w:t>
            </w:r>
          </w:p>
        </w:tc>
        <w:tc>
          <w:tcPr>
            <w:tcW w:w="868" w:type="dxa"/>
            <w:vAlign w:val="center"/>
          </w:tcPr>
          <w:p>
            <w:pPr>
              <w:jc w:val="center"/>
              <w:rPr>
                <w:noProof/>
                <w:sz w:val="20"/>
              </w:rPr>
            </w:pPr>
            <w:r>
              <w:rPr>
                <w:noProof/>
                <w:sz w:val="20"/>
              </w:rPr>
              <w:t>Година</w:t>
            </w:r>
            <w:r>
              <w:rPr>
                <w:noProof/>
              </w:rPr>
              <w:t xml:space="preserve"> </w:t>
            </w:r>
            <w:r>
              <w:rPr>
                <w:noProof/>
              </w:rPr>
              <w:br/>
            </w:r>
            <w:r>
              <w:rPr>
                <w:b/>
                <w:noProof/>
                <w:sz w:val="20"/>
              </w:rPr>
              <w:t>2024 г.</w:t>
            </w:r>
          </w:p>
        </w:tc>
        <w:tc>
          <w:tcPr>
            <w:tcW w:w="868" w:type="dxa"/>
            <w:vAlign w:val="center"/>
          </w:tcPr>
          <w:p>
            <w:pPr>
              <w:jc w:val="center"/>
              <w:rPr>
                <w:noProof/>
                <w:sz w:val="20"/>
              </w:rPr>
            </w:pPr>
            <w:r>
              <w:rPr>
                <w:noProof/>
                <w:sz w:val="20"/>
              </w:rPr>
              <w:t>Година</w:t>
            </w:r>
            <w:r>
              <w:rPr>
                <w:noProof/>
              </w:rPr>
              <w:t xml:space="preserve"> </w:t>
            </w:r>
            <w:r>
              <w:rPr>
                <w:noProof/>
              </w:rPr>
              <w:br/>
            </w:r>
            <w:r>
              <w:rPr>
                <w:b/>
                <w:noProof/>
                <w:sz w:val="20"/>
              </w:rPr>
              <w:t>2025 г.</w:t>
            </w:r>
          </w:p>
        </w:tc>
        <w:tc>
          <w:tcPr>
            <w:tcW w:w="868" w:type="dxa"/>
            <w:vAlign w:val="center"/>
          </w:tcPr>
          <w:p>
            <w:pPr>
              <w:jc w:val="center"/>
              <w:rPr>
                <w:b/>
                <w:noProof/>
                <w:sz w:val="18"/>
              </w:rPr>
            </w:pPr>
            <w:r>
              <w:rPr>
                <w:noProof/>
                <w:sz w:val="20"/>
              </w:rPr>
              <w:t>Година</w:t>
            </w:r>
            <w:r>
              <w:rPr>
                <w:noProof/>
              </w:rPr>
              <w:t xml:space="preserve"> </w:t>
            </w:r>
            <w:r>
              <w:rPr>
                <w:noProof/>
              </w:rPr>
              <w:br/>
            </w:r>
            <w:r>
              <w:rPr>
                <w:b/>
                <w:noProof/>
                <w:sz w:val="20"/>
              </w:rPr>
              <w:t>2026 г.</w:t>
            </w:r>
          </w:p>
        </w:tc>
        <w:tc>
          <w:tcPr>
            <w:tcW w:w="868" w:type="dxa"/>
            <w:vAlign w:val="center"/>
          </w:tcPr>
          <w:p>
            <w:pPr>
              <w:jc w:val="center"/>
              <w:rPr>
                <w:b/>
                <w:noProof/>
                <w:sz w:val="18"/>
              </w:rPr>
            </w:pPr>
            <w:r>
              <w:rPr>
                <w:noProof/>
                <w:sz w:val="20"/>
              </w:rPr>
              <w:t>Година</w:t>
            </w:r>
            <w:r>
              <w:rPr>
                <w:noProof/>
              </w:rPr>
              <w:t xml:space="preserve"> </w:t>
            </w:r>
            <w:r>
              <w:rPr>
                <w:noProof/>
              </w:rPr>
              <w:br/>
            </w:r>
            <w:r>
              <w:rPr>
                <w:b/>
                <w:noProof/>
                <w:sz w:val="20"/>
              </w:rPr>
              <w:t>2027 г.</w:t>
            </w:r>
          </w:p>
        </w:tc>
        <w:tc>
          <w:tcPr>
            <w:tcW w:w="868" w:type="dxa"/>
            <w:vAlign w:val="center"/>
          </w:tcPr>
          <w:p>
            <w:pPr>
              <w:jc w:val="center"/>
              <w:rPr>
                <w:b/>
                <w:noProof/>
                <w:sz w:val="18"/>
              </w:rPr>
            </w:pPr>
            <w:r>
              <w:rPr>
                <w:noProof/>
                <w:sz w:val="20"/>
              </w:rPr>
              <w:t>След</w:t>
            </w:r>
            <w:r>
              <w:rPr>
                <w:noProof/>
              </w:rPr>
              <w:t xml:space="preserve"> </w:t>
            </w:r>
            <w:r>
              <w:rPr>
                <w:noProof/>
              </w:rPr>
              <w:br/>
            </w:r>
            <w:r>
              <w:rPr>
                <w:b/>
                <w:noProof/>
                <w:sz w:val="20"/>
              </w:rPr>
              <w:t>2027 г.</w:t>
            </w:r>
          </w:p>
        </w:tc>
      </w:tr>
      <w:tr>
        <w:trPr>
          <w:gridAfter w:val="9"/>
          <w:wAfter w:w="6138" w:type="dxa"/>
          <w:jc w:val="center"/>
        </w:trPr>
        <w:tc>
          <w:tcPr>
            <w:tcW w:w="3960" w:type="dxa"/>
            <w:vAlign w:val="center"/>
          </w:tcPr>
          <w:p>
            <w:pPr>
              <w:spacing w:before="60" w:after="60"/>
              <w:jc w:val="center"/>
              <w:rPr>
                <w:noProof/>
              </w:rPr>
            </w:pPr>
            <w:r>
              <w:rPr>
                <w:noProof/>
              </w:rPr>
              <w:t>ГД: „Данъчно облагане и митнически съюз“</w:t>
            </w:r>
          </w:p>
        </w:tc>
        <w:tc>
          <w:tcPr>
            <w:tcW w:w="1796" w:type="dxa"/>
            <w:gridSpan w:val="2"/>
            <w:tcBorders>
              <w:right w:val="nil"/>
            </w:tcBorders>
          </w:tcPr>
          <w:p>
            <w:pPr>
              <w:spacing w:before="60" w:after="60"/>
              <w:jc w:val="center"/>
              <w:rPr>
                <w:noProof/>
              </w:rPr>
            </w:pPr>
          </w:p>
        </w:tc>
        <w:tc>
          <w:tcPr>
            <w:tcW w:w="236" w:type="dxa"/>
            <w:tcBorders>
              <w:top w:val="nil"/>
              <w:left w:val="nil"/>
              <w:bottom w:val="nil"/>
              <w:right w:val="nil"/>
            </w:tcBorders>
          </w:tcPr>
          <w:p>
            <w:pPr>
              <w:spacing w:before="60" w:after="60"/>
              <w:jc w:val="center"/>
              <w:rPr>
                <w:noProof/>
              </w:rPr>
            </w:pPr>
          </w:p>
        </w:tc>
      </w:tr>
      <w:tr>
        <w:trPr>
          <w:trHeight w:val="313"/>
          <w:jc w:val="center"/>
        </w:trPr>
        <w:tc>
          <w:tcPr>
            <w:tcW w:w="5756" w:type="dxa"/>
            <w:gridSpan w:val="3"/>
            <w:vAlign w:val="center"/>
          </w:tcPr>
          <w:p>
            <w:pPr>
              <w:spacing w:before="20" w:after="20"/>
              <w:rPr>
                <w:noProof/>
              </w:rPr>
            </w:pPr>
            <w:r>
              <w:rPr>
                <w:noProof/>
              </w:rPr>
              <w:sym w:font="Wingdings" w:char="F09F"/>
            </w:r>
            <w:r>
              <w:rPr>
                <w:noProof/>
              </w:rPr>
              <w:t xml:space="preserve">Човешки ресурси </w:t>
            </w:r>
          </w:p>
        </w:tc>
        <w:tc>
          <w:tcPr>
            <w:tcW w:w="1166" w:type="dxa"/>
            <w:gridSpan w:val="2"/>
            <w:vAlign w:val="center"/>
          </w:tcPr>
          <w:p>
            <w:pPr>
              <w:spacing w:before="20" w:after="20"/>
              <w:jc w:val="right"/>
              <w:rPr>
                <w:noProof/>
                <w:sz w:val="18"/>
                <w:szCs w:val="18"/>
              </w:rPr>
            </w:pPr>
            <w:r>
              <w:rPr>
                <w:noProof/>
                <w:sz w:val="18"/>
                <w:szCs w:val="18"/>
              </w:rPr>
              <w:t>0,750</w:t>
            </w:r>
          </w:p>
        </w:tc>
        <w:tc>
          <w:tcPr>
            <w:tcW w:w="868" w:type="dxa"/>
            <w:gridSpan w:val="3"/>
            <w:vAlign w:val="center"/>
          </w:tcPr>
          <w:p>
            <w:pPr>
              <w:spacing w:before="20" w:after="20"/>
              <w:jc w:val="right"/>
              <w:rPr>
                <w:noProof/>
                <w:sz w:val="18"/>
                <w:szCs w:val="18"/>
              </w:rPr>
            </w:pPr>
            <w:r>
              <w:rPr>
                <w:noProof/>
                <w:sz w:val="18"/>
                <w:szCs w:val="18"/>
              </w:rPr>
              <w:t>0,750</w:t>
            </w:r>
          </w:p>
        </w:tc>
        <w:tc>
          <w:tcPr>
            <w:tcW w:w="868" w:type="dxa"/>
            <w:vAlign w:val="center"/>
          </w:tcPr>
          <w:p>
            <w:pPr>
              <w:spacing w:before="20" w:after="20"/>
              <w:jc w:val="right"/>
              <w:rPr>
                <w:noProof/>
                <w:sz w:val="18"/>
                <w:szCs w:val="18"/>
              </w:rPr>
            </w:pPr>
            <w:r>
              <w:rPr>
                <w:noProof/>
                <w:sz w:val="18"/>
                <w:szCs w:val="18"/>
              </w:rPr>
              <w:t>0,750</w:t>
            </w:r>
          </w:p>
        </w:tc>
        <w:tc>
          <w:tcPr>
            <w:tcW w:w="868" w:type="dxa"/>
            <w:vAlign w:val="center"/>
          </w:tcPr>
          <w:p>
            <w:pPr>
              <w:spacing w:before="20" w:after="20"/>
              <w:jc w:val="right"/>
              <w:rPr>
                <w:noProof/>
                <w:sz w:val="18"/>
                <w:szCs w:val="18"/>
              </w:rPr>
            </w:pPr>
            <w:r>
              <w:rPr>
                <w:noProof/>
                <w:sz w:val="18"/>
                <w:szCs w:val="18"/>
              </w:rPr>
              <w:t>0,750</w:t>
            </w:r>
          </w:p>
        </w:tc>
        <w:tc>
          <w:tcPr>
            <w:tcW w:w="868" w:type="dxa"/>
            <w:vAlign w:val="center"/>
          </w:tcPr>
          <w:p>
            <w:pPr>
              <w:spacing w:before="20" w:after="20"/>
              <w:jc w:val="right"/>
              <w:rPr>
                <w:noProof/>
                <w:sz w:val="18"/>
                <w:szCs w:val="18"/>
              </w:rPr>
            </w:pPr>
            <w:r>
              <w:rPr>
                <w:noProof/>
                <w:sz w:val="18"/>
                <w:szCs w:val="18"/>
              </w:rPr>
              <w:t>0,750</w:t>
            </w:r>
          </w:p>
        </w:tc>
        <w:tc>
          <w:tcPr>
            <w:tcW w:w="868" w:type="dxa"/>
            <w:vAlign w:val="center"/>
          </w:tcPr>
          <w:p>
            <w:pPr>
              <w:spacing w:before="20" w:after="20"/>
              <w:jc w:val="right"/>
              <w:rPr>
                <w:noProof/>
                <w:sz w:val="18"/>
                <w:szCs w:val="18"/>
              </w:rPr>
            </w:pPr>
            <w:r>
              <w:rPr>
                <w:noProof/>
                <w:sz w:val="18"/>
                <w:szCs w:val="18"/>
              </w:rPr>
              <w:t>0,750</w:t>
            </w:r>
          </w:p>
        </w:tc>
        <w:tc>
          <w:tcPr>
            <w:tcW w:w="868" w:type="dxa"/>
            <w:vAlign w:val="center"/>
          </w:tcPr>
          <w:p>
            <w:pPr>
              <w:spacing w:before="20" w:after="20"/>
              <w:jc w:val="right"/>
              <w:rPr>
                <w:noProof/>
                <w:sz w:val="18"/>
                <w:szCs w:val="18"/>
              </w:rPr>
            </w:pPr>
            <w:r>
              <w:rPr>
                <w:noProof/>
                <w:sz w:val="18"/>
                <w:szCs w:val="18"/>
              </w:rPr>
              <w:t>1,950</w:t>
            </w:r>
          </w:p>
        </w:tc>
      </w:tr>
      <w:tr>
        <w:trPr>
          <w:trHeight w:val="351"/>
          <w:jc w:val="center"/>
        </w:trPr>
        <w:tc>
          <w:tcPr>
            <w:tcW w:w="5756" w:type="dxa"/>
            <w:gridSpan w:val="3"/>
            <w:vAlign w:val="center"/>
          </w:tcPr>
          <w:p>
            <w:pPr>
              <w:spacing w:before="20" w:after="20"/>
              <w:rPr>
                <w:noProof/>
              </w:rPr>
            </w:pPr>
            <w:r>
              <w:rPr>
                <w:noProof/>
              </w:rPr>
              <w:sym w:font="Wingdings" w:char="F09F"/>
            </w:r>
            <w:r>
              <w:rPr>
                <w:noProof/>
              </w:rPr>
              <w:t xml:space="preserve"> Други административни разходи </w:t>
            </w:r>
          </w:p>
        </w:tc>
        <w:tc>
          <w:tcPr>
            <w:tcW w:w="1166" w:type="dxa"/>
            <w:gridSpan w:val="2"/>
            <w:vAlign w:val="center"/>
          </w:tcPr>
          <w:p>
            <w:pPr>
              <w:spacing w:before="20" w:after="20"/>
              <w:jc w:val="right"/>
              <w:rPr>
                <w:b/>
                <w:noProof/>
                <w:sz w:val="18"/>
                <w:szCs w:val="18"/>
              </w:rPr>
            </w:pPr>
          </w:p>
        </w:tc>
        <w:tc>
          <w:tcPr>
            <w:tcW w:w="868" w:type="dxa"/>
            <w:gridSpan w:val="3"/>
            <w:vAlign w:val="center"/>
          </w:tcPr>
          <w:p>
            <w:pPr>
              <w:spacing w:before="20" w:after="20"/>
              <w:jc w:val="right"/>
              <w:rPr>
                <w:b/>
                <w:noProof/>
                <w:sz w:val="18"/>
                <w:szCs w:val="18"/>
              </w:rPr>
            </w:pPr>
          </w:p>
        </w:tc>
        <w:tc>
          <w:tcPr>
            <w:tcW w:w="868" w:type="dxa"/>
            <w:vAlign w:val="center"/>
          </w:tcPr>
          <w:p>
            <w:pPr>
              <w:spacing w:before="20" w:after="20"/>
              <w:jc w:val="right"/>
              <w:rPr>
                <w:b/>
                <w:noProof/>
                <w:sz w:val="18"/>
                <w:szCs w:val="18"/>
              </w:rPr>
            </w:pPr>
          </w:p>
        </w:tc>
        <w:tc>
          <w:tcPr>
            <w:tcW w:w="868" w:type="dxa"/>
            <w:vAlign w:val="center"/>
          </w:tcPr>
          <w:p>
            <w:pPr>
              <w:spacing w:before="20" w:after="20"/>
              <w:jc w:val="right"/>
              <w:rPr>
                <w:b/>
                <w:noProof/>
                <w:sz w:val="18"/>
                <w:szCs w:val="18"/>
              </w:rPr>
            </w:pPr>
          </w:p>
        </w:tc>
        <w:tc>
          <w:tcPr>
            <w:tcW w:w="868" w:type="dxa"/>
            <w:vAlign w:val="center"/>
          </w:tcPr>
          <w:p>
            <w:pPr>
              <w:spacing w:before="20" w:after="20"/>
              <w:jc w:val="right"/>
              <w:rPr>
                <w:b/>
                <w:noProof/>
                <w:sz w:val="18"/>
                <w:szCs w:val="18"/>
              </w:rPr>
            </w:pPr>
          </w:p>
        </w:tc>
        <w:tc>
          <w:tcPr>
            <w:tcW w:w="868" w:type="dxa"/>
            <w:vAlign w:val="center"/>
          </w:tcPr>
          <w:p>
            <w:pPr>
              <w:spacing w:before="20" w:after="20"/>
              <w:jc w:val="right"/>
              <w:rPr>
                <w:b/>
                <w:noProof/>
                <w:sz w:val="18"/>
                <w:szCs w:val="18"/>
              </w:rPr>
            </w:pPr>
          </w:p>
        </w:tc>
        <w:tc>
          <w:tcPr>
            <w:tcW w:w="868" w:type="dxa"/>
            <w:vAlign w:val="center"/>
          </w:tcPr>
          <w:p>
            <w:pPr>
              <w:spacing w:before="20" w:after="20"/>
              <w:jc w:val="right"/>
              <w:rPr>
                <w:noProof/>
                <w:sz w:val="18"/>
                <w:szCs w:val="18"/>
              </w:rPr>
            </w:pPr>
          </w:p>
        </w:tc>
      </w:tr>
      <w:tr>
        <w:trPr>
          <w:trHeight w:val="356"/>
          <w:jc w:val="center"/>
        </w:trPr>
        <w:tc>
          <w:tcPr>
            <w:tcW w:w="3960" w:type="dxa"/>
            <w:vAlign w:val="center"/>
          </w:tcPr>
          <w:p>
            <w:pPr>
              <w:jc w:val="center"/>
              <w:rPr>
                <w:b/>
                <w:noProof/>
              </w:rPr>
            </w:pPr>
            <w:r>
              <w:rPr>
                <w:b/>
                <w:noProof/>
              </w:rPr>
              <w:t>ОБЩО ГД</w:t>
            </w:r>
            <w:r>
              <w:rPr>
                <w:noProof/>
              </w:rPr>
              <w:t xml:space="preserve"> „Данъчно облагане и митнически съюз“</w:t>
            </w:r>
          </w:p>
        </w:tc>
        <w:tc>
          <w:tcPr>
            <w:tcW w:w="1796" w:type="dxa"/>
            <w:gridSpan w:val="2"/>
            <w:vAlign w:val="center"/>
          </w:tcPr>
          <w:p>
            <w:pPr>
              <w:rPr>
                <w:noProof/>
                <w:sz w:val="14"/>
              </w:rPr>
            </w:pPr>
            <w:r>
              <w:rPr>
                <w:noProof/>
                <w:sz w:val="18"/>
              </w:rPr>
              <w:t xml:space="preserve">Бюджетни кредити </w:t>
            </w:r>
          </w:p>
        </w:tc>
        <w:tc>
          <w:tcPr>
            <w:tcW w:w="1166" w:type="dxa"/>
            <w:gridSpan w:val="2"/>
            <w:vAlign w:val="center"/>
          </w:tcPr>
          <w:p>
            <w:pPr>
              <w:spacing w:before="60" w:after="60"/>
              <w:jc w:val="right"/>
              <w:rPr>
                <w:noProof/>
                <w:sz w:val="18"/>
                <w:szCs w:val="18"/>
              </w:rPr>
            </w:pPr>
            <w:r>
              <w:rPr>
                <w:noProof/>
                <w:sz w:val="18"/>
                <w:szCs w:val="18"/>
              </w:rPr>
              <w:t>0,750</w:t>
            </w:r>
          </w:p>
        </w:tc>
        <w:tc>
          <w:tcPr>
            <w:tcW w:w="868" w:type="dxa"/>
            <w:gridSpan w:val="3"/>
            <w:vAlign w:val="center"/>
          </w:tcPr>
          <w:p>
            <w:pPr>
              <w:spacing w:before="20" w:after="20"/>
              <w:jc w:val="right"/>
              <w:rPr>
                <w:noProof/>
                <w:sz w:val="18"/>
                <w:szCs w:val="18"/>
              </w:rPr>
            </w:pPr>
            <w:r>
              <w:rPr>
                <w:noProof/>
                <w:sz w:val="18"/>
                <w:szCs w:val="18"/>
              </w:rPr>
              <w:t>0,750</w:t>
            </w:r>
          </w:p>
        </w:tc>
        <w:tc>
          <w:tcPr>
            <w:tcW w:w="868" w:type="dxa"/>
            <w:vAlign w:val="center"/>
          </w:tcPr>
          <w:p>
            <w:pPr>
              <w:spacing w:before="20" w:after="20"/>
              <w:jc w:val="right"/>
              <w:rPr>
                <w:noProof/>
                <w:sz w:val="18"/>
                <w:szCs w:val="18"/>
              </w:rPr>
            </w:pPr>
            <w:r>
              <w:rPr>
                <w:noProof/>
                <w:sz w:val="18"/>
                <w:szCs w:val="18"/>
              </w:rPr>
              <w:t>0,750</w:t>
            </w:r>
          </w:p>
        </w:tc>
        <w:tc>
          <w:tcPr>
            <w:tcW w:w="868" w:type="dxa"/>
            <w:vAlign w:val="center"/>
          </w:tcPr>
          <w:p>
            <w:pPr>
              <w:spacing w:before="20" w:after="20"/>
              <w:jc w:val="right"/>
              <w:rPr>
                <w:noProof/>
                <w:sz w:val="18"/>
                <w:szCs w:val="18"/>
              </w:rPr>
            </w:pPr>
            <w:r>
              <w:rPr>
                <w:noProof/>
                <w:sz w:val="18"/>
                <w:szCs w:val="18"/>
              </w:rPr>
              <w:t>0,750</w:t>
            </w:r>
          </w:p>
        </w:tc>
        <w:tc>
          <w:tcPr>
            <w:tcW w:w="868" w:type="dxa"/>
            <w:vAlign w:val="center"/>
          </w:tcPr>
          <w:p>
            <w:pPr>
              <w:spacing w:before="20" w:after="20"/>
              <w:jc w:val="right"/>
              <w:rPr>
                <w:noProof/>
                <w:sz w:val="18"/>
                <w:szCs w:val="18"/>
              </w:rPr>
            </w:pPr>
            <w:r>
              <w:rPr>
                <w:noProof/>
                <w:sz w:val="18"/>
                <w:szCs w:val="18"/>
              </w:rPr>
              <w:t>0,750</w:t>
            </w:r>
          </w:p>
        </w:tc>
        <w:tc>
          <w:tcPr>
            <w:tcW w:w="868" w:type="dxa"/>
            <w:vAlign w:val="center"/>
          </w:tcPr>
          <w:p>
            <w:pPr>
              <w:spacing w:before="20" w:after="20"/>
              <w:jc w:val="right"/>
              <w:rPr>
                <w:noProof/>
                <w:sz w:val="18"/>
                <w:szCs w:val="18"/>
              </w:rPr>
            </w:pPr>
            <w:r>
              <w:rPr>
                <w:noProof/>
                <w:sz w:val="18"/>
                <w:szCs w:val="18"/>
              </w:rPr>
              <w:t>0,750</w:t>
            </w:r>
          </w:p>
        </w:tc>
        <w:tc>
          <w:tcPr>
            <w:tcW w:w="868" w:type="dxa"/>
            <w:vAlign w:val="center"/>
          </w:tcPr>
          <w:p>
            <w:pPr>
              <w:spacing w:before="20" w:after="20"/>
              <w:jc w:val="right"/>
              <w:rPr>
                <w:noProof/>
                <w:sz w:val="18"/>
                <w:szCs w:val="18"/>
              </w:rPr>
            </w:pPr>
            <w:r>
              <w:rPr>
                <w:noProof/>
                <w:sz w:val="18"/>
                <w:szCs w:val="18"/>
              </w:rPr>
              <w:t>1,950</w:t>
            </w:r>
          </w:p>
        </w:tc>
      </w:tr>
      <w:tr>
        <w:trPr>
          <w:gridAfter w:val="6"/>
          <w:wAfter w:w="4380" w:type="dxa"/>
          <w:jc w:val="center"/>
        </w:trPr>
        <w:tc>
          <w:tcPr>
            <w:tcW w:w="3960" w:type="dxa"/>
            <w:vAlign w:val="center"/>
          </w:tcPr>
          <w:p>
            <w:pPr>
              <w:spacing w:before="60" w:after="60"/>
              <w:jc w:val="center"/>
              <w:rPr>
                <w:noProof/>
              </w:rPr>
            </w:pPr>
            <w:r>
              <w:rPr>
                <w:noProof/>
              </w:rPr>
              <w:t>ГД: партньорски ГД, участващи в инициативата</w:t>
            </w:r>
          </w:p>
        </w:tc>
        <w:tc>
          <w:tcPr>
            <w:tcW w:w="1796" w:type="dxa"/>
            <w:gridSpan w:val="2"/>
            <w:tcBorders>
              <w:right w:val="nil"/>
            </w:tcBorders>
          </w:tcPr>
          <w:p>
            <w:pPr>
              <w:spacing w:before="60" w:after="60"/>
              <w:jc w:val="center"/>
              <w:rPr>
                <w:noProof/>
              </w:rPr>
            </w:pPr>
          </w:p>
        </w:tc>
        <w:tc>
          <w:tcPr>
            <w:tcW w:w="1758" w:type="dxa"/>
            <w:gridSpan w:val="3"/>
            <w:tcBorders>
              <w:top w:val="nil"/>
              <w:left w:val="nil"/>
              <w:bottom w:val="nil"/>
              <w:right w:val="nil"/>
            </w:tcBorders>
          </w:tcPr>
          <w:p>
            <w:pPr>
              <w:spacing w:before="60" w:after="60"/>
              <w:jc w:val="center"/>
              <w:rPr>
                <w:noProof/>
                <w:sz w:val="18"/>
                <w:szCs w:val="18"/>
              </w:rPr>
            </w:pPr>
          </w:p>
        </w:tc>
        <w:tc>
          <w:tcPr>
            <w:tcW w:w="236" w:type="dxa"/>
            <w:tcBorders>
              <w:top w:val="nil"/>
              <w:left w:val="nil"/>
              <w:bottom w:val="nil"/>
              <w:right w:val="nil"/>
            </w:tcBorders>
          </w:tcPr>
          <w:p>
            <w:pPr>
              <w:spacing w:before="60" w:after="60"/>
              <w:jc w:val="center"/>
              <w:rPr>
                <w:noProof/>
                <w:sz w:val="18"/>
                <w:szCs w:val="18"/>
              </w:rPr>
            </w:pPr>
          </w:p>
        </w:tc>
      </w:tr>
      <w:tr>
        <w:trPr>
          <w:trHeight w:val="313"/>
          <w:jc w:val="center"/>
        </w:trPr>
        <w:tc>
          <w:tcPr>
            <w:tcW w:w="5756" w:type="dxa"/>
            <w:gridSpan w:val="3"/>
            <w:vAlign w:val="center"/>
          </w:tcPr>
          <w:p>
            <w:pPr>
              <w:spacing w:before="20" w:after="20"/>
              <w:rPr>
                <w:noProof/>
              </w:rPr>
            </w:pPr>
            <w:r>
              <w:rPr>
                <w:noProof/>
              </w:rPr>
              <w:sym w:font="Wingdings" w:char="F09F"/>
            </w:r>
            <w:r>
              <w:rPr>
                <w:noProof/>
              </w:rPr>
              <w:t xml:space="preserve">Човешки ресурси </w:t>
            </w:r>
          </w:p>
        </w:tc>
        <w:tc>
          <w:tcPr>
            <w:tcW w:w="1166" w:type="dxa"/>
            <w:gridSpan w:val="2"/>
            <w:vAlign w:val="center"/>
          </w:tcPr>
          <w:p>
            <w:pPr>
              <w:spacing w:before="20" w:after="20"/>
              <w:jc w:val="right"/>
              <w:rPr>
                <w:noProof/>
                <w:sz w:val="18"/>
                <w:szCs w:val="18"/>
              </w:rPr>
            </w:pPr>
            <w:r>
              <w:rPr>
                <w:noProof/>
                <w:sz w:val="18"/>
                <w:szCs w:val="18"/>
              </w:rPr>
              <w:t>0,570</w:t>
            </w:r>
          </w:p>
        </w:tc>
        <w:tc>
          <w:tcPr>
            <w:tcW w:w="868" w:type="dxa"/>
            <w:gridSpan w:val="3"/>
            <w:vAlign w:val="center"/>
          </w:tcPr>
          <w:p>
            <w:pPr>
              <w:spacing w:before="20" w:after="20"/>
              <w:jc w:val="right"/>
              <w:rPr>
                <w:noProof/>
                <w:sz w:val="18"/>
                <w:szCs w:val="18"/>
              </w:rPr>
            </w:pPr>
            <w:r>
              <w:rPr>
                <w:noProof/>
                <w:sz w:val="18"/>
                <w:szCs w:val="18"/>
              </w:rPr>
              <w:t>0,570</w:t>
            </w:r>
          </w:p>
        </w:tc>
        <w:tc>
          <w:tcPr>
            <w:tcW w:w="868" w:type="dxa"/>
            <w:vAlign w:val="center"/>
          </w:tcPr>
          <w:p>
            <w:pPr>
              <w:spacing w:before="20" w:after="20"/>
              <w:jc w:val="right"/>
              <w:rPr>
                <w:noProof/>
                <w:sz w:val="18"/>
                <w:szCs w:val="18"/>
              </w:rPr>
            </w:pPr>
            <w:r>
              <w:rPr>
                <w:noProof/>
                <w:sz w:val="18"/>
                <w:szCs w:val="18"/>
              </w:rPr>
              <w:t>0,570</w:t>
            </w:r>
          </w:p>
        </w:tc>
        <w:tc>
          <w:tcPr>
            <w:tcW w:w="868" w:type="dxa"/>
            <w:vAlign w:val="center"/>
          </w:tcPr>
          <w:p>
            <w:pPr>
              <w:spacing w:before="20" w:after="20"/>
              <w:jc w:val="right"/>
              <w:rPr>
                <w:noProof/>
                <w:sz w:val="18"/>
                <w:szCs w:val="18"/>
              </w:rPr>
            </w:pPr>
            <w:r>
              <w:rPr>
                <w:noProof/>
                <w:sz w:val="18"/>
                <w:szCs w:val="18"/>
              </w:rPr>
              <w:t>0,570</w:t>
            </w:r>
          </w:p>
        </w:tc>
        <w:tc>
          <w:tcPr>
            <w:tcW w:w="868" w:type="dxa"/>
            <w:vAlign w:val="center"/>
          </w:tcPr>
          <w:p>
            <w:pPr>
              <w:spacing w:before="20" w:after="20"/>
              <w:jc w:val="right"/>
              <w:rPr>
                <w:noProof/>
                <w:sz w:val="18"/>
                <w:szCs w:val="18"/>
              </w:rPr>
            </w:pPr>
            <w:r>
              <w:rPr>
                <w:noProof/>
                <w:sz w:val="18"/>
                <w:szCs w:val="18"/>
              </w:rPr>
              <w:t>0,570</w:t>
            </w:r>
          </w:p>
        </w:tc>
        <w:tc>
          <w:tcPr>
            <w:tcW w:w="868" w:type="dxa"/>
            <w:vAlign w:val="center"/>
          </w:tcPr>
          <w:p>
            <w:pPr>
              <w:spacing w:before="20" w:after="20"/>
              <w:jc w:val="right"/>
              <w:rPr>
                <w:noProof/>
                <w:sz w:val="18"/>
                <w:szCs w:val="18"/>
              </w:rPr>
            </w:pPr>
            <w:r>
              <w:rPr>
                <w:noProof/>
                <w:sz w:val="18"/>
                <w:szCs w:val="18"/>
              </w:rPr>
              <w:t>0,570</w:t>
            </w:r>
          </w:p>
        </w:tc>
        <w:tc>
          <w:tcPr>
            <w:tcW w:w="868" w:type="dxa"/>
            <w:vAlign w:val="center"/>
          </w:tcPr>
          <w:p>
            <w:pPr>
              <w:spacing w:before="20" w:after="20"/>
              <w:jc w:val="right"/>
              <w:rPr>
                <w:noProof/>
                <w:sz w:val="18"/>
                <w:szCs w:val="18"/>
              </w:rPr>
            </w:pPr>
            <w:r>
              <w:rPr>
                <w:noProof/>
                <w:sz w:val="18"/>
                <w:szCs w:val="18"/>
              </w:rPr>
              <w:t>1,620</w:t>
            </w:r>
          </w:p>
        </w:tc>
      </w:tr>
      <w:tr>
        <w:trPr>
          <w:trHeight w:val="351"/>
          <w:jc w:val="center"/>
        </w:trPr>
        <w:tc>
          <w:tcPr>
            <w:tcW w:w="5756" w:type="dxa"/>
            <w:gridSpan w:val="3"/>
            <w:vAlign w:val="center"/>
          </w:tcPr>
          <w:p>
            <w:pPr>
              <w:spacing w:before="20" w:after="20"/>
              <w:rPr>
                <w:noProof/>
              </w:rPr>
            </w:pPr>
            <w:r>
              <w:rPr>
                <w:noProof/>
              </w:rPr>
              <w:sym w:font="Wingdings" w:char="F09F"/>
            </w:r>
            <w:r>
              <w:rPr>
                <w:noProof/>
              </w:rPr>
              <w:t xml:space="preserve"> Други административни разходи </w:t>
            </w:r>
          </w:p>
        </w:tc>
        <w:tc>
          <w:tcPr>
            <w:tcW w:w="1166" w:type="dxa"/>
            <w:gridSpan w:val="2"/>
            <w:vAlign w:val="center"/>
          </w:tcPr>
          <w:p>
            <w:pPr>
              <w:spacing w:before="20" w:after="20"/>
              <w:jc w:val="right"/>
              <w:rPr>
                <w:noProof/>
                <w:sz w:val="18"/>
                <w:szCs w:val="18"/>
              </w:rPr>
            </w:pPr>
          </w:p>
        </w:tc>
        <w:tc>
          <w:tcPr>
            <w:tcW w:w="868" w:type="dxa"/>
            <w:gridSpan w:val="3"/>
            <w:vAlign w:val="center"/>
          </w:tcPr>
          <w:p>
            <w:pPr>
              <w:spacing w:before="20" w:after="20"/>
              <w:jc w:val="right"/>
              <w:rPr>
                <w:noProof/>
                <w:sz w:val="18"/>
                <w:szCs w:val="18"/>
              </w:rPr>
            </w:pPr>
          </w:p>
        </w:tc>
        <w:tc>
          <w:tcPr>
            <w:tcW w:w="868" w:type="dxa"/>
            <w:vAlign w:val="center"/>
          </w:tcPr>
          <w:p>
            <w:pPr>
              <w:spacing w:before="20" w:after="20"/>
              <w:jc w:val="right"/>
              <w:rPr>
                <w:noProof/>
                <w:sz w:val="18"/>
                <w:szCs w:val="18"/>
              </w:rPr>
            </w:pPr>
          </w:p>
        </w:tc>
        <w:tc>
          <w:tcPr>
            <w:tcW w:w="868" w:type="dxa"/>
            <w:vAlign w:val="center"/>
          </w:tcPr>
          <w:p>
            <w:pPr>
              <w:spacing w:before="20" w:after="20"/>
              <w:jc w:val="right"/>
              <w:rPr>
                <w:noProof/>
                <w:sz w:val="18"/>
                <w:szCs w:val="18"/>
              </w:rPr>
            </w:pPr>
          </w:p>
        </w:tc>
        <w:tc>
          <w:tcPr>
            <w:tcW w:w="868" w:type="dxa"/>
            <w:vAlign w:val="center"/>
          </w:tcPr>
          <w:p>
            <w:pPr>
              <w:spacing w:before="20" w:after="20"/>
              <w:jc w:val="right"/>
              <w:rPr>
                <w:noProof/>
                <w:sz w:val="18"/>
                <w:szCs w:val="18"/>
              </w:rPr>
            </w:pPr>
          </w:p>
        </w:tc>
        <w:tc>
          <w:tcPr>
            <w:tcW w:w="868" w:type="dxa"/>
            <w:vAlign w:val="center"/>
          </w:tcPr>
          <w:p>
            <w:pPr>
              <w:spacing w:before="20" w:after="20"/>
              <w:jc w:val="right"/>
              <w:rPr>
                <w:noProof/>
                <w:sz w:val="18"/>
                <w:szCs w:val="18"/>
              </w:rPr>
            </w:pPr>
          </w:p>
        </w:tc>
        <w:tc>
          <w:tcPr>
            <w:tcW w:w="868" w:type="dxa"/>
            <w:vAlign w:val="center"/>
          </w:tcPr>
          <w:p>
            <w:pPr>
              <w:spacing w:before="20" w:after="20"/>
              <w:jc w:val="right"/>
              <w:rPr>
                <w:noProof/>
                <w:sz w:val="18"/>
                <w:szCs w:val="18"/>
              </w:rPr>
            </w:pPr>
          </w:p>
        </w:tc>
      </w:tr>
      <w:tr>
        <w:trPr>
          <w:jc w:val="center"/>
        </w:trPr>
        <w:tc>
          <w:tcPr>
            <w:tcW w:w="3960" w:type="dxa"/>
            <w:vAlign w:val="center"/>
          </w:tcPr>
          <w:p>
            <w:pPr>
              <w:jc w:val="center"/>
              <w:rPr>
                <w:noProof/>
              </w:rPr>
            </w:pPr>
            <w:r>
              <w:rPr>
                <w:noProof/>
              </w:rPr>
              <w:t>ОБЩО партньорски ГД, участващи в инициативата</w:t>
            </w:r>
          </w:p>
        </w:tc>
        <w:tc>
          <w:tcPr>
            <w:tcW w:w="1796" w:type="dxa"/>
            <w:gridSpan w:val="2"/>
            <w:vAlign w:val="center"/>
          </w:tcPr>
          <w:p>
            <w:pPr>
              <w:rPr>
                <w:noProof/>
                <w:sz w:val="14"/>
              </w:rPr>
            </w:pPr>
            <w:r>
              <w:rPr>
                <w:noProof/>
                <w:sz w:val="18"/>
              </w:rPr>
              <w:t xml:space="preserve">Бюджетни кредити </w:t>
            </w:r>
          </w:p>
        </w:tc>
        <w:tc>
          <w:tcPr>
            <w:tcW w:w="1166" w:type="dxa"/>
            <w:gridSpan w:val="2"/>
            <w:vAlign w:val="center"/>
          </w:tcPr>
          <w:p>
            <w:pPr>
              <w:spacing w:before="20" w:after="20"/>
              <w:jc w:val="right"/>
              <w:rPr>
                <w:noProof/>
                <w:sz w:val="18"/>
                <w:szCs w:val="18"/>
              </w:rPr>
            </w:pPr>
            <w:r>
              <w:rPr>
                <w:noProof/>
                <w:sz w:val="18"/>
                <w:szCs w:val="18"/>
              </w:rPr>
              <w:t>0,570</w:t>
            </w:r>
          </w:p>
        </w:tc>
        <w:tc>
          <w:tcPr>
            <w:tcW w:w="868" w:type="dxa"/>
            <w:gridSpan w:val="3"/>
            <w:vAlign w:val="center"/>
          </w:tcPr>
          <w:p>
            <w:pPr>
              <w:spacing w:before="20" w:after="20"/>
              <w:jc w:val="right"/>
              <w:rPr>
                <w:noProof/>
                <w:sz w:val="18"/>
                <w:szCs w:val="18"/>
              </w:rPr>
            </w:pPr>
            <w:r>
              <w:rPr>
                <w:noProof/>
                <w:sz w:val="18"/>
                <w:szCs w:val="18"/>
              </w:rPr>
              <w:t>0,570</w:t>
            </w:r>
          </w:p>
        </w:tc>
        <w:tc>
          <w:tcPr>
            <w:tcW w:w="868" w:type="dxa"/>
            <w:vAlign w:val="center"/>
          </w:tcPr>
          <w:p>
            <w:pPr>
              <w:spacing w:before="20" w:after="20"/>
              <w:jc w:val="right"/>
              <w:rPr>
                <w:noProof/>
                <w:sz w:val="18"/>
                <w:szCs w:val="18"/>
              </w:rPr>
            </w:pPr>
            <w:r>
              <w:rPr>
                <w:noProof/>
                <w:sz w:val="18"/>
                <w:szCs w:val="18"/>
              </w:rPr>
              <w:t>0,570</w:t>
            </w:r>
          </w:p>
        </w:tc>
        <w:tc>
          <w:tcPr>
            <w:tcW w:w="868" w:type="dxa"/>
            <w:vAlign w:val="center"/>
          </w:tcPr>
          <w:p>
            <w:pPr>
              <w:spacing w:before="20" w:after="20"/>
              <w:jc w:val="right"/>
              <w:rPr>
                <w:noProof/>
                <w:sz w:val="18"/>
                <w:szCs w:val="18"/>
              </w:rPr>
            </w:pPr>
            <w:r>
              <w:rPr>
                <w:noProof/>
                <w:sz w:val="18"/>
                <w:szCs w:val="18"/>
              </w:rPr>
              <w:t>0,570</w:t>
            </w:r>
          </w:p>
        </w:tc>
        <w:tc>
          <w:tcPr>
            <w:tcW w:w="868" w:type="dxa"/>
            <w:vAlign w:val="center"/>
          </w:tcPr>
          <w:p>
            <w:pPr>
              <w:spacing w:before="20" w:after="20"/>
              <w:jc w:val="right"/>
              <w:rPr>
                <w:noProof/>
                <w:sz w:val="18"/>
                <w:szCs w:val="18"/>
              </w:rPr>
            </w:pPr>
            <w:r>
              <w:rPr>
                <w:noProof/>
                <w:sz w:val="18"/>
                <w:szCs w:val="18"/>
              </w:rPr>
              <w:t>0,570</w:t>
            </w:r>
          </w:p>
        </w:tc>
        <w:tc>
          <w:tcPr>
            <w:tcW w:w="868" w:type="dxa"/>
            <w:vAlign w:val="center"/>
          </w:tcPr>
          <w:p>
            <w:pPr>
              <w:spacing w:before="20" w:after="20"/>
              <w:jc w:val="right"/>
              <w:rPr>
                <w:noProof/>
                <w:sz w:val="18"/>
                <w:szCs w:val="18"/>
              </w:rPr>
            </w:pPr>
            <w:r>
              <w:rPr>
                <w:noProof/>
                <w:sz w:val="18"/>
                <w:szCs w:val="18"/>
              </w:rPr>
              <w:t>0,570</w:t>
            </w:r>
          </w:p>
        </w:tc>
        <w:tc>
          <w:tcPr>
            <w:tcW w:w="868" w:type="dxa"/>
            <w:vAlign w:val="center"/>
          </w:tcPr>
          <w:p>
            <w:pPr>
              <w:spacing w:before="20" w:after="20"/>
              <w:jc w:val="right"/>
              <w:rPr>
                <w:noProof/>
                <w:sz w:val="18"/>
                <w:szCs w:val="18"/>
              </w:rPr>
            </w:pPr>
            <w:r>
              <w:rPr>
                <w:noProof/>
                <w:sz w:val="18"/>
                <w:szCs w:val="18"/>
              </w:rPr>
              <w:t>1,620</w:t>
            </w:r>
          </w:p>
        </w:tc>
      </w:tr>
    </w:tbl>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761"/>
        <w:gridCol w:w="1201"/>
        <w:gridCol w:w="868"/>
        <w:gridCol w:w="868"/>
        <w:gridCol w:w="868"/>
        <w:gridCol w:w="868"/>
        <w:gridCol w:w="868"/>
        <w:gridCol w:w="868"/>
      </w:tblGrid>
      <w:tr>
        <w:trPr>
          <w:jc w:val="center"/>
        </w:trPr>
        <w:tc>
          <w:tcPr>
            <w:tcW w:w="3960" w:type="dxa"/>
            <w:shd w:val="thinDiagStripe" w:color="C0C0C0" w:fill="auto"/>
            <w:vAlign w:val="center"/>
          </w:tcPr>
          <w:p>
            <w:pPr>
              <w:jc w:val="center"/>
              <w:rPr>
                <w:noProof/>
              </w:rPr>
            </w:pPr>
            <w:r>
              <w:rPr>
                <w:noProof/>
              </w:rPr>
              <w:t xml:space="preserve">ОБЩО бюджетни кредити </w:t>
            </w:r>
            <w:r>
              <w:rPr>
                <w:noProof/>
              </w:rPr>
              <w:br/>
              <w:t xml:space="preserve">за ФУНКЦИЯ 5 </w:t>
            </w:r>
            <w:r>
              <w:rPr>
                <w:noProof/>
              </w:rPr>
              <w:br/>
              <w:t xml:space="preserve">от многогодишната финансова рамка </w:t>
            </w:r>
          </w:p>
        </w:tc>
        <w:tc>
          <w:tcPr>
            <w:tcW w:w="1761" w:type="dxa"/>
            <w:vAlign w:val="center"/>
          </w:tcPr>
          <w:p>
            <w:pPr>
              <w:spacing w:before="40" w:after="40"/>
              <w:rPr>
                <w:noProof/>
              </w:rPr>
            </w:pPr>
            <w:r>
              <w:rPr>
                <w:noProof/>
                <w:sz w:val="18"/>
              </w:rPr>
              <w:t>(Общо поети задължения = Общо плащания)</w:t>
            </w:r>
          </w:p>
        </w:tc>
        <w:tc>
          <w:tcPr>
            <w:tcW w:w="1201" w:type="dxa"/>
            <w:vAlign w:val="center"/>
          </w:tcPr>
          <w:p>
            <w:pPr>
              <w:spacing w:before="20" w:after="20"/>
              <w:jc w:val="right"/>
              <w:rPr>
                <w:noProof/>
                <w:sz w:val="18"/>
                <w:szCs w:val="18"/>
              </w:rPr>
            </w:pPr>
            <w:r>
              <w:rPr>
                <w:noProof/>
                <w:sz w:val="18"/>
                <w:szCs w:val="18"/>
              </w:rPr>
              <w:t>1,320</w:t>
            </w:r>
          </w:p>
        </w:tc>
        <w:tc>
          <w:tcPr>
            <w:tcW w:w="868" w:type="dxa"/>
            <w:vAlign w:val="center"/>
          </w:tcPr>
          <w:p>
            <w:pPr>
              <w:spacing w:before="20" w:after="20"/>
              <w:jc w:val="right"/>
              <w:rPr>
                <w:noProof/>
                <w:sz w:val="18"/>
                <w:szCs w:val="18"/>
              </w:rPr>
            </w:pPr>
            <w:r>
              <w:rPr>
                <w:noProof/>
                <w:sz w:val="18"/>
                <w:szCs w:val="18"/>
              </w:rPr>
              <w:t>1,320</w:t>
            </w:r>
          </w:p>
        </w:tc>
        <w:tc>
          <w:tcPr>
            <w:tcW w:w="868" w:type="dxa"/>
            <w:vAlign w:val="center"/>
          </w:tcPr>
          <w:p>
            <w:pPr>
              <w:spacing w:before="20" w:after="20"/>
              <w:jc w:val="right"/>
              <w:rPr>
                <w:noProof/>
                <w:sz w:val="18"/>
                <w:szCs w:val="18"/>
              </w:rPr>
            </w:pPr>
            <w:r>
              <w:rPr>
                <w:noProof/>
                <w:sz w:val="18"/>
                <w:szCs w:val="18"/>
              </w:rPr>
              <w:t>1,320</w:t>
            </w:r>
          </w:p>
        </w:tc>
        <w:tc>
          <w:tcPr>
            <w:tcW w:w="868" w:type="dxa"/>
            <w:vAlign w:val="center"/>
          </w:tcPr>
          <w:p>
            <w:pPr>
              <w:spacing w:before="20" w:after="20"/>
              <w:jc w:val="right"/>
              <w:rPr>
                <w:noProof/>
                <w:sz w:val="18"/>
                <w:szCs w:val="18"/>
              </w:rPr>
            </w:pPr>
            <w:r>
              <w:rPr>
                <w:noProof/>
                <w:sz w:val="18"/>
                <w:szCs w:val="18"/>
              </w:rPr>
              <w:t>1,320</w:t>
            </w:r>
          </w:p>
        </w:tc>
        <w:tc>
          <w:tcPr>
            <w:tcW w:w="868" w:type="dxa"/>
            <w:vAlign w:val="center"/>
          </w:tcPr>
          <w:p>
            <w:pPr>
              <w:spacing w:before="20" w:after="20"/>
              <w:jc w:val="right"/>
              <w:rPr>
                <w:noProof/>
                <w:sz w:val="18"/>
                <w:szCs w:val="18"/>
              </w:rPr>
            </w:pPr>
            <w:r>
              <w:rPr>
                <w:noProof/>
                <w:sz w:val="18"/>
                <w:szCs w:val="18"/>
              </w:rPr>
              <w:t>1,320</w:t>
            </w:r>
          </w:p>
        </w:tc>
        <w:tc>
          <w:tcPr>
            <w:tcW w:w="868" w:type="dxa"/>
            <w:vAlign w:val="center"/>
          </w:tcPr>
          <w:p>
            <w:pPr>
              <w:spacing w:before="20" w:after="20"/>
              <w:jc w:val="right"/>
              <w:rPr>
                <w:noProof/>
                <w:sz w:val="18"/>
                <w:szCs w:val="18"/>
              </w:rPr>
            </w:pPr>
            <w:r>
              <w:rPr>
                <w:noProof/>
                <w:sz w:val="18"/>
                <w:szCs w:val="18"/>
              </w:rPr>
              <w:t>1,320</w:t>
            </w:r>
          </w:p>
        </w:tc>
        <w:tc>
          <w:tcPr>
            <w:tcW w:w="868" w:type="dxa"/>
            <w:vAlign w:val="center"/>
          </w:tcPr>
          <w:p>
            <w:pPr>
              <w:spacing w:before="20" w:after="20"/>
              <w:jc w:val="right"/>
              <w:rPr>
                <w:noProof/>
                <w:sz w:val="18"/>
                <w:szCs w:val="18"/>
              </w:rPr>
            </w:pPr>
            <w:r>
              <w:rPr>
                <w:noProof/>
                <w:sz w:val="18"/>
                <w:szCs w:val="18"/>
              </w:rPr>
              <w:t>3,570</w:t>
            </w:r>
          </w:p>
        </w:tc>
      </w:tr>
    </w:tbl>
    <w:p>
      <w:pPr>
        <w:jc w:val="right"/>
        <w:rPr>
          <w:noProof/>
          <w:sz w:val="20"/>
        </w:rPr>
      </w:pPr>
      <w:r>
        <w:rPr>
          <w:noProof/>
          <w:sz w:val="20"/>
        </w:rPr>
        <w:t>млн. евро (до 3-тия знак след десетичната запетая)</w:t>
      </w:r>
    </w:p>
    <w:tbl>
      <w:tblPr>
        <w:tblW w:w="12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tblGrid>
      <w:tr>
        <w:trPr>
          <w:jc w:val="center"/>
        </w:trP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Година</w:t>
            </w:r>
            <w:r>
              <w:rPr>
                <w:noProof/>
              </w:rPr>
              <w:t xml:space="preserve"> </w:t>
            </w:r>
            <w:r>
              <w:rPr>
                <w:noProof/>
              </w:rPr>
              <w:br/>
            </w:r>
            <w:r>
              <w:rPr>
                <w:b/>
                <w:noProof/>
                <w:sz w:val="20"/>
              </w:rPr>
              <w:t>2022 г.</w:t>
            </w:r>
          </w:p>
        </w:tc>
        <w:tc>
          <w:tcPr>
            <w:tcW w:w="868" w:type="dxa"/>
            <w:vAlign w:val="center"/>
          </w:tcPr>
          <w:p>
            <w:pPr>
              <w:jc w:val="center"/>
              <w:rPr>
                <w:noProof/>
                <w:sz w:val="20"/>
              </w:rPr>
            </w:pPr>
            <w:r>
              <w:rPr>
                <w:noProof/>
                <w:sz w:val="20"/>
              </w:rPr>
              <w:t>Година</w:t>
            </w:r>
            <w:r>
              <w:rPr>
                <w:noProof/>
              </w:rPr>
              <w:t xml:space="preserve"> </w:t>
            </w:r>
            <w:r>
              <w:rPr>
                <w:noProof/>
              </w:rPr>
              <w:br/>
            </w:r>
            <w:r>
              <w:rPr>
                <w:b/>
                <w:noProof/>
                <w:sz w:val="20"/>
              </w:rPr>
              <w:t>2023 г.</w:t>
            </w:r>
          </w:p>
        </w:tc>
        <w:tc>
          <w:tcPr>
            <w:tcW w:w="868" w:type="dxa"/>
            <w:vAlign w:val="center"/>
          </w:tcPr>
          <w:p>
            <w:pPr>
              <w:jc w:val="center"/>
              <w:rPr>
                <w:noProof/>
                <w:sz w:val="20"/>
              </w:rPr>
            </w:pPr>
            <w:r>
              <w:rPr>
                <w:noProof/>
                <w:sz w:val="20"/>
              </w:rPr>
              <w:t>Година</w:t>
            </w:r>
            <w:r>
              <w:rPr>
                <w:noProof/>
              </w:rPr>
              <w:t xml:space="preserve"> </w:t>
            </w:r>
            <w:r>
              <w:rPr>
                <w:noProof/>
              </w:rPr>
              <w:br/>
            </w:r>
            <w:r>
              <w:rPr>
                <w:b/>
                <w:noProof/>
                <w:sz w:val="20"/>
              </w:rPr>
              <w:t>2024 г.</w:t>
            </w:r>
          </w:p>
        </w:tc>
        <w:tc>
          <w:tcPr>
            <w:tcW w:w="868" w:type="dxa"/>
            <w:vAlign w:val="center"/>
          </w:tcPr>
          <w:p>
            <w:pPr>
              <w:jc w:val="center"/>
              <w:rPr>
                <w:noProof/>
                <w:sz w:val="20"/>
              </w:rPr>
            </w:pPr>
            <w:r>
              <w:rPr>
                <w:noProof/>
                <w:sz w:val="20"/>
              </w:rPr>
              <w:t>Година</w:t>
            </w:r>
            <w:r>
              <w:rPr>
                <w:noProof/>
              </w:rPr>
              <w:t xml:space="preserve"> </w:t>
            </w:r>
            <w:r>
              <w:rPr>
                <w:noProof/>
              </w:rPr>
              <w:br/>
            </w:r>
            <w:r>
              <w:rPr>
                <w:b/>
                <w:noProof/>
                <w:sz w:val="20"/>
              </w:rPr>
              <w:t>2025 г.</w:t>
            </w:r>
          </w:p>
        </w:tc>
        <w:tc>
          <w:tcPr>
            <w:tcW w:w="868" w:type="dxa"/>
            <w:vAlign w:val="center"/>
          </w:tcPr>
          <w:p>
            <w:pPr>
              <w:jc w:val="center"/>
              <w:rPr>
                <w:b/>
                <w:noProof/>
                <w:sz w:val="18"/>
              </w:rPr>
            </w:pPr>
            <w:r>
              <w:rPr>
                <w:noProof/>
                <w:sz w:val="20"/>
              </w:rPr>
              <w:t>Година</w:t>
            </w:r>
            <w:r>
              <w:rPr>
                <w:noProof/>
              </w:rPr>
              <w:t xml:space="preserve"> </w:t>
            </w:r>
            <w:r>
              <w:rPr>
                <w:noProof/>
              </w:rPr>
              <w:br/>
            </w:r>
            <w:r>
              <w:rPr>
                <w:b/>
                <w:noProof/>
                <w:sz w:val="20"/>
              </w:rPr>
              <w:t>2026 г.</w:t>
            </w:r>
          </w:p>
        </w:tc>
        <w:tc>
          <w:tcPr>
            <w:tcW w:w="868" w:type="dxa"/>
            <w:vAlign w:val="center"/>
          </w:tcPr>
          <w:p>
            <w:pPr>
              <w:jc w:val="center"/>
              <w:rPr>
                <w:b/>
                <w:noProof/>
                <w:sz w:val="18"/>
              </w:rPr>
            </w:pPr>
            <w:r>
              <w:rPr>
                <w:noProof/>
                <w:sz w:val="20"/>
              </w:rPr>
              <w:t>Година</w:t>
            </w:r>
            <w:r>
              <w:rPr>
                <w:noProof/>
              </w:rPr>
              <w:t xml:space="preserve"> </w:t>
            </w:r>
            <w:r>
              <w:rPr>
                <w:noProof/>
              </w:rPr>
              <w:br/>
            </w:r>
            <w:r>
              <w:rPr>
                <w:b/>
                <w:noProof/>
                <w:sz w:val="20"/>
              </w:rPr>
              <w:t>2027 г.</w:t>
            </w:r>
          </w:p>
        </w:tc>
        <w:tc>
          <w:tcPr>
            <w:tcW w:w="868" w:type="dxa"/>
            <w:vAlign w:val="center"/>
          </w:tcPr>
          <w:p>
            <w:pPr>
              <w:jc w:val="center"/>
              <w:rPr>
                <w:b/>
                <w:noProof/>
                <w:sz w:val="18"/>
              </w:rPr>
            </w:pPr>
            <w:r>
              <w:rPr>
                <w:noProof/>
                <w:sz w:val="20"/>
              </w:rPr>
              <w:t>След</w:t>
            </w:r>
            <w:r>
              <w:rPr>
                <w:noProof/>
              </w:rPr>
              <w:t xml:space="preserve"> </w:t>
            </w:r>
            <w:r>
              <w:rPr>
                <w:noProof/>
              </w:rPr>
              <w:br/>
            </w:r>
            <w:r>
              <w:rPr>
                <w:b/>
                <w:noProof/>
                <w:sz w:val="20"/>
              </w:rPr>
              <w:t>2027 г.</w:t>
            </w:r>
          </w:p>
        </w:tc>
      </w:tr>
      <w:tr>
        <w:trPr>
          <w:jc w:val="center"/>
        </w:trPr>
        <w:tc>
          <w:tcPr>
            <w:tcW w:w="3960" w:type="dxa"/>
            <w:vMerge w:val="restart"/>
            <w:shd w:val="clear" w:color="auto" w:fill="C0C0C0"/>
          </w:tcPr>
          <w:p>
            <w:pPr>
              <w:jc w:val="center"/>
              <w:rPr>
                <w:b/>
                <w:noProof/>
              </w:rPr>
            </w:pPr>
            <w:r>
              <w:rPr>
                <w:b/>
                <w:noProof/>
                <w:sz w:val="20"/>
                <w:szCs w:val="20"/>
              </w:rPr>
              <w:t>ОБЩО бюджетни кредити</w:t>
            </w:r>
            <w:r>
              <w:rPr>
                <w:noProof/>
              </w:rPr>
              <w:br/>
            </w:r>
            <w:r>
              <w:rPr>
                <w:b/>
                <w:noProof/>
              </w:rPr>
              <w:t>за ФУНКЦИИ 1—5</w:t>
            </w:r>
            <w:r>
              <w:rPr>
                <w:noProof/>
              </w:rPr>
              <w:br/>
              <w:t>от многогодишната финансова рамка</w:t>
            </w:r>
            <w:r>
              <w:rPr>
                <w:b/>
                <w:noProof/>
                <w:sz w:val="20"/>
                <w:szCs w:val="20"/>
              </w:rPr>
              <w:t xml:space="preserve"> </w:t>
            </w:r>
          </w:p>
        </w:tc>
        <w:tc>
          <w:tcPr>
            <w:tcW w:w="2094" w:type="dxa"/>
            <w:gridSpan w:val="2"/>
            <w:vAlign w:val="center"/>
          </w:tcPr>
          <w:p>
            <w:pPr>
              <w:rPr>
                <w:noProof/>
                <w:sz w:val="14"/>
              </w:rPr>
            </w:pPr>
            <w:r>
              <w:rPr>
                <w:noProof/>
                <w:sz w:val="18"/>
              </w:rPr>
              <w:t>Поети задължения</w:t>
            </w:r>
          </w:p>
        </w:tc>
        <w:tc>
          <w:tcPr>
            <w:tcW w:w="868" w:type="dxa"/>
            <w:vAlign w:val="center"/>
          </w:tcPr>
          <w:p>
            <w:pPr>
              <w:spacing w:before="60" w:after="60"/>
              <w:jc w:val="right"/>
              <w:rPr>
                <w:noProof/>
                <w:sz w:val="18"/>
                <w:szCs w:val="18"/>
              </w:rPr>
            </w:pPr>
            <w:r>
              <w:rPr>
                <w:noProof/>
                <w:sz w:val="18"/>
                <w:szCs w:val="18"/>
              </w:rPr>
              <w:t>9,247</w:t>
            </w:r>
          </w:p>
        </w:tc>
        <w:tc>
          <w:tcPr>
            <w:tcW w:w="868" w:type="dxa"/>
            <w:vAlign w:val="center"/>
          </w:tcPr>
          <w:p>
            <w:pPr>
              <w:spacing w:before="60" w:after="60"/>
              <w:jc w:val="right"/>
              <w:rPr>
                <w:noProof/>
                <w:sz w:val="18"/>
                <w:szCs w:val="18"/>
              </w:rPr>
            </w:pPr>
            <w:r>
              <w:rPr>
                <w:noProof/>
                <w:sz w:val="18"/>
                <w:szCs w:val="18"/>
              </w:rPr>
              <w:t>9,247</w:t>
            </w:r>
          </w:p>
        </w:tc>
        <w:tc>
          <w:tcPr>
            <w:tcW w:w="868" w:type="dxa"/>
            <w:vAlign w:val="center"/>
          </w:tcPr>
          <w:p>
            <w:pPr>
              <w:spacing w:before="60" w:after="60"/>
              <w:jc w:val="right"/>
              <w:rPr>
                <w:noProof/>
                <w:sz w:val="18"/>
                <w:szCs w:val="18"/>
              </w:rPr>
            </w:pPr>
            <w:r>
              <w:rPr>
                <w:noProof/>
                <w:sz w:val="18"/>
                <w:szCs w:val="18"/>
              </w:rPr>
              <w:t>9,247</w:t>
            </w:r>
          </w:p>
        </w:tc>
        <w:tc>
          <w:tcPr>
            <w:tcW w:w="868" w:type="dxa"/>
            <w:vAlign w:val="center"/>
          </w:tcPr>
          <w:p>
            <w:pPr>
              <w:spacing w:before="60" w:after="60"/>
              <w:jc w:val="right"/>
              <w:rPr>
                <w:noProof/>
                <w:sz w:val="18"/>
                <w:szCs w:val="18"/>
              </w:rPr>
            </w:pPr>
            <w:r>
              <w:rPr>
                <w:noProof/>
                <w:sz w:val="18"/>
                <w:szCs w:val="18"/>
              </w:rPr>
              <w:t>9,247</w:t>
            </w:r>
          </w:p>
        </w:tc>
        <w:tc>
          <w:tcPr>
            <w:tcW w:w="868" w:type="dxa"/>
            <w:vAlign w:val="center"/>
          </w:tcPr>
          <w:p>
            <w:pPr>
              <w:spacing w:before="60" w:after="60"/>
              <w:jc w:val="right"/>
              <w:rPr>
                <w:noProof/>
                <w:sz w:val="18"/>
                <w:szCs w:val="18"/>
              </w:rPr>
            </w:pPr>
            <w:r>
              <w:rPr>
                <w:noProof/>
                <w:sz w:val="18"/>
                <w:szCs w:val="18"/>
              </w:rPr>
              <w:t>9,247</w:t>
            </w:r>
          </w:p>
        </w:tc>
        <w:tc>
          <w:tcPr>
            <w:tcW w:w="868" w:type="dxa"/>
            <w:vAlign w:val="center"/>
          </w:tcPr>
          <w:p>
            <w:pPr>
              <w:spacing w:before="60" w:after="60"/>
              <w:jc w:val="right"/>
              <w:rPr>
                <w:noProof/>
                <w:sz w:val="18"/>
                <w:szCs w:val="18"/>
              </w:rPr>
            </w:pPr>
            <w:r>
              <w:rPr>
                <w:noProof/>
                <w:sz w:val="18"/>
                <w:szCs w:val="18"/>
              </w:rPr>
              <w:t>9,247</w:t>
            </w:r>
          </w:p>
        </w:tc>
        <w:tc>
          <w:tcPr>
            <w:tcW w:w="868" w:type="dxa"/>
            <w:vAlign w:val="center"/>
          </w:tcPr>
          <w:p>
            <w:pPr>
              <w:spacing w:before="60" w:after="60"/>
              <w:jc w:val="right"/>
              <w:rPr>
                <w:b/>
                <w:noProof/>
                <w:sz w:val="18"/>
                <w:szCs w:val="18"/>
              </w:rPr>
            </w:pPr>
            <w:r>
              <w:rPr>
                <w:noProof/>
                <w:sz w:val="18"/>
                <w:szCs w:val="18"/>
              </w:rPr>
              <w:t>21,947</w:t>
            </w:r>
          </w:p>
        </w:tc>
      </w:tr>
      <w:tr>
        <w:trPr>
          <w:jc w:val="center"/>
        </w:trP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Плащания</w:t>
            </w:r>
          </w:p>
        </w:tc>
        <w:tc>
          <w:tcPr>
            <w:tcW w:w="868" w:type="dxa"/>
            <w:vAlign w:val="center"/>
          </w:tcPr>
          <w:p>
            <w:pPr>
              <w:spacing w:before="60" w:after="60"/>
              <w:jc w:val="right"/>
              <w:rPr>
                <w:noProof/>
                <w:sz w:val="18"/>
                <w:szCs w:val="18"/>
              </w:rPr>
            </w:pPr>
            <w:r>
              <w:rPr>
                <w:noProof/>
                <w:sz w:val="18"/>
                <w:szCs w:val="18"/>
              </w:rPr>
              <w:t>2,905</w:t>
            </w:r>
          </w:p>
        </w:tc>
        <w:tc>
          <w:tcPr>
            <w:tcW w:w="868" w:type="dxa"/>
            <w:vAlign w:val="center"/>
          </w:tcPr>
          <w:p>
            <w:pPr>
              <w:spacing w:before="60" w:after="60"/>
              <w:jc w:val="right"/>
              <w:rPr>
                <w:noProof/>
                <w:sz w:val="18"/>
                <w:szCs w:val="18"/>
              </w:rPr>
            </w:pPr>
            <w:r>
              <w:rPr>
                <w:noProof/>
                <w:sz w:val="18"/>
                <w:szCs w:val="18"/>
              </w:rPr>
              <w:t>6,869</w:t>
            </w:r>
          </w:p>
        </w:tc>
        <w:tc>
          <w:tcPr>
            <w:tcW w:w="868" w:type="dxa"/>
            <w:vAlign w:val="center"/>
          </w:tcPr>
          <w:p>
            <w:pPr>
              <w:spacing w:before="60" w:after="60"/>
              <w:jc w:val="right"/>
              <w:rPr>
                <w:noProof/>
                <w:sz w:val="18"/>
                <w:szCs w:val="18"/>
              </w:rPr>
            </w:pPr>
            <w:r>
              <w:rPr>
                <w:noProof/>
                <w:sz w:val="18"/>
                <w:szCs w:val="18"/>
              </w:rPr>
              <w:t>8,454</w:t>
            </w:r>
          </w:p>
        </w:tc>
        <w:tc>
          <w:tcPr>
            <w:tcW w:w="868" w:type="dxa"/>
            <w:vAlign w:val="center"/>
          </w:tcPr>
          <w:p>
            <w:pPr>
              <w:spacing w:before="60" w:after="60"/>
              <w:jc w:val="right"/>
              <w:rPr>
                <w:noProof/>
                <w:sz w:val="18"/>
                <w:szCs w:val="18"/>
              </w:rPr>
            </w:pPr>
            <w:r>
              <w:rPr>
                <w:noProof/>
                <w:sz w:val="18"/>
                <w:szCs w:val="18"/>
              </w:rPr>
              <w:t>9,247</w:t>
            </w:r>
          </w:p>
        </w:tc>
        <w:tc>
          <w:tcPr>
            <w:tcW w:w="868" w:type="dxa"/>
            <w:vAlign w:val="center"/>
          </w:tcPr>
          <w:p>
            <w:pPr>
              <w:spacing w:before="60" w:after="60"/>
              <w:jc w:val="right"/>
              <w:rPr>
                <w:noProof/>
                <w:sz w:val="18"/>
                <w:szCs w:val="18"/>
              </w:rPr>
            </w:pPr>
            <w:r>
              <w:rPr>
                <w:noProof/>
                <w:sz w:val="18"/>
                <w:szCs w:val="18"/>
              </w:rPr>
              <w:t>9,247</w:t>
            </w:r>
          </w:p>
        </w:tc>
        <w:tc>
          <w:tcPr>
            <w:tcW w:w="868" w:type="dxa"/>
            <w:vAlign w:val="center"/>
          </w:tcPr>
          <w:p>
            <w:pPr>
              <w:spacing w:before="60" w:after="60"/>
              <w:jc w:val="right"/>
              <w:rPr>
                <w:noProof/>
                <w:sz w:val="18"/>
                <w:szCs w:val="18"/>
              </w:rPr>
            </w:pPr>
            <w:r>
              <w:rPr>
                <w:noProof/>
                <w:sz w:val="18"/>
                <w:szCs w:val="18"/>
              </w:rPr>
              <w:t>9,247</w:t>
            </w:r>
          </w:p>
        </w:tc>
        <w:tc>
          <w:tcPr>
            <w:tcW w:w="868" w:type="dxa"/>
            <w:vAlign w:val="center"/>
          </w:tcPr>
          <w:p>
            <w:pPr>
              <w:spacing w:before="60" w:after="60"/>
              <w:jc w:val="right"/>
              <w:rPr>
                <w:b/>
                <w:noProof/>
                <w:sz w:val="18"/>
                <w:szCs w:val="18"/>
              </w:rPr>
            </w:pPr>
            <w:r>
              <w:rPr>
                <w:noProof/>
                <w:sz w:val="18"/>
                <w:szCs w:val="18"/>
              </w:rPr>
              <w:t>24,920</w:t>
            </w:r>
          </w:p>
        </w:tc>
      </w:tr>
    </w:tbl>
    <w:p>
      <w:pPr>
        <w:rPr>
          <w:noProof/>
        </w:rPr>
        <w:sectPr>
          <w:headerReference w:type="default" r:id="rId14"/>
          <w:footerReference w:type="default" r:id="rId15"/>
          <w:headerReference w:type="first" r:id="rId16"/>
          <w:footerReference w:type="first" r:id="rId17"/>
          <w:pgSz w:w="16840" w:h="11907" w:orient="landscape" w:code="9"/>
          <w:pgMar w:top="1134" w:right="1418" w:bottom="1134" w:left="1418" w:header="709" w:footer="709" w:gutter="0"/>
          <w:cols w:space="708"/>
          <w:docGrid w:linePitch="360"/>
        </w:sectPr>
      </w:pPr>
    </w:p>
    <w:p>
      <w:pPr>
        <w:pStyle w:val="ManualHeading3"/>
        <w:rPr>
          <w:bCs/>
          <w:noProof/>
          <w:szCs w:val="24"/>
        </w:rPr>
      </w:pPr>
      <w:r>
        <w:t>3.2.2.</w:t>
      </w:r>
      <w:r>
        <w:tab/>
      </w:r>
      <w:r>
        <w:rPr>
          <w:noProof/>
        </w:rPr>
        <w:t xml:space="preserve">Очаквано отражение върху бюджетните кредити за оперативни разходи </w:t>
      </w:r>
    </w:p>
    <w:p>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оперативни разходи </w:t>
      </w:r>
    </w:p>
    <w:p>
      <w:pPr>
        <w:pStyle w:val="ListDash1"/>
        <w:rPr>
          <w:noProof/>
        </w:rPr>
      </w:pPr>
      <w:r>
        <w:rPr>
          <w:noProof/>
        </w:rPr>
        <w:sym w:font="Wingdings" w:char="F0FD"/>
      </w:r>
      <w:r>
        <w:rPr>
          <w:noProof/>
        </w:rPr>
        <w:tab/>
        <w:t>Предложението/инициативата налага използване на бюджетни кредити за оперативни разходи съгласно обяснението по-долу:</w:t>
      </w:r>
    </w:p>
    <w:p>
      <w:pPr>
        <w:jc w:val="right"/>
        <w:rPr>
          <w:noProof/>
          <w:sz w:val="20"/>
        </w:rPr>
      </w:pPr>
      <w:r>
        <w:rPr>
          <w:noProof/>
          <w:sz w:val="20"/>
        </w:rPr>
        <w:t>Бюджетни кредити за поети задължения, в млн. евро (до 3-тия знак след десетичната запетая)</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814"/>
        <w:gridCol w:w="792"/>
        <w:gridCol w:w="573"/>
        <w:gridCol w:w="1267"/>
        <w:gridCol w:w="62"/>
        <w:gridCol w:w="739"/>
        <w:gridCol w:w="62"/>
        <w:gridCol w:w="898"/>
        <w:gridCol w:w="62"/>
        <w:gridCol w:w="739"/>
        <w:gridCol w:w="62"/>
        <w:gridCol w:w="1270"/>
        <w:gridCol w:w="29"/>
        <w:gridCol w:w="95"/>
      </w:tblGrid>
      <w:tr>
        <w:trPr>
          <w:gridAfter w:val="1"/>
          <w:wAfter w:w="84" w:type="dxa"/>
          <w:jc w:val="center"/>
        </w:trPr>
        <w:tc>
          <w:tcPr>
            <w:tcW w:w="1423" w:type="dxa"/>
            <w:vMerge w:val="restart"/>
            <w:vAlign w:val="center"/>
          </w:tcPr>
          <w:p>
            <w:pPr>
              <w:ind w:right="-29"/>
              <w:jc w:val="center"/>
              <w:rPr>
                <w:rFonts w:eastAsia="Times New Roman"/>
                <w:b/>
                <w:noProof/>
                <w:sz w:val="18"/>
                <w:szCs w:val="18"/>
              </w:rPr>
            </w:pPr>
            <w:r>
              <w:rPr>
                <w:b/>
                <w:noProof/>
                <w:sz w:val="18"/>
              </w:rPr>
              <w:t xml:space="preserve">Да се посочат целите и резултатите </w:t>
            </w:r>
          </w:p>
          <w:p>
            <w:pPr>
              <w:ind w:right="-29"/>
              <w:jc w:val="center"/>
              <w:rPr>
                <w:rFonts w:eastAsia="Times New Roman"/>
                <w:b/>
                <w:noProof/>
                <w:sz w:val="18"/>
                <w:szCs w:val="18"/>
                <w:lang w:eastAsia="en-GB"/>
              </w:rPr>
            </w:pPr>
          </w:p>
          <w:p>
            <w:pPr>
              <w:ind w:right="-29"/>
              <w:jc w:val="center"/>
              <w:rPr>
                <w:rFonts w:eastAsia="Times New Roman"/>
                <w:noProof/>
                <w:sz w:val="18"/>
                <w:szCs w:val="18"/>
              </w:rPr>
            </w:pPr>
            <w:r>
              <w:rPr>
                <w:noProof/>
                <w:sz w:val="18"/>
              </w:rPr>
              <w:sym w:font="Wingdings" w:char="F0F2"/>
            </w:r>
          </w:p>
        </w:tc>
        <w:tc>
          <w:tcPr>
            <w:tcW w:w="720" w:type="dxa"/>
            <w:vAlign w:val="center"/>
          </w:tcPr>
          <w:p>
            <w:pPr>
              <w:ind w:right="-29"/>
              <w:jc w:val="center"/>
              <w:rPr>
                <w:rFonts w:eastAsia="Times New Roman"/>
                <w:noProof/>
                <w:sz w:val="18"/>
                <w:szCs w:val="18"/>
                <w:lang w:eastAsia="en-GB"/>
              </w:rPr>
            </w:pPr>
          </w:p>
        </w:tc>
        <w:tc>
          <w:tcPr>
            <w:tcW w:w="701" w:type="dxa"/>
            <w:vAlign w:val="center"/>
          </w:tcPr>
          <w:p>
            <w:pPr>
              <w:ind w:right="-29"/>
              <w:jc w:val="center"/>
              <w:rPr>
                <w:rFonts w:eastAsia="Times New Roman"/>
                <w:noProof/>
                <w:sz w:val="18"/>
                <w:szCs w:val="18"/>
                <w:lang w:eastAsia="en-GB"/>
              </w:rPr>
            </w:pPr>
          </w:p>
        </w:tc>
        <w:tc>
          <w:tcPr>
            <w:tcW w:w="1680" w:type="dxa"/>
            <w:gridSpan w:val="3"/>
            <w:tcBorders>
              <w:left w:val="nil"/>
            </w:tcBorders>
            <w:vAlign w:val="center"/>
          </w:tcPr>
          <w:p>
            <w:pPr>
              <w:ind w:right="-29"/>
              <w:jc w:val="center"/>
              <w:rPr>
                <w:rFonts w:eastAsia="Times New Roman"/>
                <w:noProof/>
                <w:sz w:val="18"/>
                <w:szCs w:val="18"/>
              </w:rPr>
            </w:pPr>
            <w:r>
              <w:rPr>
                <w:noProof/>
                <w:sz w:val="18"/>
              </w:rPr>
              <w:t>Години</w:t>
            </w:r>
            <w:r>
              <w:rPr>
                <w:noProof/>
              </w:rPr>
              <w:t xml:space="preserve"> </w:t>
            </w:r>
            <w:r>
              <w:rPr>
                <w:noProof/>
              </w:rPr>
              <w:br/>
            </w:r>
            <w:r>
              <w:rPr>
                <w:b/>
                <w:noProof/>
                <w:sz w:val="18"/>
              </w:rPr>
              <w:t>2022—2028 г.</w:t>
            </w:r>
            <w:r>
              <w:rPr>
                <w:rStyle w:val="FootnoteReference"/>
                <w:rFonts w:eastAsia="Times New Roman"/>
                <w:b/>
                <w:noProof/>
                <w:sz w:val="18"/>
                <w:szCs w:val="18"/>
                <w:lang w:eastAsia="en-GB"/>
              </w:rPr>
              <w:footnoteReference w:id="67"/>
            </w:r>
          </w:p>
        </w:tc>
        <w:tc>
          <w:tcPr>
            <w:tcW w:w="1559" w:type="dxa"/>
            <w:gridSpan w:val="4"/>
            <w:vAlign w:val="center"/>
          </w:tcPr>
          <w:p>
            <w:pPr>
              <w:ind w:right="-29"/>
              <w:jc w:val="center"/>
              <w:rPr>
                <w:rFonts w:eastAsia="Times New Roman"/>
                <w:noProof/>
                <w:sz w:val="18"/>
                <w:szCs w:val="18"/>
              </w:rPr>
            </w:pPr>
            <w:r>
              <w:rPr>
                <w:b/>
                <w:noProof/>
                <w:sz w:val="18"/>
              </w:rPr>
              <w:t>ОБЩО за етапа на изпълнение</w:t>
            </w:r>
          </w:p>
        </w:tc>
        <w:tc>
          <w:tcPr>
            <w:tcW w:w="1859" w:type="dxa"/>
            <w:gridSpan w:val="4"/>
            <w:vAlign w:val="center"/>
          </w:tcPr>
          <w:p>
            <w:pPr>
              <w:ind w:right="-29"/>
              <w:jc w:val="center"/>
              <w:rPr>
                <w:rFonts w:eastAsia="Times New Roman"/>
                <w:noProof/>
                <w:sz w:val="18"/>
                <w:szCs w:val="18"/>
              </w:rPr>
            </w:pPr>
            <w:r>
              <w:rPr>
                <w:noProof/>
                <w:sz w:val="18"/>
              </w:rPr>
              <w:t>Година</w:t>
            </w:r>
            <w:r>
              <w:rPr>
                <w:noProof/>
              </w:rPr>
              <w:t xml:space="preserve"> </w:t>
            </w:r>
            <w:r>
              <w:rPr>
                <w:noProof/>
              </w:rPr>
              <w:br/>
            </w:r>
            <w:r>
              <w:rPr>
                <w:b/>
                <w:noProof/>
                <w:sz w:val="18"/>
              </w:rPr>
              <w:t>след 2029 г.</w:t>
            </w:r>
          </w:p>
        </w:tc>
      </w:tr>
      <w:tr>
        <w:trPr>
          <w:gridAfter w:val="14"/>
          <w:wAfter w:w="6603" w:type="dxa"/>
          <w:trHeight w:val="453"/>
          <w:jc w:val="center"/>
        </w:trPr>
        <w:tc>
          <w:tcPr>
            <w:tcW w:w="1423" w:type="dxa"/>
            <w:vMerge/>
            <w:vAlign w:val="center"/>
          </w:tcPr>
          <w:p>
            <w:pPr>
              <w:ind w:right="-29"/>
              <w:jc w:val="center"/>
              <w:rPr>
                <w:rFonts w:eastAsia="Times New Roman"/>
                <w:noProof/>
                <w:sz w:val="18"/>
                <w:szCs w:val="18"/>
                <w:lang w:eastAsia="en-GB"/>
              </w:rPr>
            </w:pPr>
          </w:p>
        </w:tc>
      </w:tr>
      <w:tr>
        <w:trPr>
          <w:cantSplit/>
          <w:trHeight w:val="1134"/>
          <w:jc w:val="center"/>
        </w:trPr>
        <w:tc>
          <w:tcPr>
            <w:tcW w:w="1423" w:type="dxa"/>
            <w:vMerge/>
            <w:vAlign w:val="center"/>
          </w:tcPr>
          <w:p>
            <w:pPr>
              <w:rPr>
                <w:rFonts w:eastAsia="Times New Roman"/>
                <w:noProof/>
                <w:sz w:val="18"/>
                <w:szCs w:val="18"/>
                <w:lang w:eastAsia="en-GB"/>
              </w:rPr>
            </w:pPr>
          </w:p>
        </w:tc>
        <w:tc>
          <w:tcPr>
            <w:tcW w:w="720" w:type="dxa"/>
            <w:vAlign w:val="center"/>
          </w:tcPr>
          <w:p>
            <w:pPr>
              <w:jc w:val="center"/>
              <w:rPr>
                <w:rFonts w:eastAsia="Times New Roman"/>
                <w:noProof/>
                <w:sz w:val="18"/>
                <w:szCs w:val="18"/>
              </w:rPr>
            </w:pPr>
            <w:r>
              <w:rPr>
                <w:noProof/>
              </w:rPr>
              <w:t>Вид</w:t>
            </w:r>
            <w:r>
              <w:rPr>
                <w:rStyle w:val="FootnoteReference"/>
                <w:noProof/>
              </w:rPr>
              <w:footnoteReference w:id="68"/>
            </w:r>
          </w:p>
          <w:p>
            <w:pPr>
              <w:spacing w:after="0"/>
              <w:jc w:val="center"/>
              <w:rPr>
                <w:rFonts w:eastAsia="Times New Roman"/>
                <w:noProof/>
                <w:sz w:val="18"/>
                <w:szCs w:val="18"/>
                <w:lang w:eastAsia="en-GB"/>
              </w:rPr>
            </w:pPr>
          </w:p>
        </w:tc>
        <w:tc>
          <w:tcPr>
            <w:tcW w:w="701" w:type="dxa"/>
            <w:vAlign w:val="center"/>
          </w:tcPr>
          <w:p>
            <w:pPr>
              <w:jc w:val="center"/>
              <w:rPr>
                <w:rFonts w:eastAsia="Times New Roman"/>
                <w:noProof/>
                <w:sz w:val="18"/>
                <w:szCs w:val="18"/>
              </w:rPr>
            </w:pPr>
            <w:r>
              <w:rPr>
                <w:noProof/>
                <w:sz w:val="18"/>
              </w:rPr>
              <w:t>Средни разходи</w:t>
            </w:r>
          </w:p>
        </w:tc>
        <w:tc>
          <w:tcPr>
            <w:tcW w:w="504" w:type="dxa"/>
            <w:tcBorders>
              <w:left w:val="nil"/>
              <w:right w:val="dashSmallGap" w:sz="4" w:space="0" w:color="auto"/>
            </w:tcBorders>
            <w:shd w:val="pct10" w:color="auto" w:fill="auto"/>
            <w:textDirection w:val="btLr"/>
            <w:vAlign w:val="center"/>
          </w:tcPr>
          <w:p>
            <w:pPr>
              <w:ind w:left="113" w:right="113"/>
              <w:jc w:val="center"/>
              <w:rPr>
                <w:rFonts w:eastAsia="Times New Roman"/>
                <w:noProof/>
                <w:sz w:val="18"/>
                <w:szCs w:val="18"/>
              </w:rPr>
            </w:pPr>
            <w:r>
              <w:rPr>
                <w:noProof/>
                <w:sz w:val="18"/>
              </w:rPr>
              <w:t>№</w:t>
            </w:r>
          </w:p>
        </w:tc>
        <w:tc>
          <w:tcPr>
            <w:tcW w:w="1176" w:type="dxa"/>
            <w:gridSpan w:val="2"/>
            <w:tcBorders>
              <w:left w:val="dashSmallGap" w:sz="4" w:space="0" w:color="auto"/>
            </w:tcBorders>
            <w:shd w:val="pct10" w:color="auto" w:fill="auto"/>
            <w:vAlign w:val="center"/>
          </w:tcPr>
          <w:p>
            <w:pPr>
              <w:jc w:val="center"/>
              <w:rPr>
                <w:rFonts w:eastAsia="Times New Roman"/>
                <w:noProof/>
                <w:sz w:val="18"/>
                <w:szCs w:val="18"/>
              </w:rPr>
            </w:pPr>
            <w:r>
              <w:rPr>
                <w:noProof/>
                <w:sz w:val="18"/>
              </w:rPr>
              <w:t>Разходи</w:t>
            </w:r>
          </w:p>
        </w:tc>
        <w:tc>
          <w:tcPr>
            <w:tcW w:w="709" w:type="dxa"/>
            <w:gridSpan w:val="2"/>
            <w:tcBorders>
              <w:right w:val="dashSmallGap" w:sz="4" w:space="0" w:color="auto"/>
            </w:tcBorders>
            <w:shd w:val="pct10" w:color="auto" w:fill="auto"/>
            <w:textDirection w:val="btLr"/>
            <w:vAlign w:val="center"/>
          </w:tcPr>
          <w:p>
            <w:pPr>
              <w:ind w:left="113" w:right="113"/>
              <w:jc w:val="center"/>
              <w:rPr>
                <w:rFonts w:eastAsia="Times New Roman"/>
                <w:noProof/>
                <w:sz w:val="18"/>
                <w:szCs w:val="18"/>
              </w:rPr>
            </w:pPr>
            <w:r>
              <w:rPr>
                <w:noProof/>
                <w:sz w:val="18"/>
              </w:rPr>
              <w:t>№</w:t>
            </w:r>
          </w:p>
        </w:tc>
        <w:tc>
          <w:tcPr>
            <w:tcW w:w="850" w:type="dxa"/>
            <w:gridSpan w:val="2"/>
            <w:tcBorders>
              <w:left w:val="dashSmallGap" w:sz="4" w:space="0" w:color="auto"/>
            </w:tcBorders>
            <w:shd w:val="pct10" w:color="auto" w:fill="auto"/>
            <w:vAlign w:val="center"/>
          </w:tcPr>
          <w:p>
            <w:pPr>
              <w:jc w:val="center"/>
              <w:rPr>
                <w:rFonts w:eastAsia="Times New Roman"/>
                <w:noProof/>
                <w:sz w:val="18"/>
                <w:szCs w:val="18"/>
              </w:rPr>
            </w:pPr>
            <w:r>
              <w:rPr>
                <w:noProof/>
                <w:sz w:val="18"/>
              </w:rPr>
              <w:t>Разходи</w:t>
            </w:r>
          </w:p>
        </w:tc>
        <w:tc>
          <w:tcPr>
            <w:tcW w:w="709" w:type="dxa"/>
            <w:gridSpan w:val="2"/>
            <w:tcBorders>
              <w:right w:val="dashSmallGap" w:sz="4" w:space="0" w:color="auto"/>
            </w:tcBorders>
            <w:shd w:val="pct10" w:color="auto" w:fill="auto"/>
            <w:textDirection w:val="btLr"/>
            <w:vAlign w:val="center"/>
          </w:tcPr>
          <w:p>
            <w:pPr>
              <w:ind w:left="113" w:right="113"/>
              <w:jc w:val="center"/>
              <w:rPr>
                <w:rFonts w:eastAsia="Times New Roman"/>
                <w:noProof/>
                <w:sz w:val="18"/>
                <w:szCs w:val="18"/>
              </w:rPr>
            </w:pPr>
            <w:r>
              <w:rPr>
                <w:noProof/>
                <w:sz w:val="18"/>
              </w:rPr>
              <w:t>№</w:t>
            </w:r>
          </w:p>
        </w:tc>
        <w:tc>
          <w:tcPr>
            <w:tcW w:w="1234" w:type="dxa"/>
            <w:gridSpan w:val="3"/>
            <w:tcBorders>
              <w:left w:val="dashSmallGap" w:sz="4" w:space="0" w:color="auto"/>
            </w:tcBorders>
            <w:shd w:val="pct10" w:color="auto" w:fill="auto"/>
            <w:vAlign w:val="center"/>
          </w:tcPr>
          <w:p>
            <w:pPr>
              <w:jc w:val="center"/>
              <w:rPr>
                <w:rFonts w:eastAsia="Times New Roman"/>
                <w:noProof/>
                <w:sz w:val="18"/>
                <w:szCs w:val="18"/>
              </w:rPr>
            </w:pPr>
            <w:r>
              <w:rPr>
                <w:noProof/>
                <w:sz w:val="18"/>
              </w:rPr>
              <w:t>Разходи</w:t>
            </w:r>
          </w:p>
        </w:tc>
      </w:tr>
      <w:tr>
        <w:trPr>
          <w:gridAfter w:val="11"/>
          <w:wAfter w:w="4675" w:type="dxa"/>
          <w:jc w:val="center"/>
        </w:trPr>
        <w:tc>
          <w:tcPr>
            <w:tcW w:w="3351" w:type="dxa"/>
            <w:gridSpan w:val="4"/>
            <w:vAlign w:val="center"/>
          </w:tcPr>
          <w:p>
            <w:pPr>
              <w:spacing w:before="60" w:after="60"/>
              <w:ind w:right="-29"/>
              <w:jc w:val="center"/>
              <w:rPr>
                <w:rFonts w:eastAsia="Times New Roman"/>
                <w:noProof/>
                <w:sz w:val="18"/>
                <w:szCs w:val="18"/>
              </w:rPr>
            </w:pPr>
            <w:r>
              <w:rPr>
                <w:noProof/>
              </w:rPr>
              <w:t>КОНКРЕТНИ ЦЕЛИ № 1–3</w:t>
            </w:r>
            <w:r>
              <w:rPr>
                <w:rStyle w:val="FootnoteReference"/>
                <w:noProof/>
              </w:rPr>
              <w:footnoteReference w:id="69"/>
            </w:r>
          </w:p>
        </w:tc>
      </w:tr>
      <w:tr>
        <w:trPr>
          <w:gridAfter w:val="2"/>
          <w:wAfter w:w="110" w:type="dxa"/>
          <w:trHeight w:val="816"/>
          <w:jc w:val="center"/>
        </w:trPr>
        <w:tc>
          <w:tcPr>
            <w:tcW w:w="2844" w:type="dxa"/>
            <w:gridSpan w:val="3"/>
            <w:tcBorders>
              <w:bottom w:val="single" w:sz="12" w:space="0" w:color="auto"/>
            </w:tcBorders>
            <w:vAlign w:val="center"/>
          </w:tcPr>
          <w:p>
            <w:pPr>
              <w:ind w:right="-29"/>
              <w:rPr>
                <w:noProof/>
                <w:color w:val="000000"/>
                <w:sz w:val="18"/>
                <w:szCs w:val="18"/>
              </w:rPr>
            </w:pPr>
            <w:r>
              <w:rPr>
                <w:noProof/>
                <w:sz w:val="18"/>
              </w:rPr>
              <w:t>Разработване, интегриране и експлоатация на системата EU CSW-CERTEX, което ще допринесат за постигане на 3-те специфични цели.</w:t>
            </w:r>
            <w:r>
              <w:rPr>
                <w:noProof/>
                <w:color w:val="000000"/>
                <w:sz w:val="18"/>
                <w:szCs w:val="18"/>
              </w:rPr>
              <w:t xml:space="preserve"> </w:t>
            </w:r>
          </w:p>
          <w:p>
            <w:pPr>
              <w:ind w:right="-29"/>
              <w:jc w:val="center"/>
              <w:rPr>
                <w:rFonts w:eastAsia="Times New Roman"/>
                <w:noProof/>
                <w:sz w:val="18"/>
                <w:szCs w:val="18"/>
                <w:lang w:eastAsia="en-GB"/>
              </w:rPr>
            </w:pPr>
          </w:p>
        </w:tc>
        <w:tc>
          <w:tcPr>
            <w:tcW w:w="504" w:type="dxa"/>
            <w:tcBorders>
              <w:bottom w:val="single" w:sz="12" w:space="0" w:color="auto"/>
            </w:tcBorders>
          </w:tcPr>
          <w:p>
            <w:pPr>
              <w:ind w:right="-29"/>
              <w:jc w:val="right"/>
              <w:rPr>
                <w:rFonts w:eastAsia="Times New Roman"/>
                <w:noProof/>
                <w:sz w:val="18"/>
                <w:szCs w:val="18"/>
              </w:rPr>
            </w:pPr>
            <w:r>
              <w:rPr>
                <w:noProof/>
                <w:sz w:val="18"/>
                <w:szCs w:val="18"/>
              </w:rPr>
              <w:t>N/A</w:t>
            </w:r>
          </w:p>
        </w:tc>
        <w:tc>
          <w:tcPr>
            <w:tcW w:w="1121" w:type="dxa"/>
            <w:tcBorders>
              <w:bottom w:val="single" w:sz="12" w:space="0" w:color="auto"/>
            </w:tcBorders>
          </w:tcPr>
          <w:p>
            <w:pPr>
              <w:ind w:right="-29"/>
              <w:jc w:val="right"/>
              <w:rPr>
                <w:rFonts w:eastAsia="Times New Roman"/>
                <w:noProof/>
                <w:sz w:val="18"/>
                <w:szCs w:val="18"/>
              </w:rPr>
            </w:pPr>
            <w:r>
              <w:rPr>
                <w:noProof/>
                <w:sz w:val="18"/>
                <w:szCs w:val="18"/>
              </w:rPr>
              <w:t>9,247</w:t>
            </w:r>
          </w:p>
        </w:tc>
        <w:tc>
          <w:tcPr>
            <w:tcW w:w="709" w:type="dxa"/>
            <w:gridSpan w:val="2"/>
            <w:tcBorders>
              <w:bottom w:val="single" w:sz="12" w:space="0" w:color="auto"/>
            </w:tcBorders>
          </w:tcPr>
          <w:p>
            <w:pPr>
              <w:ind w:right="-29"/>
              <w:jc w:val="right"/>
              <w:rPr>
                <w:rFonts w:eastAsia="Times New Roman"/>
                <w:noProof/>
                <w:sz w:val="18"/>
                <w:szCs w:val="18"/>
              </w:rPr>
            </w:pPr>
            <w:r>
              <w:rPr>
                <w:noProof/>
                <w:sz w:val="18"/>
                <w:szCs w:val="18"/>
              </w:rPr>
              <w:t>N/A</w:t>
            </w:r>
          </w:p>
        </w:tc>
        <w:tc>
          <w:tcPr>
            <w:tcW w:w="850" w:type="dxa"/>
            <w:gridSpan w:val="2"/>
            <w:tcBorders>
              <w:bottom w:val="single" w:sz="12" w:space="0" w:color="auto"/>
            </w:tcBorders>
          </w:tcPr>
          <w:p>
            <w:pPr>
              <w:ind w:right="-29"/>
              <w:jc w:val="right"/>
              <w:rPr>
                <w:rFonts w:eastAsia="Times New Roman"/>
                <w:b/>
                <w:noProof/>
                <w:sz w:val="18"/>
                <w:szCs w:val="18"/>
              </w:rPr>
            </w:pPr>
            <w:r>
              <w:rPr>
                <w:b/>
                <w:noProof/>
                <w:sz w:val="18"/>
                <w:szCs w:val="18"/>
              </w:rPr>
              <w:t>64,730</w:t>
            </w:r>
          </w:p>
        </w:tc>
        <w:tc>
          <w:tcPr>
            <w:tcW w:w="709" w:type="dxa"/>
            <w:gridSpan w:val="2"/>
            <w:tcBorders>
              <w:bottom w:val="single" w:sz="12" w:space="0" w:color="auto"/>
            </w:tcBorders>
          </w:tcPr>
          <w:p>
            <w:pPr>
              <w:ind w:right="-29"/>
              <w:jc w:val="right"/>
              <w:rPr>
                <w:rFonts w:eastAsia="Times New Roman"/>
                <w:noProof/>
                <w:sz w:val="18"/>
                <w:szCs w:val="18"/>
              </w:rPr>
            </w:pPr>
            <w:r>
              <w:rPr>
                <w:noProof/>
                <w:sz w:val="18"/>
                <w:szCs w:val="18"/>
              </w:rPr>
              <w:t>N/A</w:t>
            </w:r>
          </w:p>
        </w:tc>
        <w:tc>
          <w:tcPr>
            <w:tcW w:w="1179" w:type="dxa"/>
            <w:gridSpan w:val="2"/>
            <w:tcBorders>
              <w:bottom w:val="single" w:sz="12" w:space="0" w:color="auto"/>
            </w:tcBorders>
          </w:tcPr>
          <w:p>
            <w:pPr>
              <w:ind w:right="-29"/>
              <w:jc w:val="right"/>
              <w:rPr>
                <w:rFonts w:eastAsia="Times New Roman"/>
                <w:noProof/>
                <w:sz w:val="18"/>
                <w:szCs w:val="18"/>
              </w:rPr>
            </w:pPr>
            <w:r>
              <w:rPr>
                <w:noProof/>
                <w:color w:val="000000"/>
                <w:sz w:val="18"/>
                <w:szCs w:val="18"/>
              </w:rPr>
              <w:t>6,350</w:t>
            </w:r>
          </w:p>
        </w:tc>
      </w:tr>
      <w:tr>
        <w:trPr>
          <w:gridAfter w:val="2"/>
          <w:wAfter w:w="110" w:type="dxa"/>
          <w:trHeight w:hRule="exact" w:val="397"/>
          <w:jc w:val="center"/>
        </w:trPr>
        <w:tc>
          <w:tcPr>
            <w:tcW w:w="2844" w:type="dxa"/>
            <w:gridSpan w:val="3"/>
            <w:tcBorders>
              <w:bottom w:val="single" w:sz="12" w:space="0" w:color="auto"/>
            </w:tcBorders>
            <w:vAlign w:val="center"/>
          </w:tcPr>
          <w:p>
            <w:pPr>
              <w:ind w:right="-29"/>
              <w:jc w:val="center"/>
              <w:rPr>
                <w:rFonts w:eastAsia="Times New Roman"/>
                <w:noProof/>
                <w:sz w:val="18"/>
                <w:szCs w:val="18"/>
                <w:lang w:eastAsia="en-GB"/>
              </w:rPr>
            </w:pPr>
          </w:p>
        </w:tc>
        <w:tc>
          <w:tcPr>
            <w:tcW w:w="504" w:type="dxa"/>
            <w:tcBorders>
              <w:bottom w:val="single" w:sz="12" w:space="0" w:color="auto"/>
            </w:tcBorders>
          </w:tcPr>
          <w:p>
            <w:pPr>
              <w:ind w:right="-29"/>
              <w:jc w:val="center"/>
              <w:rPr>
                <w:rFonts w:eastAsia="Times New Roman"/>
                <w:noProof/>
                <w:sz w:val="18"/>
                <w:szCs w:val="18"/>
                <w:lang w:eastAsia="en-GB"/>
              </w:rPr>
            </w:pPr>
          </w:p>
        </w:tc>
        <w:tc>
          <w:tcPr>
            <w:tcW w:w="1121" w:type="dxa"/>
            <w:tcBorders>
              <w:bottom w:val="single" w:sz="12" w:space="0" w:color="auto"/>
            </w:tcBorders>
          </w:tcPr>
          <w:p>
            <w:pPr>
              <w:ind w:right="-29"/>
              <w:jc w:val="center"/>
              <w:rPr>
                <w:rFonts w:ascii="Calibri" w:hAnsi="Calibri"/>
                <w:noProof/>
                <w:color w:val="000000"/>
              </w:rPr>
            </w:pPr>
          </w:p>
        </w:tc>
        <w:tc>
          <w:tcPr>
            <w:tcW w:w="709" w:type="dxa"/>
            <w:gridSpan w:val="2"/>
            <w:tcBorders>
              <w:bottom w:val="single" w:sz="12" w:space="0" w:color="auto"/>
            </w:tcBorders>
          </w:tcPr>
          <w:p>
            <w:pPr>
              <w:ind w:right="-29"/>
              <w:jc w:val="center"/>
              <w:rPr>
                <w:rFonts w:eastAsia="Times New Roman"/>
                <w:noProof/>
                <w:sz w:val="18"/>
                <w:szCs w:val="18"/>
                <w:lang w:eastAsia="en-GB"/>
              </w:rPr>
            </w:pPr>
          </w:p>
        </w:tc>
        <w:tc>
          <w:tcPr>
            <w:tcW w:w="850" w:type="dxa"/>
            <w:gridSpan w:val="2"/>
            <w:tcBorders>
              <w:bottom w:val="single" w:sz="12" w:space="0" w:color="auto"/>
            </w:tcBorders>
          </w:tcPr>
          <w:p>
            <w:pPr>
              <w:ind w:right="-29"/>
              <w:jc w:val="center"/>
              <w:rPr>
                <w:rFonts w:ascii="Calibri" w:hAnsi="Calibri"/>
                <w:noProof/>
                <w:color w:val="000000"/>
              </w:rPr>
            </w:pPr>
          </w:p>
        </w:tc>
        <w:tc>
          <w:tcPr>
            <w:tcW w:w="709" w:type="dxa"/>
            <w:gridSpan w:val="2"/>
            <w:tcBorders>
              <w:bottom w:val="single" w:sz="12" w:space="0" w:color="auto"/>
            </w:tcBorders>
          </w:tcPr>
          <w:p>
            <w:pPr>
              <w:ind w:right="-29"/>
              <w:jc w:val="center"/>
              <w:rPr>
                <w:rFonts w:eastAsia="Times New Roman"/>
                <w:noProof/>
                <w:sz w:val="18"/>
                <w:szCs w:val="18"/>
                <w:lang w:eastAsia="en-GB"/>
              </w:rPr>
            </w:pPr>
          </w:p>
        </w:tc>
        <w:tc>
          <w:tcPr>
            <w:tcW w:w="1179" w:type="dxa"/>
            <w:gridSpan w:val="2"/>
            <w:tcBorders>
              <w:bottom w:val="single" w:sz="12" w:space="0" w:color="auto"/>
            </w:tcBorders>
          </w:tcPr>
          <w:p>
            <w:pPr>
              <w:ind w:right="-29"/>
              <w:jc w:val="center"/>
              <w:rPr>
                <w:rFonts w:ascii="Calibri" w:hAnsi="Calibri"/>
                <w:noProof/>
                <w:color w:val="000000"/>
              </w:rPr>
            </w:pPr>
          </w:p>
        </w:tc>
      </w:tr>
      <w:tr>
        <w:trPr>
          <w:gridAfter w:val="2"/>
          <w:wAfter w:w="110" w:type="dxa"/>
          <w:trHeight w:hRule="exact" w:val="397"/>
          <w:jc w:val="center"/>
        </w:trPr>
        <w:tc>
          <w:tcPr>
            <w:tcW w:w="2844" w:type="dxa"/>
            <w:gridSpan w:val="3"/>
          </w:tcPr>
          <w:p>
            <w:pPr>
              <w:ind w:right="-29"/>
              <w:jc w:val="center"/>
              <w:rPr>
                <w:rFonts w:eastAsia="Times New Roman"/>
                <w:i/>
                <w:noProof/>
                <w:sz w:val="16"/>
                <w:szCs w:val="16"/>
                <w:lang w:eastAsia="en-GB"/>
              </w:rPr>
            </w:pPr>
          </w:p>
        </w:tc>
        <w:tc>
          <w:tcPr>
            <w:tcW w:w="504" w:type="dxa"/>
            <w:tcBorders>
              <w:right w:val="dashSmallGap" w:sz="4" w:space="0" w:color="auto"/>
            </w:tcBorders>
          </w:tcPr>
          <w:p>
            <w:pPr>
              <w:ind w:right="-29"/>
              <w:jc w:val="center"/>
              <w:rPr>
                <w:rFonts w:eastAsia="Times New Roman"/>
                <w:noProof/>
                <w:sz w:val="18"/>
                <w:szCs w:val="18"/>
                <w:lang w:eastAsia="en-GB"/>
              </w:rPr>
            </w:pPr>
          </w:p>
        </w:tc>
        <w:tc>
          <w:tcPr>
            <w:tcW w:w="1121" w:type="dxa"/>
            <w:tcBorders>
              <w:left w:val="dashSmallGap" w:sz="4" w:space="0" w:color="auto"/>
            </w:tcBorders>
          </w:tcPr>
          <w:p>
            <w:pPr>
              <w:ind w:right="-29"/>
              <w:jc w:val="center"/>
              <w:rPr>
                <w:rFonts w:eastAsia="Times New Roman"/>
                <w:noProof/>
                <w:sz w:val="18"/>
                <w:szCs w:val="18"/>
                <w:lang w:eastAsia="en-GB"/>
              </w:rPr>
            </w:pPr>
          </w:p>
        </w:tc>
        <w:tc>
          <w:tcPr>
            <w:tcW w:w="709" w:type="dxa"/>
            <w:gridSpan w:val="2"/>
            <w:tcBorders>
              <w:right w:val="dashSmallGap" w:sz="4" w:space="0" w:color="auto"/>
            </w:tcBorders>
          </w:tcPr>
          <w:p>
            <w:pPr>
              <w:ind w:right="-29"/>
              <w:jc w:val="center"/>
              <w:rPr>
                <w:rFonts w:eastAsia="Times New Roman"/>
                <w:noProof/>
                <w:sz w:val="18"/>
                <w:szCs w:val="18"/>
                <w:lang w:eastAsia="en-GB"/>
              </w:rPr>
            </w:pPr>
          </w:p>
        </w:tc>
        <w:tc>
          <w:tcPr>
            <w:tcW w:w="850" w:type="dxa"/>
            <w:gridSpan w:val="2"/>
            <w:tcBorders>
              <w:left w:val="dashSmallGap" w:sz="4" w:space="0" w:color="auto"/>
            </w:tcBorders>
          </w:tcPr>
          <w:p>
            <w:pPr>
              <w:ind w:right="-29"/>
              <w:jc w:val="center"/>
              <w:rPr>
                <w:rFonts w:eastAsia="Times New Roman"/>
                <w:noProof/>
                <w:sz w:val="18"/>
                <w:szCs w:val="18"/>
                <w:lang w:eastAsia="en-GB"/>
              </w:rPr>
            </w:pPr>
          </w:p>
        </w:tc>
        <w:tc>
          <w:tcPr>
            <w:tcW w:w="709" w:type="dxa"/>
            <w:gridSpan w:val="2"/>
            <w:tcBorders>
              <w:right w:val="dashSmallGap" w:sz="4" w:space="0" w:color="auto"/>
            </w:tcBorders>
          </w:tcPr>
          <w:p>
            <w:pPr>
              <w:ind w:right="-29"/>
              <w:jc w:val="center"/>
              <w:rPr>
                <w:rFonts w:eastAsia="Times New Roman"/>
                <w:noProof/>
                <w:sz w:val="18"/>
                <w:szCs w:val="18"/>
                <w:lang w:eastAsia="en-GB"/>
              </w:rPr>
            </w:pPr>
          </w:p>
        </w:tc>
        <w:tc>
          <w:tcPr>
            <w:tcW w:w="1179" w:type="dxa"/>
            <w:gridSpan w:val="2"/>
            <w:tcBorders>
              <w:left w:val="dashSmallGap" w:sz="4" w:space="0" w:color="auto"/>
            </w:tcBorders>
          </w:tcPr>
          <w:p>
            <w:pPr>
              <w:ind w:right="-29"/>
              <w:jc w:val="center"/>
              <w:rPr>
                <w:rFonts w:eastAsia="Times New Roman"/>
                <w:noProof/>
                <w:sz w:val="18"/>
                <w:szCs w:val="18"/>
                <w:lang w:eastAsia="en-GB"/>
              </w:rPr>
            </w:pPr>
          </w:p>
        </w:tc>
      </w:tr>
      <w:tr>
        <w:trPr>
          <w:gridAfter w:val="2"/>
          <w:wAfter w:w="110" w:type="dxa"/>
          <w:trHeight w:val="50"/>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rFonts w:eastAsia="Times New Roman"/>
                <w:noProof/>
                <w:sz w:val="18"/>
                <w:szCs w:val="18"/>
              </w:rPr>
            </w:pPr>
            <w:r>
              <w:rPr>
                <w:b/>
                <w:noProof/>
                <w:sz w:val="18"/>
              </w:rPr>
              <w:t>ОБЩО РАЗХОДИ</w:t>
            </w:r>
          </w:p>
        </w:tc>
        <w:tc>
          <w:tcPr>
            <w:tcW w:w="504" w:type="dxa"/>
            <w:tcBorders>
              <w:top w:val="single" w:sz="12" w:space="0" w:color="auto"/>
              <w:bottom w:val="single" w:sz="12" w:space="0" w:color="auto"/>
            </w:tcBorders>
          </w:tcPr>
          <w:p>
            <w:pPr>
              <w:spacing w:before="180" w:after="180"/>
              <w:ind w:right="-29"/>
              <w:jc w:val="center"/>
              <w:rPr>
                <w:rFonts w:eastAsia="Times New Roman"/>
                <w:noProof/>
                <w:sz w:val="18"/>
                <w:szCs w:val="18"/>
              </w:rPr>
            </w:pPr>
            <w:r>
              <w:rPr>
                <w:noProof/>
                <w:sz w:val="18"/>
                <w:szCs w:val="18"/>
              </w:rPr>
              <w:t>N/A</w:t>
            </w:r>
          </w:p>
        </w:tc>
        <w:tc>
          <w:tcPr>
            <w:tcW w:w="1121" w:type="dxa"/>
            <w:tcBorders>
              <w:top w:val="single" w:sz="12" w:space="0" w:color="auto"/>
              <w:bottom w:val="single" w:sz="12" w:space="0" w:color="auto"/>
            </w:tcBorders>
          </w:tcPr>
          <w:p>
            <w:pPr>
              <w:ind w:right="-28"/>
              <w:jc w:val="center"/>
              <w:rPr>
                <w:b/>
                <w:noProof/>
                <w:sz w:val="18"/>
                <w:szCs w:val="18"/>
              </w:rPr>
            </w:pPr>
            <w:r>
              <w:rPr>
                <w:b/>
                <w:noProof/>
                <w:sz w:val="18"/>
                <w:szCs w:val="18"/>
              </w:rPr>
              <w:t xml:space="preserve">9,247 </w:t>
            </w:r>
          </w:p>
          <w:p>
            <w:pPr>
              <w:ind w:right="-28"/>
              <w:jc w:val="center"/>
              <w:rPr>
                <w:rFonts w:eastAsia="Times New Roman"/>
                <w:b/>
                <w:noProof/>
                <w:sz w:val="18"/>
                <w:szCs w:val="18"/>
              </w:rPr>
            </w:pPr>
            <w:r>
              <w:rPr>
                <w:b/>
                <w:noProof/>
                <w:sz w:val="18"/>
                <w:szCs w:val="18"/>
              </w:rPr>
              <w:t xml:space="preserve">за всяка година от изпълнението </w:t>
            </w:r>
          </w:p>
        </w:tc>
        <w:tc>
          <w:tcPr>
            <w:tcW w:w="709" w:type="dxa"/>
            <w:gridSpan w:val="2"/>
            <w:tcBorders>
              <w:top w:val="single" w:sz="12" w:space="0" w:color="auto"/>
              <w:bottom w:val="single" w:sz="12" w:space="0" w:color="auto"/>
            </w:tcBorders>
          </w:tcPr>
          <w:p>
            <w:pPr>
              <w:spacing w:before="180" w:after="180"/>
              <w:ind w:right="-29"/>
              <w:jc w:val="center"/>
              <w:rPr>
                <w:rFonts w:eastAsia="Times New Roman"/>
                <w:noProof/>
                <w:sz w:val="18"/>
                <w:szCs w:val="18"/>
              </w:rPr>
            </w:pPr>
            <w:r>
              <w:rPr>
                <w:noProof/>
                <w:sz w:val="18"/>
                <w:szCs w:val="18"/>
              </w:rPr>
              <w:t>N/A</w:t>
            </w:r>
          </w:p>
        </w:tc>
        <w:tc>
          <w:tcPr>
            <w:tcW w:w="850" w:type="dxa"/>
            <w:gridSpan w:val="2"/>
            <w:tcBorders>
              <w:top w:val="single" w:sz="12" w:space="0" w:color="auto"/>
              <w:bottom w:val="single" w:sz="12" w:space="0" w:color="auto"/>
            </w:tcBorders>
          </w:tcPr>
          <w:p>
            <w:pPr>
              <w:ind w:right="-28"/>
              <w:jc w:val="center"/>
              <w:rPr>
                <w:rFonts w:eastAsia="Times New Roman"/>
                <w:b/>
                <w:noProof/>
                <w:sz w:val="18"/>
                <w:szCs w:val="18"/>
              </w:rPr>
            </w:pPr>
            <w:r>
              <w:rPr>
                <w:b/>
                <w:noProof/>
                <w:sz w:val="18"/>
                <w:szCs w:val="18"/>
              </w:rPr>
              <w:t>64,730</w:t>
            </w:r>
          </w:p>
          <w:p>
            <w:pPr>
              <w:ind w:right="-28"/>
              <w:jc w:val="center"/>
              <w:rPr>
                <w:rFonts w:eastAsia="Times New Roman"/>
                <w:noProof/>
                <w:sz w:val="18"/>
                <w:szCs w:val="18"/>
              </w:rPr>
            </w:pPr>
            <w:r>
              <w:rPr>
                <w:b/>
                <w:noProof/>
                <w:sz w:val="18"/>
                <w:szCs w:val="18"/>
              </w:rPr>
              <w:t>ОБЩО за етапа на изпълнение</w:t>
            </w:r>
          </w:p>
        </w:tc>
        <w:tc>
          <w:tcPr>
            <w:tcW w:w="709" w:type="dxa"/>
            <w:gridSpan w:val="2"/>
            <w:tcBorders>
              <w:top w:val="single" w:sz="12" w:space="0" w:color="auto"/>
              <w:bottom w:val="single" w:sz="12" w:space="0" w:color="auto"/>
            </w:tcBorders>
          </w:tcPr>
          <w:p>
            <w:pPr>
              <w:spacing w:before="180" w:after="180"/>
              <w:ind w:right="-29"/>
              <w:jc w:val="center"/>
              <w:rPr>
                <w:rFonts w:eastAsia="Times New Roman"/>
                <w:noProof/>
                <w:sz w:val="18"/>
                <w:szCs w:val="18"/>
              </w:rPr>
            </w:pPr>
            <w:r>
              <w:rPr>
                <w:noProof/>
                <w:sz w:val="18"/>
                <w:szCs w:val="18"/>
              </w:rPr>
              <w:t>N/A</w:t>
            </w:r>
          </w:p>
        </w:tc>
        <w:tc>
          <w:tcPr>
            <w:tcW w:w="1179" w:type="dxa"/>
            <w:gridSpan w:val="2"/>
            <w:tcBorders>
              <w:top w:val="single" w:sz="12" w:space="0" w:color="auto"/>
              <w:bottom w:val="single" w:sz="12" w:space="0" w:color="auto"/>
            </w:tcBorders>
          </w:tcPr>
          <w:p>
            <w:pPr>
              <w:spacing w:before="180" w:after="180"/>
              <w:ind w:right="-29"/>
              <w:jc w:val="center"/>
              <w:rPr>
                <w:b/>
                <w:noProof/>
                <w:color w:val="000000"/>
                <w:sz w:val="18"/>
                <w:szCs w:val="18"/>
              </w:rPr>
            </w:pPr>
            <w:r>
              <w:rPr>
                <w:b/>
                <w:noProof/>
                <w:color w:val="000000"/>
                <w:sz w:val="18"/>
                <w:szCs w:val="18"/>
              </w:rPr>
              <w:t>6,350</w:t>
            </w:r>
          </w:p>
          <w:p>
            <w:pPr>
              <w:spacing w:before="180" w:after="180"/>
              <w:ind w:right="-29"/>
              <w:jc w:val="center"/>
              <w:rPr>
                <w:rFonts w:eastAsia="Times New Roman"/>
                <w:b/>
                <w:noProof/>
                <w:sz w:val="18"/>
                <w:szCs w:val="18"/>
              </w:rPr>
            </w:pPr>
            <w:r>
              <w:rPr>
                <w:b/>
                <w:noProof/>
                <w:color w:val="000000"/>
                <w:sz w:val="18"/>
                <w:szCs w:val="18"/>
              </w:rPr>
              <w:t>за всяка година от експлоатацията</w:t>
            </w:r>
          </w:p>
        </w:tc>
      </w:tr>
    </w:tbl>
    <w:p>
      <w:pPr>
        <w:rPr>
          <w:noProof/>
        </w:rPr>
        <w:sectPr>
          <w:pgSz w:w="16840" w:h="11907" w:orient="landscape" w:code="9"/>
          <w:pgMar w:top="1134" w:right="1418" w:bottom="567" w:left="1418" w:header="709" w:footer="709" w:gutter="0"/>
          <w:cols w:space="708"/>
          <w:docGrid w:linePitch="360"/>
        </w:sectPr>
      </w:pPr>
    </w:p>
    <w:p>
      <w:pPr>
        <w:pStyle w:val="ManualHeading3"/>
        <w:rPr>
          <w:bCs/>
          <w:noProof/>
          <w:szCs w:val="24"/>
        </w:rPr>
      </w:pPr>
      <w:r>
        <w:t>3.2.3.</w:t>
      </w:r>
      <w:r>
        <w:tab/>
      </w:r>
      <w:r>
        <w:rPr>
          <w:noProof/>
        </w:rPr>
        <w:t>Очаквано отражение върху бюджетните кредити за административни разходи</w:t>
      </w:r>
    </w:p>
    <w:p>
      <w:pPr>
        <w:pStyle w:val="ManualHeading4"/>
        <w:rPr>
          <w:noProof/>
        </w:rPr>
      </w:pPr>
      <w:r>
        <w:t>3.2.3.1.</w:t>
      </w:r>
      <w:r>
        <w:tab/>
      </w:r>
      <w:r>
        <w:rPr>
          <w:noProof/>
        </w:rPr>
        <w:t xml:space="preserve">Резюме </w:t>
      </w:r>
    </w:p>
    <w:p>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административни разходи </w:t>
      </w:r>
    </w:p>
    <w:p>
      <w:pPr>
        <w:pStyle w:val="ListDash1"/>
        <w:rPr>
          <w:noProof/>
        </w:rPr>
      </w:pPr>
      <w:r>
        <w:rPr>
          <w:noProof/>
        </w:rPr>
        <w:sym w:font="Wingdings" w:char="F0FD"/>
      </w:r>
      <w:r>
        <w:rPr>
          <w:noProof/>
        </w:rPr>
        <w:tab/>
        <w:t>Предложението/инициативата налага използване на бюджетни кредити за административни разходи съгласно обяснението по-долу:</w:t>
      </w:r>
    </w:p>
    <w:p>
      <w:pPr>
        <w:rPr>
          <w:noProof/>
          <w:sz w:val="20"/>
        </w:rPr>
      </w:pPr>
      <w:r>
        <w:rPr>
          <w:noProof/>
          <w:sz w:val="20"/>
        </w:rPr>
        <w:t>млн. евро (до 3-тия знак след десетичната запетая)</w:t>
      </w:r>
    </w:p>
    <w:tbl>
      <w:tblPr>
        <w:tblW w:w="923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687"/>
        <w:gridCol w:w="770"/>
        <w:gridCol w:w="770"/>
        <w:gridCol w:w="770"/>
        <w:gridCol w:w="770"/>
        <w:gridCol w:w="770"/>
        <w:gridCol w:w="770"/>
        <w:gridCol w:w="770"/>
        <w:gridCol w:w="1156"/>
      </w:tblGrid>
      <w:tr>
        <w:trPr>
          <w:trHeight w:val="585"/>
          <w:jc w:val="center"/>
        </w:trPr>
        <w:tc>
          <w:tcPr>
            <w:tcW w:w="2687" w:type="dxa"/>
          </w:tcPr>
          <w:p>
            <w:pPr>
              <w:spacing w:before="60" w:after="60" w:line="200" w:lineRule="exact"/>
              <w:rPr>
                <w:noProof/>
                <w:sz w:val="16"/>
                <w:szCs w:val="16"/>
              </w:rPr>
            </w:pPr>
          </w:p>
        </w:tc>
        <w:tc>
          <w:tcPr>
            <w:tcW w:w="770" w:type="dxa"/>
            <w:vAlign w:val="center"/>
          </w:tcPr>
          <w:p>
            <w:pPr>
              <w:spacing w:before="60" w:after="60" w:line="200" w:lineRule="exact"/>
              <w:jc w:val="center"/>
              <w:rPr>
                <w:noProof/>
                <w:sz w:val="16"/>
                <w:szCs w:val="16"/>
              </w:rPr>
            </w:pPr>
            <w:r>
              <w:rPr>
                <w:noProof/>
                <w:sz w:val="16"/>
              </w:rPr>
              <w:t>Година</w:t>
            </w:r>
            <w:r>
              <w:rPr>
                <w:noProof/>
              </w:rPr>
              <w:t xml:space="preserve"> </w:t>
            </w:r>
            <w:r>
              <w:rPr>
                <w:noProof/>
              </w:rPr>
              <w:br/>
            </w:r>
            <w:r>
              <w:rPr>
                <w:b/>
                <w:noProof/>
                <w:sz w:val="16"/>
              </w:rPr>
              <w:t>2022 г.</w:t>
            </w:r>
            <w:r>
              <w:rPr>
                <w:rStyle w:val="FootnoteReference"/>
                <w:b/>
                <w:noProof/>
                <w:sz w:val="16"/>
              </w:rPr>
              <w:footnoteReference w:id="70"/>
            </w:r>
          </w:p>
        </w:tc>
        <w:tc>
          <w:tcPr>
            <w:tcW w:w="770" w:type="dxa"/>
            <w:vAlign w:val="center"/>
          </w:tcPr>
          <w:p>
            <w:pPr>
              <w:spacing w:before="60" w:after="60" w:line="200" w:lineRule="exact"/>
              <w:jc w:val="center"/>
              <w:rPr>
                <w:noProof/>
                <w:sz w:val="16"/>
                <w:szCs w:val="16"/>
              </w:rPr>
            </w:pPr>
            <w:r>
              <w:rPr>
                <w:noProof/>
                <w:sz w:val="16"/>
              </w:rPr>
              <w:t>Година</w:t>
            </w:r>
            <w:r>
              <w:rPr>
                <w:noProof/>
              </w:rPr>
              <w:t xml:space="preserve"> </w:t>
            </w:r>
            <w:r>
              <w:rPr>
                <w:noProof/>
              </w:rPr>
              <w:br/>
            </w:r>
            <w:r>
              <w:rPr>
                <w:b/>
                <w:noProof/>
                <w:sz w:val="16"/>
              </w:rPr>
              <w:t>2023 г.</w:t>
            </w:r>
          </w:p>
        </w:tc>
        <w:tc>
          <w:tcPr>
            <w:tcW w:w="770" w:type="dxa"/>
            <w:vAlign w:val="center"/>
          </w:tcPr>
          <w:p>
            <w:pPr>
              <w:spacing w:before="60" w:after="60" w:line="200" w:lineRule="exact"/>
              <w:jc w:val="center"/>
              <w:rPr>
                <w:noProof/>
                <w:sz w:val="16"/>
                <w:szCs w:val="16"/>
              </w:rPr>
            </w:pPr>
            <w:r>
              <w:rPr>
                <w:noProof/>
                <w:sz w:val="16"/>
              </w:rPr>
              <w:t>Година</w:t>
            </w:r>
            <w:r>
              <w:rPr>
                <w:noProof/>
              </w:rPr>
              <w:t xml:space="preserve"> </w:t>
            </w:r>
            <w:r>
              <w:rPr>
                <w:noProof/>
              </w:rPr>
              <w:br/>
            </w:r>
            <w:r>
              <w:rPr>
                <w:b/>
                <w:noProof/>
                <w:sz w:val="16"/>
              </w:rPr>
              <w:t>2024 г.</w:t>
            </w:r>
          </w:p>
        </w:tc>
        <w:tc>
          <w:tcPr>
            <w:tcW w:w="770" w:type="dxa"/>
            <w:vAlign w:val="center"/>
          </w:tcPr>
          <w:p>
            <w:pPr>
              <w:spacing w:before="60" w:after="60" w:line="200" w:lineRule="exact"/>
              <w:jc w:val="center"/>
              <w:rPr>
                <w:noProof/>
                <w:sz w:val="16"/>
                <w:szCs w:val="16"/>
              </w:rPr>
            </w:pPr>
            <w:r>
              <w:rPr>
                <w:noProof/>
                <w:sz w:val="16"/>
              </w:rPr>
              <w:t>Година</w:t>
            </w:r>
            <w:r>
              <w:rPr>
                <w:noProof/>
              </w:rPr>
              <w:t xml:space="preserve"> </w:t>
            </w:r>
            <w:r>
              <w:rPr>
                <w:noProof/>
              </w:rPr>
              <w:br/>
            </w:r>
            <w:r>
              <w:rPr>
                <w:b/>
                <w:noProof/>
                <w:sz w:val="16"/>
              </w:rPr>
              <w:t>2025 г.</w:t>
            </w:r>
          </w:p>
        </w:tc>
        <w:tc>
          <w:tcPr>
            <w:tcW w:w="770" w:type="dxa"/>
            <w:vAlign w:val="center"/>
          </w:tcPr>
          <w:p>
            <w:pPr>
              <w:spacing w:line="200" w:lineRule="exact"/>
              <w:jc w:val="center"/>
              <w:rPr>
                <w:b/>
                <w:noProof/>
                <w:sz w:val="16"/>
                <w:szCs w:val="16"/>
              </w:rPr>
            </w:pPr>
            <w:r>
              <w:rPr>
                <w:noProof/>
                <w:sz w:val="16"/>
              </w:rPr>
              <w:t>Година</w:t>
            </w:r>
            <w:r>
              <w:rPr>
                <w:noProof/>
              </w:rPr>
              <w:t xml:space="preserve"> </w:t>
            </w:r>
            <w:r>
              <w:rPr>
                <w:noProof/>
              </w:rPr>
              <w:br/>
            </w:r>
            <w:r>
              <w:rPr>
                <w:b/>
                <w:noProof/>
                <w:sz w:val="16"/>
              </w:rPr>
              <w:t>2026 г.</w:t>
            </w:r>
          </w:p>
        </w:tc>
        <w:tc>
          <w:tcPr>
            <w:tcW w:w="770" w:type="dxa"/>
            <w:vAlign w:val="center"/>
          </w:tcPr>
          <w:p>
            <w:pPr>
              <w:spacing w:line="200" w:lineRule="exact"/>
              <w:jc w:val="center"/>
              <w:rPr>
                <w:b/>
                <w:noProof/>
                <w:sz w:val="16"/>
                <w:szCs w:val="16"/>
              </w:rPr>
            </w:pPr>
            <w:r>
              <w:rPr>
                <w:noProof/>
                <w:sz w:val="16"/>
              </w:rPr>
              <w:t>Година</w:t>
            </w:r>
            <w:r>
              <w:rPr>
                <w:noProof/>
              </w:rPr>
              <w:t xml:space="preserve"> </w:t>
            </w:r>
            <w:r>
              <w:rPr>
                <w:noProof/>
              </w:rPr>
              <w:br/>
            </w:r>
            <w:r>
              <w:rPr>
                <w:b/>
                <w:noProof/>
                <w:sz w:val="16"/>
              </w:rPr>
              <w:t>2027 г.</w:t>
            </w:r>
          </w:p>
        </w:tc>
        <w:tc>
          <w:tcPr>
            <w:tcW w:w="770" w:type="dxa"/>
            <w:vAlign w:val="center"/>
          </w:tcPr>
          <w:p>
            <w:pPr>
              <w:spacing w:line="200" w:lineRule="exact"/>
              <w:jc w:val="center"/>
              <w:rPr>
                <w:b/>
                <w:noProof/>
                <w:sz w:val="16"/>
                <w:szCs w:val="16"/>
              </w:rPr>
            </w:pPr>
            <w:r>
              <w:rPr>
                <w:noProof/>
                <w:sz w:val="16"/>
              </w:rPr>
              <w:t>След</w:t>
            </w:r>
            <w:r>
              <w:rPr>
                <w:noProof/>
              </w:rPr>
              <w:t xml:space="preserve"> </w:t>
            </w:r>
            <w:r>
              <w:rPr>
                <w:noProof/>
              </w:rPr>
              <w:br/>
            </w:r>
            <w:r>
              <w:rPr>
                <w:b/>
                <w:noProof/>
                <w:sz w:val="16"/>
              </w:rPr>
              <w:t>2027 г.</w:t>
            </w:r>
          </w:p>
        </w:tc>
        <w:tc>
          <w:tcPr>
            <w:tcW w:w="1156" w:type="dxa"/>
            <w:vAlign w:val="center"/>
          </w:tcPr>
          <w:p>
            <w:pPr>
              <w:spacing w:before="60" w:after="60" w:line="200" w:lineRule="exact"/>
              <w:jc w:val="center"/>
              <w:rPr>
                <w:b/>
                <w:noProof/>
                <w:sz w:val="16"/>
                <w:szCs w:val="16"/>
              </w:rPr>
            </w:pPr>
            <w:r>
              <w:rPr>
                <w:b/>
                <w:noProof/>
                <w:sz w:val="16"/>
              </w:rPr>
              <w:t>ОБЩО</w:t>
            </w:r>
          </w:p>
        </w:tc>
      </w:tr>
    </w:tbl>
    <w:p>
      <w:pPr>
        <w:spacing w:line="200" w:lineRule="exact"/>
        <w:rPr>
          <w:noProof/>
          <w:sz w:val="16"/>
          <w:szCs w:val="16"/>
        </w:rPr>
      </w:pPr>
    </w:p>
    <w:tbl>
      <w:tblPr>
        <w:tblW w:w="923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715"/>
        <w:gridCol w:w="768"/>
        <w:gridCol w:w="768"/>
        <w:gridCol w:w="768"/>
        <w:gridCol w:w="768"/>
        <w:gridCol w:w="768"/>
        <w:gridCol w:w="768"/>
        <w:gridCol w:w="768"/>
        <w:gridCol w:w="1146"/>
      </w:tblGrid>
      <w:tr>
        <w:trPr>
          <w:trHeight w:hRule="exact" w:val="678"/>
          <w:jc w:val="center"/>
        </w:trPr>
        <w:tc>
          <w:tcPr>
            <w:tcW w:w="2715" w:type="dxa"/>
            <w:shd w:val="clear" w:color="auto" w:fill="CCCCCC"/>
            <w:vAlign w:val="center"/>
          </w:tcPr>
          <w:p>
            <w:pPr>
              <w:spacing w:before="60" w:after="60" w:line="200" w:lineRule="exact"/>
              <w:jc w:val="center"/>
              <w:rPr>
                <w:b/>
                <w:noProof/>
                <w:sz w:val="16"/>
                <w:szCs w:val="16"/>
              </w:rPr>
            </w:pPr>
            <w:r>
              <w:rPr>
                <w:b/>
                <w:noProof/>
                <w:sz w:val="16"/>
              </w:rPr>
              <w:t>ФУНКЦИЯ 5</w:t>
            </w:r>
            <w:r>
              <w:rPr>
                <w:noProof/>
              </w:rPr>
              <w:t xml:space="preserve"> </w:t>
            </w:r>
            <w:r>
              <w:rPr>
                <w:noProof/>
              </w:rPr>
              <w:br/>
            </w:r>
            <w:r>
              <w:rPr>
                <w:b/>
                <w:noProof/>
                <w:sz w:val="16"/>
              </w:rPr>
              <w:t>от многогодишната финансова рамка</w:t>
            </w:r>
          </w:p>
        </w:tc>
        <w:tc>
          <w:tcPr>
            <w:tcW w:w="768" w:type="dxa"/>
            <w:vAlign w:val="center"/>
          </w:tcPr>
          <w:p>
            <w:pPr>
              <w:spacing w:before="60" w:after="60" w:line="200" w:lineRule="exact"/>
              <w:jc w:val="right"/>
              <w:rPr>
                <w:noProof/>
                <w:sz w:val="16"/>
                <w:szCs w:val="16"/>
              </w:rPr>
            </w:pPr>
          </w:p>
        </w:tc>
        <w:tc>
          <w:tcPr>
            <w:tcW w:w="768" w:type="dxa"/>
            <w:vAlign w:val="center"/>
          </w:tcPr>
          <w:p>
            <w:pPr>
              <w:spacing w:before="60" w:after="60" w:line="200" w:lineRule="exact"/>
              <w:jc w:val="right"/>
              <w:rPr>
                <w:noProof/>
                <w:sz w:val="16"/>
                <w:szCs w:val="16"/>
              </w:rPr>
            </w:pPr>
          </w:p>
        </w:tc>
        <w:tc>
          <w:tcPr>
            <w:tcW w:w="768" w:type="dxa"/>
            <w:vAlign w:val="center"/>
          </w:tcPr>
          <w:p>
            <w:pPr>
              <w:spacing w:before="60" w:after="60" w:line="200" w:lineRule="exact"/>
              <w:jc w:val="right"/>
              <w:rPr>
                <w:noProof/>
                <w:sz w:val="16"/>
                <w:szCs w:val="16"/>
              </w:rPr>
            </w:pPr>
          </w:p>
        </w:tc>
        <w:tc>
          <w:tcPr>
            <w:tcW w:w="768" w:type="dxa"/>
            <w:vAlign w:val="center"/>
          </w:tcPr>
          <w:p>
            <w:pPr>
              <w:spacing w:before="60" w:after="60" w:line="200" w:lineRule="exact"/>
              <w:jc w:val="right"/>
              <w:rPr>
                <w:noProof/>
                <w:sz w:val="16"/>
                <w:szCs w:val="16"/>
              </w:rPr>
            </w:pPr>
          </w:p>
        </w:tc>
        <w:tc>
          <w:tcPr>
            <w:tcW w:w="768" w:type="dxa"/>
            <w:vAlign w:val="center"/>
          </w:tcPr>
          <w:p>
            <w:pPr>
              <w:spacing w:before="60" w:after="60" w:line="200" w:lineRule="exact"/>
              <w:jc w:val="right"/>
              <w:rPr>
                <w:noProof/>
                <w:sz w:val="16"/>
                <w:szCs w:val="16"/>
              </w:rPr>
            </w:pPr>
          </w:p>
        </w:tc>
        <w:tc>
          <w:tcPr>
            <w:tcW w:w="768" w:type="dxa"/>
            <w:vAlign w:val="center"/>
          </w:tcPr>
          <w:p>
            <w:pPr>
              <w:spacing w:before="60" w:after="60" w:line="200" w:lineRule="exact"/>
              <w:jc w:val="right"/>
              <w:rPr>
                <w:noProof/>
                <w:sz w:val="16"/>
                <w:szCs w:val="16"/>
              </w:rPr>
            </w:pPr>
          </w:p>
        </w:tc>
        <w:tc>
          <w:tcPr>
            <w:tcW w:w="768" w:type="dxa"/>
            <w:vAlign w:val="center"/>
          </w:tcPr>
          <w:p>
            <w:pPr>
              <w:spacing w:before="60" w:after="60" w:line="200" w:lineRule="exact"/>
              <w:jc w:val="right"/>
              <w:rPr>
                <w:b/>
                <w:noProof/>
                <w:sz w:val="16"/>
                <w:szCs w:val="16"/>
              </w:rPr>
            </w:pPr>
          </w:p>
        </w:tc>
        <w:tc>
          <w:tcPr>
            <w:tcW w:w="1146" w:type="dxa"/>
          </w:tcPr>
          <w:p>
            <w:pPr>
              <w:spacing w:before="60" w:after="60" w:line="200" w:lineRule="exact"/>
              <w:jc w:val="right"/>
              <w:rPr>
                <w:b/>
                <w:noProof/>
                <w:sz w:val="16"/>
                <w:szCs w:val="16"/>
              </w:rPr>
            </w:pPr>
          </w:p>
        </w:tc>
      </w:tr>
      <w:tr>
        <w:trPr>
          <w:trHeight w:hRule="exact" w:val="567"/>
          <w:jc w:val="center"/>
        </w:trPr>
        <w:tc>
          <w:tcPr>
            <w:tcW w:w="2715" w:type="dxa"/>
            <w:vAlign w:val="center"/>
          </w:tcPr>
          <w:p>
            <w:pPr>
              <w:spacing w:before="60" w:after="60" w:line="200" w:lineRule="exact"/>
              <w:ind w:left="72"/>
              <w:rPr>
                <w:noProof/>
                <w:sz w:val="16"/>
                <w:szCs w:val="16"/>
              </w:rPr>
            </w:pPr>
            <w:r>
              <w:rPr>
                <w:noProof/>
                <w:sz w:val="16"/>
              </w:rPr>
              <w:t xml:space="preserve">Човешки ресурси </w:t>
            </w:r>
          </w:p>
        </w:tc>
        <w:tc>
          <w:tcPr>
            <w:tcW w:w="768" w:type="dxa"/>
            <w:vAlign w:val="center"/>
          </w:tcPr>
          <w:p>
            <w:pPr>
              <w:spacing w:before="60" w:after="60" w:line="200" w:lineRule="exact"/>
              <w:jc w:val="right"/>
              <w:rPr>
                <w:noProof/>
                <w:sz w:val="16"/>
                <w:szCs w:val="16"/>
              </w:rPr>
            </w:pPr>
            <w:r>
              <w:rPr>
                <w:noProof/>
                <w:sz w:val="18"/>
                <w:szCs w:val="18"/>
              </w:rPr>
              <w:t>1,320</w:t>
            </w:r>
          </w:p>
        </w:tc>
        <w:tc>
          <w:tcPr>
            <w:tcW w:w="768" w:type="dxa"/>
            <w:vAlign w:val="center"/>
          </w:tcPr>
          <w:p>
            <w:pPr>
              <w:spacing w:before="60" w:after="60" w:line="200" w:lineRule="exact"/>
              <w:jc w:val="right"/>
              <w:rPr>
                <w:noProof/>
                <w:sz w:val="16"/>
                <w:szCs w:val="16"/>
              </w:rPr>
            </w:pPr>
            <w:r>
              <w:rPr>
                <w:noProof/>
                <w:sz w:val="18"/>
                <w:szCs w:val="18"/>
              </w:rPr>
              <w:t>1,320</w:t>
            </w:r>
          </w:p>
        </w:tc>
        <w:tc>
          <w:tcPr>
            <w:tcW w:w="768" w:type="dxa"/>
            <w:vAlign w:val="center"/>
          </w:tcPr>
          <w:p>
            <w:pPr>
              <w:spacing w:before="60" w:after="60" w:line="200" w:lineRule="exact"/>
              <w:jc w:val="right"/>
              <w:rPr>
                <w:noProof/>
                <w:sz w:val="16"/>
                <w:szCs w:val="16"/>
              </w:rPr>
            </w:pPr>
            <w:r>
              <w:rPr>
                <w:noProof/>
                <w:sz w:val="18"/>
                <w:szCs w:val="18"/>
              </w:rPr>
              <w:t>1,320</w:t>
            </w:r>
          </w:p>
        </w:tc>
        <w:tc>
          <w:tcPr>
            <w:tcW w:w="768" w:type="dxa"/>
            <w:vAlign w:val="center"/>
          </w:tcPr>
          <w:p>
            <w:pPr>
              <w:spacing w:before="60" w:after="60" w:line="200" w:lineRule="exact"/>
              <w:jc w:val="right"/>
              <w:rPr>
                <w:noProof/>
                <w:sz w:val="16"/>
                <w:szCs w:val="16"/>
              </w:rPr>
            </w:pPr>
            <w:r>
              <w:rPr>
                <w:noProof/>
                <w:sz w:val="18"/>
                <w:szCs w:val="18"/>
              </w:rPr>
              <w:t>1,320</w:t>
            </w:r>
          </w:p>
        </w:tc>
        <w:tc>
          <w:tcPr>
            <w:tcW w:w="768" w:type="dxa"/>
            <w:vAlign w:val="center"/>
          </w:tcPr>
          <w:p>
            <w:pPr>
              <w:spacing w:before="60" w:after="60" w:line="200" w:lineRule="exact"/>
              <w:jc w:val="right"/>
              <w:rPr>
                <w:noProof/>
                <w:sz w:val="16"/>
                <w:szCs w:val="16"/>
              </w:rPr>
            </w:pPr>
            <w:r>
              <w:rPr>
                <w:noProof/>
                <w:sz w:val="18"/>
                <w:szCs w:val="18"/>
              </w:rPr>
              <w:t>1,320</w:t>
            </w:r>
          </w:p>
        </w:tc>
        <w:tc>
          <w:tcPr>
            <w:tcW w:w="768" w:type="dxa"/>
            <w:vAlign w:val="center"/>
          </w:tcPr>
          <w:p>
            <w:pPr>
              <w:spacing w:before="60" w:after="60" w:line="200" w:lineRule="exact"/>
              <w:jc w:val="right"/>
              <w:rPr>
                <w:noProof/>
                <w:sz w:val="16"/>
                <w:szCs w:val="16"/>
              </w:rPr>
            </w:pPr>
            <w:r>
              <w:rPr>
                <w:noProof/>
                <w:sz w:val="18"/>
                <w:szCs w:val="18"/>
              </w:rPr>
              <w:t>1,320</w:t>
            </w:r>
          </w:p>
        </w:tc>
        <w:tc>
          <w:tcPr>
            <w:tcW w:w="768" w:type="dxa"/>
            <w:vAlign w:val="center"/>
          </w:tcPr>
          <w:p>
            <w:pPr>
              <w:spacing w:before="60" w:after="60" w:line="200" w:lineRule="exact"/>
              <w:jc w:val="right"/>
              <w:rPr>
                <w:b/>
                <w:noProof/>
                <w:sz w:val="16"/>
                <w:szCs w:val="16"/>
              </w:rPr>
            </w:pPr>
            <w:r>
              <w:rPr>
                <w:noProof/>
                <w:sz w:val="18"/>
                <w:szCs w:val="18"/>
              </w:rPr>
              <w:t>3,570</w:t>
            </w:r>
          </w:p>
        </w:tc>
        <w:tc>
          <w:tcPr>
            <w:tcW w:w="1146" w:type="dxa"/>
            <w:vAlign w:val="center"/>
          </w:tcPr>
          <w:p>
            <w:pPr>
              <w:spacing w:before="60" w:after="60" w:line="200" w:lineRule="exact"/>
              <w:jc w:val="center"/>
              <w:rPr>
                <w:b/>
                <w:noProof/>
                <w:sz w:val="16"/>
                <w:szCs w:val="16"/>
              </w:rPr>
            </w:pPr>
            <w:r>
              <w:rPr>
                <w:b/>
                <w:noProof/>
                <w:sz w:val="16"/>
                <w:szCs w:val="16"/>
              </w:rPr>
              <w:t>11.490</w:t>
            </w:r>
          </w:p>
        </w:tc>
      </w:tr>
      <w:tr>
        <w:trPr>
          <w:trHeight w:hRule="exact" w:val="567"/>
          <w:jc w:val="center"/>
        </w:trPr>
        <w:tc>
          <w:tcPr>
            <w:tcW w:w="2715" w:type="dxa"/>
            <w:vAlign w:val="center"/>
          </w:tcPr>
          <w:p>
            <w:pPr>
              <w:spacing w:before="60" w:after="60" w:line="200" w:lineRule="exact"/>
              <w:ind w:left="72"/>
              <w:rPr>
                <w:noProof/>
                <w:sz w:val="16"/>
                <w:szCs w:val="16"/>
              </w:rPr>
            </w:pPr>
            <w:r>
              <w:rPr>
                <w:noProof/>
                <w:sz w:val="16"/>
              </w:rPr>
              <w:t xml:space="preserve">Други административни разходи </w:t>
            </w:r>
          </w:p>
        </w:tc>
        <w:tc>
          <w:tcPr>
            <w:tcW w:w="768" w:type="dxa"/>
            <w:vAlign w:val="center"/>
          </w:tcPr>
          <w:p>
            <w:pPr>
              <w:spacing w:before="60" w:after="60" w:line="200" w:lineRule="exact"/>
              <w:jc w:val="right"/>
              <w:rPr>
                <w:noProof/>
                <w:sz w:val="16"/>
                <w:szCs w:val="16"/>
              </w:rPr>
            </w:pPr>
          </w:p>
        </w:tc>
        <w:tc>
          <w:tcPr>
            <w:tcW w:w="768" w:type="dxa"/>
            <w:vAlign w:val="center"/>
          </w:tcPr>
          <w:p>
            <w:pPr>
              <w:spacing w:before="60" w:after="60" w:line="200" w:lineRule="exact"/>
              <w:jc w:val="right"/>
              <w:rPr>
                <w:noProof/>
                <w:sz w:val="16"/>
                <w:szCs w:val="16"/>
              </w:rPr>
            </w:pPr>
          </w:p>
        </w:tc>
        <w:tc>
          <w:tcPr>
            <w:tcW w:w="768" w:type="dxa"/>
            <w:vAlign w:val="center"/>
          </w:tcPr>
          <w:p>
            <w:pPr>
              <w:spacing w:before="60" w:after="60" w:line="200" w:lineRule="exact"/>
              <w:jc w:val="right"/>
              <w:rPr>
                <w:noProof/>
                <w:sz w:val="16"/>
                <w:szCs w:val="16"/>
              </w:rPr>
            </w:pPr>
          </w:p>
        </w:tc>
        <w:tc>
          <w:tcPr>
            <w:tcW w:w="768" w:type="dxa"/>
            <w:vAlign w:val="center"/>
          </w:tcPr>
          <w:p>
            <w:pPr>
              <w:spacing w:before="60" w:after="60" w:line="200" w:lineRule="exact"/>
              <w:jc w:val="right"/>
              <w:rPr>
                <w:noProof/>
                <w:sz w:val="16"/>
                <w:szCs w:val="16"/>
              </w:rPr>
            </w:pPr>
          </w:p>
        </w:tc>
        <w:tc>
          <w:tcPr>
            <w:tcW w:w="768" w:type="dxa"/>
            <w:vAlign w:val="center"/>
          </w:tcPr>
          <w:p>
            <w:pPr>
              <w:spacing w:before="60" w:after="60" w:line="200" w:lineRule="exact"/>
              <w:jc w:val="right"/>
              <w:rPr>
                <w:noProof/>
                <w:sz w:val="16"/>
                <w:szCs w:val="16"/>
              </w:rPr>
            </w:pPr>
          </w:p>
        </w:tc>
        <w:tc>
          <w:tcPr>
            <w:tcW w:w="768" w:type="dxa"/>
            <w:vAlign w:val="center"/>
          </w:tcPr>
          <w:p>
            <w:pPr>
              <w:spacing w:before="60" w:after="60" w:line="200" w:lineRule="exact"/>
              <w:jc w:val="right"/>
              <w:rPr>
                <w:noProof/>
                <w:sz w:val="16"/>
                <w:szCs w:val="16"/>
              </w:rPr>
            </w:pPr>
          </w:p>
        </w:tc>
        <w:tc>
          <w:tcPr>
            <w:tcW w:w="768" w:type="dxa"/>
            <w:vAlign w:val="center"/>
          </w:tcPr>
          <w:p>
            <w:pPr>
              <w:spacing w:before="60" w:after="60" w:line="200" w:lineRule="exact"/>
              <w:jc w:val="right"/>
              <w:rPr>
                <w:b/>
                <w:noProof/>
                <w:sz w:val="16"/>
                <w:szCs w:val="16"/>
              </w:rPr>
            </w:pPr>
          </w:p>
        </w:tc>
        <w:tc>
          <w:tcPr>
            <w:tcW w:w="1146" w:type="dxa"/>
          </w:tcPr>
          <w:p>
            <w:pPr>
              <w:spacing w:before="60" w:after="60" w:line="200" w:lineRule="exact"/>
              <w:jc w:val="center"/>
              <w:rPr>
                <w:b/>
                <w:noProof/>
                <w:sz w:val="16"/>
                <w:szCs w:val="16"/>
              </w:rPr>
            </w:pPr>
          </w:p>
        </w:tc>
      </w:tr>
      <w:tr>
        <w:trPr>
          <w:trHeight w:hRule="exact" w:val="859"/>
          <w:jc w:val="center"/>
        </w:trPr>
        <w:tc>
          <w:tcPr>
            <w:tcW w:w="2715" w:type="dxa"/>
            <w:shd w:val="clear" w:color="auto" w:fill="CCCCCC"/>
            <w:vAlign w:val="center"/>
          </w:tcPr>
          <w:p>
            <w:pPr>
              <w:spacing w:before="60" w:after="60" w:line="200" w:lineRule="exact"/>
              <w:jc w:val="center"/>
              <w:rPr>
                <w:b/>
                <w:noProof/>
                <w:sz w:val="16"/>
                <w:szCs w:val="16"/>
              </w:rPr>
            </w:pPr>
            <w:r>
              <w:rPr>
                <w:b/>
                <w:noProof/>
                <w:sz w:val="16"/>
              </w:rPr>
              <w:t>Междинен сбор за ФУНКЦИЯ 5</w:t>
            </w:r>
            <w:r>
              <w:rPr>
                <w:noProof/>
              </w:rPr>
              <w:t xml:space="preserve"> </w:t>
            </w:r>
            <w:r>
              <w:rPr>
                <w:noProof/>
              </w:rPr>
              <w:br/>
            </w:r>
            <w:r>
              <w:rPr>
                <w:b/>
                <w:noProof/>
                <w:sz w:val="16"/>
              </w:rPr>
              <w:t xml:space="preserve">от многогодишната финансова рамка </w:t>
            </w:r>
          </w:p>
        </w:tc>
        <w:tc>
          <w:tcPr>
            <w:tcW w:w="768" w:type="dxa"/>
            <w:vAlign w:val="center"/>
          </w:tcPr>
          <w:p>
            <w:pPr>
              <w:spacing w:before="60" w:after="60" w:line="200" w:lineRule="exact"/>
              <w:jc w:val="right"/>
              <w:rPr>
                <w:noProof/>
                <w:sz w:val="16"/>
                <w:szCs w:val="16"/>
              </w:rPr>
            </w:pPr>
            <w:r>
              <w:rPr>
                <w:noProof/>
                <w:sz w:val="18"/>
                <w:szCs w:val="18"/>
              </w:rPr>
              <w:t>1,320</w:t>
            </w:r>
          </w:p>
        </w:tc>
        <w:tc>
          <w:tcPr>
            <w:tcW w:w="768" w:type="dxa"/>
            <w:vAlign w:val="center"/>
          </w:tcPr>
          <w:p>
            <w:pPr>
              <w:spacing w:before="60" w:after="60" w:line="200" w:lineRule="exact"/>
              <w:jc w:val="right"/>
              <w:rPr>
                <w:noProof/>
                <w:sz w:val="16"/>
                <w:szCs w:val="16"/>
              </w:rPr>
            </w:pPr>
            <w:r>
              <w:rPr>
                <w:noProof/>
                <w:sz w:val="18"/>
                <w:szCs w:val="18"/>
              </w:rPr>
              <w:t>1,320</w:t>
            </w:r>
          </w:p>
        </w:tc>
        <w:tc>
          <w:tcPr>
            <w:tcW w:w="768" w:type="dxa"/>
            <w:vAlign w:val="center"/>
          </w:tcPr>
          <w:p>
            <w:pPr>
              <w:spacing w:before="60" w:after="60" w:line="200" w:lineRule="exact"/>
              <w:jc w:val="right"/>
              <w:rPr>
                <w:b/>
                <w:noProof/>
                <w:sz w:val="16"/>
                <w:szCs w:val="16"/>
              </w:rPr>
            </w:pPr>
            <w:r>
              <w:rPr>
                <w:noProof/>
                <w:sz w:val="18"/>
                <w:szCs w:val="18"/>
              </w:rPr>
              <w:t>1,320</w:t>
            </w:r>
          </w:p>
        </w:tc>
        <w:tc>
          <w:tcPr>
            <w:tcW w:w="768" w:type="dxa"/>
            <w:vAlign w:val="center"/>
          </w:tcPr>
          <w:p>
            <w:pPr>
              <w:spacing w:before="60" w:after="60" w:line="200" w:lineRule="exact"/>
              <w:jc w:val="right"/>
              <w:rPr>
                <w:noProof/>
                <w:sz w:val="16"/>
                <w:szCs w:val="16"/>
              </w:rPr>
            </w:pPr>
            <w:r>
              <w:rPr>
                <w:noProof/>
                <w:sz w:val="18"/>
                <w:szCs w:val="18"/>
              </w:rPr>
              <w:t>1,320</w:t>
            </w:r>
          </w:p>
        </w:tc>
        <w:tc>
          <w:tcPr>
            <w:tcW w:w="768" w:type="dxa"/>
            <w:vAlign w:val="center"/>
          </w:tcPr>
          <w:p>
            <w:pPr>
              <w:spacing w:before="60" w:after="60" w:line="200" w:lineRule="exact"/>
              <w:jc w:val="right"/>
              <w:rPr>
                <w:noProof/>
                <w:sz w:val="16"/>
                <w:szCs w:val="16"/>
              </w:rPr>
            </w:pPr>
            <w:r>
              <w:rPr>
                <w:noProof/>
                <w:sz w:val="18"/>
                <w:szCs w:val="18"/>
              </w:rPr>
              <w:t>1,320</w:t>
            </w:r>
          </w:p>
        </w:tc>
        <w:tc>
          <w:tcPr>
            <w:tcW w:w="768" w:type="dxa"/>
            <w:vAlign w:val="center"/>
          </w:tcPr>
          <w:p>
            <w:pPr>
              <w:spacing w:before="60" w:after="60" w:line="200" w:lineRule="exact"/>
              <w:jc w:val="right"/>
              <w:rPr>
                <w:noProof/>
                <w:sz w:val="16"/>
                <w:szCs w:val="16"/>
              </w:rPr>
            </w:pPr>
            <w:r>
              <w:rPr>
                <w:noProof/>
                <w:sz w:val="18"/>
                <w:szCs w:val="18"/>
              </w:rPr>
              <w:t>1,320</w:t>
            </w:r>
          </w:p>
        </w:tc>
        <w:tc>
          <w:tcPr>
            <w:tcW w:w="768" w:type="dxa"/>
            <w:vAlign w:val="center"/>
          </w:tcPr>
          <w:p>
            <w:pPr>
              <w:spacing w:before="60" w:after="60" w:line="200" w:lineRule="exact"/>
              <w:jc w:val="right"/>
              <w:rPr>
                <w:b/>
                <w:noProof/>
                <w:sz w:val="16"/>
                <w:szCs w:val="16"/>
              </w:rPr>
            </w:pPr>
            <w:r>
              <w:rPr>
                <w:noProof/>
                <w:sz w:val="18"/>
                <w:szCs w:val="18"/>
              </w:rPr>
              <w:t>3,570</w:t>
            </w:r>
          </w:p>
        </w:tc>
        <w:tc>
          <w:tcPr>
            <w:tcW w:w="1146" w:type="dxa"/>
            <w:vAlign w:val="center"/>
          </w:tcPr>
          <w:p>
            <w:pPr>
              <w:spacing w:before="60" w:after="60" w:line="200" w:lineRule="exact"/>
              <w:jc w:val="center"/>
              <w:rPr>
                <w:b/>
                <w:noProof/>
                <w:sz w:val="16"/>
                <w:szCs w:val="16"/>
              </w:rPr>
            </w:pPr>
            <w:r>
              <w:rPr>
                <w:b/>
                <w:noProof/>
                <w:sz w:val="16"/>
                <w:szCs w:val="16"/>
              </w:rPr>
              <w:t>11.490</w:t>
            </w:r>
          </w:p>
        </w:tc>
      </w:tr>
    </w:tbl>
    <w:p>
      <w:pPr>
        <w:spacing w:line="200" w:lineRule="exact"/>
        <w:rPr>
          <w:noProof/>
          <w:sz w:val="16"/>
          <w:szCs w:val="16"/>
        </w:rPr>
      </w:pPr>
    </w:p>
    <w:tbl>
      <w:tblPr>
        <w:tblW w:w="901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694"/>
        <w:gridCol w:w="1324"/>
        <w:gridCol w:w="965"/>
        <w:gridCol w:w="965"/>
        <w:gridCol w:w="965"/>
        <w:gridCol w:w="965"/>
        <w:gridCol w:w="1133"/>
      </w:tblGrid>
      <w:tr>
        <w:trPr>
          <w:trHeight w:val="585"/>
          <w:jc w:val="center"/>
        </w:trPr>
        <w:tc>
          <w:tcPr>
            <w:tcW w:w="2694" w:type="dxa"/>
            <w:shd w:val="clear" w:color="auto" w:fill="CCCCCC"/>
            <w:vAlign w:val="center"/>
          </w:tcPr>
          <w:p>
            <w:pPr>
              <w:spacing w:before="60" w:after="60" w:line="200" w:lineRule="exact"/>
              <w:jc w:val="center"/>
              <w:rPr>
                <w:noProof/>
                <w:sz w:val="16"/>
                <w:szCs w:val="16"/>
              </w:rPr>
            </w:pPr>
            <w:r>
              <w:rPr>
                <w:b/>
                <w:noProof/>
                <w:sz w:val="16"/>
              </w:rPr>
              <w:t>Извън ФУНКЦИЯ 5</w:t>
            </w:r>
            <w:r>
              <w:rPr>
                <w:rStyle w:val="FootnoteReference"/>
                <w:b/>
                <w:noProof/>
                <w:sz w:val="16"/>
              </w:rPr>
              <w:footnoteReference w:id="71"/>
            </w:r>
            <w:r>
              <w:rPr>
                <w:noProof/>
              </w:rPr>
              <w:t xml:space="preserve"> </w:t>
            </w:r>
            <w:r>
              <w:rPr>
                <w:noProof/>
              </w:rPr>
              <w:br/>
            </w:r>
            <w:r>
              <w:rPr>
                <w:b/>
                <w:noProof/>
                <w:sz w:val="16"/>
              </w:rPr>
              <w:t xml:space="preserve">от многогодишната финансова рамка </w:t>
            </w:r>
          </w:p>
          <w:p>
            <w:pPr>
              <w:spacing w:after="0" w:line="200" w:lineRule="exact"/>
              <w:jc w:val="center"/>
              <w:rPr>
                <w:b/>
                <w:noProof/>
                <w:sz w:val="16"/>
                <w:szCs w:val="16"/>
              </w:rPr>
            </w:pPr>
          </w:p>
        </w:tc>
        <w:tc>
          <w:tcPr>
            <w:tcW w:w="1324" w:type="dxa"/>
            <w:vAlign w:val="center"/>
          </w:tcPr>
          <w:p>
            <w:pPr>
              <w:spacing w:before="60" w:after="60" w:line="200" w:lineRule="exact"/>
              <w:jc w:val="right"/>
              <w:rPr>
                <w:noProof/>
                <w:sz w:val="16"/>
                <w:szCs w:val="16"/>
              </w:rPr>
            </w:pPr>
          </w:p>
        </w:tc>
        <w:tc>
          <w:tcPr>
            <w:tcW w:w="965" w:type="dxa"/>
            <w:vAlign w:val="center"/>
          </w:tcPr>
          <w:p>
            <w:pPr>
              <w:spacing w:before="60" w:after="60" w:line="200" w:lineRule="exact"/>
              <w:jc w:val="right"/>
              <w:rPr>
                <w:noProof/>
                <w:sz w:val="16"/>
                <w:szCs w:val="16"/>
              </w:rPr>
            </w:pPr>
          </w:p>
        </w:tc>
        <w:tc>
          <w:tcPr>
            <w:tcW w:w="965" w:type="dxa"/>
            <w:vAlign w:val="center"/>
          </w:tcPr>
          <w:p>
            <w:pPr>
              <w:spacing w:before="60" w:after="60" w:line="200" w:lineRule="exact"/>
              <w:jc w:val="right"/>
              <w:rPr>
                <w:noProof/>
                <w:sz w:val="16"/>
                <w:szCs w:val="16"/>
              </w:rPr>
            </w:pPr>
          </w:p>
        </w:tc>
        <w:tc>
          <w:tcPr>
            <w:tcW w:w="965" w:type="dxa"/>
            <w:vAlign w:val="center"/>
          </w:tcPr>
          <w:p>
            <w:pPr>
              <w:spacing w:before="60" w:after="60" w:line="200" w:lineRule="exact"/>
              <w:jc w:val="right"/>
              <w:rPr>
                <w:noProof/>
                <w:sz w:val="16"/>
                <w:szCs w:val="16"/>
              </w:rPr>
            </w:pPr>
          </w:p>
        </w:tc>
        <w:tc>
          <w:tcPr>
            <w:tcW w:w="965" w:type="dxa"/>
            <w:vAlign w:val="center"/>
          </w:tcPr>
          <w:p>
            <w:pPr>
              <w:spacing w:before="60" w:after="60" w:line="200" w:lineRule="exact"/>
              <w:jc w:val="right"/>
              <w:rPr>
                <w:noProof/>
                <w:sz w:val="16"/>
                <w:szCs w:val="16"/>
              </w:rPr>
            </w:pPr>
          </w:p>
        </w:tc>
        <w:tc>
          <w:tcPr>
            <w:tcW w:w="1133" w:type="dxa"/>
            <w:vAlign w:val="center"/>
          </w:tcPr>
          <w:p>
            <w:pPr>
              <w:spacing w:before="60" w:after="60" w:line="200" w:lineRule="exact"/>
              <w:jc w:val="right"/>
              <w:rPr>
                <w:b/>
                <w:noProof/>
                <w:sz w:val="16"/>
                <w:szCs w:val="16"/>
              </w:rPr>
            </w:pPr>
          </w:p>
        </w:tc>
      </w:tr>
      <w:tr>
        <w:trPr>
          <w:trHeight w:val="585"/>
          <w:jc w:val="center"/>
        </w:trPr>
        <w:tc>
          <w:tcPr>
            <w:tcW w:w="2694" w:type="dxa"/>
            <w:vAlign w:val="center"/>
          </w:tcPr>
          <w:p>
            <w:pPr>
              <w:spacing w:before="60" w:after="60" w:line="200" w:lineRule="exact"/>
              <w:ind w:left="72"/>
              <w:rPr>
                <w:noProof/>
                <w:sz w:val="16"/>
                <w:szCs w:val="16"/>
              </w:rPr>
            </w:pPr>
            <w:r>
              <w:rPr>
                <w:noProof/>
                <w:sz w:val="16"/>
              </w:rPr>
              <w:t xml:space="preserve">Човешки ресурси </w:t>
            </w:r>
          </w:p>
        </w:tc>
        <w:tc>
          <w:tcPr>
            <w:tcW w:w="1324" w:type="dxa"/>
            <w:vAlign w:val="center"/>
          </w:tcPr>
          <w:p>
            <w:pPr>
              <w:spacing w:before="60" w:after="60" w:line="200" w:lineRule="exact"/>
              <w:jc w:val="right"/>
              <w:rPr>
                <w:noProof/>
                <w:sz w:val="16"/>
                <w:szCs w:val="16"/>
              </w:rPr>
            </w:pPr>
          </w:p>
        </w:tc>
        <w:tc>
          <w:tcPr>
            <w:tcW w:w="965" w:type="dxa"/>
            <w:vAlign w:val="center"/>
          </w:tcPr>
          <w:p>
            <w:pPr>
              <w:spacing w:before="60" w:after="60" w:line="200" w:lineRule="exact"/>
              <w:jc w:val="right"/>
              <w:rPr>
                <w:noProof/>
                <w:sz w:val="16"/>
                <w:szCs w:val="16"/>
              </w:rPr>
            </w:pPr>
          </w:p>
        </w:tc>
        <w:tc>
          <w:tcPr>
            <w:tcW w:w="965" w:type="dxa"/>
            <w:vAlign w:val="center"/>
          </w:tcPr>
          <w:p>
            <w:pPr>
              <w:spacing w:before="60" w:after="60" w:line="200" w:lineRule="exact"/>
              <w:jc w:val="right"/>
              <w:rPr>
                <w:noProof/>
                <w:sz w:val="16"/>
                <w:szCs w:val="16"/>
              </w:rPr>
            </w:pPr>
          </w:p>
        </w:tc>
        <w:tc>
          <w:tcPr>
            <w:tcW w:w="965" w:type="dxa"/>
            <w:vAlign w:val="center"/>
          </w:tcPr>
          <w:p>
            <w:pPr>
              <w:spacing w:before="60" w:after="60" w:line="200" w:lineRule="exact"/>
              <w:jc w:val="right"/>
              <w:rPr>
                <w:noProof/>
                <w:sz w:val="16"/>
                <w:szCs w:val="16"/>
              </w:rPr>
            </w:pPr>
          </w:p>
        </w:tc>
        <w:tc>
          <w:tcPr>
            <w:tcW w:w="965" w:type="dxa"/>
            <w:vAlign w:val="center"/>
          </w:tcPr>
          <w:p>
            <w:pPr>
              <w:spacing w:before="60" w:after="60" w:line="200" w:lineRule="exact"/>
              <w:jc w:val="right"/>
              <w:rPr>
                <w:noProof/>
                <w:sz w:val="16"/>
                <w:szCs w:val="16"/>
              </w:rPr>
            </w:pPr>
          </w:p>
        </w:tc>
        <w:tc>
          <w:tcPr>
            <w:tcW w:w="1133" w:type="dxa"/>
            <w:vAlign w:val="center"/>
          </w:tcPr>
          <w:p>
            <w:pPr>
              <w:spacing w:before="60" w:after="60" w:line="200" w:lineRule="exact"/>
              <w:jc w:val="right"/>
              <w:rPr>
                <w:b/>
                <w:noProof/>
                <w:sz w:val="16"/>
                <w:szCs w:val="16"/>
              </w:rPr>
            </w:pPr>
          </w:p>
        </w:tc>
      </w:tr>
      <w:tr>
        <w:trPr>
          <w:trHeight w:val="585"/>
          <w:jc w:val="center"/>
        </w:trPr>
        <w:tc>
          <w:tcPr>
            <w:tcW w:w="2694" w:type="dxa"/>
            <w:vAlign w:val="center"/>
          </w:tcPr>
          <w:p>
            <w:pPr>
              <w:spacing w:before="60" w:after="60" w:line="200" w:lineRule="exact"/>
              <w:ind w:left="72"/>
              <w:rPr>
                <w:noProof/>
                <w:sz w:val="16"/>
                <w:szCs w:val="16"/>
              </w:rPr>
            </w:pPr>
            <w:r>
              <w:rPr>
                <w:noProof/>
                <w:sz w:val="16"/>
              </w:rPr>
              <w:t xml:space="preserve">Други разходи </w:t>
            </w:r>
            <w:r>
              <w:rPr>
                <w:noProof/>
                <w:sz w:val="16"/>
              </w:rPr>
              <w:br/>
              <w:t>с административен характер</w:t>
            </w:r>
          </w:p>
        </w:tc>
        <w:tc>
          <w:tcPr>
            <w:tcW w:w="1324" w:type="dxa"/>
            <w:vAlign w:val="center"/>
          </w:tcPr>
          <w:p>
            <w:pPr>
              <w:spacing w:before="60" w:after="60" w:line="200" w:lineRule="exact"/>
              <w:jc w:val="right"/>
              <w:rPr>
                <w:noProof/>
                <w:sz w:val="16"/>
                <w:szCs w:val="16"/>
              </w:rPr>
            </w:pPr>
          </w:p>
        </w:tc>
        <w:tc>
          <w:tcPr>
            <w:tcW w:w="965" w:type="dxa"/>
            <w:vAlign w:val="center"/>
          </w:tcPr>
          <w:p>
            <w:pPr>
              <w:spacing w:before="60" w:after="60" w:line="200" w:lineRule="exact"/>
              <w:jc w:val="right"/>
              <w:rPr>
                <w:noProof/>
                <w:sz w:val="16"/>
                <w:szCs w:val="16"/>
              </w:rPr>
            </w:pPr>
          </w:p>
        </w:tc>
        <w:tc>
          <w:tcPr>
            <w:tcW w:w="965" w:type="dxa"/>
            <w:vAlign w:val="center"/>
          </w:tcPr>
          <w:p>
            <w:pPr>
              <w:spacing w:before="60" w:after="60" w:line="200" w:lineRule="exact"/>
              <w:jc w:val="right"/>
              <w:rPr>
                <w:noProof/>
                <w:sz w:val="16"/>
                <w:szCs w:val="16"/>
              </w:rPr>
            </w:pPr>
          </w:p>
        </w:tc>
        <w:tc>
          <w:tcPr>
            <w:tcW w:w="965" w:type="dxa"/>
            <w:vAlign w:val="center"/>
          </w:tcPr>
          <w:p>
            <w:pPr>
              <w:spacing w:before="60" w:after="60" w:line="200" w:lineRule="exact"/>
              <w:jc w:val="right"/>
              <w:rPr>
                <w:noProof/>
                <w:sz w:val="16"/>
                <w:szCs w:val="16"/>
              </w:rPr>
            </w:pPr>
          </w:p>
        </w:tc>
        <w:tc>
          <w:tcPr>
            <w:tcW w:w="965" w:type="dxa"/>
            <w:vAlign w:val="center"/>
          </w:tcPr>
          <w:p>
            <w:pPr>
              <w:spacing w:before="60" w:after="60" w:line="200" w:lineRule="exact"/>
              <w:jc w:val="right"/>
              <w:rPr>
                <w:noProof/>
                <w:sz w:val="16"/>
                <w:szCs w:val="16"/>
              </w:rPr>
            </w:pPr>
          </w:p>
        </w:tc>
        <w:tc>
          <w:tcPr>
            <w:tcW w:w="1133" w:type="dxa"/>
            <w:vAlign w:val="center"/>
          </w:tcPr>
          <w:p>
            <w:pPr>
              <w:spacing w:before="60" w:after="60" w:line="200" w:lineRule="exact"/>
              <w:jc w:val="right"/>
              <w:rPr>
                <w:b/>
                <w:noProof/>
                <w:sz w:val="16"/>
                <w:szCs w:val="16"/>
              </w:rPr>
            </w:pPr>
          </w:p>
        </w:tc>
      </w:tr>
      <w:tr>
        <w:trPr>
          <w:trHeight w:val="585"/>
          <w:jc w:val="center"/>
        </w:trPr>
        <w:tc>
          <w:tcPr>
            <w:tcW w:w="2694" w:type="dxa"/>
            <w:shd w:val="clear" w:color="auto" w:fill="CCCCCC"/>
            <w:vAlign w:val="center"/>
          </w:tcPr>
          <w:p>
            <w:pPr>
              <w:spacing w:before="60" w:after="60" w:line="200" w:lineRule="exact"/>
              <w:jc w:val="center"/>
              <w:rPr>
                <w:b/>
                <w:noProof/>
                <w:sz w:val="16"/>
                <w:szCs w:val="16"/>
              </w:rPr>
            </w:pPr>
            <w:r>
              <w:rPr>
                <w:b/>
                <w:noProof/>
                <w:sz w:val="16"/>
              </w:rPr>
              <w:t xml:space="preserve">Междинен сбор </w:t>
            </w:r>
            <w:r>
              <w:rPr>
                <w:noProof/>
              </w:rPr>
              <w:br/>
            </w:r>
            <w:r>
              <w:rPr>
                <w:b/>
                <w:noProof/>
                <w:sz w:val="16"/>
              </w:rPr>
              <w:t>за ФУНКЦИЯ 5</w:t>
            </w:r>
            <w:r>
              <w:rPr>
                <w:noProof/>
              </w:rPr>
              <w:t xml:space="preserve"> </w:t>
            </w:r>
            <w:r>
              <w:rPr>
                <w:noProof/>
              </w:rPr>
              <w:br/>
            </w:r>
            <w:r>
              <w:rPr>
                <w:b/>
                <w:noProof/>
                <w:sz w:val="16"/>
              </w:rPr>
              <w:t xml:space="preserve">от многогодишната финансова рамка </w:t>
            </w:r>
          </w:p>
        </w:tc>
        <w:tc>
          <w:tcPr>
            <w:tcW w:w="1324" w:type="dxa"/>
            <w:vAlign w:val="center"/>
          </w:tcPr>
          <w:p>
            <w:pPr>
              <w:spacing w:before="60" w:after="60" w:line="200" w:lineRule="exact"/>
              <w:jc w:val="right"/>
              <w:rPr>
                <w:noProof/>
                <w:sz w:val="16"/>
                <w:szCs w:val="16"/>
              </w:rPr>
            </w:pPr>
          </w:p>
        </w:tc>
        <w:tc>
          <w:tcPr>
            <w:tcW w:w="965" w:type="dxa"/>
            <w:vAlign w:val="center"/>
          </w:tcPr>
          <w:p>
            <w:pPr>
              <w:spacing w:before="60" w:after="60" w:line="200" w:lineRule="exact"/>
              <w:jc w:val="right"/>
              <w:rPr>
                <w:noProof/>
                <w:sz w:val="16"/>
                <w:szCs w:val="16"/>
              </w:rPr>
            </w:pPr>
          </w:p>
        </w:tc>
        <w:tc>
          <w:tcPr>
            <w:tcW w:w="965" w:type="dxa"/>
            <w:vAlign w:val="center"/>
          </w:tcPr>
          <w:p>
            <w:pPr>
              <w:spacing w:before="60" w:after="60" w:line="200" w:lineRule="exact"/>
              <w:jc w:val="right"/>
              <w:rPr>
                <w:noProof/>
                <w:sz w:val="16"/>
                <w:szCs w:val="16"/>
              </w:rPr>
            </w:pPr>
          </w:p>
        </w:tc>
        <w:tc>
          <w:tcPr>
            <w:tcW w:w="965" w:type="dxa"/>
            <w:vAlign w:val="center"/>
          </w:tcPr>
          <w:p>
            <w:pPr>
              <w:spacing w:before="60" w:after="60" w:line="200" w:lineRule="exact"/>
              <w:jc w:val="right"/>
              <w:rPr>
                <w:noProof/>
                <w:sz w:val="16"/>
                <w:szCs w:val="16"/>
              </w:rPr>
            </w:pPr>
          </w:p>
        </w:tc>
        <w:tc>
          <w:tcPr>
            <w:tcW w:w="965" w:type="dxa"/>
            <w:vAlign w:val="center"/>
          </w:tcPr>
          <w:p>
            <w:pPr>
              <w:spacing w:before="60" w:after="60" w:line="200" w:lineRule="exact"/>
              <w:jc w:val="right"/>
              <w:rPr>
                <w:noProof/>
                <w:sz w:val="16"/>
                <w:szCs w:val="16"/>
              </w:rPr>
            </w:pPr>
          </w:p>
        </w:tc>
        <w:tc>
          <w:tcPr>
            <w:tcW w:w="1133"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9223" w:type="dxa"/>
        <w:jc w:val="center"/>
        <w:tblLayout w:type="fixed"/>
        <w:tblLook w:val="01E0" w:firstRow="1" w:lastRow="1" w:firstColumn="1" w:lastColumn="1" w:noHBand="0" w:noVBand="0"/>
      </w:tblPr>
      <w:tblGrid>
        <w:gridCol w:w="2694"/>
        <w:gridCol w:w="791"/>
        <w:gridCol w:w="776"/>
        <w:gridCol w:w="776"/>
        <w:gridCol w:w="775"/>
        <w:gridCol w:w="775"/>
        <w:gridCol w:w="775"/>
        <w:gridCol w:w="775"/>
        <w:gridCol w:w="1086"/>
      </w:tblGrid>
      <w:tr>
        <w:trPr>
          <w:trHeight w:val="585"/>
          <w:jc w:val="center"/>
        </w:trPr>
        <w:tc>
          <w:tcPr>
            <w:tcW w:w="2694"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ОБЩО</w:t>
            </w:r>
          </w:p>
        </w:tc>
        <w:tc>
          <w:tcPr>
            <w:tcW w:w="791"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18"/>
                <w:szCs w:val="18"/>
              </w:rPr>
              <w:t>1,320</w:t>
            </w:r>
          </w:p>
        </w:tc>
        <w:tc>
          <w:tcPr>
            <w:tcW w:w="776"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18"/>
                <w:szCs w:val="18"/>
              </w:rPr>
              <w:t>1,320</w:t>
            </w:r>
          </w:p>
        </w:tc>
        <w:tc>
          <w:tcPr>
            <w:tcW w:w="776"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18"/>
                <w:szCs w:val="18"/>
              </w:rPr>
              <w:t>1,320</w:t>
            </w:r>
          </w:p>
        </w:tc>
        <w:tc>
          <w:tcPr>
            <w:tcW w:w="775"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18"/>
                <w:szCs w:val="18"/>
              </w:rPr>
              <w:t>1,320</w:t>
            </w:r>
          </w:p>
        </w:tc>
        <w:tc>
          <w:tcPr>
            <w:tcW w:w="775"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18"/>
                <w:szCs w:val="18"/>
              </w:rPr>
              <w:t>1,320</w:t>
            </w:r>
          </w:p>
        </w:tc>
        <w:tc>
          <w:tcPr>
            <w:tcW w:w="775"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18"/>
                <w:szCs w:val="18"/>
              </w:rPr>
              <w:t>1,320</w:t>
            </w:r>
          </w:p>
        </w:tc>
        <w:tc>
          <w:tcPr>
            <w:tcW w:w="775"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18"/>
                <w:szCs w:val="18"/>
              </w:rPr>
              <w:t>3,570</w:t>
            </w:r>
          </w:p>
        </w:tc>
        <w:tc>
          <w:tcPr>
            <w:tcW w:w="1086"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center"/>
              <w:rPr>
                <w:b/>
                <w:noProof/>
                <w:sz w:val="16"/>
                <w:szCs w:val="16"/>
              </w:rPr>
            </w:pPr>
            <w:r>
              <w:rPr>
                <w:b/>
                <w:noProof/>
                <w:sz w:val="16"/>
                <w:szCs w:val="16"/>
              </w:rPr>
              <w:t>11.490</w:t>
            </w:r>
          </w:p>
        </w:tc>
      </w:tr>
    </w:tbl>
    <w:p>
      <w:pPr>
        <w:pStyle w:val="Text1"/>
        <w:ind w:left="0"/>
        <w:rPr>
          <w:noProof/>
          <w:sz w:val="18"/>
          <w:szCs w:val="18"/>
        </w:rPr>
      </w:pPr>
      <w:r>
        <w:rPr>
          <w:noProof/>
          <w:sz w:val="18"/>
        </w:rPr>
        <w:t>Бюджетните кредити, необходими за човешки ресурси и други разходи с административен характер, ще бъдат покрити от бюджетни кредити на ГД, които вече са определени за управлението на действието и/или които са преразпределени в рамките на ГД, при необходимост заедно с допълнително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18"/>
        </w:rPr>
        <w:sectPr>
          <w:headerReference w:type="default" r:id="rId18"/>
          <w:footerReference w:type="default" r:id="rId19"/>
          <w:headerReference w:type="first" r:id="rId20"/>
          <w:footerReference w:type="first" r:id="rId21"/>
          <w:pgSz w:w="11907" w:h="16840"/>
          <w:pgMar w:top="1134" w:right="1418" w:bottom="1134" w:left="1418" w:header="709" w:footer="709" w:gutter="0"/>
          <w:cols w:space="708"/>
          <w:docGrid w:linePitch="360"/>
        </w:sectPr>
      </w:pPr>
    </w:p>
    <w:p>
      <w:pPr>
        <w:pStyle w:val="ManualHeading4"/>
        <w:rPr>
          <w:bCs/>
          <w:noProof/>
          <w:szCs w:val="24"/>
        </w:rPr>
      </w:pPr>
      <w:r>
        <w:t>3.2.3.2.</w:t>
      </w:r>
      <w:r>
        <w:tab/>
      </w:r>
      <w:r>
        <w:rPr>
          <w:noProof/>
        </w:rPr>
        <w:t>Очаквани нужди от човешки ресурси</w:t>
      </w:r>
    </w:p>
    <w:p>
      <w:pPr>
        <w:pStyle w:val="ListDash1"/>
        <w:rPr>
          <w:noProof/>
        </w:rPr>
      </w:pPr>
      <w:r>
        <w:rPr>
          <w:noProof/>
        </w:rPr>
        <w:sym w:font="Wingdings" w:char="F0A8"/>
      </w:r>
      <w:r>
        <w:rPr>
          <w:noProof/>
        </w:rPr>
        <w:tab/>
        <w:t xml:space="preserve">Предложението/инициативата не налага използване на човешки ресурси. </w:t>
      </w:r>
    </w:p>
    <w:p>
      <w:pPr>
        <w:pStyle w:val="ListDash1"/>
        <w:rPr>
          <w:noProof/>
        </w:rPr>
      </w:pPr>
      <w:r>
        <w:rPr>
          <w:noProof/>
        </w:rPr>
        <w:sym w:font="Wingdings" w:char="F0FD"/>
      </w:r>
      <w:r>
        <w:rPr>
          <w:noProof/>
        </w:rPr>
        <w:tab/>
        <w:t>Предложението/инициативата налага използване на човешки ресурси съгласно обяснението по-долу:</w:t>
      </w:r>
    </w:p>
    <w:p>
      <w:pPr>
        <w:spacing w:after="60"/>
        <w:jc w:val="right"/>
        <w:rPr>
          <w:i/>
          <w:noProof/>
          <w:sz w:val="20"/>
        </w:rPr>
      </w:pPr>
      <w:r>
        <w:rPr>
          <w:i/>
          <w:noProof/>
          <w:sz w:val="20"/>
        </w:rPr>
        <w:t>Оценката се посочва в еквиваленти на пълно работно време</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898"/>
        <w:gridCol w:w="1954"/>
        <w:gridCol w:w="645"/>
        <w:gridCol w:w="645"/>
        <w:gridCol w:w="656"/>
        <w:gridCol w:w="698"/>
        <w:gridCol w:w="728"/>
        <w:gridCol w:w="949"/>
        <w:gridCol w:w="1114"/>
      </w:tblGrid>
      <w:tr>
        <w:trPr>
          <w:trHeight w:val="289"/>
          <w:jc w:val="center"/>
        </w:trPr>
        <w:tc>
          <w:tcPr>
            <w:tcW w:w="2074" w:type="pct"/>
            <w:gridSpan w:val="2"/>
            <w:shd w:val="clear" w:color="auto" w:fill="auto"/>
          </w:tcPr>
          <w:p>
            <w:pPr>
              <w:pStyle w:val="Text1"/>
              <w:spacing w:before="40" w:after="40"/>
              <w:ind w:left="0"/>
              <w:jc w:val="center"/>
              <w:rPr>
                <w:i/>
                <w:noProof/>
                <w:sz w:val="16"/>
                <w:szCs w:val="16"/>
              </w:rPr>
            </w:pPr>
          </w:p>
        </w:tc>
        <w:tc>
          <w:tcPr>
            <w:tcW w:w="347" w:type="pct"/>
            <w:shd w:val="clear" w:color="auto" w:fill="auto"/>
            <w:vAlign w:val="center"/>
          </w:tcPr>
          <w:p>
            <w:pPr>
              <w:spacing w:before="20" w:after="20"/>
              <w:jc w:val="center"/>
              <w:rPr>
                <w:noProof/>
                <w:sz w:val="16"/>
                <w:szCs w:val="16"/>
              </w:rPr>
            </w:pPr>
            <w:r>
              <w:rPr>
                <w:noProof/>
                <w:sz w:val="16"/>
              </w:rPr>
              <w:t>Година</w:t>
            </w:r>
            <w:r>
              <w:rPr>
                <w:noProof/>
              </w:rPr>
              <w:t xml:space="preserve"> </w:t>
            </w:r>
            <w:r>
              <w:rPr>
                <w:noProof/>
              </w:rPr>
              <w:br/>
            </w:r>
            <w:r>
              <w:rPr>
                <w:b/>
                <w:noProof/>
                <w:sz w:val="16"/>
              </w:rPr>
              <w:t>2022 г.</w:t>
            </w:r>
          </w:p>
        </w:tc>
        <w:tc>
          <w:tcPr>
            <w:tcW w:w="347" w:type="pct"/>
            <w:shd w:val="clear" w:color="auto" w:fill="auto"/>
            <w:vAlign w:val="center"/>
          </w:tcPr>
          <w:p>
            <w:pPr>
              <w:spacing w:before="20" w:after="20"/>
              <w:jc w:val="center"/>
              <w:rPr>
                <w:noProof/>
                <w:sz w:val="16"/>
                <w:szCs w:val="16"/>
              </w:rPr>
            </w:pPr>
            <w:r>
              <w:rPr>
                <w:noProof/>
                <w:sz w:val="16"/>
              </w:rPr>
              <w:t>Година</w:t>
            </w:r>
            <w:r>
              <w:rPr>
                <w:noProof/>
              </w:rPr>
              <w:t xml:space="preserve"> </w:t>
            </w:r>
            <w:r>
              <w:rPr>
                <w:noProof/>
              </w:rPr>
              <w:br/>
            </w:r>
            <w:r>
              <w:rPr>
                <w:b/>
                <w:noProof/>
                <w:sz w:val="16"/>
              </w:rPr>
              <w:t>2023 г.</w:t>
            </w:r>
          </w:p>
        </w:tc>
        <w:tc>
          <w:tcPr>
            <w:tcW w:w="352" w:type="pct"/>
            <w:shd w:val="clear" w:color="auto" w:fill="auto"/>
            <w:vAlign w:val="center"/>
          </w:tcPr>
          <w:p>
            <w:pPr>
              <w:spacing w:before="20" w:after="20"/>
              <w:jc w:val="center"/>
              <w:rPr>
                <w:b/>
                <w:noProof/>
                <w:sz w:val="16"/>
                <w:szCs w:val="16"/>
              </w:rPr>
            </w:pPr>
            <w:r>
              <w:rPr>
                <w:noProof/>
                <w:sz w:val="16"/>
                <w:szCs w:val="16"/>
              </w:rPr>
              <w:t xml:space="preserve">Година </w:t>
            </w:r>
          </w:p>
          <w:p>
            <w:pPr>
              <w:spacing w:before="20" w:after="20"/>
              <w:jc w:val="center"/>
              <w:rPr>
                <w:noProof/>
                <w:sz w:val="16"/>
                <w:szCs w:val="16"/>
              </w:rPr>
            </w:pPr>
            <w:r>
              <w:rPr>
                <w:b/>
                <w:noProof/>
                <w:sz w:val="16"/>
                <w:szCs w:val="16"/>
              </w:rPr>
              <w:t>2024 г.</w:t>
            </w:r>
          </w:p>
        </w:tc>
        <w:tc>
          <w:tcPr>
            <w:tcW w:w="376" w:type="pct"/>
            <w:shd w:val="clear" w:color="auto" w:fill="auto"/>
            <w:vAlign w:val="center"/>
          </w:tcPr>
          <w:p>
            <w:pPr>
              <w:spacing w:before="20" w:after="20"/>
              <w:jc w:val="center"/>
              <w:rPr>
                <w:b/>
                <w:noProof/>
                <w:sz w:val="16"/>
                <w:szCs w:val="16"/>
              </w:rPr>
            </w:pPr>
            <w:r>
              <w:rPr>
                <w:noProof/>
                <w:sz w:val="16"/>
                <w:szCs w:val="16"/>
              </w:rPr>
              <w:t xml:space="preserve">Година </w:t>
            </w:r>
          </w:p>
          <w:p>
            <w:pPr>
              <w:spacing w:before="20" w:after="20"/>
              <w:jc w:val="center"/>
              <w:rPr>
                <w:noProof/>
                <w:sz w:val="16"/>
                <w:szCs w:val="16"/>
              </w:rPr>
            </w:pPr>
            <w:r>
              <w:rPr>
                <w:b/>
                <w:noProof/>
                <w:sz w:val="16"/>
                <w:szCs w:val="16"/>
              </w:rPr>
              <w:t>2025 г.</w:t>
            </w:r>
          </w:p>
        </w:tc>
        <w:tc>
          <w:tcPr>
            <w:tcW w:w="392" w:type="pct"/>
            <w:vAlign w:val="center"/>
          </w:tcPr>
          <w:p>
            <w:pPr>
              <w:spacing w:before="20" w:after="20"/>
              <w:jc w:val="center"/>
              <w:rPr>
                <w:b/>
                <w:noProof/>
                <w:sz w:val="16"/>
                <w:szCs w:val="16"/>
              </w:rPr>
            </w:pPr>
            <w:r>
              <w:rPr>
                <w:noProof/>
                <w:sz w:val="16"/>
                <w:szCs w:val="16"/>
              </w:rPr>
              <w:t xml:space="preserve">Година </w:t>
            </w:r>
            <w:r>
              <w:rPr>
                <w:b/>
                <w:bCs/>
                <w:noProof/>
                <w:sz w:val="16"/>
                <w:szCs w:val="16"/>
              </w:rPr>
              <w:t>2026</w:t>
            </w:r>
          </w:p>
        </w:tc>
        <w:tc>
          <w:tcPr>
            <w:tcW w:w="511" w:type="pct"/>
          </w:tcPr>
          <w:p>
            <w:pPr>
              <w:spacing w:before="20" w:after="20"/>
              <w:jc w:val="center"/>
              <w:rPr>
                <w:noProof/>
                <w:sz w:val="16"/>
                <w:szCs w:val="16"/>
              </w:rPr>
            </w:pPr>
            <w:r>
              <w:rPr>
                <w:noProof/>
                <w:sz w:val="16"/>
                <w:szCs w:val="16"/>
              </w:rPr>
              <w:t xml:space="preserve">Година </w:t>
            </w:r>
          </w:p>
          <w:p>
            <w:pPr>
              <w:spacing w:before="20" w:after="20"/>
              <w:jc w:val="center"/>
              <w:rPr>
                <w:b/>
                <w:noProof/>
                <w:sz w:val="16"/>
                <w:szCs w:val="16"/>
              </w:rPr>
            </w:pPr>
            <w:r>
              <w:rPr>
                <w:b/>
                <w:noProof/>
                <w:sz w:val="16"/>
                <w:szCs w:val="16"/>
              </w:rPr>
              <w:t>2027 г.</w:t>
            </w:r>
          </w:p>
        </w:tc>
        <w:tc>
          <w:tcPr>
            <w:tcW w:w="601" w:type="pct"/>
          </w:tcPr>
          <w:p>
            <w:pPr>
              <w:spacing w:before="20" w:after="20"/>
              <w:jc w:val="center"/>
              <w:rPr>
                <w:b/>
                <w:noProof/>
                <w:sz w:val="16"/>
                <w:szCs w:val="16"/>
              </w:rPr>
            </w:pPr>
            <w:r>
              <w:rPr>
                <w:noProof/>
                <w:sz w:val="16"/>
                <w:szCs w:val="16"/>
              </w:rPr>
              <w:t>След 2026 г.</w:t>
            </w:r>
          </w:p>
        </w:tc>
      </w:tr>
      <w:tr>
        <w:trPr>
          <w:trHeight w:val="289"/>
          <w:jc w:val="center"/>
        </w:trPr>
        <w:tc>
          <w:tcPr>
            <w:tcW w:w="3121" w:type="pct"/>
            <w:gridSpan w:val="5"/>
            <w:shd w:val="clear" w:color="auto" w:fill="auto"/>
          </w:tcPr>
          <w:p>
            <w:pPr>
              <w:spacing w:before="20" w:after="20"/>
              <w:rPr>
                <w:noProof/>
                <w:sz w:val="16"/>
                <w:szCs w:val="16"/>
              </w:rPr>
            </w:pPr>
            <w:r>
              <w:rPr>
                <w:b/>
                <w:noProof/>
                <w:sz w:val="16"/>
              </w:rPr>
              <w:sym w:font="Wingdings" w:char="F09F"/>
            </w:r>
            <w:r>
              <w:rPr>
                <w:b/>
                <w:bCs/>
                <w:noProof/>
              </w:rPr>
              <w:t>Длъжности в щатното разписание (длъжностни лица и срочно наети служители)</w:t>
            </w:r>
          </w:p>
        </w:tc>
        <w:tc>
          <w:tcPr>
            <w:tcW w:w="376" w:type="pct"/>
            <w:shd w:val="clear" w:color="auto" w:fill="auto"/>
            <w:vAlign w:val="center"/>
          </w:tcPr>
          <w:p>
            <w:pPr>
              <w:spacing w:before="20" w:after="20"/>
              <w:jc w:val="center"/>
              <w:rPr>
                <w:noProof/>
                <w:sz w:val="16"/>
                <w:szCs w:val="16"/>
              </w:rPr>
            </w:pPr>
          </w:p>
        </w:tc>
        <w:tc>
          <w:tcPr>
            <w:tcW w:w="392" w:type="pct"/>
          </w:tcPr>
          <w:p>
            <w:pPr>
              <w:jc w:val="center"/>
              <w:rPr>
                <w:noProof/>
                <w:sz w:val="16"/>
                <w:szCs w:val="16"/>
              </w:rPr>
            </w:pPr>
          </w:p>
        </w:tc>
        <w:tc>
          <w:tcPr>
            <w:tcW w:w="511" w:type="pct"/>
          </w:tcPr>
          <w:p>
            <w:pPr>
              <w:jc w:val="center"/>
              <w:rPr>
                <w:noProof/>
                <w:sz w:val="16"/>
                <w:szCs w:val="16"/>
              </w:rPr>
            </w:pPr>
          </w:p>
        </w:tc>
        <w:tc>
          <w:tcPr>
            <w:tcW w:w="601" w:type="pct"/>
          </w:tcPr>
          <w:p>
            <w:pPr>
              <w:jc w:val="center"/>
              <w:rPr>
                <w:noProof/>
                <w:sz w:val="16"/>
                <w:szCs w:val="16"/>
              </w:rPr>
            </w:pPr>
          </w:p>
        </w:tc>
      </w:tr>
      <w:tr>
        <w:trPr>
          <w:trHeight w:val="289"/>
          <w:jc w:val="center"/>
        </w:trPr>
        <w:tc>
          <w:tcPr>
            <w:tcW w:w="2074"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(Централа и представителства на Комисията) </w:t>
            </w:r>
            <w:r>
              <w:rPr>
                <w:b/>
                <w:noProof/>
                <w:sz w:val="16"/>
              </w:rPr>
              <w:t>ГД „Данъчно облагане и митнически съюз“</w:t>
            </w:r>
          </w:p>
        </w:tc>
        <w:tc>
          <w:tcPr>
            <w:tcW w:w="347" w:type="pct"/>
            <w:shd w:val="clear" w:color="auto" w:fill="auto"/>
            <w:vAlign w:val="center"/>
          </w:tcPr>
          <w:p>
            <w:pPr>
              <w:spacing w:beforeLines="20" w:before="48" w:afterLines="20" w:after="48"/>
              <w:jc w:val="center"/>
              <w:rPr>
                <w:noProof/>
                <w:sz w:val="16"/>
                <w:szCs w:val="16"/>
              </w:rPr>
            </w:pPr>
            <w:r>
              <w:rPr>
                <w:noProof/>
                <w:sz w:val="16"/>
                <w:szCs w:val="16"/>
              </w:rPr>
              <w:t>5</w:t>
            </w:r>
          </w:p>
        </w:tc>
        <w:tc>
          <w:tcPr>
            <w:tcW w:w="347" w:type="pct"/>
            <w:shd w:val="clear" w:color="auto" w:fill="auto"/>
            <w:vAlign w:val="center"/>
          </w:tcPr>
          <w:p>
            <w:pPr>
              <w:spacing w:beforeLines="20" w:before="48" w:afterLines="20" w:after="48"/>
              <w:jc w:val="center"/>
              <w:rPr>
                <w:noProof/>
                <w:sz w:val="16"/>
                <w:szCs w:val="16"/>
              </w:rPr>
            </w:pPr>
            <w:r>
              <w:rPr>
                <w:noProof/>
                <w:sz w:val="16"/>
                <w:szCs w:val="16"/>
              </w:rPr>
              <w:t>5</w:t>
            </w:r>
          </w:p>
        </w:tc>
        <w:tc>
          <w:tcPr>
            <w:tcW w:w="352" w:type="pct"/>
            <w:shd w:val="clear" w:color="auto" w:fill="auto"/>
            <w:vAlign w:val="center"/>
          </w:tcPr>
          <w:p>
            <w:pPr>
              <w:spacing w:beforeLines="20" w:before="48" w:afterLines="20" w:after="48"/>
              <w:jc w:val="center"/>
              <w:rPr>
                <w:noProof/>
                <w:sz w:val="16"/>
                <w:szCs w:val="16"/>
              </w:rPr>
            </w:pPr>
            <w:r>
              <w:rPr>
                <w:noProof/>
                <w:sz w:val="16"/>
                <w:szCs w:val="16"/>
              </w:rPr>
              <w:t>5</w:t>
            </w:r>
          </w:p>
        </w:tc>
        <w:tc>
          <w:tcPr>
            <w:tcW w:w="376" w:type="pct"/>
            <w:shd w:val="clear" w:color="auto" w:fill="auto"/>
            <w:vAlign w:val="center"/>
          </w:tcPr>
          <w:p>
            <w:pPr>
              <w:spacing w:beforeLines="20" w:before="48" w:afterLines="20" w:after="48"/>
              <w:jc w:val="center"/>
              <w:rPr>
                <w:noProof/>
                <w:sz w:val="16"/>
                <w:szCs w:val="16"/>
              </w:rPr>
            </w:pPr>
            <w:r>
              <w:rPr>
                <w:noProof/>
                <w:sz w:val="16"/>
                <w:szCs w:val="16"/>
              </w:rPr>
              <w:t>5</w:t>
            </w:r>
          </w:p>
        </w:tc>
        <w:tc>
          <w:tcPr>
            <w:tcW w:w="392" w:type="pct"/>
            <w:vAlign w:val="center"/>
          </w:tcPr>
          <w:p>
            <w:pPr>
              <w:spacing w:beforeLines="20" w:before="48" w:afterLines="20" w:after="48"/>
              <w:jc w:val="center"/>
              <w:rPr>
                <w:noProof/>
                <w:sz w:val="16"/>
                <w:szCs w:val="16"/>
              </w:rPr>
            </w:pPr>
            <w:r>
              <w:rPr>
                <w:noProof/>
                <w:sz w:val="16"/>
                <w:szCs w:val="16"/>
              </w:rPr>
              <w:t>5</w:t>
            </w:r>
          </w:p>
        </w:tc>
        <w:tc>
          <w:tcPr>
            <w:tcW w:w="511" w:type="pct"/>
            <w:vAlign w:val="center"/>
          </w:tcPr>
          <w:p>
            <w:pPr>
              <w:spacing w:beforeLines="20" w:before="48" w:afterLines="20" w:after="48"/>
              <w:jc w:val="center"/>
              <w:rPr>
                <w:noProof/>
                <w:sz w:val="16"/>
                <w:szCs w:val="16"/>
              </w:rPr>
            </w:pPr>
            <w:r>
              <w:rPr>
                <w:noProof/>
                <w:sz w:val="16"/>
                <w:szCs w:val="16"/>
              </w:rPr>
              <w:t>5</w:t>
            </w:r>
          </w:p>
        </w:tc>
        <w:tc>
          <w:tcPr>
            <w:tcW w:w="601" w:type="pct"/>
            <w:vAlign w:val="center"/>
          </w:tcPr>
          <w:p>
            <w:pPr>
              <w:spacing w:beforeLines="20" w:before="48" w:afterLines="20" w:after="48"/>
              <w:jc w:val="center"/>
              <w:rPr>
                <w:noProof/>
                <w:sz w:val="16"/>
                <w:szCs w:val="16"/>
              </w:rPr>
            </w:pPr>
          </w:p>
        </w:tc>
      </w:tr>
      <w:tr>
        <w:trPr>
          <w:trHeight w:val="289"/>
          <w:jc w:val="center"/>
        </w:trPr>
        <w:tc>
          <w:tcPr>
            <w:tcW w:w="2074" w:type="pct"/>
            <w:gridSpan w:val="2"/>
            <w:shd w:val="clear" w:color="auto" w:fill="auto"/>
            <w:vAlign w:val="center"/>
          </w:tcPr>
          <w:p>
            <w:pPr>
              <w:pStyle w:val="Text1"/>
              <w:spacing w:beforeLines="20" w:before="48" w:afterLines="20" w:after="48"/>
              <w:ind w:left="134"/>
              <w:jc w:val="left"/>
              <w:rPr>
                <w:noProof/>
                <w:sz w:val="16"/>
              </w:rPr>
            </w:pPr>
            <w:r>
              <w:rPr>
                <w:noProof/>
                <w:sz w:val="16"/>
              </w:rPr>
              <w:t>XX 01 01 01 (Централа и представителства на Комисията) </w:t>
            </w:r>
            <w:r>
              <w:rPr>
                <w:b/>
                <w:noProof/>
                <w:sz w:val="16"/>
              </w:rPr>
              <w:t>ГД „Данъчно облагане и митнически съюз“</w:t>
            </w:r>
          </w:p>
        </w:tc>
        <w:tc>
          <w:tcPr>
            <w:tcW w:w="347" w:type="pct"/>
            <w:shd w:val="clear" w:color="auto" w:fill="auto"/>
            <w:vAlign w:val="center"/>
          </w:tcPr>
          <w:p>
            <w:pPr>
              <w:spacing w:beforeLines="20" w:before="48" w:afterLines="20" w:after="48"/>
              <w:jc w:val="center"/>
              <w:rPr>
                <w:noProof/>
                <w:sz w:val="16"/>
                <w:szCs w:val="16"/>
              </w:rPr>
            </w:pPr>
          </w:p>
        </w:tc>
        <w:tc>
          <w:tcPr>
            <w:tcW w:w="347" w:type="pct"/>
            <w:shd w:val="clear" w:color="auto" w:fill="auto"/>
            <w:vAlign w:val="center"/>
          </w:tcPr>
          <w:p>
            <w:pPr>
              <w:spacing w:beforeLines="20" w:before="48" w:afterLines="20" w:after="48"/>
              <w:jc w:val="center"/>
              <w:rPr>
                <w:noProof/>
                <w:sz w:val="16"/>
                <w:szCs w:val="16"/>
              </w:rPr>
            </w:pPr>
          </w:p>
        </w:tc>
        <w:tc>
          <w:tcPr>
            <w:tcW w:w="352" w:type="pct"/>
            <w:shd w:val="clear" w:color="auto" w:fill="auto"/>
            <w:vAlign w:val="center"/>
          </w:tcPr>
          <w:p>
            <w:pPr>
              <w:spacing w:beforeLines="20" w:before="48" w:afterLines="20" w:after="48"/>
              <w:jc w:val="center"/>
              <w:rPr>
                <w:noProof/>
                <w:sz w:val="16"/>
                <w:szCs w:val="16"/>
              </w:rPr>
            </w:pPr>
          </w:p>
        </w:tc>
        <w:tc>
          <w:tcPr>
            <w:tcW w:w="376" w:type="pct"/>
            <w:shd w:val="clear" w:color="auto" w:fill="auto"/>
            <w:vAlign w:val="center"/>
          </w:tcPr>
          <w:p>
            <w:pPr>
              <w:spacing w:beforeLines="20" w:before="48" w:afterLines="20" w:after="48"/>
              <w:jc w:val="center"/>
              <w:rPr>
                <w:noProof/>
                <w:sz w:val="16"/>
                <w:szCs w:val="16"/>
              </w:rPr>
            </w:pPr>
          </w:p>
        </w:tc>
        <w:tc>
          <w:tcPr>
            <w:tcW w:w="392" w:type="pct"/>
            <w:vAlign w:val="center"/>
          </w:tcPr>
          <w:p>
            <w:pPr>
              <w:spacing w:beforeLines="20" w:before="48" w:afterLines="20" w:after="48"/>
              <w:jc w:val="center"/>
              <w:rPr>
                <w:noProof/>
                <w:sz w:val="16"/>
                <w:szCs w:val="16"/>
              </w:rPr>
            </w:pPr>
          </w:p>
        </w:tc>
        <w:tc>
          <w:tcPr>
            <w:tcW w:w="511" w:type="pct"/>
            <w:vAlign w:val="center"/>
          </w:tcPr>
          <w:p>
            <w:pPr>
              <w:spacing w:beforeLines="20" w:before="48" w:afterLines="20" w:after="48"/>
              <w:jc w:val="center"/>
              <w:rPr>
                <w:noProof/>
                <w:sz w:val="16"/>
                <w:szCs w:val="16"/>
              </w:rPr>
            </w:pPr>
          </w:p>
        </w:tc>
        <w:tc>
          <w:tcPr>
            <w:tcW w:w="601" w:type="pct"/>
            <w:vAlign w:val="center"/>
          </w:tcPr>
          <w:p>
            <w:pPr>
              <w:spacing w:beforeLines="20" w:before="48" w:afterLines="20" w:after="48"/>
              <w:jc w:val="center"/>
              <w:rPr>
                <w:noProof/>
                <w:sz w:val="16"/>
                <w:szCs w:val="16"/>
              </w:rPr>
            </w:pPr>
            <w:r>
              <w:rPr>
                <w:noProof/>
                <w:sz w:val="16"/>
                <w:szCs w:val="16"/>
              </w:rPr>
              <w:t>5/4</w:t>
            </w:r>
            <w:r>
              <w:rPr>
                <w:rStyle w:val="FootnoteReference"/>
                <w:noProof/>
                <w:sz w:val="16"/>
                <w:szCs w:val="16"/>
              </w:rPr>
              <w:footnoteReference w:id="72"/>
            </w:r>
          </w:p>
        </w:tc>
      </w:tr>
      <w:tr>
        <w:trPr>
          <w:trHeight w:val="289"/>
          <w:jc w:val="center"/>
        </w:trPr>
        <w:tc>
          <w:tcPr>
            <w:tcW w:w="2074" w:type="pct"/>
            <w:gridSpan w:val="2"/>
            <w:shd w:val="clear" w:color="auto" w:fill="auto"/>
            <w:vAlign w:val="center"/>
          </w:tcPr>
          <w:p>
            <w:pPr>
              <w:pStyle w:val="Text1"/>
              <w:spacing w:beforeLines="20" w:before="48" w:afterLines="20" w:after="48"/>
              <w:ind w:left="134"/>
              <w:jc w:val="left"/>
              <w:rPr>
                <w:noProof/>
                <w:sz w:val="16"/>
              </w:rPr>
            </w:pPr>
            <w:r>
              <w:rPr>
                <w:noProof/>
                <w:sz w:val="16"/>
              </w:rPr>
              <w:t xml:space="preserve">XX 01 01 01 (Централа и представителства на Комисията) — </w:t>
            </w:r>
            <w:r>
              <w:rPr>
                <w:b/>
                <w:noProof/>
                <w:sz w:val="16"/>
              </w:rPr>
              <w:t>Комисия</w:t>
            </w:r>
          </w:p>
        </w:tc>
        <w:tc>
          <w:tcPr>
            <w:tcW w:w="347" w:type="pct"/>
            <w:shd w:val="clear" w:color="auto" w:fill="auto"/>
            <w:vAlign w:val="center"/>
          </w:tcPr>
          <w:p>
            <w:pPr>
              <w:spacing w:beforeLines="20" w:before="48" w:afterLines="20" w:after="48"/>
              <w:jc w:val="center"/>
              <w:rPr>
                <w:noProof/>
                <w:sz w:val="16"/>
                <w:szCs w:val="16"/>
              </w:rPr>
            </w:pPr>
            <w:r>
              <w:rPr>
                <w:noProof/>
                <w:sz w:val="16"/>
                <w:szCs w:val="16"/>
              </w:rPr>
              <w:t>3,8</w:t>
            </w:r>
          </w:p>
        </w:tc>
        <w:tc>
          <w:tcPr>
            <w:tcW w:w="347" w:type="pct"/>
            <w:shd w:val="clear" w:color="auto" w:fill="auto"/>
            <w:vAlign w:val="center"/>
          </w:tcPr>
          <w:p>
            <w:pPr>
              <w:spacing w:beforeLines="20" w:before="48" w:afterLines="20" w:after="48"/>
              <w:jc w:val="center"/>
              <w:rPr>
                <w:noProof/>
                <w:sz w:val="16"/>
                <w:szCs w:val="16"/>
              </w:rPr>
            </w:pPr>
            <w:r>
              <w:rPr>
                <w:noProof/>
                <w:sz w:val="16"/>
                <w:szCs w:val="16"/>
              </w:rPr>
              <w:t>3,8</w:t>
            </w:r>
          </w:p>
        </w:tc>
        <w:tc>
          <w:tcPr>
            <w:tcW w:w="352" w:type="pct"/>
            <w:shd w:val="clear" w:color="auto" w:fill="auto"/>
            <w:vAlign w:val="center"/>
          </w:tcPr>
          <w:p>
            <w:pPr>
              <w:spacing w:beforeLines="20" w:before="48" w:afterLines="20" w:after="48"/>
              <w:jc w:val="center"/>
              <w:rPr>
                <w:noProof/>
                <w:sz w:val="16"/>
                <w:szCs w:val="16"/>
              </w:rPr>
            </w:pPr>
            <w:r>
              <w:rPr>
                <w:noProof/>
                <w:sz w:val="16"/>
                <w:szCs w:val="16"/>
              </w:rPr>
              <w:t>3,8</w:t>
            </w:r>
          </w:p>
        </w:tc>
        <w:tc>
          <w:tcPr>
            <w:tcW w:w="376" w:type="pct"/>
            <w:shd w:val="clear" w:color="auto" w:fill="auto"/>
            <w:vAlign w:val="center"/>
          </w:tcPr>
          <w:p>
            <w:pPr>
              <w:spacing w:beforeLines="20" w:before="48" w:afterLines="20" w:after="48"/>
              <w:jc w:val="center"/>
              <w:rPr>
                <w:noProof/>
                <w:sz w:val="16"/>
                <w:szCs w:val="16"/>
              </w:rPr>
            </w:pPr>
            <w:r>
              <w:rPr>
                <w:noProof/>
                <w:sz w:val="16"/>
                <w:szCs w:val="16"/>
              </w:rPr>
              <w:t>3,8</w:t>
            </w:r>
          </w:p>
        </w:tc>
        <w:tc>
          <w:tcPr>
            <w:tcW w:w="392" w:type="pct"/>
            <w:vAlign w:val="center"/>
          </w:tcPr>
          <w:p>
            <w:pPr>
              <w:spacing w:beforeLines="20" w:before="48" w:afterLines="20" w:after="48"/>
              <w:jc w:val="center"/>
              <w:rPr>
                <w:noProof/>
                <w:sz w:val="16"/>
                <w:szCs w:val="16"/>
              </w:rPr>
            </w:pPr>
            <w:r>
              <w:rPr>
                <w:noProof/>
                <w:sz w:val="16"/>
                <w:szCs w:val="16"/>
              </w:rPr>
              <w:t>3,8</w:t>
            </w:r>
          </w:p>
        </w:tc>
        <w:tc>
          <w:tcPr>
            <w:tcW w:w="511" w:type="pct"/>
            <w:vAlign w:val="center"/>
          </w:tcPr>
          <w:p>
            <w:pPr>
              <w:spacing w:beforeLines="20" w:before="48" w:afterLines="20" w:after="48"/>
              <w:jc w:val="center"/>
              <w:rPr>
                <w:noProof/>
                <w:sz w:val="16"/>
                <w:szCs w:val="16"/>
              </w:rPr>
            </w:pPr>
            <w:r>
              <w:rPr>
                <w:noProof/>
                <w:sz w:val="16"/>
                <w:szCs w:val="16"/>
              </w:rPr>
              <w:t>3,8</w:t>
            </w:r>
          </w:p>
        </w:tc>
        <w:tc>
          <w:tcPr>
            <w:tcW w:w="601" w:type="pct"/>
            <w:vAlign w:val="center"/>
          </w:tcPr>
          <w:p>
            <w:pPr>
              <w:spacing w:beforeLines="20" w:before="48" w:afterLines="20" w:after="48"/>
              <w:jc w:val="center"/>
              <w:rPr>
                <w:noProof/>
                <w:sz w:val="16"/>
                <w:szCs w:val="16"/>
              </w:rPr>
            </w:pPr>
          </w:p>
        </w:tc>
      </w:tr>
      <w:tr>
        <w:trPr>
          <w:trHeight w:val="289"/>
          <w:jc w:val="center"/>
        </w:trPr>
        <w:tc>
          <w:tcPr>
            <w:tcW w:w="2074" w:type="pct"/>
            <w:gridSpan w:val="2"/>
            <w:shd w:val="clear" w:color="auto" w:fill="auto"/>
            <w:vAlign w:val="center"/>
          </w:tcPr>
          <w:p>
            <w:pPr>
              <w:pStyle w:val="Text1"/>
              <w:spacing w:beforeLines="20" w:before="48" w:afterLines="20" w:after="48"/>
              <w:ind w:left="134"/>
              <w:jc w:val="left"/>
              <w:rPr>
                <w:noProof/>
                <w:sz w:val="16"/>
              </w:rPr>
            </w:pPr>
            <w:r>
              <w:rPr>
                <w:noProof/>
                <w:sz w:val="16"/>
              </w:rPr>
              <w:t xml:space="preserve">XX 01 01 01 (Централа и представителства на Комисията) — </w:t>
            </w:r>
            <w:r>
              <w:rPr>
                <w:b/>
                <w:noProof/>
                <w:sz w:val="16"/>
              </w:rPr>
              <w:t>Комисия</w:t>
            </w:r>
          </w:p>
        </w:tc>
        <w:tc>
          <w:tcPr>
            <w:tcW w:w="347" w:type="pct"/>
            <w:shd w:val="clear" w:color="auto" w:fill="auto"/>
            <w:vAlign w:val="center"/>
          </w:tcPr>
          <w:p>
            <w:pPr>
              <w:spacing w:beforeLines="20" w:before="48" w:afterLines="20" w:after="48"/>
              <w:jc w:val="center"/>
              <w:rPr>
                <w:noProof/>
                <w:sz w:val="16"/>
                <w:szCs w:val="16"/>
              </w:rPr>
            </w:pPr>
          </w:p>
        </w:tc>
        <w:tc>
          <w:tcPr>
            <w:tcW w:w="347" w:type="pct"/>
            <w:shd w:val="clear" w:color="auto" w:fill="auto"/>
            <w:vAlign w:val="center"/>
          </w:tcPr>
          <w:p>
            <w:pPr>
              <w:spacing w:beforeLines="20" w:before="48" w:afterLines="20" w:after="48"/>
              <w:jc w:val="center"/>
              <w:rPr>
                <w:noProof/>
                <w:sz w:val="16"/>
                <w:szCs w:val="16"/>
              </w:rPr>
            </w:pPr>
          </w:p>
        </w:tc>
        <w:tc>
          <w:tcPr>
            <w:tcW w:w="352" w:type="pct"/>
            <w:shd w:val="clear" w:color="auto" w:fill="auto"/>
            <w:vAlign w:val="center"/>
          </w:tcPr>
          <w:p>
            <w:pPr>
              <w:spacing w:beforeLines="20" w:before="48" w:afterLines="20" w:after="48"/>
              <w:jc w:val="center"/>
              <w:rPr>
                <w:noProof/>
                <w:sz w:val="16"/>
                <w:szCs w:val="16"/>
              </w:rPr>
            </w:pPr>
          </w:p>
        </w:tc>
        <w:tc>
          <w:tcPr>
            <w:tcW w:w="376" w:type="pct"/>
            <w:shd w:val="clear" w:color="auto" w:fill="auto"/>
            <w:vAlign w:val="center"/>
          </w:tcPr>
          <w:p>
            <w:pPr>
              <w:spacing w:beforeLines="20" w:before="48" w:afterLines="20" w:after="48"/>
              <w:jc w:val="center"/>
              <w:rPr>
                <w:noProof/>
                <w:sz w:val="16"/>
                <w:szCs w:val="16"/>
              </w:rPr>
            </w:pPr>
          </w:p>
        </w:tc>
        <w:tc>
          <w:tcPr>
            <w:tcW w:w="392" w:type="pct"/>
            <w:vAlign w:val="center"/>
          </w:tcPr>
          <w:p>
            <w:pPr>
              <w:spacing w:beforeLines="20" w:before="48" w:afterLines="20" w:after="48"/>
              <w:jc w:val="center"/>
              <w:rPr>
                <w:noProof/>
                <w:sz w:val="16"/>
                <w:szCs w:val="16"/>
              </w:rPr>
            </w:pPr>
          </w:p>
        </w:tc>
        <w:tc>
          <w:tcPr>
            <w:tcW w:w="511" w:type="pct"/>
            <w:vAlign w:val="center"/>
          </w:tcPr>
          <w:p>
            <w:pPr>
              <w:spacing w:beforeLines="20" w:before="48" w:afterLines="20" w:after="48"/>
              <w:jc w:val="center"/>
              <w:rPr>
                <w:noProof/>
                <w:sz w:val="16"/>
                <w:szCs w:val="16"/>
              </w:rPr>
            </w:pPr>
          </w:p>
        </w:tc>
        <w:tc>
          <w:tcPr>
            <w:tcW w:w="601" w:type="pct"/>
            <w:vAlign w:val="center"/>
          </w:tcPr>
          <w:p>
            <w:pPr>
              <w:spacing w:beforeLines="20" w:before="48" w:afterLines="20" w:after="48"/>
              <w:jc w:val="center"/>
              <w:rPr>
                <w:noProof/>
                <w:sz w:val="16"/>
                <w:szCs w:val="16"/>
              </w:rPr>
            </w:pPr>
            <w:r>
              <w:rPr>
                <w:noProof/>
                <w:sz w:val="16"/>
                <w:szCs w:val="16"/>
              </w:rPr>
              <w:t>3,8/3,5</w:t>
            </w:r>
            <w:r>
              <w:rPr>
                <w:rStyle w:val="FootnoteReference"/>
                <w:noProof/>
                <w:sz w:val="16"/>
                <w:szCs w:val="16"/>
              </w:rPr>
              <w:footnoteReference w:id="73"/>
            </w:r>
          </w:p>
        </w:tc>
      </w:tr>
      <w:tr>
        <w:trPr>
          <w:trHeight w:val="289"/>
          <w:jc w:val="center"/>
        </w:trPr>
        <w:tc>
          <w:tcPr>
            <w:tcW w:w="2074"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(Делегации)</w:t>
            </w:r>
          </w:p>
        </w:tc>
        <w:tc>
          <w:tcPr>
            <w:tcW w:w="347" w:type="pct"/>
            <w:shd w:val="clear" w:color="auto" w:fill="auto"/>
            <w:vAlign w:val="center"/>
          </w:tcPr>
          <w:p>
            <w:pPr>
              <w:spacing w:beforeLines="20" w:before="48" w:afterLines="20" w:after="48"/>
              <w:jc w:val="center"/>
              <w:rPr>
                <w:noProof/>
                <w:sz w:val="16"/>
                <w:szCs w:val="16"/>
              </w:rPr>
            </w:pPr>
          </w:p>
        </w:tc>
        <w:tc>
          <w:tcPr>
            <w:tcW w:w="347" w:type="pct"/>
            <w:shd w:val="clear" w:color="auto" w:fill="auto"/>
            <w:vAlign w:val="center"/>
          </w:tcPr>
          <w:p>
            <w:pPr>
              <w:spacing w:beforeLines="20" w:before="48" w:afterLines="20" w:after="48"/>
              <w:jc w:val="center"/>
              <w:rPr>
                <w:noProof/>
                <w:sz w:val="16"/>
                <w:szCs w:val="16"/>
              </w:rPr>
            </w:pPr>
          </w:p>
        </w:tc>
        <w:tc>
          <w:tcPr>
            <w:tcW w:w="352" w:type="pct"/>
            <w:shd w:val="clear" w:color="auto" w:fill="auto"/>
            <w:vAlign w:val="center"/>
          </w:tcPr>
          <w:p>
            <w:pPr>
              <w:spacing w:beforeLines="20" w:before="48" w:afterLines="20" w:after="48"/>
              <w:jc w:val="center"/>
              <w:rPr>
                <w:noProof/>
                <w:sz w:val="16"/>
                <w:szCs w:val="16"/>
              </w:rPr>
            </w:pPr>
          </w:p>
        </w:tc>
        <w:tc>
          <w:tcPr>
            <w:tcW w:w="376" w:type="pct"/>
            <w:shd w:val="clear" w:color="auto" w:fill="auto"/>
            <w:vAlign w:val="center"/>
          </w:tcPr>
          <w:p>
            <w:pPr>
              <w:spacing w:beforeLines="20" w:before="48" w:afterLines="20" w:after="48"/>
              <w:jc w:val="center"/>
              <w:rPr>
                <w:noProof/>
                <w:sz w:val="16"/>
                <w:szCs w:val="16"/>
              </w:rPr>
            </w:pPr>
          </w:p>
        </w:tc>
        <w:tc>
          <w:tcPr>
            <w:tcW w:w="392" w:type="pct"/>
            <w:vAlign w:val="center"/>
          </w:tcPr>
          <w:p>
            <w:pPr>
              <w:spacing w:beforeLines="20" w:before="48" w:afterLines="20" w:after="48"/>
              <w:jc w:val="center"/>
              <w:rPr>
                <w:noProof/>
                <w:sz w:val="16"/>
                <w:szCs w:val="16"/>
              </w:rPr>
            </w:pPr>
          </w:p>
        </w:tc>
        <w:tc>
          <w:tcPr>
            <w:tcW w:w="511" w:type="pct"/>
            <w:vAlign w:val="center"/>
          </w:tcPr>
          <w:p>
            <w:pPr>
              <w:spacing w:beforeLines="20" w:before="48" w:afterLines="20" w:after="48"/>
              <w:jc w:val="center"/>
              <w:rPr>
                <w:noProof/>
                <w:sz w:val="16"/>
                <w:szCs w:val="16"/>
              </w:rPr>
            </w:pPr>
          </w:p>
        </w:tc>
        <w:tc>
          <w:tcPr>
            <w:tcW w:w="601" w:type="pct"/>
            <w:vAlign w:val="center"/>
          </w:tcPr>
          <w:p>
            <w:pPr>
              <w:spacing w:beforeLines="20" w:before="48" w:afterLines="20" w:after="48"/>
              <w:jc w:val="center"/>
              <w:rPr>
                <w:noProof/>
                <w:sz w:val="16"/>
                <w:szCs w:val="16"/>
              </w:rPr>
            </w:pPr>
          </w:p>
        </w:tc>
      </w:tr>
      <w:tr>
        <w:trPr>
          <w:trHeight w:val="289"/>
          <w:jc w:val="center"/>
        </w:trPr>
        <w:tc>
          <w:tcPr>
            <w:tcW w:w="2074"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 (Непреки научни изследвания)</w:t>
            </w:r>
          </w:p>
        </w:tc>
        <w:tc>
          <w:tcPr>
            <w:tcW w:w="347" w:type="pct"/>
            <w:shd w:val="clear" w:color="auto" w:fill="auto"/>
            <w:vAlign w:val="center"/>
          </w:tcPr>
          <w:p>
            <w:pPr>
              <w:spacing w:beforeLines="20" w:before="48" w:afterLines="20" w:after="48"/>
              <w:jc w:val="center"/>
              <w:rPr>
                <w:noProof/>
                <w:sz w:val="16"/>
                <w:szCs w:val="16"/>
              </w:rPr>
            </w:pPr>
          </w:p>
        </w:tc>
        <w:tc>
          <w:tcPr>
            <w:tcW w:w="347" w:type="pct"/>
            <w:shd w:val="clear" w:color="auto" w:fill="auto"/>
            <w:vAlign w:val="center"/>
          </w:tcPr>
          <w:p>
            <w:pPr>
              <w:spacing w:beforeLines="20" w:before="48" w:afterLines="20" w:after="48"/>
              <w:jc w:val="center"/>
              <w:rPr>
                <w:noProof/>
                <w:sz w:val="16"/>
                <w:szCs w:val="16"/>
              </w:rPr>
            </w:pPr>
          </w:p>
        </w:tc>
        <w:tc>
          <w:tcPr>
            <w:tcW w:w="352" w:type="pct"/>
            <w:shd w:val="clear" w:color="auto" w:fill="auto"/>
            <w:vAlign w:val="center"/>
          </w:tcPr>
          <w:p>
            <w:pPr>
              <w:spacing w:beforeLines="20" w:before="48" w:afterLines="20" w:after="48"/>
              <w:jc w:val="center"/>
              <w:rPr>
                <w:noProof/>
                <w:sz w:val="16"/>
                <w:szCs w:val="16"/>
              </w:rPr>
            </w:pPr>
          </w:p>
        </w:tc>
        <w:tc>
          <w:tcPr>
            <w:tcW w:w="376" w:type="pct"/>
            <w:shd w:val="clear" w:color="auto" w:fill="auto"/>
            <w:vAlign w:val="center"/>
          </w:tcPr>
          <w:p>
            <w:pPr>
              <w:spacing w:beforeLines="20" w:before="48" w:afterLines="20" w:after="48"/>
              <w:jc w:val="center"/>
              <w:rPr>
                <w:noProof/>
                <w:sz w:val="16"/>
                <w:szCs w:val="16"/>
              </w:rPr>
            </w:pPr>
          </w:p>
        </w:tc>
        <w:tc>
          <w:tcPr>
            <w:tcW w:w="392" w:type="pct"/>
            <w:vAlign w:val="center"/>
          </w:tcPr>
          <w:p>
            <w:pPr>
              <w:spacing w:beforeLines="20" w:before="48" w:afterLines="20" w:after="48"/>
              <w:jc w:val="center"/>
              <w:rPr>
                <w:noProof/>
                <w:sz w:val="16"/>
                <w:szCs w:val="16"/>
              </w:rPr>
            </w:pPr>
          </w:p>
        </w:tc>
        <w:tc>
          <w:tcPr>
            <w:tcW w:w="511" w:type="pct"/>
            <w:vAlign w:val="center"/>
          </w:tcPr>
          <w:p>
            <w:pPr>
              <w:spacing w:beforeLines="20" w:before="48" w:afterLines="20" w:after="48"/>
              <w:jc w:val="center"/>
              <w:rPr>
                <w:noProof/>
                <w:sz w:val="16"/>
                <w:szCs w:val="16"/>
              </w:rPr>
            </w:pPr>
          </w:p>
        </w:tc>
        <w:tc>
          <w:tcPr>
            <w:tcW w:w="601" w:type="pct"/>
            <w:vAlign w:val="center"/>
          </w:tcPr>
          <w:p>
            <w:pPr>
              <w:spacing w:beforeLines="20" w:before="48" w:afterLines="20" w:after="48"/>
              <w:jc w:val="center"/>
              <w:rPr>
                <w:noProof/>
                <w:sz w:val="16"/>
                <w:szCs w:val="16"/>
              </w:rPr>
            </w:pPr>
          </w:p>
        </w:tc>
      </w:tr>
      <w:tr>
        <w:trPr>
          <w:trHeight w:val="289"/>
          <w:jc w:val="center"/>
        </w:trPr>
        <w:tc>
          <w:tcPr>
            <w:tcW w:w="2074"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(Преки научни изследвания)</w:t>
            </w:r>
          </w:p>
        </w:tc>
        <w:tc>
          <w:tcPr>
            <w:tcW w:w="347" w:type="pct"/>
            <w:shd w:val="clear" w:color="auto" w:fill="auto"/>
            <w:vAlign w:val="center"/>
          </w:tcPr>
          <w:p>
            <w:pPr>
              <w:spacing w:beforeLines="20" w:before="48" w:afterLines="20" w:after="48"/>
              <w:jc w:val="center"/>
              <w:rPr>
                <w:noProof/>
                <w:sz w:val="16"/>
                <w:szCs w:val="16"/>
              </w:rPr>
            </w:pPr>
          </w:p>
        </w:tc>
        <w:tc>
          <w:tcPr>
            <w:tcW w:w="347" w:type="pct"/>
            <w:shd w:val="clear" w:color="auto" w:fill="auto"/>
            <w:vAlign w:val="center"/>
          </w:tcPr>
          <w:p>
            <w:pPr>
              <w:spacing w:beforeLines="20" w:before="48" w:afterLines="20" w:after="48"/>
              <w:jc w:val="center"/>
              <w:rPr>
                <w:noProof/>
                <w:sz w:val="16"/>
                <w:szCs w:val="16"/>
              </w:rPr>
            </w:pPr>
          </w:p>
        </w:tc>
        <w:tc>
          <w:tcPr>
            <w:tcW w:w="352" w:type="pct"/>
            <w:shd w:val="clear" w:color="auto" w:fill="auto"/>
            <w:vAlign w:val="center"/>
          </w:tcPr>
          <w:p>
            <w:pPr>
              <w:spacing w:beforeLines="20" w:before="48" w:afterLines="20" w:after="48"/>
              <w:jc w:val="center"/>
              <w:rPr>
                <w:noProof/>
                <w:sz w:val="16"/>
                <w:szCs w:val="16"/>
              </w:rPr>
            </w:pPr>
          </w:p>
        </w:tc>
        <w:tc>
          <w:tcPr>
            <w:tcW w:w="376" w:type="pct"/>
            <w:shd w:val="clear" w:color="auto" w:fill="auto"/>
            <w:vAlign w:val="center"/>
          </w:tcPr>
          <w:p>
            <w:pPr>
              <w:spacing w:beforeLines="20" w:before="48" w:afterLines="20" w:after="48"/>
              <w:jc w:val="center"/>
              <w:rPr>
                <w:noProof/>
                <w:sz w:val="16"/>
                <w:szCs w:val="16"/>
              </w:rPr>
            </w:pPr>
          </w:p>
        </w:tc>
        <w:tc>
          <w:tcPr>
            <w:tcW w:w="392" w:type="pct"/>
            <w:vAlign w:val="center"/>
          </w:tcPr>
          <w:p>
            <w:pPr>
              <w:spacing w:beforeLines="20" w:before="48" w:afterLines="20" w:after="48"/>
              <w:jc w:val="center"/>
              <w:rPr>
                <w:noProof/>
                <w:sz w:val="16"/>
                <w:szCs w:val="16"/>
              </w:rPr>
            </w:pPr>
          </w:p>
        </w:tc>
        <w:tc>
          <w:tcPr>
            <w:tcW w:w="511" w:type="pct"/>
            <w:vAlign w:val="center"/>
          </w:tcPr>
          <w:p>
            <w:pPr>
              <w:spacing w:beforeLines="20" w:before="48" w:afterLines="20" w:after="48"/>
              <w:jc w:val="center"/>
              <w:rPr>
                <w:noProof/>
                <w:sz w:val="16"/>
                <w:szCs w:val="16"/>
              </w:rPr>
            </w:pPr>
          </w:p>
        </w:tc>
        <w:tc>
          <w:tcPr>
            <w:tcW w:w="601" w:type="pct"/>
            <w:vAlign w:val="center"/>
          </w:tcPr>
          <w:p>
            <w:pPr>
              <w:spacing w:beforeLines="20" w:before="48" w:afterLines="20" w:after="48"/>
              <w:jc w:val="center"/>
              <w:rPr>
                <w:noProof/>
                <w:sz w:val="16"/>
                <w:szCs w:val="16"/>
              </w:rPr>
            </w:pPr>
          </w:p>
        </w:tc>
      </w:tr>
      <w:tr>
        <w:trPr>
          <w:trHeight w:val="289"/>
          <w:jc w:val="center"/>
        </w:trPr>
        <w:tc>
          <w:tcPr>
            <w:tcW w:w="2074" w:type="pct"/>
            <w:gridSpan w:val="2"/>
            <w:shd w:val="clear" w:color="auto" w:fill="auto"/>
            <w:vAlign w:val="center"/>
          </w:tcPr>
          <w:p>
            <w:pPr>
              <w:pStyle w:val="Text1"/>
              <w:spacing w:before="60" w:after="60"/>
              <w:ind w:left="0"/>
              <w:jc w:val="left"/>
              <w:rPr>
                <w:b/>
                <w:noProof/>
                <w:sz w:val="16"/>
                <w:szCs w:val="16"/>
              </w:rPr>
            </w:pPr>
            <w:r>
              <w:rPr>
                <w:b/>
                <w:noProof/>
                <w:sz w:val="16"/>
              </w:rPr>
              <w:sym w:font="Wingdings" w:char="F09F"/>
            </w:r>
            <w:r>
              <w:rPr>
                <w:b/>
                <w:noProof/>
                <w:sz w:val="16"/>
              </w:rPr>
              <w:t>Външен персонал (в еквивалент на пълно работно време: ЕПРВ)</w:t>
            </w:r>
            <w:r>
              <w:rPr>
                <w:rStyle w:val="FootnoteReference"/>
                <w:b/>
                <w:noProof/>
                <w:sz w:val="16"/>
              </w:rPr>
              <w:footnoteReference w:id="74"/>
            </w:r>
          </w:p>
          <w:p>
            <w:pPr>
              <w:pStyle w:val="Text1"/>
              <w:spacing w:beforeLines="20" w:before="48" w:afterLines="20" w:after="48"/>
              <w:ind w:left="136"/>
              <w:jc w:val="left"/>
              <w:rPr>
                <w:noProof/>
                <w:sz w:val="16"/>
              </w:rPr>
            </w:pPr>
          </w:p>
        </w:tc>
        <w:tc>
          <w:tcPr>
            <w:tcW w:w="347" w:type="pct"/>
            <w:shd w:val="clear" w:color="auto" w:fill="auto"/>
            <w:vAlign w:val="center"/>
          </w:tcPr>
          <w:p>
            <w:pPr>
              <w:spacing w:beforeLines="20" w:before="48" w:afterLines="20" w:after="48"/>
              <w:jc w:val="center"/>
              <w:rPr>
                <w:noProof/>
                <w:sz w:val="16"/>
                <w:szCs w:val="16"/>
              </w:rPr>
            </w:pPr>
          </w:p>
        </w:tc>
        <w:tc>
          <w:tcPr>
            <w:tcW w:w="347" w:type="pct"/>
            <w:shd w:val="clear" w:color="auto" w:fill="auto"/>
            <w:vAlign w:val="center"/>
          </w:tcPr>
          <w:p>
            <w:pPr>
              <w:spacing w:beforeLines="20" w:before="48" w:afterLines="20" w:after="48"/>
              <w:jc w:val="center"/>
              <w:rPr>
                <w:noProof/>
                <w:sz w:val="16"/>
                <w:szCs w:val="16"/>
              </w:rPr>
            </w:pPr>
          </w:p>
        </w:tc>
        <w:tc>
          <w:tcPr>
            <w:tcW w:w="352" w:type="pct"/>
            <w:shd w:val="clear" w:color="auto" w:fill="auto"/>
            <w:vAlign w:val="center"/>
          </w:tcPr>
          <w:p>
            <w:pPr>
              <w:spacing w:beforeLines="20" w:before="48" w:afterLines="20" w:after="48"/>
              <w:jc w:val="center"/>
              <w:rPr>
                <w:noProof/>
                <w:sz w:val="16"/>
                <w:szCs w:val="16"/>
              </w:rPr>
            </w:pPr>
          </w:p>
        </w:tc>
        <w:tc>
          <w:tcPr>
            <w:tcW w:w="376" w:type="pct"/>
            <w:shd w:val="clear" w:color="auto" w:fill="auto"/>
            <w:vAlign w:val="center"/>
          </w:tcPr>
          <w:p>
            <w:pPr>
              <w:spacing w:beforeLines="20" w:before="48" w:afterLines="20" w:after="48"/>
              <w:jc w:val="center"/>
              <w:rPr>
                <w:noProof/>
                <w:sz w:val="16"/>
                <w:szCs w:val="16"/>
              </w:rPr>
            </w:pPr>
          </w:p>
        </w:tc>
        <w:tc>
          <w:tcPr>
            <w:tcW w:w="392" w:type="pct"/>
            <w:vAlign w:val="center"/>
          </w:tcPr>
          <w:p>
            <w:pPr>
              <w:spacing w:beforeLines="20" w:before="48" w:afterLines="20" w:after="48"/>
              <w:jc w:val="center"/>
              <w:rPr>
                <w:noProof/>
                <w:sz w:val="16"/>
                <w:szCs w:val="16"/>
              </w:rPr>
            </w:pPr>
          </w:p>
        </w:tc>
        <w:tc>
          <w:tcPr>
            <w:tcW w:w="511" w:type="pct"/>
            <w:vAlign w:val="center"/>
          </w:tcPr>
          <w:p>
            <w:pPr>
              <w:spacing w:beforeLines="20" w:before="48" w:afterLines="20" w:after="48"/>
              <w:jc w:val="center"/>
              <w:rPr>
                <w:noProof/>
                <w:sz w:val="16"/>
                <w:szCs w:val="16"/>
              </w:rPr>
            </w:pPr>
          </w:p>
        </w:tc>
        <w:tc>
          <w:tcPr>
            <w:tcW w:w="601" w:type="pct"/>
            <w:vAlign w:val="center"/>
          </w:tcPr>
          <w:p>
            <w:pPr>
              <w:spacing w:beforeLines="20" w:before="48" w:afterLines="20" w:after="48"/>
              <w:jc w:val="center"/>
              <w:rPr>
                <w:noProof/>
                <w:sz w:val="16"/>
                <w:szCs w:val="16"/>
              </w:rPr>
            </w:pPr>
          </w:p>
        </w:tc>
      </w:tr>
      <w:tr>
        <w:trPr>
          <w:trHeight w:val="289"/>
          <w:jc w:val="center"/>
        </w:trPr>
        <w:tc>
          <w:tcPr>
            <w:tcW w:w="2074"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(ДНП, КНЕ, ПНА от общия финансов пакет)</w:t>
            </w:r>
          </w:p>
        </w:tc>
        <w:tc>
          <w:tcPr>
            <w:tcW w:w="347" w:type="pct"/>
            <w:shd w:val="clear" w:color="auto" w:fill="auto"/>
            <w:vAlign w:val="center"/>
          </w:tcPr>
          <w:p>
            <w:pPr>
              <w:spacing w:beforeLines="20" w:before="48" w:afterLines="20" w:after="48"/>
              <w:jc w:val="center"/>
              <w:rPr>
                <w:noProof/>
                <w:sz w:val="16"/>
                <w:szCs w:val="16"/>
              </w:rPr>
            </w:pPr>
          </w:p>
        </w:tc>
        <w:tc>
          <w:tcPr>
            <w:tcW w:w="347" w:type="pct"/>
            <w:shd w:val="clear" w:color="auto" w:fill="auto"/>
            <w:vAlign w:val="center"/>
          </w:tcPr>
          <w:p>
            <w:pPr>
              <w:spacing w:beforeLines="20" w:before="48" w:afterLines="20" w:after="48"/>
              <w:jc w:val="center"/>
              <w:rPr>
                <w:noProof/>
                <w:sz w:val="16"/>
                <w:szCs w:val="16"/>
              </w:rPr>
            </w:pPr>
          </w:p>
        </w:tc>
        <w:tc>
          <w:tcPr>
            <w:tcW w:w="352" w:type="pct"/>
            <w:shd w:val="clear" w:color="auto" w:fill="auto"/>
            <w:vAlign w:val="center"/>
          </w:tcPr>
          <w:p>
            <w:pPr>
              <w:spacing w:beforeLines="20" w:before="48" w:afterLines="20" w:after="48"/>
              <w:jc w:val="center"/>
              <w:rPr>
                <w:noProof/>
                <w:sz w:val="16"/>
                <w:szCs w:val="16"/>
              </w:rPr>
            </w:pPr>
          </w:p>
        </w:tc>
        <w:tc>
          <w:tcPr>
            <w:tcW w:w="376" w:type="pct"/>
            <w:shd w:val="clear" w:color="auto" w:fill="auto"/>
            <w:vAlign w:val="center"/>
          </w:tcPr>
          <w:p>
            <w:pPr>
              <w:spacing w:beforeLines="20" w:before="48" w:afterLines="20" w:after="48"/>
              <w:jc w:val="center"/>
              <w:rPr>
                <w:noProof/>
                <w:sz w:val="16"/>
                <w:szCs w:val="16"/>
              </w:rPr>
            </w:pPr>
          </w:p>
        </w:tc>
        <w:tc>
          <w:tcPr>
            <w:tcW w:w="392" w:type="pct"/>
            <w:vAlign w:val="center"/>
          </w:tcPr>
          <w:p>
            <w:pPr>
              <w:spacing w:beforeLines="20" w:before="48" w:afterLines="20" w:after="48"/>
              <w:jc w:val="center"/>
              <w:rPr>
                <w:noProof/>
                <w:sz w:val="16"/>
                <w:szCs w:val="16"/>
              </w:rPr>
            </w:pPr>
          </w:p>
        </w:tc>
        <w:tc>
          <w:tcPr>
            <w:tcW w:w="511" w:type="pct"/>
            <w:vAlign w:val="center"/>
          </w:tcPr>
          <w:p>
            <w:pPr>
              <w:spacing w:beforeLines="20" w:before="48" w:afterLines="20" w:after="48"/>
              <w:jc w:val="center"/>
              <w:rPr>
                <w:noProof/>
                <w:sz w:val="16"/>
                <w:szCs w:val="16"/>
              </w:rPr>
            </w:pPr>
          </w:p>
        </w:tc>
        <w:tc>
          <w:tcPr>
            <w:tcW w:w="601" w:type="pct"/>
            <w:vAlign w:val="center"/>
          </w:tcPr>
          <w:p>
            <w:pPr>
              <w:spacing w:beforeLines="20" w:before="48" w:afterLines="20" w:after="48"/>
              <w:jc w:val="center"/>
              <w:rPr>
                <w:noProof/>
                <w:sz w:val="16"/>
                <w:szCs w:val="16"/>
              </w:rPr>
            </w:pPr>
          </w:p>
        </w:tc>
      </w:tr>
      <w:tr>
        <w:trPr>
          <w:trHeight w:val="289"/>
          <w:jc w:val="center"/>
        </w:trPr>
        <w:tc>
          <w:tcPr>
            <w:tcW w:w="2074"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(ДНП, МП, КНЕ, ПНА и МЕД в делегациите)</w:t>
            </w:r>
          </w:p>
        </w:tc>
        <w:tc>
          <w:tcPr>
            <w:tcW w:w="347" w:type="pct"/>
            <w:shd w:val="clear" w:color="auto" w:fill="auto"/>
            <w:vAlign w:val="center"/>
          </w:tcPr>
          <w:p>
            <w:pPr>
              <w:spacing w:beforeLines="20" w:before="48" w:afterLines="20" w:after="48"/>
              <w:jc w:val="center"/>
              <w:rPr>
                <w:noProof/>
                <w:sz w:val="16"/>
                <w:szCs w:val="16"/>
              </w:rPr>
            </w:pPr>
          </w:p>
        </w:tc>
        <w:tc>
          <w:tcPr>
            <w:tcW w:w="347" w:type="pct"/>
            <w:shd w:val="clear" w:color="auto" w:fill="auto"/>
            <w:vAlign w:val="center"/>
          </w:tcPr>
          <w:p>
            <w:pPr>
              <w:spacing w:beforeLines="20" w:before="48" w:afterLines="20" w:after="48"/>
              <w:jc w:val="center"/>
              <w:rPr>
                <w:noProof/>
                <w:sz w:val="16"/>
                <w:szCs w:val="16"/>
              </w:rPr>
            </w:pPr>
          </w:p>
        </w:tc>
        <w:tc>
          <w:tcPr>
            <w:tcW w:w="352" w:type="pct"/>
            <w:shd w:val="clear" w:color="auto" w:fill="auto"/>
            <w:vAlign w:val="center"/>
          </w:tcPr>
          <w:p>
            <w:pPr>
              <w:spacing w:beforeLines="20" w:before="48" w:afterLines="20" w:after="48"/>
              <w:jc w:val="center"/>
              <w:rPr>
                <w:noProof/>
                <w:sz w:val="16"/>
                <w:szCs w:val="16"/>
              </w:rPr>
            </w:pPr>
          </w:p>
        </w:tc>
        <w:tc>
          <w:tcPr>
            <w:tcW w:w="376" w:type="pct"/>
            <w:shd w:val="clear" w:color="auto" w:fill="auto"/>
            <w:vAlign w:val="center"/>
          </w:tcPr>
          <w:p>
            <w:pPr>
              <w:spacing w:beforeLines="20" w:before="48" w:afterLines="20" w:after="48"/>
              <w:jc w:val="center"/>
              <w:rPr>
                <w:noProof/>
                <w:sz w:val="16"/>
                <w:szCs w:val="16"/>
              </w:rPr>
            </w:pPr>
          </w:p>
        </w:tc>
        <w:tc>
          <w:tcPr>
            <w:tcW w:w="392" w:type="pct"/>
            <w:vAlign w:val="center"/>
          </w:tcPr>
          <w:p>
            <w:pPr>
              <w:spacing w:beforeLines="20" w:before="48" w:afterLines="20" w:after="48"/>
              <w:jc w:val="center"/>
              <w:rPr>
                <w:noProof/>
                <w:sz w:val="16"/>
                <w:szCs w:val="16"/>
              </w:rPr>
            </w:pPr>
          </w:p>
        </w:tc>
        <w:tc>
          <w:tcPr>
            <w:tcW w:w="511" w:type="pct"/>
            <w:vAlign w:val="center"/>
          </w:tcPr>
          <w:p>
            <w:pPr>
              <w:spacing w:beforeLines="20" w:before="48" w:afterLines="20" w:after="48"/>
              <w:jc w:val="center"/>
              <w:rPr>
                <w:noProof/>
                <w:sz w:val="16"/>
                <w:szCs w:val="16"/>
              </w:rPr>
            </w:pPr>
          </w:p>
        </w:tc>
        <w:tc>
          <w:tcPr>
            <w:tcW w:w="601" w:type="pct"/>
            <w:vAlign w:val="center"/>
          </w:tcPr>
          <w:p>
            <w:pPr>
              <w:spacing w:beforeLines="20" w:before="48" w:afterLines="20" w:after="48"/>
              <w:jc w:val="center"/>
              <w:rPr>
                <w:noProof/>
                <w:sz w:val="16"/>
                <w:szCs w:val="16"/>
              </w:rPr>
            </w:pPr>
          </w:p>
        </w:tc>
      </w:tr>
      <w:tr>
        <w:trPr>
          <w:trHeight w:val="326"/>
          <w:jc w:val="center"/>
        </w:trPr>
        <w:tc>
          <w:tcPr>
            <w:tcW w:w="1022"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szCs w:val="16"/>
              </w:rPr>
              <w:t>XX</w:t>
            </w:r>
            <w:r>
              <w:rPr>
                <w:noProof/>
                <w:sz w:val="16"/>
                <w:szCs w:val="16"/>
              </w:rPr>
              <w:t xml:space="preserve"> 01 04 </w:t>
            </w:r>
            <w:r>
              <w:rPr>
                <w:b/>
                <w:noProof/>
                <w:sz w:val="16"/>
                <w:szCs w:val="16"/>
              </w:rPr>
              <w:t>гг</w:t>
            </w:r>
            <w:r>
              <w:rPr>
                <w:b/>
                <w:i/>
                <w:noProof/>
                <w:sz w:val="16"/>
              </w:rPr>
              <w:t xml:space="preserve"> </w:t>
            </w:r>
            <w:r>
              <w:rPr>
                <w:rStyle w:val="FootnoteReference"/>
                <w:b/>
                <w:i/>
                <w:noProof/>
                <w:sz w:val="16"/>
              </w:rPr>
              <w:footnoteReference w:id="75"/>
            </w:r>
          </w:p>
          <w:p>
            <w:pPr>
              <w:pStyle w:val="Text1"/>
              <w:spacing w:beforeLines="20" w:before="48" w:afterLines="20" w:after="48"/>
              <w:ind w:left="136"/>
              <w:jc w:val="left"/>
              <w:rPr>
                <w:b/>
                <w:noProof/>
                <w:sz w:val="16"/>
                <w:szCs w:val="16"/>
              </w:rPr>
            </w:pPr>
          </w:p>
        </w:tc>
        <w:tc>
          <w:tcPr>
            <w:tcW w:w="1052" w:type="pct"/>
            <w:shd w:val="clear" w:color="auto" w:fill="auto"/>
            <w:vAlign w:val="center"/>
          </w:tcPr>
          <w:p>
            <w:pPr>
              <w:pStyle w:val="Text1"/>
              <w:spacing w:beforeLines="20" w:before="48" w:afterLines="20" w:after="48"/>
              <w:ind w:left="136"/>
              <w:jc w:val="left"/>
              <w:rPr>
                <w:b/>
                <w:noProof/>
                <w:sz w:val="16"/>
                <w:szCs w:val="16"/>
              </w:rPr>
            </w:pPr>
            <w:r>
              <w:rPr>
                <w:noProof/>
                <w:sz w:val="16"/>
              </w:rPr>
              <w:t>- в централата</w:t>
            </w:r>
          </w:p>
          <w:p>
            <w:pPr>
              <w:pStyle w:val="Text1"/>
              <w:spacing w:beforeLines="20" w:before="48" w:afterLines="20" w:after="48"/>
              <w:ind w:left="136"/>
              <w:jc w:val="left"/>
              <w:rPr>
                <w:b/>
                <w:noProof/>
                <w:sz w:val="16"/>
                <w:szCs w:val="16"/>
              </w:rPr>
            </w:pPr>
          </w:p>
        </w:tc>
        <w:tc>
          <w:tcPr>
            <w:tcW w:w="347" w:type="pct"/>
            <w:shd w:val="clear" w:color="auto" w:fill="auto"/>
            <w:vAlign w:val="center"/>
          </w:tcPr>
          <w:p>
            <w:pPr>
              <w:pStyle w:val="Text1"/>
              <w:spacing w:beforeLines="20" w:before="48" w:afterLines="20" w:after="48"/>
              <w:ind w:left="0"/>
              <w:rPr>
                <w:noProof/>
                <w:sz w:val="16"/>
                <w:szCs w:val="16"/>
              </w:rPr>
            </w:pPr>
          </w:p>
        </w:tc>
        <w:tc>
          <w:tcPr>
            <w:tcW w:w="347" w:type="pct"/>
            <w:shd w:val="clear" w:color="auto" w:fill="auto"/>
            <w:vAlign w:val="center"/>
          </w:tcPr>
          <w:p>
            <w:pPr>
              <w:spacing w:beforeLines="20" w:before="48" w:afterLines="20" w:after="48"/>
              <w:jc w:val="center"/>
              <w:rPr>
                <w:noProof/>
                <w:sz w:val="16"/>
                <w:szCs w:val="16"/>
              </w:rPr>
            </w:pPr>
          </w:p>
        </w:tc>
        <w:tc>
          <w:tcPr>
            <w:tcW w:w="352" w:type="pct"/>
            <w:shd w:val="clear" w:color="auto" w:fill="auto"/>
            <w:vAlign w:val="center"/>
          </w:tcPr>
          <w:p>
            <w:pPr>
              <w:spacing w:beforeLines="20" w:before="48" w:afterLines="20" w:after="48"/>
              <w:jc w:val="center"/>
              <w:rPr>
                <w:noProof/>
                <w:sz w:val="16"/>
                <w:szCs w:val="16"/>
              </w:rPr>
            </w:pPr>
          </w:p>
        </w:tc>
        <w:tc>
          <w:tcPr>
            <w:tcW w:w="376" w:type="pct"/>
            <w:shd w:val="clear" w:color="auto" w:fill="auto"/>
            <w:vAlign w:val="center"/>
          </w:tcPr>
          <w:p>
            <w:pPr>
              <w:spacing w:beforeLines="20" w:before="48" w:afterLines="20" w:after="48"/>
              <w:jc w:val="center"/>
              <w:rPr>
                <w:noProof/>
                <w:sz w:val="16"/>
                <w:szCs w:val="16"/>
              </w:rPr>
            </w:pPr>
          </w:p>
        </w:tc>
        <w:tc>
          <w:tcPr>
            <w:tcW w:w="392" w:type="pct"/>
            <w:vAlign w:val="center"/>
          </w:tcPr>
          <w:p>
            <w:pPr>
              <w:spacing w:beforeLines="20" w:before="48" w:afterLines="20" w:after="48"/>
              <w:jc w:val="center"/>
              <w:rPr>
                <w:noProof/>
                <w:sz w:val="16"/>
                <w:szCs w:val="16"/>
              </w:rPr>
            </w:pPr>
          </w:p>
        </w:tc>
        <w:tc>
          <w:tcPr>
            <w:tcW w:w="511" w:type="pct"/>
            <w:vAlign w:val="center"/>
          </w:tcPr>
          <w:p>
            <w:pPr>
              <w:spacing w:beforeLines="20" w:before="48" w:afterLines="20" w:after="48"/>
              <w:jc w:val="center"/>
              <w:rPr>
                <w:noProof/>
                <w:sz w:val="16"/>
                <w:szCs w:val="16"/>
              </w:rPr>
            </w:pPr>
          </w:p>
        </w:tc>
        <w:tc>
          <w:tcPr>
            <w:tcW w:w="601" w:type="pct"/>
            <w:vAlign w:val="center"/>
          </w:tcPr>
          <w:p>
            <w:pPr>
              <w:spacing w:beforeLines="20" w:before="48" w:afterLines="20" w:after="48"/>
              <w:jc w:val="center"/>
              <w:rPr>
                <w:noProof/>
                <w:sz w:val="16"/>
                <w:szCs w:val="16"/>
              </w:rPr>
            </w:pPr>
          </w:p>
        </w:tc>
      </w:tr>
      <w:tr>
        <w:trPr>
          <w:trHeight w:val="289"/>
          <w:jc w:val="center"/>
        </w:trPr>
        <w:tc>
          <w:tcPr>
            <w:tcW w:w="1022" w:type="pct"/>
            <w:vMerge/>
            <w:shd w:val="clear" w:color="auto" w:fill="auto"/>
            <w:vAlign w:val="center"/>
          </w:tcPr>
          <w:p>
            <w:pPr>
              <w:pStyle w:val="Text1"/>
              <w:spacing w:beforeLines="20" w:before="48" w:afterLines="20" w:after="48"/>
              <w:ind w:left="136"/>
              <w:jc w:val="left"/>
              <w:rPr>
                <w:b/>
                <w:noProof/>
                <w:sz w:val="16"/>
                <w:szCs w:val="16"/>
              </w:rPr>
            </w:pPr>
          </w:p>
        </w:tc>
        <w:tc>
          <w:tcPr>
            <w:tcW w:w="1052"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в делегациите </w:t>
            </w:r>
          </w:p>
        </w:tc>
        <w:tc>
          <w:tcPr>
            <w:tcW w:w="347" w:type="pct"/>
            <w:shd w:val="clear" w:color="auto" w:fill="auto"/>
            <w:vAlign w:val="center"/>
          </w:tcPr>
          <w:p>
            <w:pPr>
              <w:pStyle w:val="Text1"/>
              <w:spacing w:beforeLines="20" w:before="48" w:afterLines="20" w:after="48"/>
              <w:ind w:left="0"/>
              <w:rPr>
                <w:noProof/>
                <w:sz w:val="16"/>
                <w:szCs w:val="16"/>
              </w:rPr>
            </w:pPr>
          </w:p>
        </w:tc>
        <w:tc>
          <w:tcPr>
            <w:tcW w:w="347" w:type="pct"/>
            <w:shd w:val="clear" w:color="auto" w:fill="auto"/>
            <w:vAlign w:val="center"/>
          </w:tcPr>
          <w:p>
            <w:pPr>
              <w:spacing w:beforeLines="20" w:before="48" w:afterLines="20" w:after="48"/>
              <w:jc w:val="center"/>
              <w:rPr>
                <w:noProof/>
                <w:sz w:val="16"/>
                <w:szCs w:val="16"/>
              </w:rPr>
            </w:pPr>
          </w:p>
        </w:tc>
        <w:tc>
          <w:tcPr>
            <w:tcW w:w="352" w:type="pct"/>
            <w:shd w:val="clear" w:color="auto" w:fill="auto"/>
            <w:vAlign w:val="center"/>
          </w:tcPr>
          <w:p>
            <w:pPr>
              <w:spacing w:beforeLines="20" w:before="48" w:afterLines="20" w:after="48"/>
              <w:jc w:val="center"/>
              <w:rPr>
                <w:noProof/>
                <w:sz w:val="16"/>
                <w:szCs w:val="16"/>
              </w:rPr>
            </w:pPr>
          </w:p>
        </w:tc>
        <w:tc>
          <w:tcPr>
            <w:tcW w:w="376" w:type="pct"/>
            <w:shd w:val="clear" w:color="auto" w:fill="auto"/>
            <w:vAlign w:val="center"/>
          </w:tcPr>
          <w:p>
            <w:pPr>
              <w:spacing w:beforeLines="20" w:before="48" w:afterLines="20" w:after="48"/>
              <w:jc w:val="center"/>
              <w:rPr>
                <w:noProof/>
                <w:sz w:val="16"/>
                <w:szCs w:val="16"/>
              </w:rPr>
            </w:pPr>
          </w:p>
        </w:tc>
        <w:tc>
          <w:tcPr>
            <w:tcW w:w="392" w:type="pct"/>
            <w:vAlign w:val="center"/>
          </w:tcPr>
          <w:p>
            <w:pPr>
              <w:spacing w:beforeLines="20" w:before="48" w:afterLines="20" w:after="48"/>
              <w:jc w:val="center"/>
              <w:rPr>
                <w:noProof/>
                <w:sz w:val="16"/>
                <w:szCs w:val="16"/>
              </w:rPr>
            </w:pPr>
          </w:p>
        </w:tc>
        <w:tc>
          <w:tcPr>
            <w:tcW w:w="511" w:type="pct"/>
            <w:vAlign w:val="center"/>
          </w:tcPr>
          <w:p>
            <w:pPr>
              <w:spacing w:beforeLines="20" w:before="48" w:afterLines="20" w:after="48"/>
              <w:jc w:val="center"/>
              <w:rPr>
                <w:noProof/>
                <w:sz w:val="16"/>
                <w:szCs w:val="16"/>
              </w:rPr>
            </w:pPr>
          </w:p>
        </w:tc>
        <w:tc>
          <w:tcPr>
            <w:tcW w:w="601" w:type="pct"/>
            <w:vAlign w:val="center"/>
          </w:tcPr>
          <w:p>
            <w:pPr>
              <w:spacing w:beforeLines="20" w:before="48" w:afterLines="20" w:after="48"/>
              <w:jc w:val="center"/>
              <w:rPr>
                <w:noProof/>
                <w:sz w:val="16"/>
                <w:szCs w:val="16"/>
              </w:rPr>
            </w:pPr>
          </w:p>
        </w:tc>
      </w:tr>
      <w:tr>
        <w:trPr>
          <w:trHeight w:val="289"/>
          <w:jc w:val="center"/>
        </w:trPr>
        <w:tc>
          <w:tcPr>
            <w:tcW w:w="2074" w:type="pct"/>
            <w:gridSpan w:val="2"/>
            <w:shd w:val="clear" w:color="auto" w:fill="auto"/>
            <w:vAlign w:val="center"/>
          </w:tcPr>
          <w:p>
            <w:pPr>
              <w:pStyle w:val="Text1"/>
              <w:spacing w:beforeLines="20" w:before="48" w:afterLines="20" w:after="48"/>
              <w:ind w:left="136"/>
              <w:jc w:val="left"/>
              <w:rPr>
                <w:noProof/>
                <w:sz w:val="16"/>
                <w:szCs w:val="16"/>
              </w:rPr>
            </w:pPr>
            <w:r>
              <w:rPr>
                <w:b/>
                <w:noProof/>
                <w:sz w:val="16"/>
                <w:szCs w:val="16"/>
              </w:rPr>
              <w:t>XX</w:t>
            </w:r>
            <w:r>
              <w:rPr>
                <w:noProof/>
                <w:sz w:val="16"/>
                <w:szCs w:val="16"/>
              </w:rPr>
              <w:t xml:space="preserve"> 01 05 02 (ДНП, КНЕ, ПНА — непреки научни изследвания)</w:t>
            </w:r>
          </w:p>
        </w:tc>
        <w:tc>
          <w:tcPr>
            <w:tcW w:w="347" w:type="pct"/>
            <w:shd w:val="clear" w:color="auto" w:fill="auto"/>
            <w:vAlign w:val="center"/>
          </w:tcPr>
          <w:p>
            <w:pPr>
              <w:spacing w:beforeLines="20" w:before="48" w:afterLines="20" w:after="48"/>
              <w:jc w:val="center"/>
              <w:rPr>
                <w:noProof/>
                <w:sz w:val="16"/>
                <w:szCs w:val="16"/>
              </w:rPr>
            </w:pPr>
          </w:p>
        </w:tc>
        <w:tc>
          <w:tcPr>
            <w:tcW w:w="347" w:type="pct"/>
            <w:shd w:val="clear" w:color="auto" w:fill="auto"/>
            <w:vAlign w:val="center"/>
          </w:tcPr>
          <w:p>
            <w:pPr>
              <w:spacing w:beforeLines="20" w:before="48" w:afterLines="20" w:after="48"/>
              <w:jc w:val="center"/>
              <w:rPr>
                <w:noProof/>
                <w:sz w:val="16"/>
                <w:szCs w:val="16"/>
              </w:rPr>
            </w:pPr>
          </w:p>
        </w:tc>
        <w:tc>
          <w:tcPr>
            <w:tcW w:w="352" w:type="pct"/>
            <w:shd w:val="clear" w:color="auto" w:fill="auto"/>
            <w:vAlign w:val="center"/>
          </w:tcPr>
          <w:p>
            <w:pPr>
              <w:spacing w:beforeLines="20" w:before="48" w:afterLines="20" w:after="48"/>
              <w:jc w:val="center"/>
              <w:rPr>
                <w:noProof/>
                <w:sz w:val="16"/>
                <w:szCs w:val="16"/>
              </w:rPr>
            </w:pPr>
          </w:p>
        </w:tc>
        <w:tc>
          <w:tcPr>
            <w:tcW w:w="376" w:type="pct"/>
            <w:shd w:val="clear" w:color="auto" w:fill="auto"/>
            <w:vAlign w:val="center"/>
          </w:tcPr>
          <w:p>
            <w:pPr>
              <w:spacing w:beforeLines="20" w:before="48" w:afterLines="20" w:after="48"/>
              <w:jc w:val="center"/>
              <w:rPr>
                <w:noProof/>
                <w:sz w:val="16"/>
                <w:szCs w:val="16"/>
              </w:rPr>
            </w:pPr>
          </w:p>
        </w:tc>
        <w:tc>
          <w:tcPr>
            <w:tcW w:w="392" w:type="pct"/>
            <w:vAlign w:val="center"/>
          </w:tcPr>
          <w:p>
            <w:pPr>
              <w:spacing w:beforeLines="20" w:before="48" w:afterLines="20" w:after="48"/>
              <w:jc w:val="center"/>
              <w:rPr>
                <w:noProof/>
                <w:sz w:val="16"/>
                <w:szCs w:val="16"/>
              </w:rPr>
            </w:pPr>
          </w:p>
        </w:tc>
        <w:tc>
          <w:tcPr>
            <w:tcW w:w="511" w:type="pct"/>
            <w:vAlign w:val="center"/>
          </w:tcPr>
          <w:p>
            <w:pPr>
              <w:spacing w:beforeLines="20" w:before="48" w:afterLines="20" w:after="48"/>
              <w:jc w:val="center"/>
              <w:rPr>
                <w:noProof/>
                <w:sz w:val="16"/>
                <w:szCs w:val="16"/>
              </w:rPr>
            </w:pPr>
          </w:p>
        </w:tc>
        <w:tc>
          <w:tcPr>
            <w:tcW w:w="601" w:type="pct"/>
            <w:vAlign w:val="center"/>
          </w:tcPr>
          <w:p>
            <w:pPr>
              <w:spacing w:beforeLines="20" w:before="48" w:afterLines="20" w:after="48"/>
              <w:jc w:val="center"/>
              <w:rPr>
                <w:noProof/>
                <w:sz w:val="16"/>
                <w:szCs w:val="16"/>
              </w:rPr>
            </w:pPr>
          </w:p>
        </w:tc>
      </w:tr>
      <w:tr>
        <w:trPr>
          <w:trHeight w:val="289"/>
          <w:jc w:val="center"/>
        </w:trPr>
        <w:tc>
          <w:tcPr>
            <w:tcW w:w="2074"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(ДНП, КНЕ, ПНА — преки научни изследвания)</w:t>
            </w:r>
          </w:p>
        </w:tc>
        <w:tc>
          <w:tcPr>
            <w:tcW w:w="347" w:type="pct"/>
            <w:shd w:val="clear" w:color="auto" w:fill="auto"/>
            <w:vAlign w:val="center"/>
          </w:tcPr>
          <w:p>
            <w:pPr>
              <w:spacing w:beforeLines="20" w:before="48" w:afterLines="20" w:after="48"/>
              <w:jc w:val="center"/>
              <w:rPr>
                <w:noProof/>
                <w:sz w:val="16"/>
                <w:szCs w:val="16"/>
              </w:rPr>
            </w:pPr>
          </w:p>
        </w:tc>
        <w:tc>
          <w:tcPr>
            <w:tcW w:w="347" w:type="pct"/>
            <w:shd w:val="clear" w:color="auto" w:fill="auto"/>
            <w:vAlign w:val="center"/>
          </w:tcPr>
          <w:p>
            <w:pPr>
              <w:spacing w:beforeLines="20" w:before="48" w:afterLines="20" w:after="48"/>
              <w:jc w:val="center"/>
              <w:rPr>
                <w:noProof/>
                <w:sz w:val="16"/>
                <w:szCs w:val="16"/>
              </w:rPr>
            </w:pPr>
          </w:p>
        </w:tc>
        <w:tc>
          <w:tcPr>
            <w:tcW w:w="352" w:type="pct"/>
            <w:shd w:val="clear" w:color="auto" w:fill="auto"/>
            <w:vAlign w:val="center"/>
          </w:tcPr>
          <w:p>
            <w:pPr>
              <w:spacing w:beforeLines="20" w:before="48" w:afterLines="20" w:after="48"/>
              <w:jc w:val="center"/>
              <w:rPr>
                <w:noProof/>
                <w:sz w:val="16"/>
                <w:szCs w:val="16"/>
              </w:rPr>
            </w:pPr>
          </w:p>
        </w:tc>
        <w:tc>
          <w:tcPr>
            <w:tcW w:w="376" w:type="pct"/>
            <w:shd w:val="clear" w:color="auto" w:fill="auto"/>
            <w:vAlign w:val="center"/>
          </w:tcPr>
          <w:p>
            <w:pPr>
              <w:spacing w:beforeLines="20" w:before="48" w:afterLines="20" w:after="48"/>
              <w:jc w:val="center"/>
              <w:rPr>
                <w:noProof/>
                <w:sz w:val="16"/>
                <w:szCs w:val="16"/>
              </w:rPr>
            </w:pPr>
          </w:p>
        </w:tc>
        <w:tc>
          <w:tcPr>
            <w:tcW w:w="392" w:type="pct"/>
            <w:vAlign w:val="center"/>
          </w:tcPr>
          <w:p>
            <w:pPr>
              <w:spacing w:beforeLines="20" w:before="48" w:afterLines="20" w:after="48"/>
              <w:jc w:val="center"/>
              <w:rPr>
                <w:noProof/>
                <w:sz w:val="16"/>
                <w:szCs w:val="16"/>
              </w:rPr>
            </w:pPr>
          </w:p>
        </w:tc>
        <w:tc>
          <w:tcPr>
            <w:tcW w:w="511" w:type="pct"/>
            <w:vAlign w:val="center"/>
          </w:tcPr>
          <w:p>
            <w:pPr>
              <w:spacing w:beforeLines="20" w:before="48" w:afterLines="20" w:after="48"/>
              <w:jc w:val="center"/>
              <w:rPr>
                <w:noProof/>
                <w:sz w:val="16"/>
                <w:szCs w:val="16"/>
              </w:rPr>
            </w:pPr>
          </w:p>
        </w:tc>
        <w:tc>
          <w:tcPr>
            <w:tcW w:w="601" w:type="pct"/>
            <w:vAlign w:val="center"/>
          </w:tcPr>
          <w:p>
            <w:pPr>
              <w:spacing w:beforeLines="20" w:before="48" w:afterLines="20" w:after="48"/>
              <w:jc w:val="center"/>
              <w:rPr>
                <w:noProof/>
                <w:sz w:val="16"/>
                <w:szCs w:val="16"/>
              </w:rPr>
            </w:pPr>
          </w:p>
        </w:tc>
      </w:tr>
      <w:tr>
        <w:trPr>
          <w:trHeight w:val="289"/>
          <w:jc w:val="center"/>
        </w:trPr>
        <w:tc>
          <w:tcPr>
            <w:tcW w:w="2074"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Други бюджетни редове (да се посочат)</w:t>
            </w:r>
          </w:p>
        </w:tc>
        <w:tc>
          <w:tcPr>
            <w:tcW w:w="347"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47"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52"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7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92" w:type="pct"/>
            <w:tcBorders>
              <w:bottom w:val="double" w:sz="4" w:space="0" w:color="auto"/>
            </w:tcBorders>
            <w:vAlign w:val="center"/>
          </w:tcPr>
          <w:p>
            <w:pPr>
              <w:spacing w:beforeLines="20" w:before="48" w:afterLines="20" w:after="48"/>
              <w:jc w:val="center"/>
              <w:rPr>
                <w:noProof/>
                <w:sz w:val="16"/>
                <w:szCs w:val="16"/>
              </w:rPr>
            </w:pPr>
          </w:p>
        </w:tc>
        <w:tc>
          <w:tcPr>
            <w:tcW w:w="511" w:type="pct"/>
            <w:tcBorders>
              <w:bottom w:val="double" w:sz="4" w:space="0" w:color="auto"/>
            </w:tcBorders>
            <w:vAlign w:val="center"/>
          </w:tcPr>
          <w:p>
            <w:pPr>
              <w:spacing w:beforeLines="20" w:before="48" w:afterLines="20" w:after="48"/>
              <w:jc w:val="center"/>
              <w:rPr>
                <w:noProof/>
                <w:sz w:val="16"/>
                <w:szCs w:val="16"/>
              </w:rPr>
            </w:pPr>
          </w:p>
        </w:tc>
        <w:tc>
          <w:tcPr>
            <w:tcW w:w="601" w:type="pct"/>
            <w:tcBorders>
              <w:bottom w:val="double" w:sz="4" w:space="0" w:color="auto"/>
            </w:tcBorders>
            <w:vAlign w:val="center"/>
          </w:tcPr>
          <w:p>
            <w:pPr>
              <w:spacing w:beforeLines="20" w:before="48" w:afterLines="20" w:after="48"/>
              <w:jc w:val="center"/>
              <w:rPr>
                <w:noProof/>
                <w:sz w:val="16"/>
                <w:szCs w:val="16"/>
              </w:rPr>
            </w:pPr>
          </w:p>
        </w:tc>
      </w:tr>
      <w:tr>
        <w:trPr>
          <w:trHeight w:val="289"/>
          <w:jc w:val="center"/>
        </w:trPr>
        <w:tc>
          <w:tcPr>
            <w:tcW w:w="2074"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ОБЩО</w:t>
            </w:r>
          </w:p>
        </w:tc>
        <w:tc>
          <w:tcPr>
            <w:tcW w:w="347"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8,8</w:t>
            </w:r>
          </w:p>
        </w:tc>
        <w:tc>
          <w:tcPr>
            <w:tcW w:w="347"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8,8</w:t>
            </w:r>
          </w:p>
        </w:tc>
        <w:tc>
          <w:tcPr>
            <w:tcW w:w="352"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8,8</w:t>
            </w:r>
          </w:p>
        </w:tc>
        <w:tc>
          <w:tcPr>
            <w:tcW w:w="376"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8,8</w:t>
            </w:r>
          </w:p>
        </w:tc>
        <w:tc>
          <w:tcPr>
            <w:tcW w:w="392" w:type="pct"/>
            <w:tcBorders>
              <w:top w:val="double" w:sz="4" w:space="0" w:color="auto"/>
            </w:tcBorders>
            <w:vAlign w:val="center"/>
          </w:tcPr>
          <w:p>
            <w:pPr>
              <w:spacing w:beforeLines="20" w:before="48" w:afterLines="20" w:after="48"/>
              <w:jc w:val="center"/>
              <w:rPr>
                <w:b/>
                <w:noProof/>
                <w:sz w:val="16"/>
                <w:szCs w:val="16"/>
              </w:rPr>
            </w:pPr>
            <w:r>
              <w:rPr>
                <w:b/>
                <w:noProof/>
                <w:sz w:val="16"/>
                <w:szCs w:val="16"/>
              </w:rPr>
              <w:t>8,8</w:t>
            </w:r>
          </w:p>
        </w:tc>
        <w:tc>
          <w:tcPr>
            <w:tcW w:w="511" w:type="pct"/>
            <w:tcBorders>
              <w:top w:val="double" w:sz="4" w:space="0" w:color="auto"/>
            </w:tcBorders>
            <w:vAlign w:val="center"/>
          </w:tcPr>
          <w:p>
            <w:pPr>
              <w:spacing w:beforeLines="20" w:before="48" w:afterLines="20" w:after="48"/>
              <w:jc w:val="center"/>
              <w:rPr>
                <w:b/>
                <w:noProof/>
                <w:sz w:val="16"/>
                <w:szCs w:val="16"/>
              </w:rPr>
            </w:pPr>
            <w:r>
              <w:rPr>
                <w:b/>
                <w:noProof/>
                <w:sz w:val="16"/>
                <w:szCs w:val="16"/>
              </w:rPr>
              <w:t>8,8</w:t>
            </w:r>
          </w:p>
        </w:tc>
        <w:tc>
          <w:tcPr>
            <w:tcW w:w="601" w:type="pct"/>
            <w:tcBorders>
              <w:top w:val="double" w:sz="4" w:space="0" w:color="auto"/>
            </w:tcBorders>
            <w:vAlign w:val="center"/>
          </w:tcPr>
          <w:p>
            <w:pPr>
              <w:spacing w:beforeLines="20" w:before="48" w:afterLines="20" w:after="48"/>
              <w:jc w:val="center"/>
              <w:rPr>
                <w:b/>
                <w:noProof/>
                <w:sz w:val="16"/>
                <w:szCs w:val="16"/>
              </w:rPr>
            </w:pPr>
            <w:r>
              <w:rPr>
                <w:b/>
                <w:noProof/>
                <w:sz w:val="16"/>
                <w:szCs w:val="16"/>
              </w:rPr>
              <w:t>8,8/7,5</w:t>
            </w:r>
            <w:r>
              <w:rPr>
                <w:rStyle w:val="FootnoteReference"/>
                <w:b/>
                <w:noProof/>
                <w:sz w:val="16"/>
                <w:szCs w:val="16"/>
              </w:rPr>
              <w:footnoteReference w:id="76"/>
            </w:r>
          </w:p>
        </w:tc>
      </w:tr>
    </w:tbl>
    <w:p>
      <w:pPr>
        <w:pStyle w:val="Text1"/>
        <w:spacing w:before="60" w:after="60"/>
        <w:ind w:left="851"/>
        <w:rPr>
          <w:noProof/>
          <w:sz w:val="18"/>
          <w:szCs w:val="18"/>
        </w:rPr>
      </w:pPr>
      <w:r>
        <w:rPr>
          <w:b/>
          <w:noProof/>
          <w:sz w:val="18"/>
          <w:szCs w:val="18"/>
        </w:rPr>
        <w:t>XX</w:t>
      </w:r>
      <w:r>
        <w:rPr>
          <w:noProof/>
          <w:sz w:val="18"/>
          <w:szCs w:val="18"/>
        </w:rPr>
        <w:t xml:space="preserve"> е съответната област на политиката или съответният бюджетен дял.</w:t>
      </w:r>
    </w:p>
    <w:p>
      <w:pPr>
        <w:pStyle w:val="Text1"/>
        <w:rPr>
          <w:noProof/>
          <w:sz w:val="18"/>
        </w:rPr>
      </w:pPr>
      <w:r>
        <w:rPr>
          <w:noProof/>
          <w:sz w:val="18"/>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20"/>
        </w:rPr>
      </w:pPr>
      <w:r>
        <w:rPr>
          <w:noProof/>
          <w:sz w:val="20"/>
        </w:rPr>
        <w:t>Описание на задачите, които трябва да се изпълнят:</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Длъжностни лица и срочно наети служители</w:t>
            </w:r>
          </w:p>
        </w:tc>
        <w:tc>
          <w:tcPr>
            <w:tcW w:w="7200" w:type="dxa"/>
            <w:vAlign w:val="center"/>
          </w:tcPr>
          <w:p>
            <w:pPr>
              <w:rPr>
                <w:noProof/>
                <w:sz w:val="20"/>
              </w:rPr>
            </w:pPr>
            <w:r>
              <w:rPr>
                <w:noProof/>
                <w:sz w:val="20"/>
              </w:rPr>
              <w:t>5 длъжностни лица със степен AD в случая на ГД „Данъчно облагане и митнически съюз“</w:t>
            </w:r>
          </w:p>
        </w:tc>
      </w:tr>
      <w:tr>
        <w:tc>
          <w:tcPr>
            <w:tcW w:w="3240" w:type="dxa"/>
          </w:tcPr>
          <w:p>
            <w:pPr>
              <w:spacing w:before="60" w:after="60"/>
              <w:rPr>
                <w:noProof/>
                <w:sz w:val="20"/>
              </w:rPr>
            </w:pPr>
            <w:r>
              <w:rPr>
                <w:noProof/>
                <w:sz w:val="20"/>
              </w:rPr>
              <w:t>Външен персонал</w:t>
            </w:r>
          </w:p>
        </w:tc>
        <w:tc>
          <w:tcPr>
            <w:tcW w:w="7200" w:type="dxa"/>
            <w:vAlign w:val="center"/>
          </w:tcPr>
          <w:p>
            <w:pPr>
              <w:rPr>
                <w:noProof/>
                <w:sz w:val="20"/>
              </w:rPr>
            </w:pPr>
          </w:p>
        </w:tc>
      </w:tr>
    </w:tbl>
    <w:p>
      <w:pPr>
        <w:rPr>
          <w:noProof/>
        </w:rPr>
        <w:sectPr>
          <w:pgSz w:w="11907" w:h="16840"/>
          <w:pgMar w:top="1134" w:right="1418" w:bottom="1134" w:left="1418" w:header="709" w:footer="709" w:gutter="0"/>
          <w:cols w:space="708"/>
          <w:docGrid w:linePitch="360"/>
        </w:sectPr>
      </w:pPr>
    </w:p>
    <w:p>
      <w:pPr>
        <w:pStyle w:val="ManualHeading3"/>
        <w:rPr>
          <w:bCs/>
          <w:noProof/>
          <w:szCs w:val="24"/>
        </w:rPr>
      </w:pPr>
      <w:r>
        <w:t>3.2.4.</w:t>
      </w:r>
      <w:r>
        <w:tab/>
      </w:r>
      <w:r>
        <w:rPr>
          <w:noProof/>
        </w:rPr>
        <w:t xml:space="preserve">Съвместимост с настоящата многогодишна финансова рамка </w:t>
      </w:r>
    </w:p>
    <w:p>
      <w:pPr>
        <w:pStyle w:val="ListDash1"/>
        <w:rPr>
          <w:noProof/>
        </w:rPr>
      </w:pPr>
      <w:r>
        <w:rPr>
          <w:noProof/>
        </w:rPr>
        <w:sym w:font="Wingdings" w:char="F0A8"/>
      </w:r>
      <w:r>
        <w:rPr>
          <w:noProof/>
        </w:rPr>
        <w:tab/>
        <w:t>Предложението/инициативата е съвместимо(а) с настоящата многогодишна финансова рамка.</w:t>
      </w:r>
    </w:p>
    <w:p>
      <w:pPr>
        <w:pStyle w:val="ListDash1"/>
        <w:rPr>
          <w:noProof/>
        </w:rPr>
      </w:pPr>
      <w:r>
        <w:rPr>
          <w:noProof/>
        </w:rPr>
        <w:sym w:font="Wingdings" w:char="F0A8"/>
      </w:r>
      <w:r>
        <w:rPr>
          <w:noProof/>
        </w:rPr>
        <w:tab/>
        <w:t>Предложението/инициативата налага препрограмиране на съответната функция от многогодишната финансова рамка.</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препрограмиране е необходимо, като посочите съответните бюджетни редове и суми.</w:t>
      </w:r>
    </w:p>
    <w:p>
      <w:pPr>
        <w:pStyle w:val="Text1"/>
        <w:pBdr>
          <w:top w:val="single" w:sz="4" w:space="1" w:color="auto"/>
          <w:left w:val="single" w:sz="4" w:space="4" w:color="auto"/>
          <w:bottom w:val="single" w:sz="4" w:space="1" w:color="auto"/>
          <w:right w:val="single" w:sz="4" w:space="4" w:color="auto"/>
        </w:pBdr>
        <w:rPr>
          <w:noProof/>
        </w:rPr>
      </w:pPr>
    </w:p>
    <w:p>
      <w:pPr>
        <w:pStyle w:val="ListDash1"/>
        <w:rPr>
          <w:noProof/>
        </w:rPr>
      </w:pPr>
      <w:r>
        <w:rPr>
          <w:noProof/>
        </w:rPr>
        <w:sym w:font="Wingdings" w:char="F0A8"/>
      </w:r>
      <w:r>
        <w:rPr>
          <w:noProof/>
        </w:rPr>
        <w:tab/>
        <w:t>Предложението/инициативата налага да се използва Инструментът за гъвкавост или да се преразгледа многогодишната финансова рамка.</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е необходимо, като посочите съответните функции, бюджетни редове и суми.</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t>3.2.5.</w:t>
      </w:r>
      <w:r>
        <w:tab/>
      </w:r>
      <w:r>
        <w:rPr>
          <w:noProof/>
        </w:rPr>
        <w:t xml:space="preserve">Финансов принос от трети страни </w:t>
      </w:r>
    </w:p>
    <w:p>
      <w:pPr>
        <w:pStyle w:val="ListDash1"/>
        <w:rPr>
          <w:noProof/>
        </w:rPr>
      </w:pPr>
      <w:r>
        <w:rPr>
          <w:noProof/>
        </w:rPr>
        <w:sym w:font="Wingdings" w:char="F0FD"/>
      </w:r>
      <w:r>
        <w:rPr>
          <w:noProof/>
        </w:rPr>
        <w:t xml:space="preserve"> Предложението/инициативата не предвижда съфинансиране от трети страни. </w:t>
      </w:r>
    </w:p>
    <w:p>
      <w:pPr>
        <w:pStyle w:val="ListDash1"/>
        <w:rPr>
          <w:noProof/>
        </w:rPr>
      </w:pPr>
      <w:r>
        <w:rPr>
          <w:noProof/>
        </w:rPr>
        <w:t>Предложението/инициативата предвижда съфинансиране съгласно следните прогнози:</w:t>
      </w:r>
    </w:p>
    <w:p>
      <w:pPr>
        <w:jc w:val="right"/>
        <w:rPr>
          <w:noProof/>
          <w:sz w:val="20"/>
        </w:rPr>
      </w:pPr>
      <w:r>
        <w:rPr>
          <w:noProof/>
          <w:sz w:val="20"/>
        </w:rPr>
        <w:t>Бюджетни кредити в млн. евро (до 3-тия знак след десетичната запетая)</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Година</w:t>
            </w:r>
            <w:r>
              <w:rPr>
                <w:noProof/>
              </w:rPr>
              <w:t xml:space="preserve"> </w:t>
            </w:r>
            <w:r>
              <w:rPr>
                <w:noProof/>
              </w:rPr>
              <w:br/>
            </w:r>
            <w:r>
              <w:rPr>
                <w:b/>
                <w:noProof/>
                <w:sz w:val="20"/>
              </w:rPr>
              <w:t>N</w:t>
            </w:r>
          </w:p>
        </w:tc>
        <w:tc>
          <w:tcPr>
            <w:tcW w:w="964" w:type="dxa"/>
            <w:vAlign w:val="center"/>
          </w:tcPr>
          <w:p>
            <w:pPr>
              <w:jc w:val="center"/>
              <w:rPr>
                <w:noProof/>
                <w:sz w:val="20"/>
              </w:rPr>
            </w:pPr>
            <w:r>
              <w:rPr>
                <w:noProof/>
                <w:sz w:val="20"/>
              </w:rPr>
              <w:t>Година</w:t>
            </w:r>
            <w:r>
              <w:rPr>
                <w:noProof/>
              </w:rPr>
              <w:t xml:space="preserve"> </w:t>
            </w:r>
            <w:r>
              <w:rPr>
                <w:noProof/>
              </w:rPr>
              <w:br/>
            </w:r>
            <w:r>
              <w:rPr>
                <w:b/>
                <w:noProof/>
                <w:sz w:val="20"/>
              </w:rPr>
              <w:t>N+1</w:t>
            </w:r>
          </w:p>
        </w:tc>
        <w:tc>
          <w:tcPr>
            <w:tcW w:w="964" w:type="dxa"/>
            <w:vAlign w:val="center"/>
          </w:tcPr>
          <w:p>
            <w:pPr>
              <w:jc w:val="center"/>
              <w:rPr>
                <w:noProof/>
                <w:sz w:val="20"/>
              </w:rPr>
            </w:pPr>
            <w:r>
              <w:rPr>
                <w:noProof/>
                <w:sz w:val="20"/>
              </w:rPr>
              <w:t>Година</w:t>
            </w:r>
            <w:r>
              <w:rPr>
                <w:noProof/>
              </w:rPr>
              <w:t xml:space="preserve"> </w:t>
            </w:r>
            <w:r>
              <w:rPr>
                <w:noProof/>
              </w:rPr>
              <w:br/>
            </w:r>
            <w:r>
              <w:rPr>
                <w:b/>
                <w:noProof/>
                <w:sz w:val="20"/>
              </w:rPr>
              <w:t>N+2</w:t>
            </w:r>
          </w:p>
        </w:tc>
        <w:tc>
          <w:tcPr>
            <w:tcW w:w="964" w:type="dxa"/>
            <w:vAlign w:val="center"/>
          </w:tcPr>
          <w:p>
            <w:pPr>
              <w:jc w:val="center"/>
              <w:rPr>
                <w:noProof/>
                <w:sz w:val="20"/>
              </w:rPr>
            </w:pPr>
            <w:r>
              <w:rPr>
                <w:noProof/>
                <w:sz w:val="20"/>
              </w:rPr>
              <w:t>Година</w:t>
            </w:r>
            <w:r>
              <w:rPr>
                <w:noProof/>
              </w:rPr>
              <w:t xml:space="preserve"> </w:t>
            </w:r>
            <w:r>
              <w:rPr>
                <w:noProof/>
              </w:rPr>
              <w:br/>
            </w:r>
            <w:r>
              <w:rPr>
                <w:b/>
                <w:noProof/>
                <w:sz w:val="20"/>
              </w:rPr>
              <w:t>N+3</w:t>
            </w:r>
          </w:p>
        </w:tc>
        <w:tc>
          <w:tcPr>
            <w:tcW w:w="2892" w:type="dxa"/>
            <w:gridSpan w:val="3"/>
            <w:vAlign w:val="center"/>
          </w:tcPr>
          <w:p>
            <w:pPr>
              <w:jc w:val="center"/>
              <w:rPr>
                <w:b/>
                <w:noProof/>
                <w:sz w:val="20"/>
              </w:rPr>
            </w:pPr>
            <w:r>
              <w:rPr>
                <w:noProof/>
                <w:sz w:val="20"/>
              </w:rPr>
              <w:t>Добавят се толкова години, колкото е необходимо, за да се обхване продължителността на отражението (вж. точка 1.6)</w:t>
            </w:r>
          </w:p>
        </w:tc>
        <w:tc>
          <w:tcPr>
            <w:tcW w:w="1158" w:type="dxa"/>
            <w:vAlign w:val="center"/>
          </w:tcPr>
          <w:p>
            <w:pPr>
              <w:spacing w:before="60" w:after="60"/>
              <w:jc w:val="center"/>
              <w:rPr>
                <w:noProof/>
                <w:sz w:val="20"/>
              </w:rPr>
            </w:pPr>
            <w:r>
              <w:rPr>
                <w:noProof/>
                <w:sz w:val="20"/>
              </w:rPr>
              <w:t>Общо</w:t>
            </w:r>
          </w:p>
        </w:tc>
      </w:tr>
      <w:tr>
        <w:trPr>
          <w:cantSplit/>
        </w:trPr>
        <w:tc>
          <w:tcPr>
            <w:tcW w:w="2340" w:type="dxa"/>
          </w:tcPr>
          <w:p>
            <w:pPr>
              <w:rPr>
                <w:noProof/>
              </w:rPr>
            </w:pPr>
            <w:r>
              <w:rPr>
                <w:noProof/>
                <w:sz w:val="20"/>
              </w:rPr>
              <w:t>Да се посочи съфинансиращият орган</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rPr>
                <w:noProof/>
                <w:sz w:val="20"/>
              </w:rPr>
            </w:pPr>
            <w:r>
              <w:rPr>
                <w:noProof/>
                <w:sz w:val="20"/>
              </w:rPr>
              <w:t xml:space="preserve">ОБЩО съфинансирани бюджетни кредити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t xml:space="preserve"> </w:t>
      </w:r>
      <w:r>
        <w:rPr>
          <w:noProof/>
        </w:rPr>
        <w:br/>
      </w:r>
    </w:p>
    <w:p>
      <w:pPr>
        <w:pStyle w:val="ManualHeading2"/>
        <w:rPr>
          <w:bCs/>
          <w:noProof/>
          <w:szCs w:val="24"/>
        </w:rPr>
      </w:pPr>
      <w:r>
        <w:rPr>
          <w:noProof/>
        </w:rPr>
        <w:br w:type="page"/>
      </w:r>
      <w:r>
        <w:t>3.3.</w:t>
      </w:r>
      <w:r>
        <w:tab/>
      </w:r>
      <w:r>
        <w:rPr>
          <w:noProof/>
        </w:rPr>
        <w:t xml:space="preserve">Очаквано отражение върху приходите </w:t>
      </w:r>
    </w:p>
    <w:p>
      <w:pPr>
        <w:pStyle w:val="ListDash1"/>
        <w:rPr>
          <w:noProof/>
        </w:rPr>
      </w:pPr>
      <w:r>
        <w:rPr>
          <w:noProof/>
        </w:rPr>
        <w:sym w:font="Wingdings" w:char="F0FD"/>
      </w:r>
      <w:r>
        <w:rPr>
          <w:noProof/>
        </w:rPr>
        <w:tab/>
        <w:t>Предложението/инициативата няма финансово отражение върху приходите.</w:t>
      </w:r>
    </w:p>
    <w:p>
      <w:pPr>
        <w:pStyle w:val="ListDash1"/>
        <w:rPr>
          <w:noProof/>
        </w:rPr>
      </w:pPr>
      <w:r>
        <w:rPr>
          <w:noProof/>
        </w:rPr>
        <w:sym w:font="Wingdings" w:char="F0A8"/>
      </w:r>
      <w:r>
        <w:rPr>
          <w:noProof/>
        </w:rPr>
        <w:tab/>
        <w:t>Предложението/инициативата има следното финансово отражение:</w:t>
      </w:r>
    </w:p>
    <w:p>
      <w:pPr>
        <w:pStyle w:val="ListNumberLevel3"/>
        <w:rPr>
          <w:noProof/>
        </w:rPr>
      </w:pPr>
      <w:r>
        <w:rPr>
          <w:noProof/>
        </w:rPr>
        <w:sym w:font="Wingdings" w:char="F0A8"/>
      </w:r>
      <w:r>
        <w:rPr>
          <w:noProof/>
        </w:rPr>
        <w:tab/>
        <w:t xml:space="preserve">върху собствените ресурси </w:t>
      </w:r>
    </w:p>
    <w:p>
      <w:pPr>
        <w:pStyle w:val="ListNumberLevel3"/>
        <w:rPr>
          <w:noProof/>
        </w:rPr>
      </w:pPr>
      <w:r>
        <w:rPr>
          <w:noProof/>
        </w:rPr>
        <w:sym w:font="Wingdings" w:char="F0A8"/>
      </w:r>
      <w:r>
        <w:rPr>
          <w:noProof/>
        </w:rPr>
        <w:tab/>
        <w:t xml:space="preserve">върху разните приходи </w:t>
      </w:r>
    </w:p>
    <w:p>
      <w:pPr>
        <w:jc w:val="right"/>
        <w:rPr>
          <w:i/>
          <w:noProof/>
          <w:sz w:val="20"/>
        </w:rPr>
      </w:pPr>
      <w:r>
        <w:rPr>
          <w:noProof/>
        </w:rPr>
        <w:t>млн. евро (до 3-тия знак след десетичната запетая)</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Приходен бюджетен ред:</w:t>
            </w:r>
          </w:p>
        </w:tc>
        <w:tc>
          <w:tcPr>
            <w:tcW w:w="1276" w:type="dxa"/>
            <w:vMerge w:val="restart"/>
            <w:vAlign w:val="center"/>
          </w:tcPr>
          <w:p>
            <w:pPr>
              <w:jc w:val="center"/>
              <w:rPr>
                <w:noProof/>
                <w:sz w:val="18"/>
              </w:rPr>
            </w:pPr>
            <w:r>
              <w:rPr>
                <w:noProof/>
                <w:sz w:val="18"/>
              </w:rPr>
              <w:t>Налични бюджетни кредити за текущата финансова година</w:t>
            </w:r>
          </w:p>
        </w:tc>
        <w:tc>
          <w:tcPr>
            <w:tcW w:w="7200" w:type="dxa"/>
            <w:gridSpan w:val="7"/>
            <w:vAlign w:val="center"/>
          </w:tcPr>
          <w:p>
            <w:pPr>
              <w:jc w:val="center"/>
              <w:rPr>
                <w:noProof/>
                <w:sz w:val="18"/>
              </w:rPr>
            </w:pPr>
            <w:r>
              <w:rPr>
                <w:noProof/>
                <w:sz w:val="18"/>
              </w:rPr>
              <w:t>Отражение на предложението/инициативата</w:t>
            </w:r>
            <w:r>
              <w:rPr>
                <w:rStyle w:val="FootnoteReference"/>
                <w:noProof/>
                <w:sz w:val="18"/>
              </w:rPr>
              <w:footnoteReference w:id="77"/>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Година</w:t>
            </w:r>
            <w:r>
              <w:rPr>
                <w:noProof/>
              </w:rPr>
              <w:t xml:space="preserve"> </w:t>
            </w:r>
            <w:r>
              <w:rPr>
                <w:noProof/>
              </w:rPr>
              <w:br/>
            </w:r>
            <w:r>
              <w:rPr>
                <w:b/>
                <w:noProof/>
                <w:sz w:val="18"/>
              </w:rPr>
              <w:t>N</w:t>
            </w:r>
          </w:p>
        </w:tc>
        <w:tc>
          <w:tcPr>
            <w:tcW w:w="900" w:type="dxa"/>
            <w:vAlign w:val="center"/>
          </w:tcPr>
          <w:p>
            <w:pPr>
              <w:jc w:val="center"/>
              <w:rPr>
                <w:noProof/>
                <w:sz w:val="18"/>
              </w:rPr>
            </w:pPr>
            <w:r>
              <w:rPr>
                <w:noProof/>
                <w:sz w:val="18"/>
              </w:rPr>
              <w:t>Година</w:t>
            </w:r>
            <w:r>
              <w:rPr>
                <w:noProof/>
              </w:rPr>
              <w:t xml:space="preserve"> </w:t>
            </w:r>
            <w:r>
              <w:rPr>
                <w:noProof/>
              </w:rPr>
              <w:br/>
            </w:r>
            <w:r>
              <w:rPr>
                <w:b/>
                <w:noProof/>
                <w:sz w:val="18"/>
              </w:rPr>
              <w:t>N+1</w:t>
            </w:r>
          </w:p>
        </w:tc>
        <w:tc>
          <w:tcPr>
            <w:tcW w:w="900" w:type="dxa"/>
            <w:vAlign w:val="center"/>
          </w:tcPr>
          <w:p>
            <w:pPr>
              <w:jc w:val="center"/>
              <w:rPr>
                <w:noProof/>
                <w:sz w:val="18"/>
              </w:rPr>
            </w:pPr>
            <w:r>
              <w:rPr>
                <w:noProof/>
                <w:sz w:val="18"/>
              </w:rPr>
              <w:t>Година</w:t>
            </w:r>
            <w:r>
              <w:rPr>
                <w:noProof/>
              </w:rPr>
              <w:t xml:space="preserve"> </w:t>
            </w:r>
            <w:r>
              <w:rPr>
                <w:noProof/>
              </w:rPr>
              <w:br/>
            </w:r>
            <w:r>
              <w:rPr>
                <w:b/>
                <w:noProof/>
                <w:sz w:val="18"/>
              </w:rPr>
              <w:t>N+2</w:t>
            </w:r>
          </w:p>
        </w:tc>
        <w:tc>
          <w:tcPr>
            <w:tcW w:w="1080" w:type="dxa"/>
            <w:vAlign w:val="center"/>
          </w:tcPr>
          <w:p>
            <w:pPr>
              <w:jc w:val="center"/>
              <w:rPr>
                <w:noProof/>
                <w:sz w:val="18"/>
              </w:rPr>
            </w:pPr>
            <w:r>
              <w:rPr>
                <w:noProof/>
                <w:sz w:val="18"/>
              </w:rPr>
              <w:t>Година</w:t>
            </w:r>
            <w:r>
              <w:rPr>
                <w:noProof/>
              </w:rPr>
              <w:t xml:space="preserve"> </w:t>
            </w:r>
            <w:r>
              <w:rPr>
                <w:noProof/>
              </w:rPr>
              <w:br/>
            </w:r>
            <w:r>
              <w:rPr>
                <w:b/>
                <w:noProof/>
                <w:sz w:val="18"/>
              </w:rPr>
              <w:t>N+3</w:t>
            </w:r>
          </w:p>
        </w:tc>
        <w:tc>
          <w:tcPr>
            <w:tcW w:w="3240" w:type="dxa"/>
            <w:gridSpan w:val="3"/>
            <w:vAlign w:val="center"/>
          </w:tcPr>
          <w:p>
            <w:pPr>
              <w:jc w:val="center"/>
              <w:rPr>
                <w:b/>
                <w:noProof/>
                <w:sz w:val="18"/>
              </w:rPr>
            </w:pPr>
            <w:r>
              <w:rPr>
                <w:noProof/>
                <w:sz w:val="18"/>
              </w:rPr>
              <w:t>Добавят се толкова години, колкото е необходимо, за да се обхване продължителността на отражението (вж. точка 1.6)</w:t>
            </w:r>
          </w:p>
        </w:tc>
      </w:tr>
      <w:tr>
        <w:trPr>
          <w:trHeight w:val="388"/>
        </w:trPr>
        <w:tc>
          <w:tcPr>
            <w:tcW w:w="2144" w:type="dxa"/>
            <w:vAlign w:val="center"/>
          </w:tcPr>
          <w:p>
            <w:pPr>
              <w:spacing w:before="40" w:after="40"/>
              <w:rPr>
                <w:noProof/>
                <w:sz w:val="18"/>
              </w:rPr>
            </w:pPr>
            <w:r>
              <w:rPr>
                <w:noProof/>
                <w:sz w:val="18"/>
              </w:rPr>
              <w:t>Статия ………….</w:t>
            </w:r>
          </w:p>
        </w:tc>
        <w:tc>
          <w:tcPr>
            <w:tcW w:w="1276" w:type="dxa"/>
            <w:vAlign w:val="center"/>
          </w:tcPr>
          <w:p>
            <w:pPr>
              <w:spacing w:beforeLines="40" w:before="96" w:afterLines="40" w:after="96"/>
              <w:jc w:val="center"/>
              <w:rPr>
                <w:i/>
                <w:noProof/>
                <w:sz w:val="18"/>
              </w:rPr>
            </w:pPr>
          </w:p>
        </w:tc>
        <w:tc>
          <w:tcPr>
            <w:tcW w:w="1080" w:type="dxa"/>
            <w:vAlign w:val="center"/>
          </w:tcPr>
          <w:p>
            <w:pPr>
              <w:spacing w:beforeLines="40" w:before="96" w:afterLines="40" w:after="96"/>
              <w:jc w:val="center"/>
              <w:rPr>
                <w:noProof/>
                <w:sz w:val="18"/>
              </w:rPr>
            </w:pPr>
          </w:p>
        </w:tc>
        <w:tc>
          <w:tcPr>
            <w:tcW w:w="900" w:type="dxa"/>
            <w:vAlign w:val="center"/>
          </w:tcPr>
          <w:p>
            <w:pPr>
              <w:spacing w:beforeLines="40" w:before="96" w:afterLines="40" w:after="96"/>
              <w:jc w:val="center"/>
              <w:rPr>
                <w:noProof/>
                <w:sz w:val="18"/>
              </w:rPr>
            </w:pPr>
          </w:p>
        </w:tc>
        <w:tc>
          <w:tcPr>
            <w:tcW w:w="900" w:type="dxa"/>
            <w:vAlign w:val="center"/>
          </w:tcPr>
          <w:p>
            <w:pPr>
              <w:spacing w:beforeLines="40" w:before="96" w:afterLines="40" w:after="96"/>
              <w:jc w:val="center"/>
              <w:rPr>
                <w:noProof/>
                <w:sz w:val="18"/>
              </w:rPr>
            </w:pPr>
          </w:p>
        </w:tc>
        <w:tc>
          <w:tcPr>
            <w:tcW w:w="1080" w:type="dxa"/>
            <w:vAlign w:val="center"/>
          </w:tcPr>
          <w:p>
            <w:pPr>
              <w:spacing w:beforeLines="40" w:before="96" w:afterLines="40" w:after="96"/>
              <w:jc w:val="center"/>
              <w:rPr>
                <w:noProof/>
                <w:sz w:val="18"/>
              </w:rPr>
            </w:pPr>
          </w:p>
        </w:tc>
        <w:tc>
          <w:tcPr>
            <w:tcW w:w="1080" w:type="dxa"/>
            <w:vAlign w:val="center"/>
          </w:tcPr>
          <w:p>
            <w:pPr>
              <w:spacing w:beforeLines="40" w:before="96" w:afterLines="40" w:after="96"/>
              <w:jc w:val="center"/>
              <w:rPr>
                <w:noProof/>
                <w:sz w:val="18"/>
              </w:rPr>
            </w:pPr>
          </w:p>
        </w:tc>
        <w:tc>
          <w:tcPr>
            <w:tcW w:w="1080" w:type="dxa"/>
            <w:vAlign w:val="center"/>
          </w:tcPr>
          <w:p>
            <w:pPr>
              <w:spacing w:beforeLines="40" w:before="96" w:afterLines="40" w:after="96"/>
              <w:jc w:val="center"/>
              <w:rPr>
                <w:noProof/>
                <w:sz w:val="18"/>
              </w:rPr>
            </w:pPr>
          </w:p>
        </w:tc>
        <w:tc>
          <w:tcPr>
            <w:tcW w:w="1080" w:type="dxa"/>
            <w:vAlign w:val="center"/>
          </w:tcPr>
          <w:p>
            <w:pPr>
              <w:spacing w:beforeLines="40" w:before="96" w:afterLines="40" w:after="96"/>
              <w:jc w:val="center"/>
              <w:rPr>
                <w:noProof/>
                <w:sz w:val="18"/>
              </w:rPr>
            </w:pPr>
          </w:p>
        </w:tc>
      </w:tr>
    </w:tbl>
    <w:p>
      <w:pPr>
        <w:pStyle w:val="Text1"/>
        <w:rPr>
          <w:noProof/>
          <w:sz w:val="20"/>
        </w:rPr>
      </w:pPr>
      <w:r>
        <w:rPr>
          <w:noProof/>
          <w:sz w:val="20"/>
        </w:rPr>
        <w:t>За разните целеви приходи да се посочат съответните разходни бюджетни редове.</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Да се посочи методът за изчисляване на отражението върху приходите.</w:t>
      </w:r>
    </w:p>
    <w:p>
      <w:pPr>
        <w:pStyle w:val="Text1"/>
        <w:pBdr>
          <w:top w:val="single" w:sz="4" w:space="1" w:color="auto"/>
          <w:left w:val="single" w:sz="4" w:space="4" w:color="auto"/>
          <w:bottom w:val="single" w:sz="4" w:space="1" w:color="auto"/>
          <w:right w:val="single" w:sz="4" w:space="4" w:color="auto"/>
        </w:pBdr>
        <w:rPr>
          <w:noProof/>
        </w:rPr>
      </w:pP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38</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65</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spacing w:after="60"/>
        <w:ind w:left="284" w:hanging="284"/>
      </w:pPr>
      <w:r>
        <w:rPr>
          <w:rStyle w:val="FootnoteReference"/>
        </w:rPr>
        <w:footnoteRef/>
      </w:r>
      <w:r>
        <w:tab/>
        <w:t>Регламент (ЕС) № 952/2013 на Европейския парламент и на Съвета от 9 октомври 2013 г. за създаване на Митнически кодекс на Съюза (ОВ L 269, 10.10.2013 г., стр. 1).</w:t>
      </w:r>
    </w:p>
  </w:footnote>
  <w:footnote w:id="3">
    <w:p>
      <w:pPr>
        <w:pStyle w:val="FootnoteText"/>
        <w:spacing w:after="60"/>
        <w:ind w:left="284" w:hanging="284"/>
      </w:pPr>
      <w:r>
        <w:rPr>
          <w:rStyle w:val="FootnoteReference"/>
        </w:rPr>
        <w:footnoteRef/>
      </w:r>
      <w:r>
        <w:tab/>
        <w:t>Този брой отразява официалния списък със забрани и ограничения. В действителност правилата, които подлежат на принудително изпълнение по външните граници на ЕС, са дори по-многобройни. Например изискванията за надзор на пазара и съответствие на продуктите, залегнали в Регламент (ЕО) № 765/2008 (който ще бъде заменен с Регламент (ЕС) 2019/1020 през 2021 г.), са един от 60-те елемента със забрани и ограничения, като те водят след себе си необходимостта от принудително изпълнение на над 100 законодателни акта на ЕС за регламентиране на продуктите.</w:t>
      </w:r>
    </w:p>
  </w:footnote>
  <w:footnote w:id="4">
    <w:p>
      <w:pPr>
        <w:pStyle w:val="FootnoteText"/>
        <w:spacing w:after="60"/>
        <w:ind w:left="284" w:hanging="284"/>
      </w:pPr>
      <w:r>
        <w:rPr>
          <w:rStyle w:val="FootnoteReference"/>
        </w:rPr>
        <w:footnoteRef/>
      </w:r>
      <w:r>
        <w:tab/>
        <w:t>Съответствието на продуктите обхваща не само съответствието със законодателството за хармонизация във връзка с продуктите, а и други изисквания, като например изискванията за безопасност на продуктите и за достъпност за лица с увреждания.</w:t>
      </w:r>
    </w:p>
  </w:footnote>
  <w:footnote w:id="5">
    <w:p>
      <w:pPr>
        <w:pStyle w:val="FootnoteText"/>
        <w:spacing w:after="60"/>
        <w:ind w:left="284" w:hanging="284"/>
      </w:pPr>
      <w:r>
        <w:rPr>
          <w:rStyle w:val="FootnoteReference"/>
        </w:rPr>
        <w:footnoteRef/>
      </w:r>
      <w:r>
        <w:tab/>
        <w:t>Решение № 70/2008/ЕО на Европейския парламент и на Съвета от 15 януари 2008 г. относно безкнижна среда в митниците и търговията (OB L 23, 26.1.2008 г., стр. 21).</w:t>
      </w:r>
    </w:p>
  </w:footnote>
  <w:footnote w:id="6">
    <w:p>
      <w:pPr>
        <w:pStyle w:val="FootnoteText"/>
        <w:spacing w:after="60"/>
        <w:ind w:left="284" w:hanging="284"/>
      </w:pPr>
      <w:r>
        <w:rPr>
          <w:rStyle w:val="FootnoteReference"/>
        </w:rPr>
        <w:footnoteRef/>
      </w:r>
      <w:r>
        <w:tab/>
        <w:t>ST-16507/14.</w:t>
      </w:r>
    </w:p>
  </w:footnote>
  <w:footnote w:id="7">
    <w:p>
      <w:pPr>
        <w:pStyle w:val="FootnoteText"/>
        <w:spacing w:after="60"/>
        <w:ind w:left="284" w:hanging="284"/>
      </w:pPr>
      <w:r>
        <w:rPr>
          <w:rStyle w:val="FootnoteReference"/>
        </w:rPr>
        <w:footnoteRef/>
      </w:r>
      <w:r>
        <w:tab/>
        <w:t>COM (2016) 813 final.</w:t>
      </w:r>
    </w:p>
  </w:footnote>
  <w:footnote w:id="8">
    <w:p>
      <w:pPr>
        <w:pStyle w:val="FootnoteText"/>
        <w:spacing w:after="60"/>
        <w:ind w:left="284" w:hanging="284"/>
      </w:pPr>
      <w:r>
        <w:rPr>
          <w:rStyle w:val="FootnoteReference"/>
        </w:rPr>
        <w:footnoteRef/>
      </w:r>
      <w:r>
        <w:tab/>
        <w:t>7585/1/17 REV 1.</w:t>
      </w:r>
    </w:p>
  </w:footnote>
  <w:footnote w:id="9">
    <w:p>
      <w:pPr>
        <w:pStyle w:val="FootnoteText"/>
        <w:spacing w:after="60"/>
        <w:ind w:left="284" w:hanging="284"/>
      </w:pPr>
      <w:r>
        <w:rPr>
          <w:rStyle w:val="FootnoteReference"/>
        </w:rPr>
        <w:footnoteRef/>
      </w:r>
      <w:r>
        <w:tab/>
        <w:t>COM (2018) 524 final.</w:t>
      </w:r>
    </w:p>
  </w:footnote>
  <w:footnote w:id="10">
    <w:p>
      <w:pPr>
        <w:pStyle w:val="FootnoteText"/>
        <w:spacing w:after="60"/>
        <w:ind w:left="284" w:hanging="284"/>
      </w:pPr>
      <w:r>
        <w:rPr>
          <w:rStyle w:val="FootnoteReference"/>
        </w:rPr>
        <w:footnoteRef/>
      </w:r>
      <w:r>
        <w:tab/>
        <w:t>Дейността по мониторинг и управление на количеството стоки, за които има разрешение от партньорски компетентни органи в съответствие с немитническото законодателството на Съюза въз основа на информацията, предоставена от митническите органи относно оформянето на съответните пратки.</w:t>
      </w:r>
    </w:p>
  </w:footnote>
  <w:footnote w:id="11">
    <w:p>
      <w:pPr>
        <w:pStyle w:val="FootnoteText"/>
        <w:spacing w:after="60"/>
        <w:ind w:left="284" w:hanging="284"/>
      </w:pPr>
      <w:r>
        <w:rPr>
          <w:rStyle w:val="FootnoteReference"/>
        </w:rPr>
        <w:footnoteRef/>
      </w:r>
      <w:r>
        <w:tab/>
        <w:t>https://ec.europa.eu/commission/sites/beta-political/files/political-guidelines-next-commission_bg_1.pdf</w:t>
      </w:r>
    </w:p>
  </w:footnote>
  <w:footnote w:id="12">
    <w:p>
      <w:pPr>
        <w:pStyle w:val="FootnoteText"/>
        <w:spacing w:after="60"/>
        <w:ind w:left="284" w:hanging="284"/>
      </w:pPr>
      <w:r>
        <w:rPr>
          <w:rStyle w:val="FootnoteReference"/>
        </w:rPr>
        <w:footnoteRef/>
      </w:r>
      <w:r>
        <w:tab/>
        <w:t>COM (2020) 581 final.</w:t>
      </w:r>
    </w:p>
  </w:footnote>
  <w:footnote w:id="13">
    <w:p>
      <w:pPr>
        <w:pStyle w:val="FootnoteText"/>
        <w:spacing w:after="60"/>
        <w:ind w:left="284" w:hanging="284"/>
      </w:pPr>
      <w:r>
        <w:rPr>
          <w:rStyle w:val="FootnoteReference"/>
        </w:rPr>
        <w:footnoteRef/>
      </w:r>
      <w:r>
        <w:tab/>
        <w:t>SWD (2020) 213 final.</w:t>
      </w:r>
    </w:p>
  </w:footnote>
  <w:footnote w:id="14">
    <w:p>
      <w:pPr>
        <w:spacing w:before="0" w:after="60"/>
        <w:ind w:left="284" w:hanging="284"/>
      </w:pPr>
      <w:r>
        <w:rPr>
          <w:rStyle w:val="FootnoteReference"/>
        </w:rPr>
        <w:footnoteRef/>
      </w:r>
      <w:r>
        <w:tab/>
      </w:r>
      <w:r>
        <w:rPr>
          <w:sz w:val="20"/>
          <w:szCs w:val="20"/>
        </w:rPr>
        <w:t xml:space="preserve">В Европейската рамка за оперативна съвместимост оперативната съвместимост се определя като „способността на организациите да си взаимодействат за постигането на взаимноизгодни и съгласувани общи цели, включваща обмен на информация и знания между тези организации чрез бизнес процесите, които те поддържат, посредством обмена на данни между техните ИКТ системи“. </w:t>
      </w:r>
      <w:hyperlink r:id="rId1" w:history="1">
        <w:r>
          <w:rPr>
            <w:rStyle w:val="Hyperlink"/>
            <w:sz w:val="20"/>
            <w:szCs w:val="20"/>
          </w:rPr>
          <w:t>https://ec.europa.eu/isa2/sites/isa/files/isa_annex_ii_eif_en.pdf</w:t>
        </w:r>
      </w:hyperlink>
    </w:p>
  </w:footnote>
  <w:footnote w:id="15">
    <w:p>
      <w:pPr>
        <w:pStyle w:val="FootnoteText"/>
        <w:spacing w:after="60"/>
        <w:ind w:left="284" w:hanging="284"/>
      </w:pPr>
      <w:r>
        <w:rPr>
          <w:rStyle w:val="FootnoteReference"/>
        </w:rPr>
        <w:footnoteRef/>
      </w:r>
      <w:r>
        <w:tab/>
        <w:t>Решение за изпълнение (ЕС) 2019/2151 на Комисията от 13 декември 2019 г. за създаване на работна програма относно разработването и въвеждането на електронните системи, предвидени в Митническия кодекс на Съюза C/2019/8803.</w:t>
      </w:r>
    </w:p>
  </w:footnote>
  <w:footnote w:id="16">
    <w:p>
      <w:pPr>
        <w:pStyle w:val="FootnoteText"/>
        <w:tabs>
          <w:tab w:val="left" w:pos="720"/>
          <w:tab w:val="left" w:pos="1440"/>
          <w:tab w:val="left" w:pos="2160"/>
          <w:tab w:val="left" w:pos="3005"/>
        </w:tabs>
        <w:spacing w:after="60"/>
        <w:ind w:left="284" w:hanging="284"/>
      </w:pPr>
      <w:r>
        <w:rPr>
          <w:rStyle w:val="FootnoteReference"/>
        </w:rPr>
        <w:footnoteRef/>
      </w:r>
      <w:r>
        <w:tab/>
        <w:t>COM/2016/0179 final.</w:t>
      </w:r>
      <w:r>
        <w:tab/>
      </w:r>
    </w:p>
  </w:footnote>
  <w:footnote w:id="17">
    <w:p>
      <w:pPr>
        <w:pStyle w:val="FootnoteText"/>
        <w:spacing w:after="60"/>
        <w:ind w:left="284" w:hanging="284"/>
      </w:pPr>
      <w:r>
        <w:rPr>
          <w:rStyle w:val="FootnoteReference"/>
        </w:rPr>
        <w:footnoteRef/>
      </w:r>
      <w:r>
        <w:tab/>
        <w:t>https://ec.europa.eu/digital-single-market/en/news/ministerial-declaration-egovernment-tallinn-declaration</w:t>
      </w:r>
    </w:p>
  </w:footnote>
  <w:footnote w:id="18">
    <w:p>
      <w:pPr>
        <w:pStyle w:val="FootnoteText"/>
        <w:spacing w:after="60"/>
        <w:ind w:left="284" w:hanging="284"/>
      </w:pPr>
      <w:r>
        <w:rPr>
          <w:rStyle w:val="FootnoteReference"/>
        </w:rPr>
        <w:footnoteRef/>
      </w:r>
      <w:r>
        <w:tab/>
        <w:t xml:space="preserve">Принципът на еднократност означава, че гражданите и предприятията предоставят разнообразни данни само веднъж при контакта си с публичните администрации, докато органите на публичната администрация предприемат действия за вътрешно споделяне и повторно използване на тези данни, дори и в презграничен план, при неотклонно спазване на разпоредбите за защита на данните и другите ограничения.          </w:t>
      </w:r>
    </w:p>
  </w:footnote>
  <w:footnote w:id="19">
    <w:p>
      <w:pPr>
        <w:pStyle w:val="NormalWeb"/>
        <w:spacing w:before="0" w:beforeAutospacing="0" w:after="75" w:afterAutospacing="0"/>
        <w:ind w:left="284" w:hanging="284"/>
        <w:jc w:val="both"/>
        <w:rPr>
          <w:color w:val="444444"/>
          <w:sz w:val="20"/>
          <w:szCs w:val="20"/>
          <w:lang w:val="bg-BG"/>
        </w:rPr>
      </w:pPr>
      <w:r>
        <w:rPr>
          <w:rStyle w:val="FootnoteReference"/>
        </w:rPr>
        <w:footnoteRef/>
      </w:r>
      <w:r>
        <w:rPr>
          <w:lang w:val="bg-BG"/>
        </w:rPr>
        <w:tab/>
      </w:r>
      <w:r>
        <w:rPr>
          <w:sz w:val="20"/>
          <w:szCs w:val="20"/>
          <w:lang w:val="bg-BG"/>
        </w:rPr>
        <w:t>Регламент (ЕС) №</w:t>
      </w:r>
      <w:r>
        <w:rPr>
          <w:sz w:val="20"/>
          <w:szCs w:val="20"/>
        </w:rPr>
        <w:t> </w:t>
      </w:r>
      <w:r>
        <w:rPr>
          <w:sz w:val="20"/>
          <w:szCs w:val="20"/>
          <w:lang w:val="bg-BG"/>
        </w:rPr>
        <w:t>910/2014 на Европейския парламент и на Съвета от 23</w:t>
      </w:r>
      <w:r>
        <w:rPr>
          <w:sz w:val="20"/>
          <w:szCs w:val="20"/>
        </w:rPr>
        <w:t> </w:t>
      </w:r>
      <w:r>
        <w:rPr>
          <w:sz w:val="20"/>
          <w:szCs w:val="20"/>
          <w:lang w:val="bg-BG"/>
        </w:rPr>
        <w:t>юли 2014</w:t>
      </w:r>
      <w:r>
        <w:rPr>
          <w:sz w:val="20"/>
          <w:szCs w:val="20"/>
        </w:rPr>
        <w:t> </w:t>
      </w:r>
      <w:r>
        <w:rPr>
          <w:sz w:val="20"/>
          <w:szCs w:val="20"/>
          <w:lang w:val="bg-BG"/>
        </w:rPr>
        <w:t>г. относно електронната идентификация и удостоверителните услуги при електронни трансакции на вътрешния пазар и за отмяна на Директива</w:t>
      </w:r>
      <w:r>
        <w:rPr>
          <w:sz w:val="20"/>
          <w:szCs w:val="20"/>
        </w:rPr>
        <w:t> </w:t>
      </w:r>
      <w:r>
        <w:rPr>
          <w:sz w:val="20"/>
          <w:szCs w:val="20"/>
          <w:lang w:val="bg-BG"/>
        </w:rPr>
        <w:t xml:space="preserve">1999/93/ЕО (ОВ </w:t>
      </w:r>
      <w:r>
        <w:rPr>
          <w:sz w:val="20"/>
          <w:szCs w:val="20"/>
        </w:rPr>
        <w:t>L </w:t>
      </w:r>
      <w:r>
        <w:rPr>
          <w:sz w:val="20"/>
          <w:szCs w:val="20"/>
          <w:lang w:val="bg-BG"/>
        </w:rPr>
        <w:t>257, 28.8.2014</w:t>
      </w:r>
      <w:r>
        <w:rPr>
          <w:sz w:val="20"/>
          <w:szCs w:val="20"/>
        </w:rPr>
        <w:t> </w:t>
      </w:r>
      <w:r>
        <w:rPr>
          <w:sz w:val="20"/>
          <w:szCs w:val="20"/>
          <w:lang w:val="bg-BG"/>
        </w:rPr>
        <w:t>г., стр.</w:t>
      </w:r>
      <w:r>
        <w:rPr>
          <w:sz w:val="20"/>
          <w:szCs w:val="20"/>
        </w:rPr>
        <w:t> </w:t>
      </w:r>
      <w:r>
        <w:rPr>
          <w:sz w:val="20"/>
          <w:szCs w:val="20"/>
          <w:lang w:val="bg-BG"/>
        </w:rPr>
        <w:t>73).</w:t>
      </w:r>
    </w:p>
  </w:footnote>
  <w:footnote w:id="20">
    <w:p>
      <w:pPr>
        <w:pStyle w:val="FootnoteText"/>
      </w:pPr>
      <w:r>
        <w:rPr>
          <w:rStyle w:val="FootnoteReference"/>
        </w:rPr>
        <w:footnoteRef/>
      </w:r>
      <w:r>
        <w:tab/>
        <w:t>COM (2020) 67 final.</w:t>
      </w:r>
    </w:p>
  </w:footnote>
  <w:footnote w:id="21">
    <w:p>
      <w:pPr>
        <w:pStyle w:val="FootnoteText"/>
        <w:spacing w:after="60"/>
        <w:ind w:left="284" w:hanging="284"/>
      </w:pPr>
      <w:r>
        <w:rPr>
          <w:rStyle w:val="FootnoteReference"/>
        </w:rPr>
        <w:footnoteRef/>
      </w:r>
      <w:r>
        <w:tab/>
        <w:t>Регламент за изпълнение (ЕС) 2019/1715 на Комисията от 30 септември 2019 г. за определяне на правила за функционирането на системата за управление на информацията относно официалния контрол и нейните компоненти („Регламент за IМSOC“) ( ОВ L 261, 14.10.2019 г., стр. 37).</w:t>
      </w:r>
    </w:p>
  </w:footnote>
  <w:footnote w:id="22">
    <w:p>
      <w:pPr>
        <w:pStyle w:val="FootnoteText"/>
        <w:spacing w:after="60"/>
        <w:ind w:left="284" w:hanging="284"/>
      </w:pPr>
      <w:r>
        <w:rPr>
          <w:rStyle w:val="FootnoteReference"/>
        </w:rPr>
        <w:footnoteRef/>
      </w:r>
      <w:r>
        <w:tab/>
        <w:t>Регламент (ЕС) 2019/2013 на Европейския парламент и на Съвета от 9 октомври 2013 г. относно надзора на пазара и съответствието на продуктите (ОВ L 169, 25.06.2019 г., стр. 1—44).</w:t>
      </w:r>
    </w:p>
  </w:footnote>
  <w:footnote w:id="23">
    <w:p>
      <w:pPr>
        <w:pStyle w:val="FootnoteText"/>
        <w:spacing w:after="60"/>
        <w:ind w:left="284" w:hanging="284"/>
      </w:pPr>
      <w:r>
        <w:rPr>
          <w:rStyle w:val="FootnoteReference"/>
        </w:rPr>
        <w:footnoteRef/>
      </w:r>
      <w:r>
        <w:tab/>
        <w:t>Консолидиран текст на Договора за функционирането на Европейския съюз (ОВ C 326, 26.10.2012 г., стр. 47).</w:t>
      </w:r>
    </w:p>
  </w:footnote>
  <w:footnote w:id="24">
    <w:p>
      <w:pPr>
        <w:pStyle w:val="FootnoteText"/>
        <w:spacing w:after="60"/>
        <w:ind w:left="284" w:hanging="284"/>
      </w:pPr>
      <w:r>
        <w:rPr>
          <w:rStyle w:val="FootnoteReference"/>
        </w:rPr>
        <w:footnoteRef/>
      </w:r>
      <w:r>
        <w:tab/>
        <w:t>С изключение на ирландския поради ресурсни ограничения.</w:t>
      </w:r>
    </w:p>
  </w:footnote>
  <w:footnote w:id="25">
    <w:p>
      <w:pPr>
        <w:pStyle w:val="FootnoteText"/>
        <w:spacing w:after="60"/>
        <w:ind w:left="284" w:hanging="284"/>
      </w:pPr>
      <w:r>
        <w:rPr>
          <w:rStyle w:val="FootnoteReference"/>
        </w:rPr>
        <w:footnoteRef/>
      </w:r>
      <w:r>
        <w:tab/>
        <w:t>https://ec.europa.eu/info/law/better-regulation/have-your-say/initiatives/1739-EU-Single-Window-environment-for-customs</w:t>
      </w:r>
    </w:p>
  </w:footnote>
  <w:footnote w:id="26">
    <w:p>
      <w:pPr>
        <w:pStyle w:val="FootnoteText"/>
        <w:spacing w:after="60"/>
        <w:ind w:left="284" w:hanging="284"/>
      </w:pPr>
      <w:r>
        <w:rPr>
          <w:rStyle w:val="FootnoteReference"/>
        </w:rPr>
        <w:footnoteRef/>
      </w:r>
      <w:r>
        <w:tab/>
        <w:t>SWD (2020) xxx final.</w:t>
      </w:r>
    </w:p>
  </w:footnote>
  <w:footnote w:id="27">
    <w:p>
      <w:pPr>
        <w:pStyle w:val="FootnoteText"/>
        <w:spacing w:after="60"/>
        <w:ind w:left="284" w:hanging="284"/>
      </w:pPr>
      <w:r>
        <w:rPr>
          <w:rStyle w:val="FootnoteReference"/>
        </w:rPr>
        <w:footnoteRef/>
      </w:r>
      <w:r>
        <w:tab/>
        <w:t>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(ОВ L 119, 4.5.2016 г., стр. 1).</w:t>
      </w:r>
    </w:p>
  </w:footnote>
  <w:footnote w:id="28">
    <w:p>
      <w:pPr>
        <w:pStyle w:val="FootnoteText"/>
        <w:spacing w:after="60"/>
        <w:ind w:left="284" w:hanging="284"/>
      </w:pPr>
      <w:r>
        <w:rPr>
          <w:rStyle w:val="FootnoteReference"/>
        </w:rPr>
        <w:footnoteRef/>
      </w:r>
      <w:r>
        <w:tab/>
        <w:t>Регламент (ЕС) 2018/1725 на Европейския парламент и на Съвета от 23 октомври 2018 г. относно защитата на физическите лица във връзка с обработването на лични данни от институциите, органите, службите и агенциите на Съюза и относно свободното движение на такива данни и за отмяна на Регламент (ЕО) № 45/2001 и Решение № 1247/2002/ЕО (OB L 295, 21.11.2018г., стр. 39).</w:t>
      </w:r>
    </w:p>
  </w:footnote>
  <w:footnote w:id="29">
    <w:p>
      <w:pPr>
        <w:pStyle w:val="FootnoteText"/>
        <w:spacing w:after="60"/>
        <w:ind w:left="284" w:hanging="284"/>
      </w:pPr>
      <w:r>
        <w:rPr>
          <w:rStyle w:val="FootnoteReference"/>
        </w:rPr>
        <w:footnoteRef/>
      </w:r>
      <w:r>
        <w:tab/>
        <w:t>По-специално EU CSW-CERTEX следва първоначално да обхваща санитарните и фитосанитарните изисквания, правилата, регламентиращи вноса на биологични продукти, екологичните изисквания по отношение на флуорсъдържащите парникови газове и озоноразрушаващите вещества и формалностите, свързани с вноса на движими културни ценности.</w:t>
      </w:r>
    </w:p>
  </w:footnote>
  <w:footnote w:id="30">
    <w:p>
      <w:pPr>
        <w:pStyle w:val="FootnoteText"/>
        <w:spacing w:after="60"/>
        <w:ind w:left="284" w:hanging="284"/>
      </w:pPr>
      <w:r>
        <w:rPr>
          <w:rStyle w:val="FootnoteReference"/>
        </w:rPr>
        <w:footnoteRef/>
      </w:r>
      <w:r>
        <w:tab/>
        <w:t>OВ C [...], [...], стр. [...]</w:t>
      </w:r>
    </w:p>
  </w:footnote>
  <w:footnote w:id="31">
    <w:p>
      <w:pPr>
        <w:pStyle w:val="FootnoteText"/>
        <w:spacing w:after="60"/>
        <w:ind w:left="284" w:hanging="284"/>
      </w:pPr>
      <w:r>
        <w:rPr>
          <w:rStyle w:val="FootnoteReference"/>
        </w:rPr>
        <w:footnoteRef/>
      </w:r>
      <w:r>
        <w:tab/>
        <w:t>Регламент (ЕС) № 952/2013 на Европейския парламент и на Съвета от 9 октомври 2013 г. за създаване на Митнически кодекс на Съюза (ОВ L 269, 10.10.2013 г., стр. 1).</w:t>
      </w:r>
    </w:p>
  </w:footnote>
  <w:footnote w:id="32">
    <w:p>
      <w:pPr>
        <w:pStyle w:val="FootnoteText"/>
        <w:spacing w:after="60"/>
        <w:ind w:left="284" w:hanging="284"/>
      </w:pPr>
      <w:r>
        <w:rPr>
          <w:rStyle w:val="FootnoteReference"/>
        </w:rPr>
        <w:footnoteRef/>
      </w:r>
      <w:r>
        <w:tab/>
        <w:t>Решение № 70/2008/ЕО на Европейския парламент и на Съвета от 15 януари 2008 г. относно безкнижна среда в митниците и търговията (OB L 23, 26.1.2008 г., стр. 21).</w:t>
      </w:r>
    </w:p>
  </w:footnote>
  <w:footnote w:id="33">
    <w:p>
      <w:pPr>
        <w:pStyle w:val="FootnoteText"/>
        <w:spacing w:after="60"/>
        <w:ind w:left="284" w:hanging="284"/>
      </w:pPr>
      <w:r>
        <w:rPr>
          <w:rStyle w:val="FootnoteReference"/>
        </w:rPr>
        <w:footnoteRef/>
      </w:r>
      <w:r>
        <w:tab/>
        <w:t xml:space="preserve">Окончателен доклад, изготвен от Coffey International Development, Europe Economic Research Ltd и Ramboll Management Consulting по искане на Комисията. </w:t>
      </w:r>
    </w:p>
  </w:footnote>
  <w:footnote w:id="34">
    <w:p>
      <w:pPr>
        <w:pStyle w:val="FootnoteText"/>
        <w:spacing w:after="60"/>
        <w:ind w:left="284" w:hanging="284"/>
      </w:pPr>
      <w:r>
        <w:rPr>
          <w:rStyle w:val="FootnoteReference"/>
        </w:rPr>
        <w:footnoteRef/>
      </w:r>
      <w:r>
        <w:tab/>
        <w:t>ST16507/14.</w:t>
      </w:r>
    </w:p>
  </w:footnote>
  <w:footnote w:id="35">
    <w:p>
      <w:pPr>
        <w:pStyle w:val="FootnoteText"/>
        <w:spacing w:after="60"/>
        <w:ind w:left="284" w:hanging="284"/>
      </w:pPr>
      <w:r>
        <w:rPr>
          <w:rStyle w:val="FootnoteReference"/>
        </w:rPr>
        <w:footnoteRef/>
      </w:r>
      <w:r>
        <w:tab/>
        <w:t>Приложение към заключенията на Съвета от 17 декември 2014 г.</w:t>
      </w:r>
    </w:p>
  </w:footnote>
  <w:footnote w:id="36">
    <w:p>
      <w:pPr>
        <w:pStyle w:val="FootnoteText"/>
        <w:spacing w:after="60"/>
        <w:ind w:left="284" w:hanging="284"/>
      </w:pPr>
      <w:r>
        <w:rPr>
          <w:rStyle w:val="FootnoteReference"/>
        </w:rPr>
        <w:footnoteRef/>
      </w:r>
      <w:r>
        <w:tab/>
        <w:t>Решение (ЕС) 2015/1947 на Съвета от 1 октомври 2015 г. за сключване, от името на Европейския съюз, на Протокола за изменение на Маракешкото споразумение за създаване на Световната търговска организация (ОВ L 284, 30.10.2015 г., стр. 1).</w:t>
      </w:r>
    </w:p>
  </w:footnote>
  <w:footnote w:id="37">
    <w:p>
      <w:pPr>
        <w:pStyle w:val="FootnoteText"/>
        <w:spacing w:after="60"/>
        <w:ind w:left="284" w:hanging="284"/>
      </w:pPr>
      <w:r>
        <w:rPr>
          <w:rStyle w:val="FootnoteReference"/>
        </w:rPr>
        <w:footnoteRef/>
      </w:r>
      <w:r>
        <w:tab/>
        <w:t>Съобщение на Комисията до Европейския парламент, Съвета, Европейския икономически и социален комитет и Комитета на регионите „План за действие на ЕС за електронно управление през периода 2016—2020 г. Ускоряване на цифровото преобразуване на управлението“, COM(2016)179 final от 19 април 2016 г.</w:t>
      </w:r>
    </w:p>
  </w:footnote>
  <w:footnote w:id="38">
    <w:p>
      <w:pPr>
        <w:pStyle w:val="FootnoteText"/>
        <w:ind w:left="284" w:hanging="284"/>
      </w:pPr>
      <w:r>
        <w:rPr>
          <w:rStyle w:val="FootnoteReference"/>
        </w:rPr>
        <w:footnoteRef/>
      </w:r>
      <w:r>
        <w:tab/>
        <w:t>Регламент (ЕС) № 910/2014 на Европейския парламент и на Съвета от 23 юли 2014 г. относно електронната идентификация и удостоверителните услуги при електронни трансакции на вътрешния пазар и за отмяна на Директива 1999/93/ЕО (ОВ L 257, 28.8.2014 г., стр. 73).</w:t>
      </w:r>
    </w:p>
  </w:footnote>
  <w:footnote w:id="39">
    <w:p>
      <w:pPr>
        <w:autoSpaceDE w:val="0"/>
        <w:autoSpaceDN w:val="0"/>
        <w:spacing w:before="40" w:after="40"/>
        <w:ind w:left="284" w:hanging="284"/>
        <w:rPr>
          <w:sz w:val="20"/>
          <w:szCs w:val="20"/>
        </w:rPr>
      </w:pPr>
      <w:r>
        <w:rPr>
          <w:rStyle w:val="FootnoteReference"/>
        </w:rPr>
        <w:footnoteRef/>
      </w:r>
      <w:r>
        <w:tab/>
      </w:r>
      <w:r>
        <w:rPr>
          <w:sz w:val="20"/>
          <w:szCs w:val="20"/>
        </w:rPr>
        <w:t xml:space="preserve">Регламент (ЕС) 2018/1724 на Европейския парламент и на Съвета от 2 октомври 2018 г. за създаване на единна цифрова платформа за предоставяне на достъп до информация, до процедури и до услуги за оказване на помощ и решаване на проблеми и за изменение на Регламент (ЕС) № 1024/2012 (ОВ L 295, 21.11.2018 г., стр. 1). </w:t>
      </w:r>
      <w:r>
        <w:rPr>
          <w:color w:val="000000"/>
          <w:sz w:val="20"/>
          <w:szCs w:val="20"/>
        </w:rPr>
        <w:t xml:space="preserve"> </w:t>
      </w:r>
    </w:p>
    <w:p>
      <w:pPr>
        <w:pStyle w:val="FootnoteText"/>
      </w:pPr>
    </w:p>
  </w:footnote>
  <w:footnote w:id="40">
    <w:p>
      <w:pPr>
        <w:pStyle w:val="FootnoteText"/>
        <w:spacing w:after="60"/>
        <w:ind w:left="284" w:hanging="284"/>
      </w:pPr>
      <w:r>
        <w:rPr>
          <w:rStyle w:val="FootnoteReference"/>
        </w:rPr>
        <w:footnoteRef/>
      </w:r>
      <w:r>
        <w:tab/>
        <w:t>Регламент (ЕС) 2018/1725 на Европейския парламент и на Съвета от 23 октомври 2018 г. относно защитата на физическите лица във връзка с обработването на лични данни от институциите, органите, службите и агенциите на Съюза и относно свободното движение на такива данни и за отмяна на Регламент (ЕО) № 45/2001 и Решение № 1247/2002/ЕО (OB L 295, 21.11.2018г., стр. 39).</w:t>
      </w:r>
    </w:p>
  </w:footnote>
  <w:footnote w:id="41">
    <w:p>
      <w:pPr>
        <w:pStyle w:val="FootnoteText"/>
        <w:spacing w:after="60"/>
        <w:ind w:left="284" w:hanging="284"/>
      </w:pPr>
      <w:r>
        <w:rPr>
          <w:rStyle w:val="FootnoteReference"/>
        </w:rPr>
        <w:footnoteRef/>
      </w:r>
      <w:r>
        <w:tab/>
        <w:t>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(ОВ L 119, 4.5.2016 г., стр. 1).</w:t>
      </w:r>
    </w:p>
  </w:footnote>
  <w:footnote w:id="42">
    <w:p>
      <w:pPr>
        <w:pStyle w:val="FootnoteText"/>
        <w:spacing w:after="60"/>
        <w:ind w:left="284" w:hanging="284"/>
      </w:pPr>
      <w:r>
        <w:rPr>
          <w:rStyle w:val="FootnoteReference"/>
        </w:rPr>
        <w:footnoteRef/>
      </w:r>
      <w:r>
        <w:tab/>
        <w:t>Междуинституционално споразумение между Европейския парламент, Съвета на Европейския съюз и Европейската комисия за по-добро законотворчество (ОВ L 123, 12.5.2016 г., стр. 1).</w:t>
      </w:r>
    </w:p>
  </w:footnote>
  <w:footnote w:id="43">
    <w:p>
      <w:pPr>
        <w:pStyle w:val="FootnoteText"/>
        <w:spacing w:after="60"/>
        <w:ind w:left="284" w:hanging="284"/>
      </w:pPr>
      <w:r>
        <w:rPr>
          <w:rStyle w:val="FootnoteReference"/>
        </w:rPr>
        <w:footnoteRef/>
      </w:r>
      <w:r>
        <w:tab/>
        <w:t>Регламент (ЕС)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стр.13).</w:t>
      </w:r>
    </w:p>
  </w:footnote>
  <w:footnote w:id="44">
    <w:p>
      <w:pPr>
        <w:pStyle w:val="FootnoteText"/>
        <w:spacing w:after="60"/>
        <w:ind w:left="284" w:hanging="284"/>
        <w:rPr>
          <w:szCs w:val="24"/>
        </w:rPr>
      </w:pPr>
      <w:r>
        <w:rPr>
          <w:rStyle w:val="FootnoteReference"/>
        </w:rPr>
        <w:footnoteRef/>
      </w:r>
      <w:r>
        <w:tab/>
        <w:t>УД: управление по дейности; БД: бюджетиране по дейности.</w:t>
      </w:r>
    </w:p>
  </w:footnote>
  <w:footnote w:id="45">
    <w:p>
      <w:pPr>
        <w:pStyle w:val="FootnoteText"/>
        <w:spacing w:after="60"/>
        <w:ind w:left="284" w:hanging="284"/>
        <w:rPr>
          <w:szCs w:val="24"/>
        </w:rPr>
      </w:pPr>
      <w:r>
        <w:rPr>
          <w:rStyle w:val="FootnoteReference"/>
        </w:rPr>
        <w:footnoteRef/>
      </w:r>
      <w:r>
        <w:tab/>
        <w:t>Съгласно член 54, параграф 2, буква а) или б) от Финансовия регламент.</w:t>
      </w:r>
    </w:p>
  </w:footnote>
  <w:footnote w:id="46">
    <w:p>
      <w:pPr>
        <w:pStyle w:val="FootnoteText"/>
        <w:spacing w:after="60"/>
        <w:ind w:left="284" w:hanging="284"/>
      </w:pPr>
      <w:r>
        <w:rPr>
          <w:rStyle w:val="FootnoteReference"/>
        </w:rPr>
        <w:footnoteRef/>
      </w:r>
      <w:r>
        <w:tab/>
        <w:t>https://eur-lex.europa.eu/legal-content/BG/TXT/PDF/?uri=CELEX:52016DC0813&amp;qid=1603135021087&amp;from=BG</w:t>
      </w:r>
    </w:p>
  </w:footnote>
  <w:footnote w:id="47">
    <w:p>
      <w:pPr>
        <w:pStyle w:val="FootnoteText"/>
        <w:spacing w:after="60"/>
        <w:ind w:left="284" w:hanging="284"/>
      </w:pPr>
      <w:r>
        <w:rPr>
          <w:rStyle w:val="FootnoteReference"/>
        </w:rPr>
        <w:footnoteRef/>
      </w:r>
      <w:r>
        <w:tab/>
      </w:r>
      <w:hyperlink r:id="rId2" w:history="1">
        <w:r>
          <w:rPr>
            <w:rStyle w:val="Hyperlink"/>
          </w:rPr>
          <w:t>https://ec.europa.eu/info/sites/info/files/strategic-plan-2016-2020-dg-taxud_march2016_en.pdf</w:t>
        </w:r>
      </w:hyperlink>
    </w:p>
  </w:footnote>
  <w:footnote w:id="48">
    <w:p>
      <w:pPr>
        <w:pStyle w:val="FootnoteText"/>
        <w:spacing w:after="60"/>
        <w:ind w:left="284" w:hanging="284"/>
      </w:pPr>
      <w:r>
        <w:rPr>
          <w:rStyle w:val="FootnoteReference"/>
        </w:rPr>
        <w:footnoteRef/>
      </w:r>
      <w:r>
        <w:tab/>
      </w:r>
      <w:hyperlink r:id="rId3" w:history="1">
        <w:r>
          <w:rPr>
            <w:rStyle w:val="Hyperlink"/>
          </w:rPr>
          <w:t>https://ec.europa.eu/digital-single-market/en/news/ministerial-declaration-egovernment-tallinn-declaration</w:t>
        </w:r>
      </w:hyperlink>
      <w:r>
        <w:t xml:space="preserve"> </w:t>
      </w:r>
    </w:p>
  </w:footnote>
  <w:footnote w:id="49">
    <w:p>
      <w:pPr>
        <w:pStyle w:val="FootnoteText"/>
        <w:spacing w:after="60"/>
        <w:ind w:left="284" w:hanging="284"/>
      </w:pPr>
      <w:r>
        <w:rPr>
          <w:rStyle w:val="FootnoteReference"/>
        </w:rPr>
        <w:footnoteRef/>
      </w:r>
      <w:r>
        <w:tab/>
        <w:t>Система на ЕС „Митническо обслужване на едно гише: обмен на сертификати“ (EU CSW-CERTEX)</w:t>
      </w:r>
    </w:p>
  </w:footnote>
  <w:footnote w:id="50">
    <w:p>
      <w:pPr>
        <w:pStyle w:val="FootnoteText"/>
        <w:spacing w:after="60"/>
        <w:ind w:left="284" w:hanging="284"/>
      </w:pPr>
      <w:r>
        <w:rPr>
          <w:rStyle w:val="FootnoteReference"/>
        </w:rPr>
        <w:footnoteRef/>
      </w:r>
      <w:r>
        <w:tab/>
        <w:t>Обединена декларация: цялата информация във връзка с оформянето, изисквана за изпълнението на митническите и немитническите формалности на Съюза, уреждащи международната търговия със стоки.</w:t>
      </w:r>
    </w:p>
  </w:footnote>
  <w:footnote w:id="51">
    <w:p>
      <w:pPr>
        <w:pStyle w:val="FootnoteText"/>
        <w:spacing w:after="60"/>
        <w:ind w:left="284" w:hanging="284"/>
      </w:pPr>
      <w:r>
        <w:rPr>
          <w:rStyle w:val="FootnoteReference"/>
        </w:rPr>
        <w:footnoteRef/>
      </w:r>
      <w:r>
        <w:tab/>
        <w:t>Решение № 70/2008/ЕО на Европейския парламент и на Съвета от 15 януари 2008 г. относно безкнижна среда в митниците и търговията (OB L 23, 26.1.2008 г., стр. 21—26).</w:t>
      </w:r>
    </w:p>
  </w:footnote>
  <w:footnote w:id="52">
    <w:p>
      <w:pPr>
        <w:pStyle w:val="FootnoteText"/>
        <w:spacing w:after="60"/>
        <w:ind w:left="284" w:hanging="284"/>
      </w:pPr>
      <w:r>
        <w:rPr>
          <w:rStyle w:val="FootnoteReference"/>
        </w:rPr>
        <w:footnoteRef/>
      </w:r>
      <w:r>
        <w:tab/>
      </w:r>
      <w:hyperlink r:id="rId4" w:history="1">
        <w:r>
          <w:rPr>
            <w:rStyle w:val="Hyperlink"/>
            <w:color w:val="000000" w:themeColor="text1"/>
          </w:rPr>
          <w:t>http://data.consilium.europa.eu/doc/document/ST-16507-2014-INIT/bg/pdf</w:t>
        </w:r>
      </w:hyperlink>
      <w:r>
        <w:rPr>
          <w:color w:val="000000" w:themeColor="text1"/>
        </w:rPr>
        <w:t xml:space="preserve"> </w:t>
      </w:r>
      <w:r>
        <w:tab/>
        <w:t xml:space="preserve"> </w:t>
      </w:r>
      <w:r>
        <w:br/>
        <w:t>(Декларацията от Венеция е приложена към заключенията на Съвета от декември 2014 г.).</w:t>
      </w:r>
    </w:p>
  </w:footnote>
  <w:footnote w:id="53">
    <w:p>
      <w:pPr>
        <w:pStyle w:val="FootnoteText"/>
        <w:spacing w:after="60"/>
        <w:ind w:left="284" w:hanging="284"/>
      </w:pPr>
      <w:r>
        <w:rPr>
          <w:rStyle w:val="FootnoteReference"/>
        </w:rPr>
        <w:footnoteRef/>
      </w:r>
      <w:r>
        <w:tab/>
        <w:t>COM (2016) 813 final</w:t>
      </w:r>
    </w:p>
  </w:footnote>
  <w:footnote w:id="54">
    <w:p>
      <w:pPr>
        <w:pStyle w:val="FootnoteText"/>
        <w:spacing w:after="60"/>
        <w:ind w:left="284" w:hanging="284"/>
      </w:pPr>
      <w:r>
        <w:rPr>
          <w:rStyle w:val="FootnoteReference"/>
        </w:rPr>
        <w:footnoteRef/>
      </w:r>
      <w:r>
        <w:tab/>
        <w:t xml:space="preserve">Съобщение на Комисията до Съвета и Европейския парламент: „Първи двугодишен доклад за напредъка в развитието на митническия съюз на ЕС и неговото управление“, </w:t>
      </w:r>
      <w:r>
        <w:rPr>
          <w:color w:val="444444"/>
        </w:rPr>
        <w:t>COM(2018) 524 final.</w:t>
      </w:r>
    </w:p>
  </w:footnote>
  <w:footnote w:id="55">
    <w:p>
      <w:pPr>
        <w:pStyle w:val="FootnoteText"/>
        <w:spacing w:after="60"/>
        <w:ind w:left="284" w:hanging="284"/>
      </w:pPr>
      <w:r>
        <w:rPr>
          <w:rStyle w:val="FootnoteReference"/>
        </w:rPr>
        <w:footnoteRef/>
      </w:r>
      <w:r>
        <w:tab/>
        <w:t>Експертна система за контрол на търговията — TRAde Control and Expert System (TRACES)</w:t>
      </w:r>
    </w:p>
  </w:footnote>
  <w:footnote w:id="56">
    <w:p>
      <w:pPr>
        <w:pStyle w:val="FootnoteText"/>
        <w:spacing w:after="60"/>
        <w:ind w:left="284" w:hanging="284"/>
        <w:rPr>
          <w:color w:val="000000" w:themeColor="text1"/>
        </w:rPr>
      </w:pPr>
      <w:r>
        <w:rPr>
          <w:rStyle w:val="FootnoteReference"/>
        </w:rPr>
        <w:footnoteRef/>
      </w:r>
      <w:r>
        <w:tab/>
      </w:r>
      <w:r>
        <w:rPr>
          <w:color w:val="000000" w:themeColor="text1"/>
        </w:rPr>
        <w:t>ЕЗДВ-A (Единен здравен документ за въвеждане на животни), по-рано наричан „ЕВДВ-A“ – ще бъде въведен в EU CSW-CERTEX до края на 2020 г.</w:t>
      </w:r>
    </w:p>
    <w:p>
      <w:pPr>
        <w:pStyle w:val="FootnoteText"/>
        <w:spacing w:after="60"/>
        <w:ind w:left="284" w:hanging="284"/>
        <w:rPr>
          <w:color w:val="000000" w:themeColor="text1"/>
        </w:rPr>
      </w:pPr>
      <w:r>
        <w:tab/>
      </w:r>
      <w:r>
        <w:rPr>
          <w:color w:val="000000" w:themeColor="text1"/>
        </w:rPr>
        <w:t xml:space="preserve">ЕЗДВ-P (Единен здравен документ за въвеждане на животински продукти), по-рано наричан „ЕВДВ-P“ – ще бъде въведен в EU CSW-CERTEX до края на 2020 г. </w:t>
      </w:r>
      <w:r>
        <w:tab/>
      </w:r>
    </w:p>
    <w:p>
      <w:pPr>
        <w:pStyle w:val="FootnoteText"/>
        <w:spacing w:after="60"/>
        <w:ind w:left="284" w:hanging="284"/>
        <w:rPr>
          <w:color w:val="000000" w:themeColor="text1"/>
        </w:rPr>
      </w:pPr>
      <w:r>
        <w:rPr>
          <w:color w:val="000000" w:themeColor="text1"/>
        </w:rPr>
        <w:t xml:space="preserve">      ЕЗДВ-D (Единен здравен документ за въвеждане на фуражи и храни от неживотински произход), по-рано наричан „CED“ – ще бъде въведен в EU CSW-CERTEX до средата на 2020 г.</w:t>
      </w:r>
    </w:p>
    <w:p>
      <w:pPr>
        <w:pStyle w:val="FootnoteText"/>
        <w:spacing w:after="60"/>
        <w:ind w:left="284" w:hanging="284"/>
        <w:rPr>
          <w:color w:val="000000" w:themeColor="text1"/>
        </w:rPr>
      </w:pPr>
      <w:r>
        <w:rPr>
          <w:color w:val="000000" w:themeColor="text1"/>
        </w:rPr>
        <w:t xml:space="preserve">      ЕЗДВ-PP (Единен здравен документ за въвеждане за растения и растителни продукти) – ще бъде въведен в EU CSW-CERTEX до средата на 2020 г. </w:t>
      </w:r>
      <w:r>
        <w:tab/>
      </w:r>
    </w:p>
    <w:p>
      <w:pPr>
        <w:pStyle w:val="FootnoteText"/>
        <w:spacing w:after="60"/>
        <w:ind w:left="284" w:hanging="284"/>
        <w:rPr>
          <w:color w:val="000000" w:themeColor="text1"/>
        </w:rPr>
      </w:pPr>
      <w:r>
        <w:rPr>
          <w:color w:val="000000" w:themeColor="text1"/>
        </w:rPr>
        <w:t xml:space="preserve">      СИ (сертификат за инспекция) за внос на биологични продукти – ще бъде прехвърлен в EU CSW-CERTEX до края на 2020 г. </w:t>
      </w:r>
      <w:r>
        <w:tab/>
      </w:r>
    </w:p>
    <w:p>
      <w:pPr>
        <w:pStyle w:val="FootnoteText"/>
        <w:spacing w:after="60"/>
        <w:ind w:left="284" w:hanging="284"/>
        <w:rPr>
          <w:color w:val="000000" w:themeColor="text1"/>
        </w:rPr>
      </w:pPr>
      <w:r>
        <w:rPr>
          <w:color w:val="000000" w:themeColor="text1"/>
        </w:rPr>
        <w:t xml:space="preserve">      FLEGT (прилагане на законодателството в областта на горите, управление и търговия) за внос на дървен материал – ще бъде прехвърлен в EU CSW-CERTEX до края на 2020 г. </w:t>
      </w:r>
    </w:p>
    <w:p>
      <w:pPr>
        <w:pStyle w:val="FootnoteText"/>
        <w:spacing w:after="60"/>
        <w:ind w:left="284" w:hanging="284"/>
        <w:rPr>
          <w:color w:val="000000" w:themeColor="text1"/>
        </w:rPr>
      </w:pPr>
      <w:r>
        <w:rPr>
          <w:color w:val="000000" w:themeColor="text1"/>
        </w:rPr>
        <w:t xml:space="preserve">      ФПГ (флуорсъдържащи парникови газове) – ще бъде въведен в EU CSW-CERTEX до края на 2020 г.</w:t>
      </w:r>
    </w:p>
    <w:p>
      <w:pPr>
        <w:pStyle w:val="FootnoteText"/>
        <w:spacing w:after="60"/>
        <w:ind w:left="284" w:hanging="284"/>
        <w:rPr>
          <w:color w:val="000000" w:themeColor="text1"/>
        </w:rPr>
      </w:pPr>
      <w:r>
        <w:rPr>
          <w:color w:val="000000" w:themeColor="text1"/>
        </w:rPr>
        <w:t xml:space="preserve">      ОРВ (озоноразрушаващи вещества) – ще бъде въведен в EU CSW-CERTEX до края на 2020 г. </w:t>
      </w:r>
    </w:p>
    <w:p>
      <w:pPr>
        <w:pStyle w:val="FootnoteText"/>
        <w:spacing w:after="60"/>
        <w:ind w:left="284" w:hanging="284"/>
        <w:rPr>
          <w:color w:val="000000" w:themeColor="text1"/>
        </w:rPr>
      </w:pPr>
      <w:r>
        <w:tab/>
      </w:r>
      <w:r>
        <w:rPr>
          <w:color w:val="000000" w:themeColor="text1"/>
        </w:rPr>
        <w:t xml:space="preserve"> </w:t>
      </w:r>
    </w:p>
  </w:footnote>
  <w:footnote w:id="57">
    <w:p>
      <w:pPr>
        <w:pStyle w:val="FootnoteText"/>
        <w:spacing w:after="60"/>
        <w:ind w:left="284" w:hanging="284"/>
        <w:rPr>
          <w:szCs w:val="24"/>
        </w:rPr>
      </w:pPr>
      <w:r>
        <w:rPr>
          <w:rStyle w:val="FootnoteReference"/>
        </w:rPr>
        <w:footnoteRef/>
      </w:r>
      <w:r>
        <w:tab/>
      </w:r>
      <w:r>
        <w:rPr>
          <w:color w:val="000000" w:themeColor="text1"/>
        </w:rPr>
        <w:t>Подробности</w:t>
      </w:r>
      <w:r>
        <w:t xml:space="preserve"> във връзка с методите на управление и позоваванията на Финансовия регламент могат да бъдат намерени на уебсайта BudgWeb: </w:t>
      </w:r>
      <w:hyperlink r:id="rId5" w:history="1">
        <w:r>
          <w:rPr>
            <w:rStyle w:val="Hyperlink"/>
            <w:sz w:val="18"/>
          </w:rPr>
          <w:t>http://www.cc.cec/budg/man/budgmanag/budgmanag_bg.html</w:t>
        </w:r>
      </w:hyperlink>
    </w:p>
  </w:footnote>
  <w:footnote w:id="58">
    <w:p>
      <w:pPr>
        <w:pStyle w:val="FootnoteText"/>
        <w:spacing w:after="60"/>
        <w:ind w:left="284" w:hanging="284"/>
      </w:pPr>
      <w:r>
        <w:rPr>
          <w:rStyle w:val="FootnoteReference"/>
        </w:rPr>
        <w:footnoteRef/>
      </w:r>
      <w:r>
        <w:tab/>
      </w:r>
      <w:r>
        <w:rPr>
          <w:color w:val="000000" w:themeColor="text1"/>
        </w:rPr>
        <w:t>COM</w:t>
      </w:r>
      <w:r>
        <w:t xml:space="preserve"> (2018) 442</w:t>
      </w:r>
    </w:p>
  </w:footnote>
  <w:footnote w:id="59">
    <w:p>
      <w:pPr>
        <w:pStyle w:val="FootnoteText"/>
        <w:spacing w:after="60"/>
        <w:ind w:left="284" w:hanging="284"/>
        <w:rPr>
          <w:szCs w:val="24"/>
        </w:rPr>
      </w:pPr>
      <w:r>
        <w:rPr>
          <w:rStyle w:val="FootnoteReference"/>
        </w:rPr>
        <w:footnoteRef/>
      </w:r>
      <w:r>
        <w:tab/>
        <w:t>Многогод. = многогодишни бюджетни кредити / Едногод. =</w:t>
      </w:r>
      <w:r>
        <w:br/>
        <w:t>Едногодишни бюджетни кредити.</w:t>
      </w:r>
    </w:p>
  </w:footnote>
  <w:footnote w:id="60">
    <w:p>
      <w:pPr>
        <w:pStyle w:val="FootnoteText"/>
        <w:spacing w:after="60"/>
        <w:ind w:left="284" w:hanging="284"/>
        <w:rPr>
          <w:szCs w:val="24"/>
        </w:rPr>
      </w:pPr>
      <w:r>
        <w:rPr>
          <w:rStyle w:val="FootnoteReference"/>
        </w:rPr>
        <w:footnoteRef/>
      </w:r>
      <w:r>
        <w:tab/>
      </w:r>
      <w:r>
        <w:rPr>
          <w:color w:val="000000" w:themeColor="text1"/>
        </w:rPr>
        <w:t>ЕАСТ</w:t>
      </w:r>
      <w:r>
        <w:t xml:space="preserve">: Европейска асоциация за свободна търговия. </w:t>
      </w:r>
    </w:p>
  </w:footnote>
  <w:footnote w:id="61">
    <w:p>
      <w:pPr>
        <w:pStyle w:val="FootnoteText"/>
        <w:spacing w:after="60"/>
        <w:ind w:left="284" w:hanging="284"/>
        <w:rPr>
          <w:szCs w:val="24"/>
        </w:rPr>
      </w:pPr>
      <w:r>
        <w:rPr>
          <w:rStyle w:val="FootnoteReference"/>
        </w:rPr>
        <w:footnoteRef/>
      </w:r>
      <w:r>
        <w:tab/>
        <w:t>Държави кандидатки и, ако е приложимо, потенциални кандидатки от Западните Балкани.</w:t>
      </w:r>
    </w:p>
  </w:footnote>
  <w:footnote w:id="62">
    <w:p>
      <w:pPr>
        <w:pStyle w:val="FootnoteText"/>
        <w:spacing w:after="60"/>
        <w:ind w:left="284" w:hanging="284"/>
        <w:rPr>
          <w:szCs w:val="24"/>
        </w:rPr>
      </w:pPr>
      <w:r>
        <w:rPr>
          <w:rStyle w:val="FootnoteReference"/>
        </w:rPr>
        <w:footnoteRef/>
      </w:r>
      <w:r>
        <w:tab/>
        <w:t>Година N е годината, през която започва да се изпълнява предложението/инициативата.</w:t>
      </w:r>
    </w:p>
  </w:footnote>
  <w:footnote w:id="63">
    <w:p>
      <w:pPr>
        <w:pStyle w:val="FootnoteText"/>
        <w:spacing w:after="60"/>
        <w:ind w:left="284" w:hanging="284"/>
      </w:pPr>
      <w:r>
        <w:rPr>
          <w:rStyle w:val="FootnoteReference"/>
        </w:rPr>
        <w:footnoteRef/>
      </w:r>
      <w:r>
        <w:tab/>
        <w:t>Включва бюджетни кредити до 2030 г. включително. Годишните бюджетните кредити за поети задължения след 2030 г. са 2,613</w:t>
      </w:r>
    </w:p>
  </w:footnote>
  <w:footnote w:id="64">
    <w:p>
      <w:pPr>
        <w:pStyle w:val="FootnoteText"/>
        <w:spacing w:after="60"/>
        <w:ind w:left="284" w:hanging="284"/>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65">
    <w:p>
      <w:pPr>
        <w:pStyle w:val="FootnoteText"/>
        <w:spacing w:after="60"/>
        <w:ind w:left="284" w:hanging="284"/>
        <w:rPr>
          <w:szCs w:val="24"/>
        </w:rPr>
      </w:pPr>
      <w:r>
        <w:rPr>
          <w:rStyle w:val="FootnoteReference"/>
        </w:rPr>
        <w:footnoteRef/>
      </w:r>
      <w:r>
        <w:tab/>
        <w:t>Година N е годината, през която започва да се изпълнява предложението/инициативата.</w:t>
      </w:r>
    </w:p>
  </w:footnote>
  <w:footnote w:id="66">
    <w:p>
      <w:pPr>
        <w:pStyle w:val="FootnoteText"/>
        <w:spacing w:after="60"/>
        <w:ind w:left="284" w:hanging="284"/>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67">
    <w:p>
      <w:pPr>
        <w:pStyle w:val="FootnoteText"/>
        <w:spacing w:after="60"/>
        <w:ind w:left="284" w:hanging="284"/>
      </w:pPr>
      <w:r>
        <w:rPr>
          <w:rStyle w:val="FootnoteReference"/>
        </w:rPr>
        <w:footnoteRef/>
      </w:r>
      <w:r>
        <w:tab/>
        <w:t>Годишни</w:t>
      </w:r>
      <w:r>
        <w:rPr>
          <w:sz w:val="16"/>
          <w:szCs w:val="16"/>
        </w:rPr>
        <w:t xml:space="preserve"> разходи</w:t>
      </w:r>
    </w:p>
  </w:footnote>
  <w:footnote w:id="68">
    <w:p>
      <w:pPr>
        <w:pStyle w:val="FootnoteText"/>
        <w:spacing w:after="60"/>
        <w:ind w:left="284" w:hanging="284"/>
        <w:rPr>
          <w:sz w:val="16"/>
          <w:szCs w:val="16"/>
        </w:rPr>
      </w:pPr>
      <w:r>
        <w:rPr>
          <w:rStyle w:val="FootnoteReference"/>
        </w:rPr>
        <w:footnoteRef/>
      </w:r>
      <w:r>
        <w:tab/>
        <w:t>Резултатите са продуктите и услугите, които ще бъдат доставени (напр.:</w:t>
      </w:r>
      <w:r>
        <w:rPr>
          <w:sz w:val="16"/>
          <w:szCs w:val="16"/>
        </w:rPr>
        <w:t xml:space="preserve"> брой финансирани обмени на учащи се, дължина на построените пътища в километри и т.н.).</w:t>
      </w:r>
    </w:p>
  </w:footnote>
  <w:footnote w:id="69">
    <w:p>
      <w:pPr>
        <w:pStyle w:val="FootnoteText"/>
        <w:spacing w:after="60"/>
        <w:ind w:left="284" w:hanging="284"/>
        <w:rPr>
          <w:sz w:val="16"/>
          <w:szCs w:val="16"/>
        </w:rPr>
      </w:pPr>
      <w:r>
        <w:rPr>
          <w:rStyle w:val="FootnoteReference"/>
        </w:rPr>
        <w:footnoteRef/>
      </w:r>
      <w:r>
        <w:tab/>
        <w:t>Съгласно описанието в точка 1.4.2.</w:t>
      </w:r>
      <w:r>
        <w:rPr>
          <w:sz w:val="16"/>
          <w:szCs w:val="16"/>
        </w:rPr>
        <w:t xml:space="preserve"> „Конкретни цели...“ </w:t>
      </w:r>
    </w:p>
  </w:footnote>
  <w:footnote w:id="70">
    <w:p>
      <w:pPr>
        <w:pStyle w:val="FootnoteText"/>
        <w:spacing w:after="60"/>
        <w:ind w:left="284" w:hanging="284"/>
        <w:rPr>
          <w:szCs w:val="24"/>
        </w:rPr>
      </w:pPr>
      <w:r>
        <w:rPr>
          <w:rStyle w:val="FootnoteReference"/>
        </w:rPr>
        <w:footnoteRef/>
      </w:r>
      <w:r>
        <w:tab/>
        <w:t>Година N е годината, през която започва да се изпълнява предложението/инициативата.</w:t>
      </w:r>
    </w:p>
  </w:footnote>
  <w:footnote w:id="71">
    <w:p>
      <w:pPr>
        <w:pStyle w:val="FootnoteText"/>
        <w:spacing w:after="60"/>
        <w:ind w:left="284" w:hanging="284"/>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72">
    <w:p>
      <w:pPr>
        <w:pStyle w:val="FootnoteText"/>
        <w:spacing w:after="60"/>
        <w:ind w:left="284" w:hanging="284"/>
      </w:pPr>
      <w:r>
        <w:rPr>
          <w:rStyle w:val="FootnoteReference"/>
        </w:rPr>
        <w:footnoteRef/>
      </w:r>
      <w:r>
        <w:tab/>
        <w:t>5 през 2028 г. (последна година от етапа на въвеждане) и 4 от 2029 г. нататък (етап на поддръжка)</w:t>
      </w:r>
    </w:p>
  </w:footnote>
  <w:footnote w:id="73">
    <w:p>
      <w:pPr>
        <w:pStyle w:val="FootnoteText"/>
        <w:spacing w:after="60"/>
        <w:ind w:left="284" w:hanging="284"/>
      </w:pPr>
      <w:r>
        <w:rPr>
          <w:rStyle w:val="FootnoteReference"/>
        </w:rPr>
        <w:footnoteRef/>
      </w:r>
      <w:r>
        <w:tab/>
        <w:t>3,8 през 2008 г. (последна година от етапа на въвеждане) и 3,5 от 2029 г. нататък (етап на поддръжка)</w:t>
      </w:r>
    </w:p>
  </w:footnote>
  <w:footnote w:id="74">
    <w:p>
      <w:pPr>
        <w:pStyle w:val="FootnoteText"/>
        <w:spacing w:after="60"/>
        <w:ind w:left="284" w:hanging="284"/>
        <w:rPr>
          <w:szCs w:val="24"/>
        </w:rPr>
      </w:pPr>
      <w:r>
        <w:rPr>
          <w:rStyle w:val="FootnoteReference"/>
        </w:rPr>
        <w:footnoteRef/>
      </w:r>
      <w: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75">
    <w:p>
      <w:pPr>
        <w:pStyle w:val="FootnoteText"/>
        <w:spacing w:after="60"/>
        <w:ind w:left="284" w:hanging="284"/>
        <w:rPr>
          <w:szCs w:val="24"/>
        </w:rPr>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 w:id="76">
    <w:p>
      <w:pPr>
        <w:pStyle w:val="FootnoteText"/>
        <w:spacing w:after="60"/>
        <w:ind w:left="284" w:hanging="284"/>
      </w:pPr>
      <w:r>
        <w:rPr>
          <w:rStyle w:val="FootnoteReference"/>
        </w:rPr>
        <w:footnoteRef/>
      </w:r>
      <w:r>
        <w:tab/>
        <w:t>8,8 през 2008 г. (последна година от етапа на въвеждане) и 7,5 от 2029 г. нататък (етап на поддръжка)</w:t>
      </w:r>
    </w:p>
  </w:footnote>
  <w:footnote w:id="77">
    <w:p>
      <w:pPr>
        <w:pStyle w:val="FootnoteText"/>
        <w:spacing w:after="60"/>
        <w:ind w:left="284" w:hanging="284"/>
        <w:rPr>
          <w:szCs w:val="24"/>
        </w:rPr>
      </w:pPr>
      <w:r>
        <w:rPr>
          <w:rStyle w:val="FootnoteReference"/>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25 %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C61A917E"/>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2"/>
    <w:multiLevelType w:val="singleLevel"/>
    <w:tmpl w:val="F56236CE"/>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3"/>
    <w:multiLevelType w:val="singleLevel"/>
    <w:tmpl w:val="414C7B5C"/>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9"/>
    <w:multiLevelType w:val="singleLevel"/>
    <w:tmpl w:val="49E0743A"/>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5">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6">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pStyle w:val="NumPar5"/>
      <w:lvlText w:val="(%5)"/>
      <w:lvlJc w:val="left"/>
      <w:pPr>
        <w:ind w:left="1800" w:hanging="360"/>
      </w:pPr>
    </w:lvl>
    <w:lvl w:ilvl="5">
      <w:start w:val="1"/>
      <w:numFmt w:val="lowerRoman"/>
      <w:pStyle w:val="NumPar6"/>
      <w:lvlText w:val="(%6)"/>
      <w:lvlJc w:val="left"/>
      <w:pPr>
        <w:ind w:left="2160" w:hanging="360"/>
      </w:pPr>
    </w:lvl>
    <w:lvl w:ilvl="6">
      <w:start w:val="1"/>
      <w:numFmt w:val="decimal"/>
      <w:pStyle w:val="NumPar7"/>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2">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4">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8">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1">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pStyle w:val="Heading5"/>
      <w:lvlText w:val="(%5)"/>
      <w:lvlJc w:val="left"/>
      <w:pPr>
        <w:ind w:left="1800" w:hanging="360"/>
      </w:pPr>
    </w:lvl>
    <w:lvl w:ilvl="5">
      <w:start w:val="1"/>
      <w:numFmt w:val="lowerRoman"/>
      <w:pStyle w:val="Heading6"/>
      <w:lvlText w:val="(%6)"/>
      <w:lvlJc w:val="left"/>
      <w:pPr>
        <w:ind w:left="2160" w:hanging="360"/>
      </w:pPr>
    </w:lvl>
    <w:lvl w:ilvl="6">
      <w:start w:val="1"/>
      <w:numFmt w:val="decimal"/>
      <w:pStyle w:val="Heading7"/>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8">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6"/>
  </w:num>
  <w:num w:numId="2">
    <w:abstractNumId w:val="17"/>
  </w:num>
  <w:num w:numId="3">
    <w:abstractNumId w:val="8"/>
  </w:num>
  <w:num w:numId="4">
    <w:abstractNumId w:val="3"/>
  </w:num>
  <w:num w:numId="5">
    <w:abstractNumId w:val="2"/>
  </w:num>
  <w:num w:numId="6">
    <w:abstractNumId w:val="1"/>
  </w:num>
  <w:num w:numId="7">
    <w:abstractNumId w:val="0"/>
  </w:num>
  <w:num w:numId="8">
    <w:abstractNumId w:val="4"/>
  </w:num>
  <w:num w:numId="9">
    <w:abstractNumId w:val="11"/>
  </w:num>
  <w:num w:numId="10">
    <w:abstractNumId w:val="20"/>
  </w:num>
  <w:num w:numId="11">
    <w:abstractNumId w:val="19"/>
  </w:num>
  <w:num w:numId="12">
    <w:abstractNumId w:val="28"/>
  </w:num>
  <w:num w:numId="13">
    <w:abstractNumId w:val="5"/>
  </w:num>
  <w:num w:numId="14">
    <w:abstractNumId w:val="13"/>
  </w:num>
  <w:num w:numId="15">
    <w:abstractNumId w:val="6"/>
  </w:num>
  <w:num w:numId="16">
    <w:abstractNumId w:val="14"/>
  </w:num>
  <w:num w:numId="17">
    <w:abstractNumId w:val="12"/>
  </w:num>
  <w:num w:numId="18">
    <w:abstractNumId w:val="2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num>
  <w:num w:numId="21">
    <w:abstractNumId w:val="25"/>
  </w:num>
  <w:num w:numId="22">
    <w:abstractNumId w:val="15"/>
  </w:num>
  <w:num w:numId="23">
    <w:abstractNumId w:val="27"/>
  </w:num>
  <w:num w:numId="24">
    <w:abstractNumId w:val="10"/>
  </w:num>
  <w:num w:numId="25">
    <w:abstractNumId w:val="16"/>
  </w:num>
  <w:num w:numId="26">
    <w:abstractNumId w:val="8"/>
  </w:num>
  <w:num w:numId="27">
    <w:abstractNumId w:val="26"/>
  </w:num>
  <w:num w:numId="28">
    <w:abstractNumId w:val="7"/>
  </w:num>
  <w:num w:numId="29">
    <w:abstractNumId w:val="18"/>
  </w:num>
  <w:num w:numId="30">
    <w:abstractNumId w:val="23"/>
  </w:num>
  <w:num w:numId="31">
    <w:abstractNumId w:val="24"/>
  </w:num>
  <w:num w:numId="32">
    <w:abstractNumId w:val="9"/>
  </w:num>
  <w:num w:numId="33">
    <w:abstractNumId w:val="22"/>
  </w:num>
  <w:num w:numId="34">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11-04 15:22:25"/>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84"/>
    <w:docVar w:name="DQCResult_ModifiedMarkers" w:val="0;0"/>
    <w:docVar w:name="DQCResult_ModifiedNumbering" w:val="0;0"/>
    <w:docVar w:name="DQCResult_Objects" w:val="0;0"/>
    <w:docVar w:name="DQCResult_Sections" w:val="0;0"/>
    <w:docVar w:name="DQCResult_StructureCheck" w:val="0;0"/>
    <w:docVar w:name="DQCResult_SuperfluousWhitespace" w:val="0;50"/>
    <w:docVar w:name="DQCResult_UnknownFonts" w:val="0;0"/>
    <w:docVar w:name="DQCResult_UnknownStyles" w:val="0;3"/>
    <w:docVar w:name="DQCStatus" w:val="Green"/>
    <w:docVar w:name="DQCVersion" w:val="3"/>
    <w:docVar w:name="DQCWithWarnings" w:val="0"/>
    <w:docVar w:name="LW_AKN_IMPORT" w:val="20200910"/>
    <w:docVar w:name="LW_CORRIGENDUM" w:val="&lt;UNUSED&gt;"/>
    <w:docVar w:name="LW_COVERPAGE_EXISTS" w:val="True"/>
    <w:docVar w:name="LW_COVERPAGE_GUID" w:val="3978C5AB-B0BF-4C5D-85C4-DD0A868F386E"/>
    <w:docVar w:name="LW_COVERPAGE_TYPE" w:val="1"/>
    <w:docVar w:name="LW_CROSSREFERENCE" w:val="{SEC(2020) 360 final} - {SWD(2020) 237 final} - {SWD(2020) 238 final} - {SWD(2020) 239 final}"/>
    <w:docVar w:name="LW_DocType" w:val="COM"/>
    <w:docVar w:name="LW_EMISSION" w:val="28.10.2020"/>
    <w:docVar w:name="LW_EMISSION_ISODATE" w:val="2020-10-28"/>
    <w:docVar w:name="LW_EMISSION_LOCATION" w:val="BRX"/>
    <w:docVar w:name="LW_EMISSION_PREFIX" w:val="Брюксел, "/>
    <w:docVar w:name="LW_EMISSION_SUFFIX" w:val=" \u1075?."/>
    <w:docVar w:name="LW_ID_DOCSIGNATURE" w:val="SJ-023"/>
    <w:docVar w:name="LW_ID_DOCSTRUCTURE" w:val="COM/PL/ORG"/>
    <w:docVar w:name="LW_ID_DOCTYPE" w:val="SJ-023"/>
    <w:docVar w:name="LW_ID_STATUT" w:val="SJ-023"/>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306"/>
    <w:docVar w:name="LW_REF.II.NEW.CP_YEAR" w:val="2020"/>
    <w:docVar w:name="LW_REF.INST.NEW" w:val="COM"/>
    <w:docVar w:name="LW_REF.INST.NEW_ADOPTED" w:val="final"/>
    <w:docVar w:name="LW_REF.INST.NEW_TEXT" w:val="(2020) 67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9?\u1098?\u1079?\u1076?\u1072?\u1074?\u1072?\u1085?\u1077? \u1085?\u1072? \u1089?\u1088?\u1077?\u1076?\u1072? \u1085?\u1072? \u1045?\u1074?\u1088?\u1086?\u1087?\u1077?\u1081?\u1089?\u1082?\u1080?\u1103? \u1089?\u1098?\u1102?\u1079? \u1079?\u1072? \u1084?\u1080?\u1090?\u1085?\u1080?\u1095?\u1077?\u1089?\u1082?\u1086? \u1086?\u1073?\u1089?\u1083?\u1091?\u1078?\u1074?\u1072?\u1085?\u1077? \u1085?\u1072? \u1077?\u1076?\u1085?\u1086? \u1075?\u1080?\u1096?\u1077? \u1080? \u1079?\u1072? \u1080?\u1079?\u1084?\u1077?\u1085?\u1077?\u1085?\u1080?\u1077? \u1085?\u1072? \u1056?\u1077?\u1075?\u1083?\u1072?\u1084?\u1077?\u1085?\u1090? (\u1045?\u1057?) \u8470? 952/2013"/>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7"/>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
      </w:numPr>
      <w:outlineLvl w:val="5"/>
    </w:pPr>
    <w:rPr>
      <w:rFonts w:eastAsiaTheme="majorEastAsia"/>
      <w:iCs/>
    </w:rPr>
  </w:style>
  <w:style w:type="paragraph" w:styleId="Heading7">
    <w:name w:val="heading 7"/>
    <w:basedOn w:val="Normal"/>
    <w:next w:val="Text2"/>
    <w:link w:val="Heading7Char"/>
    <w:uiPriority w:val="9"/>
    <w:unhideWhenUsed/>
    <w:qFormat/>
    <w:pPr>
      <w:keepNext/>
      <w:numPr>
        <w:ilvl w:val="6"/>
        <w:numId w:val="1"/>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rPr>
      <w:rFonts w:ascii="Times New Roman" w:eastAsiaTheme="majorEastAsia" w:hAnsi="Times New Roman" w:cs="Times New Roman"/>
      <w:iCs/>
      <w:sz w:val="24"/>
      <w:lang w:val="en-GB"/>
    </w:r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Point5">
    <w:name w:val="Point 5"/>
    <w:basedOn w:val="Normal"/>
    <w:pPr>
      <w:ind w:left="3685" w:hanging="567"/>
    </w:pPr>
  </w:style>
  <w:style w:type="paragraph" w:customStyle="1" w:styleId="Tiret5">
    <w:name w:val="Tiret 5"/>
    <w:basedOn w:val="Point5"/>
    <w:pPr>
      <w:numPr>
        <w:numId w:val="2"/>
      </w:numPr>
    </w:pPr>
  </w:style>
  <w:style w:type="paragraph" w:customStyle="1" w:styleId="NumPar5">
    <w:name w:val="NumPar 5"/>
    <w:basedOn w:val="Normal"/>
    <w:next w:val="Text2"/>
    <w:pPr>
      <w:numPr>
        <w:ilvl w:val="4"/>
        <w:numId w:val="3"/>
      </w:numPr>
    </w:pPr>
  </w:style>
  <w:style w:type="paragraph" w:customStyle="1" w:styleId="NumPar6">
    <w:name w:val="NumPar 6"/>
    <w:basedOn w:val="Normal"/>
    <w:next w:val="Text2"/>
    <w:pPr>
      <w:numPr>
        <w:ilvl w:val="5"/>
        <w:numId w:val="3"/>
      </w:numPr>
    </w:pPr>
  </w:style>
  <w:style w:type="paragraph" w:customStyle="1" w:styleId="NumPar7">
    <w:name w:val="NumPar 7"/>
    <w:basedOn w:val="Normal"/>
    <w:next w:val="Text2"/>
    <w:pPr>
      <w:numPr>
        <w:ilvl w:val="6"/>
        <w:numId w:val="3"/>
      </w:numPr>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ommentQuotedText">
    <w:name w:val="CommentQuotedText"/>
    <w:pPr>
      <w:pBdr>
        <w:left w:val="single" w:sz="18" w:space="5" w:color="0070C0"/>
      </w:pBdr>
    </w:pPr>
    <w:rPr>
      <w:i/>
    </w:rPr>
  </w:style>
  <w:style w:type="paragraph" w:styleId="ListBullet">
    <w:name w:val="List Bullet"/>
    <w:basedOn w:val="Normal"/>
    <w:unhideWhenUsed/>
    <w:pPr>
      <w:numPr>
        <w:numId w:val="4"/>
      </w:numPr>
      <w:contextualSpacing/>
    </w:pPr>
  </w:style>
  <w:style w:type="paragraph" w:styleId="ListBullet2">
    <w:name w:val="List Bullet 2"/>
    <w:basedOn w:val="Normal"/>
    <w:unhideWhenUsed/>
    <w:pPr>
      <w:numPr>
        <w:numId w:val="5"/>
      </w:numPr>
      <w:contextualSpacing/>
    </w:pPr>
  </w:style>
  <w:style w:type="paragraph" w:styleId="ListBullet3">
    <w:name w:val="List Bullet 3"/>
    <w:basedOn w:val="Normal"/>
    <w:unhideWhenUsed/>
    <w:pPr>
      <w:numPr>
        <w:numId w:val="6"/>
      </w:numPr>
      <w:contextualSpacing/>
    </w:pPr>
  </w:style>
  <w:style w:type="paragraph" w:styleId="ListBullet4">
    <w:name w:val="List Bullet 4"/>
    <w:basedOn w:val="Normal"/>
    <w:unhideWhenUsed/>
    <w:pPr>
      <w:numPr>
        <w:numId w:val="7"/>
      </w:numPr>
      <w:contextualSpacing/>
    </w:pPr>
  </w:style>
  <w:style w:type="paragraph" w:styleId="ListNumber">
    <w:name w:val="List Number"/>
    <w:basedOn w:val="Normal"/>
    <w:pPr>
      <w:numPr>
        <w:numId w:val="12"/>
      </w:numPr>
    </w:pPr>
    <w:rPr>
      <w:rFonts w:eastAsia="Times New Roman"/>
      <w:lang w:eastAsia="de-DE"/>
    </w:rPr>
  </w:style>
  <w:style w:type="paragraph" w:customStyle="1" w:styleId="ListBullet1">
    <w:name w:val="List Bullet 1"/>
    <w:basedOn w:val="Normal"/>
    <w:pPr>
      <w:numPr>
        <w:numId w:val="8"/>
      </w:numPr>
    </w:pPr>
    <w:rPr>
      <w:rFonts w:eastAsia="Times New Roman"/>
      <w:lang w:eastAsia="de-DE"/>
    </w:rPr>
  </w:style>
  <w:style w:type="paragraph" w:customStyle="1" w:styleId="ListDash">
    <w:name w:val="List Dash"/>
    <w:basedOn w:val="Normal"/>
    <w:pPr>
      <w:numPr>
        <w:numId w:val="9"/>
      </w:numPr>
    </w:pPr>
    <w:rPr>
      <w:rFonts w:eastAsia="Times New Roman"/>
      <w:lang w:eastAsia="de-DE"/>
    </w:rPr>
  </w:style>
  <w:style w:type="paragraph" w:customStyle="1" w:styleId="ListDash1">
    <w:name w:val="List Dash 1"/>
    <w:basedOn w:val="Normal"/>
    <w:pPr>
      <w:numPr>
        <w:numId w:val="10"/>
      </w:numPr>
    </w:pPr>
    <w:rPr>
      <w:rFonts w:eastAsia="Times New Roman"/>
      <w:lang w:eastAsia="de-DE"/>
    </w:rPr>
  </w:style>
  <w:style w:type="paragraph" w:customStyle="1" w:styleId="ListDash2">
    <w:name w:val="List Dash 2"/>
    <w:basedOn w:val="Normal"/>
    <w:pPr>
      <w:numPr>
        <w:numId w:val="11"/>
      </w:numPr>
    </w:pPr>
    <w:rPr>
      <w:rFonts w:eastAsia="Times New Roman"/>
      <w:lang w:eastAsia="de-DE"/>
    </w:rPr>
  </w:style>
  <w:style w:type="paragraph" w:customStyle="1" w:styleId="ListNumberLevel2">
    <w:name w:val="List Number (Level 2)"/>
    <w:basedOn w:val="Normal"/>
    <w:pPr>
      <w:numPr>
        <w:ilvl w:val="1"/>
        <w:numId w:val="12"/>
      </w:numPr>
    </w:pPr>
    <w:rPr>
      <w:rFonts w:eastAsia="Times New Roman"/>
      <w:lang w:eastAsia="de-DE"/>
    </w:rPr>
  </w:style>
  <w:style w:type="paragraph" w:customStyle="1" w:styleId="ListNumberLevel3">
    <w:name w:val="List Number (Level 3)"/>
    <w:basedOn w:val="Normal"/>
    <w:pPr>
      <w:numPr>
        <w:ilvl w:val="2"/>
        <w:numId w:val="12"/>
      </w:numPr>
    </w:pPr>
    <w:rPr>
      <w:rFonts w:eastAsia="Times New Roman"/>
      <w:lang w:eastAsia="de-DE"/>
    </w:rPr>
  </w:style>
  <w:style w:type="paragraph" w:customStyle="1" w:styleId="ListNumberLevel4">
    <w:name w:val="List Number (Level 4)"/>
    <w:basedOn w:val="Normal"/>
    <w:pPr>
      <w:numPr>
        <w:ilvl w:val="3"/>
        <w:numId w:val="12"/>
      </w:numPr>
    </w:pPr>
    <w:rPr>
      <w:rFonts w:eastAsia="Times New Roman"/>
      <w:lang w:eastAsia="de-DE"/>
    </w:rPr>
  </w:style>
  <w:style w:type="table" w:styleId="TableGrid">
    <w:name w:val="Table Grid"/>
    <w:aliases w:val="Document Table,CV1,Deloitte"/>
    <w:basedOn w:val="TableNormal"/>
    <w:uiPriority w:val="39"/>
    <w:pPr>
      <w:spacing w:before="120" w:after="12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Number2">
    <w:name w:val="List Number 2"/>
    <w:basedOn w:val="Normal"/>
    <w:pPr>
      <w:numPr>
        <w:numId w:val="16"/>
      </w:numPr>
    </w:pPr>
    <w:rPr>
      <w:rFonts w:eastAsia="Times New Roman"/>
      <w:lang w:val="fr-FR" w:eastAsia="en-GB"/>
    </w:rPr>
  </w:style>
  <w:style w:type="paragraph" w:styleId="ListNumber3">
    <w:name w:val="List Number 3"/>
    <w:basedOn w:val="Normal"/>
    <w:pPr>
      <w:numPr>
        <w:numId w:val="17"/>
      </w:numPr>
    </w:pPr>
    <w:rPr>
      <w:rFonts w:eastAsia="Times New Roman"/>
      <w:lang w:val="fr-FR" w:eastAsia="en-GB"/>
    </w:rPr>
  </w:style>
  <w:style w:type="paragraph" w:styleId="ListNumber4">
    <w:name w:val="List Number 4"/>
    <w:basedOn w:val="Normal"/>
    <w:pPr>
      <w:numPr>
        <w:numId w:val="18"/>
      </w:numPr>
    </w:pPr>
    <w:rPr>
      <w:rFonts w:eastAsia="Times New Roman"/>
      <w:lang w:val="fr-FR" w:eastAsia="en-GB"/>
    </w:rPr>
  </w:style>
  <w:style w:type="paragraph" w:customStyle="1" w:styleId="ListDash3">
    <w:name w:val="List Dash 3"/>
    <w:basedOn w:val="Normal"/>
    <w:pPr>
      <w:numPr>
        <w:numId w:val="13"/>
      </w:numPr>
    </w:pPr>
    <w:rPr>
      <w:rFonts w:eastAsia="Times New Roman"/>
      <w:lang w:val="fr-FR" w:eastAsia="en-GB"/>
    </w:rPr>
  </w:style>
  <w:style w:type="paragraph" w:customStyle="1" w:styleId="ListDash4">
    <w:name w:val="List Dash 4"/>
    <w:basedOn w:val="Normal"/>
    <w:pPr>
      <w:numPr>
        <w:numId w:val="14"/>
      </w:numPr>
    </w:pPr>
    <w:rPr>
      <w:rFonts w:eastAsia="Times New Roman"/>
      <w:lang w:val="fr-FR" w:eastAsia="en-GB"/>
    </w:rPr>
  </w:style>
  <w:style w:type="paragraph" w:customStyle="1" w:styleId="ListNumber1">
    <w:name w:val="List Number 1"/>
    <w:basedOn w:val="Text1"/>
    <w:pPr>
      <w:numPr>
        <w:numId w:val="15"/>
      </w:numPr>
    </w:pPr>
    <w:rPr>
      <w:rFonts w:eastAsia="Times New Roman"/>
      <w:lang w:val="fr-FR" w:eastAsia="en-GB"/>
    </w:rPr>
  </w:style>
  <w:style w:type="paragraph" w:customStyle="1" w:styleId="ListNumber1Level2">
    <w:name w:val="List Number 1 (Level 2)"/>
    <w:basedOn w:val="Text1"/>
    <w:pPr>
      <w:numPr>
        <w:ilvl w:val="1"/>
        <w:numId w:val="15"/>
      </w:numPr>
    </w:pPr>
    <w:rPr>
      <w:rFonts w:eastAsia="Times New Roman"/>
      <w:lang w:val="fr-FR" w:eastAsia="en-GB"/>
    </w:rPr>
  </w:style>
  <w:style w:type="paragraph" w:customStyle="1" w:styleId="ListNumber2Level2">
    <w:name w:val="List Number 2 (Level 2)"/>
    <w:basedOn w:val="Text2"/>
    <w:pPr>
      <w:numPr>
        <w:ilvl w:val="1"/>
        <w:numId w:val="16"/>
      </w:numPr>
    </w:pPr>
    <w:rPr>
      <w:rFonts w:eastAsia="Times New Roman"/>
      <w:lang w:val="fr-FR" w:eastAsia="en-GB"/>
    </w:rPr>
  </w:style>
  <w:style w:type="paragraph" w:customStyle="1" w:styleId="ListNumber3Level2">
    <w:name w:val="List Number 3 (Level 2)"/>
    <w:basedOn w:val="Text3"/>
    <w:pPr>
      <w:numPr>
        <w:ilvl w:val="1"/>
        <w:numId w:val="17"/>
      </w:numPr>
    </w:pPr>
    <w:rPr>
      <w:rFonts w:eastAsia="Times New Roman"/>
      <w:lang w:val="fr-FR" w:eastAsia="en-GB"/>
    </w:rPr>
  </w:style>
  <w:style w:type="paragraph" w:customStyle="1" w:styleId="ListNumber4Level2">
    <w:name w:val="List Number 4 (Level 2)"/>
    <w:basedOn w:val="Text4"/>
    <w:pPr>
      <w:numPr>
        <w:ilvl w:val="1"/>
        <w:numId w:val="18"/>
      </w:numPr>
    </w:pPr>
    <w:rPr>
      <w:rFonts w:eastAsia="Times New Roman"/>
      <w:lang w:val="fr-FR" w:eastAsia="en-GB"/>
    </w:rPr>
  </w:style>
  <w:style w:type="paragraph" w:customStyle="1" w:styleId="ListNumber1Level3">
    <w:name w:val="List Number 1 (Level 3)"/>
    <w:basedOn w:val="Text1"/>
    <w:pPr>
      <w:numPr>
        <w:ilvl w:val="2"/>
        <w:numId w:val="15"/>
      </w:numPr>
    </w:pPr>
    <w:rPr>
      <w:rFonts w:eastAsia="Times New Roman"/>
      <w:lang w:val="fr-FR" w:eastAsia="en-GB"/>
    </w:rPr>
  </w:style>
  <w:style w:type="paragraph" w:customStyle="1" w:styleId="ListNumber2Level3">
    <w:name w:val="List Number 2 (Level 3)"/>
    <w:basedOn w:val="Text2"/>
    <w:pPr>
      <w:numPr>
        <w:ilvl w:val="2"/>
        <w:numId w:val="16"/>
      </w:numPr>
    </w:pPr>
    <w:rPr>
      <w:rFonts w:eastAsia="Times New Roman"/>
      <w:lang w:val="fr-FR" w:eastAsia="en-GB"/>
    </w:rPr>
  </w:style>
  <w:style w:type="paragraph" w:customStyle="1" w:styleId="ListNumber3Level3">
    <w:name w:val="List Number 3 (Level 3)"/>
    <w:basedOn w:val="Text3"/>
    <w:pPr>
      <w:numPr>
        <w:ilvl w:val="2"/>
        <w:numId w:val="17"/>
      </w:numPr>
    </w:pPr>
    <w:rPr>
      <w:rFonts w:eastAsia="Times New Roman"/>
      <w:lang w:val="fr-FR" w:eastAsia="en-GB"/>
    </w:rPr>
  </w:style>
  <w:style w:type="paragraph" w:customStyle="1" w:styleId="ListNumber4Level3">
    <w:name w:val="List Number 4 (Level 3)"/>
    <w:basedOn w:val="Text4"/>
    <w:pPr>
      <w:numPr>
        <w:ilvl w:val="2"/>
        <w:numId w:val="18"/>
      </w:numPr>
    </w:pPr>
    <w:rPr>
      <w:rFonts w:eastAsia="Times New Roman"/>
      <w:lang w:val="fr-FR" w:eastAsia="en-GB"/>
    </w:rPr>
  </w:style>
  <w:style w:type="paragraph" w:customStyle="1" w:styleId="ListNumber1Level4">
    <w:name w:val="List Number 1 (Level 4)"/>
    <w:basedOn w:val="Text1"/>
    <w:pPr>
      <w:numPr>
        <w:ilvl w:val="3"/>
        <w:numId w:val="15"/>
      </w:numPr>
    </w:pPr>
    <w:rPr>
      <w:rFonts w:eastAsia="Times New Roman"/>
      <w:lang w:val="fr-FR" w:eastAsia="en-GB"/>
    </w:rPr>
  </w:style>
  <w:style w:type="paragraph" w:customStyle="1" w:styleId="ListNumber2Level4">
    <w:name w:val="List Number 2 (Level 4)"/>
    <w:basedOn w:val="Text2"/>
    <w:pPr>
      <w:numPr>
        <w:ilvl w:val="3"/>
        <w:numId w:val="16"/>
      </w:numPr>
    </w:pPr>
    <w:rPr>
      <w:rFonts w:eastAsia="Times New Roman"/>
      <w:lang w:val="fr-FR" w:eastAsia="en-GB"/>
    </w:rPr>
  </w:style>
  <w:style w:type="paragraph" w:customStyle="1" w:styleId="ListNumber3Level4">
    <w:name w:val="List Number 3 (Level 4)"/>
    <w:basedOn w:val="Text3"/>
    <w:pPr>
      <w:numPr>
        <w:ilvl w:val="3"/>
        <w:numId w:val="17"/>
      </w:numPr>
    </w:pPr>
    <w:rPr>
      <w:rFonts w:eastAsia="Times New Roman"/>
      <w:lang w:val="fr-FR" w:eastAsia="en-GB"/>
    </w:rPr>
  </w:style>
  <w:style w:type="paragraph" w:customStyle="1" w:styleId="ListNumber4Level4">
    <w:name w:val="List Number 4 (Level 4)"/>
    <w:basedOn w:val="Text4"/>
    <w:pPr>
      <w:numPr>
        <w:ilvl w:val="3"/>
        <w:numId w:val="18"/>
      </w:numPr>
    </w:pPr>
    <w:rPr>
      <w:rFonts w:eastAsia="Times New Roman"/>
      <w:lang w:val="fr-FR" w:eastAsia="en-GB"/>
    </w:rPr>
  </w:style>
  <w:style w:type="paragraph" w:customStyle="1" w:styleId="Annexetitreacte">
    <w:name w:val="Annexe titre (acte)"/>
    <w:basedOn w:val="Normal"/>
    <w:next w:val="Normal"/>
    <w:pPr>
      <w:jc w:val="center"/>
    </w:pPr>
    <w:rPr>
      <w:rFonts w:eastAsia="Times New Roman"/>
      <w:b/>
      <w:u w:val="single"/>
      <w:lang w:val="fr-FR" w:eastAsia="en-GB"/>
    </w:rPr>
  </w:style>
  <w:style w:type="paragraph" w:customStyle="1" w:styleId="Annexetitreexposglobal">
    <w:name w:val="Annexe titre (exposé global)"/>
    <w:basedOn w:val="Normal"/>
    <w:next w:val="Normal"/>
    <w:pPr>
      <w:jc w:val="center"/>
    </w:pPr>
    <w:rPr>
      <w:rFonts w:eastAsia="Times New Roman"/>
      <w:b/>
      <w:u w:val="single"/>
      <w:lang w:val="fr-FR" w:eastAsia="en-GB"/>
    </w:rPr>
  </w:style>
  <w:style w:type="paragraph" w:customStyle="1" w:styleId="Annexetitrefichefinacte">
    <w:name w:val="Annexe titre (fiche fin. acte)"/>
    <w:basedOn w:val="Normal"/>
    <w:next w:val="Normal"/>
    <w:pPr>
      <w:jc w:val="center"/>
    </w:pPr>
    <w:rPr>
      <w:rFonts w:eastAsia="Times New Roman"/>
      <w:b/>
      <w:u w:val="single"/>
      <w:lang w:val="fr-FR" w:eastAsia="en-GB"/>
    </w:rPr>
  </w:style>
  <w:style w:type="paragraph" w:customStyle="1" w:styleId="Annexetitrefichefinglobale">
    <w:name w:val="Annexe titre (fiche fin. globale)"/>
    <w:basedOn w:val="Normal"/>
    <w:next w:val="Normal"/>
    <w:pPr>
      <w:jc w:val="center"/>
    </w:pPr>
    <w:rPr>
      <w:rFonts w:eastAsia="Times New Roman"/>
      <w:b/>
      <w:u w:val="single"/>
      <w:lang w:val="fr-FR" w:eastAsia="en-GB"/>
    </w:rPr>
  </w:style>
  <w:style w:type="paragraph" w:customStyle="1" w:styleId="Annexetitreglobale">
    <w:name w:val="Annexe titre (globale)"/>
    <w:basedOn w:val="Normal"/>
    <w:next w:val="Normal"/>
    <w:pPr>
      <w:jc w:val="center"/>
    </w:pPr>
    <w:rPr>
      <w:rFonts w:eastAsia="Times New Roman"/>
      <w:b/>
      <w:u w:val="single"/>
      <w:lang w:val="fr-FR" w:eastAsia="en-GB"/>
    </w:rPr>
  </w:style>
  <w:style w:type="paragraph" w:customStyle="1" w:styleId="Exposdesmotifstitreglobal">
    <w:name w:val="Exposé des motifs titre (global)"/>
    <w:basedOn w:val="Normal"/>
    <w:next w:val="Normal"/>
    <w:pPr>
      <w:jc w:val="center"/>
    </w:pPr>
    <w:rPr>
      <w:rFonts w:eastAsia="Times New Roman"/>
      <w:b/>
      <w:u w:val="single"/>
      <w:lang w:val="fr-FR" w:eastAsia="en-GB"/>
    </w:rPr>
  </w:style>
  <w:style w:type="paragraph" w:customStyle="1" w:styleId="Langueoriginale">
    <w:name w:val="Langue originale"/>
    <w:basedOn w:val="Normal"/>
    <w:pPr>
      <w:spacing w:before="360"/>
      <w:jc w:val="center"/>
    </w:pPr>
    <w:rPr>
      <w:rFonts w:eastAsia="Times New Roman"/>
      <w:caps/>
      <w:lang w:val="fr-FR" w:eastAsia="en-GB"/>
    </w:rPr>
  </w:style>
  <w:style w:type="paragraph" w:customStyle="1" w:styleId="Phrasefinale">
    <w:name w:val="Phrase finale"/>
    <w:basedOn w:val="Normal"/>
    <w:next w:val="Normal"/>
    <w:pPr>
      <w:spacing w:before="360" w:after="0"/>
      <w:jc w:val="center"/>
    </w:pPr>
    <w:rPr>
      <w:rFonts w:eastAsia="Times New Roman"/>
      <w:lang w:val="fr-FR" w:eastAsia="en-GB"/>
    </w:rPr>
  </w:style>
  <w:style w:type="paragraph" w:customStyle="1" w:styleId="Prliminairetitre">
    <w:name w:val="Préliminaire titre"/>
    <w:basedOn w:val="Normal"/>
    <w:next w:val="Normal"/>
    <w:pPr>
      <w:spacing w:before="360" w:after="360"/>
      <w:jc w:val="center"/>
    </w:pPr>
    <w:rPr>
      <w:rFonts w:eastAsia="Times New Roman"/>
      <w:b/>
      <w:lang w:val="fr-FR" w:eastAsia="en-GB"/>
    </w:rPr>
  </w:style>
  <w:style w:type="paragraph" w:customStyle="1" w:styleId="Prliminairetype">
    <w:name w:val="Préliminaire type"/>
    <w:basedOn w:val="Normal"/>
    <w:next w:val="Normal"/>
    <w:pPr>
      <w:spacing w:before="360" w:after="0"/>
      <w:jc w:val="center"/>
    </w:pPr>
    <w:rPr>
      <w:rFonts w:eastAsia="Times New Roman"/>
      <w:b/>
      <w:lang w:val="fr-FR"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val="fr-FR" w:eastAsia="en-GB"/>
    </w:rPr>
  </w:style>
  <w:style w:type="paragraph" w:customStyle="1" w:styleId="Sous-titreobjetprliminaire">
    <w:name w:val="Sous-titre objet (préliminaire)"/>
    <w:basedOn w:val="Normal"/>
    <w:pPr>
      <w:spacing w:before="0" w:after="0"/>
      <w:jc w:val="center"/>
    </w:pPr>
    <w:rPr>
      <w:rFonts w:eastAsia="Times New Roman"/>
      <w:b/>
      <w:lang w:val="fr-FR" w:eastAsia="en-GB"/>
    </w:rPr>
  </w:style>
  <w:style w:type="paragraph" w:customStyle="1" w:styleId="Statutprliminaire">
    <w:name w:val="Statut (préliminaire)"/>
    <w:basedOn w:val="Normal"/>
    <w:next w:val="Normal"/>
    <w:pPr>
      <w:spacing w:before="360" w:after="0"/>
      <w:jc w:val="center"/>
    </w:pPr>
    <w:rPr>
      <w:rFonts w:eastAsia="Times New Roman"/>
      <w:lang w:val="fr-FR" w:eastAsia="en-GB"/>
    </w:rPr>
  </w:style>
  <w:style w:type="paragraph" w:customStyle="1" w:styleId="Titreobjetprliminaire">
    <w:name w:val="Titre objet (préliminaire)"/>
    <w:basedOn w:val="Normal"/>
    <w:next w:val="Normal"/>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pPr>
      <w:jc w:val="center"/>
    </w:pPr>
    <w:rPr>
      <w:rFonts w:eastAsia="Times New Roman"/>
      <w:b/>
      <w:u w:val="single"/>
      <w:lang w:val="fr-FR" w:eastAsia="en-GB"/>
    </w:rPr>
  </w:style>
  <w:style w:type="paragraph" w:customStyle="1" w:styleId="Fichefinanciretravailtitre">
    <w:name w:val="Fiche financière (travail) titre"/>
    <w:basedOn w:val="Normal"/>
    <w:next w:val="Normal"/>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val="fr-FR"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val="fr-FR"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val="fr-FR"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val="fr-FR" w:eastAsia="en-GB"/>
    </w:rPr>
  </w:style>
  <w:style w:type="paragraph" w:styleId="TableofFigures">
    <w:name w:val="table of figures"/>
    <w:basedOn w:val="Normal"/>
    <w:next w:val="Normal"/>
    <w:rPr>
      <w:rFonts w:eastAsia="Times New Roman"/>
      <w:lang w:val="fr-FR"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rPr>
      <w:rFonts w:ascii="Times New Roman" w:hAnsi="Times New Roman" w:cs="Times New Roman"/>
      <w:b/>
      <w:sz w:val="24"/>
      <w:lang w:val="en-GB"/>
    </w:rPr>
  </w:style>
  <w:style w:type="character" w:customStyle="1" w:styleId="FooterCoverPageChar">
    <w:name w:val="Footer Cover Page Char"/>
    <w:basedOn w:val="TypedudocumentChar"/>
    <w:link w:val="FooterCoverPage"/>
    <w:rPr>
      <w:rFonts w:ascii="Times New Roman" w:hAnsi="Times New Roman" w:cs="Times New Roman"/>
      <w:b w:val="0"/>
      <w:sz w:val="24"/>
      <w:lang w:val="en-GB"/>
    </w:rPr>
  </w:style>
  <w:style w:type="character" w:customStyle="1" w:styleId="FooterSensitivityChar">
    <w:name w:val="Footer Sensitivity Char"/>
    <w:basedOn w:val="TypedudocumentChar"/>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rFonts w:ascii="Times New Roman" w:hAnsi="Times New Roman" w:cs="Times New Roman"/>
      <w:b w:val="0"/>
      <w:sz w:val="24"/>
      <w:lang w:val="en-GB"/>
    </w:rPr>
  </w:style>
  <w:style w:type="character" w:customStyle="1" w:styleId="HeaderSensitivityChar">
    <w:name w:val="Header Sensitivity Char"/>
    <w:basedOn w:val="TypedudocumentChar"/>
    <w:rPr>
      <w:rFonts w:ascii="Times New Roman" w:hAnsi="Times New Roman" w:cs="Times New Roman"/>
      <w:b/>
      <w:sz w:val="32"/>
      <w:lang w:val="en-GB"/>
    </w:rPr>
  </w:style>
  <w:style w:type="character" w:customStyle="1" w:styleId="HeaderSensitivityRightChar">
    <w:name w:val="Header Sensitivity Right Char"/>
    <w:basedOn w:val="TypedudocumentChar"/>
    <w:rPr>
      <w:rFonts w:ascii="Times New Roman" w:hAnsi="Times New Roman" w:cs="Times New Roman"/>
      <w:b w:val="0"/>
      <w:sz w:val="28"/>
      <w:lang w:val="en-GB"/>
    </w:rPr>
  </w:style>
  <w:style w:type="character" w:customStyle="1" w:styleId="Text2Char">
    <w:name w:val="Text 2 Char"/>
    <w:basedOn w:val="DefaultParagraphFont"/>
    <w:locked/>
    <w:rPr>
      <w:rFonts w:ascii="Times New Roman" w:hAnsi="Times New Roman" w:cs="Times New Roman"/>
      <w:sz w:val="24"/>
      <w:lang w:val="en-GB"/>
    </w:rPr>
  </w:style>
  <w:style w:type="character" w:customStyle="1" w:styleId="BulletsChar">
    <w:name w:val="Bullets Char"/>
    <w:basedOn w:val="DefaultParagraphFont"/>
    <w:link w:val="Bullets"/>
    <w:uiPriority w:val="90"/>
    <w:locked/>
    <w:rPr>
      <w:lang w:eastAsia="nl-NL"/>
    </w:rPr>
  </w:style>
  <w:style w:type="paragraph" w:customStyle="1" w:styleId="Bullets">
    <w:name w:val="Bullets"/>
    <w:basedOn w:val="BodyText"/>
    <w:link w:val="BulletsChar"/>
    <w:uiPriority w:val="90"/>
    <w:qFormat/>
    <w:pPr>
      <w:spacing w:before="60"/>
      <w:ind w:left="720" w:hanging="360"/>
      <w:jc w:val="left"/>
    </w:pPr>
    <w:rPr>
      <w:rFonts w:asciiTheme="minorHAnsi" w:hAnsiTheme="minorHAnsi" w:cstheme="minorBidi"/>
      <w:sz w:val="22"/>
      <w:lang w:val="en-US" w:eastAsia="nl-NL"/>
    </w:rPr>
  </w:style>
  <w:style w:type="paragraph" w:styleId="BodyText">
    <w:name w:val="Body Text"/>
    <w:basedOn w:val="Normal"/>
    <w:link w:val="BodyTextChar"/>
    <w:uiPriority w:val="99"/>
    <w:semiHidden/>
    <w:unhideWhenUsed/>
  </w:style>
  <w:style w:type="character" w:customStyle="1" w:styleId="BodyTextChar">
    <w:name w:val="Body Text Char"/>
    <w:basedOn w:val="DefaultParagraphFont"/>
    <w:link w:val="BodyText"/>
    <w:uiPriority w:val="99"/>
    <w:semiHidden/>
    <w:rPr>
      <w:rFonts w:ascii="Times New Roman" w:hAnsi="Times New Roman" w:cs="Times New Roman"/>
      <w:sz w:val="24"/>
      <w:lang w:val="en-GB"/>
    </w:rPr>
  </w:style>
  <w:style w:type="table" w:customStyle="1" w:styleId="GridTable4-Accent11">
    <w:name w:val="Grid Table 4 - Accent 11"/>
    <w:basedOn w:val="TableNormal"/>
    <w:uiPriority w:val="49"/>
    <w:pPr>
      <w:spacing w:after="0" w:line="240" w:lineRule="auto"/>
    </w:pPr>
    <w:rPr>
      <w:sz w:val="20"/>
      <w:szCs w:val="20"/>
      <w:lang w:val="en-GB" w:eastAsia="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0Body">
    <w:name w:val="0 Body"/>
    <w:basedOn w:val="Normal"/>
    <w:link w:val="0BodyChar"/>
    <w:qFormat/>
    <w:pPr>
      <w:spacing w:before="0" w:after="240"/>
    </w:pPr>
    <w:rPr>
      <w:rFonts w:eastAsia="Times New Roman"/>
      <w:szCs w:val="20"/>
      <w:lang w:eastAsia="en-GB"/>
    </w:rPr>
  </w:style>
  <w:style w:type="character" w:customStyle="1" w:styleId="0BodyChar">
    <w:name w:val="0 Body Char"/>
    <w:link w:val="0Body"/>
    <w:rPr>
      <w:rFonts w:ascii="Times New Roman" w:eastAsia="Times New Roman" w:hAnsi="Times New Roman" w:cs="Times New Roman"/>
      <w:sz w:val="24"/>
      <w:szCs w:val="20"/>
      <w:lang w:val="en-GB"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truncate">
    <w:name w:val="truncate"/>
    <w:basedOn w:val="DefaultParagraphFont"/>
  </w:style>
  <w:style w:type="paragraph" w:styleId="ListParagraph">
    <w:name w:val="List Paragraph"/>
    <w:basedOn w:val="Normal"/>
    <w:uiPriority w:val="34"/>
    <w:qFormat/>
    <w:pPr>
      <w:ind w:left="720"/>
      <w:contextualSpacing/>
    </w:pPr>
  </w:style>
  <w:style w:type="character" w:customStyle="1" w:styleId="white-space">
    <w:name w:val="white-space"/>
    <w:basedOn w:val="DefaultParagraphFont"/>
  </w:style>
  <w:style w:type="paragraph" w:styleId="NormalWeb">
    <w:name w:val="Normal (Web)"/>
    <w:basedOn w:val="Normal"/>
    <w:uiPriority w:val="99"/>
    <w:unhideWhenUsed/>
    <w:pPr>
      <w:spacing w:before="100" w:beforeAutospacing="1" w:after="100" w:afterAutospacing="1"/>
      <w:jc w:val="left"/>
    </w:pPr>
    <w:rPr>
      <w:rFonts w:eastAsia="Times New Roman"/>
      <w:szCs w:val="24"/>
      <w:lang w:val="fr-BE" w:eastAsia="fr-BE"/>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1"/>
      </w:numPr>
    </w:pPr>
  </w:style>
  <w:style w:type="paragraph" w:customStyle="1" w:styleId="Tiret1">
    <w:name w:val="Tiret 1"/>
    <w:basedOn w:val="Point1"/>
    <w:pPr>
      <w:numPr>
        <w:numId w:val="22"/>
      </w:numPr>
    </w:pPr>
  </w:style>
  <w:style w:type="paragraph" w:customStyle="1" w:styleId="Tiret2">
    <w:name w:val="Tiret 2"/>
    <w:basedOn w:val="Point2"/>
    <w:pPr>
      <w:numPr>
        <w:numId w:val="23"/>
      </w:numPr>
    </w:pPr>
  </w:style>
  <w:style w:type="paragraph" w:customStyle="1" w:styleId="Tiret3">
    <w:name w:val="Tiret 3"/>
    <w:basedOn w:val="Point3"/>
    <w:pPr>
      <w:numPr>
        <w:numId w:val="24"/>
      </w:numPr>
    </w:pPr>
  </w:style>
  <w:style w:type="paragraph" w:customStyle="1" w:styleId="Tiret4">
    <w:name w:val="Tiret 4"/>
    <w:basedOn w:val="Point4"/>
    <w:pPr>
      <w:numPr>
        <w:numId w:val="2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6"/>
      </w:numPr>
    </w:pPr>
  </w:style>
  <w:style w:type="paragraph" w:customStyle="1" w:styleId="NumPar2">
    <w:name w:val="NumPar 2"/>
    <w:basedOn w:val="Normal"/>
    <w:next w:val="Text1"/>
    <w:pPr>
      <w:numPr>
        <w:ilvl w:val="1"/>
        <w:numId w:val="26"/>
      </w:numPr>
    </w:pPr>
  </w:style>
  <w:style w:type="paragraph" w:customStyle="1" w:styleId="NumPar3">
    <w:name w:val="NumPar 3"/>
    <w:basedOn w:val="Normal"/>
    <w:next w:val="Text1"/>
    <w:pPr>
      <w:numPr>
        <w:ilvl w:val="2"/>
        <w:numId w:val="26"/>
      </w:numPr>
    </w:pPr>
  </w:style>
  <w:style w:type="paragraph" w:customStyle="1" w:styleId="NumPar4">
    <w:name w:val="NumPar 4"/>
    <w:basedOn w:val="Normal"/>
    <w:next w:val="Text1"/>
    <w:pPr>
      <w:numPr>
        <w:ilvl w:val="3"/>
        <w:numId w:val="2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8"/>
      </w:numPr>
    </w:pPr>
  </w:style>
  <w:style w:type="paragraph" w:customStyle="1" w:styleId="Point1number">
    <w:name w:val="Point 1 (number)"/>
    <w:basedOn w:val="Normal"/>
    <w:pPr>
      <w:numPr>
        <w:ilvl w:val="2"/>
        <w:numId w:val="28"/>
      </w:numPr>
    </w:pPr>
  </w:style>
  <w:style w:type="paragraph" w:customStyle="1" w:styleId="Point2number">
    <w:name w:val="Point 2 (number)"/>
    <w:basedOn w:val="Normal"/>
    <w:pPr>
      <w:numPr>
        <w:ilvl w:val="4"/>
        <w:numId w:val="28"/>
      </w:numPr>
    </w:pPr>
  </w:style>
  <w:style w:type="paragraph" w:customStyle="1" w:styleId="Point3number">
    <w:name w:val="Point 3 (number)"/>
    <w:basedOn w:val="Normal"/>
    <w:pPr>
      <w:numPr>
        <w:ilvl w:val="6"/>
        <w:numId w:val="28"/>
      </w:numPr>
    </w:pPr>
  </w:style>
  <w:style w:type="paragraph" w:customStyle="1" w:styleId="Point0letter">
    <w:name w:val="Point 0 (letter)"/>
    <w:basedOn w:val="Normal"/>
    <w:pPr>
      <w:numPr>
        <w:ilvl w:val="1"/>
        <w:numId w:val="28"/>
      </w:numPr>
    </w:pPr>
  </w:style>
  <w:style w:type="paragraph" w:customStyle="1" w:styleId="Point1letter">
    <w:name w:val="Point 1 (letter)"/>
    <w:basedOn w:val="Normal"/>
    <w:pPr>
      <w:numPr>
        <w:ilvl w:val="3"/>
        <w:numId w:val="28"/>
      </w:numPr>
    </w:pPr>
  </w:style>
  <w:style w:type="paragraph" w:customStyle="1" w:styleId="Point2letter">
    <w:name w:val="Point 2 (letter)"/>
    <w:basedOn w:val="Normal"/>
    <w:pPr>
      <w:numPr>
        <w:ilvl w:val="5"/>
        <w:numId w:val="28"/>
      </w:numPr>
    </w:pPr>
  </w:style>
  <w:style w:type="paragraph" w:customStyle="1" w:styleId="Point3letter">
    <w:name w:val="Point 3 (letter)"/>
    <w:basedOn w:val="Normal"/>
    <w:pPr>
      <w:numPr>
        <w:ilvl w:val="7"/>
        <w:numId w:val="28"/>
      </w:numPr>
    </w:pPr>
  </w:style>
  <w:style w:type="paragraph" w:customStyle="1" w:styleId="Point4letter">
    <w:name w:val="Point 4 (letter)"/>
    <w:basedOn w:val="Normal"/>
    <w:pPr>
      <w:numPr>
        <w:ilvl w:val="8"/>
        <w:numId w:val="28"/>
      </w:numPr>
    </w:pPr>
  </w:style>
  <w:style w:type="paragraph" w:customStyle="1" w:styleId="Bullet0">
    <w:name w:val="Bullet 0"/>
    <w:basedOn w:val="Normal"/>
    <w:pPr>
      <w:numPr>
        <w:numId w:val="29"/>
      </w:numPr>
    </w:pPr>
  </w:style>
  <w:style w:type="paragraph" w:customStyle="1" w:styleId="Bullet1">
    <w:name w:val="Bullet 1"/>
    <w:basedOn w:val="Normal"/>
    <w:pPr>
      <w:numPr>
        <w:numId w:val="30"/>
      </w:numPr>
    </w:pPr>
  </w:style>
  <w:style w:type="paragraph" w:customStyle="1" w:styleId="Bullet2">
    <w:name w:val="Bullet 2"/>
    <w:basedOn w:val="Normal"/>
    <w:pPr>
      <w:numPr>
        <w:numId w:val="31"/>
      </w:numPr>
    </w:pPr>
  </w:style>
  <w:style w:type="paragraph" w:customStyle="1" w:styleId="Bullet3">
    <w:name w:val="Bullet 3"/>
    <w:basedOn w:val="Normal"/>
    <w:pPr>
      <w:numPr>
        <w:numId w:val="32"/>
      </w:numPr>
    </w:pPr>
  </w:style>
  <w:style w:type="paragraph" w:customStyle="1" w:styleId="Bullet4">
    <w:name w:val="Bullet 4"/>
    <w:basedOn w:val="Normal"/>
    <w:pPr>
      <w:numPr>
        <w:numId w:val="3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7"/>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
      </w:numPr>
      <w:outlineLvl w:val="5"/>
    </w:pPr>
    <w:rPr>
      <w:rFonts w:eastAsiaTheme="majorEastAsia"/>
      <w:iCs/>
    </w:rPr>
  </w:style>
  <w:style w:type="paragraph" w:styleId="Heading7">
    <w:name w:val="heading 7"/>
    <w:basedOn w:val="Normal"/>
    <w:next w:val="Text2"/>
    <w:link w:val="Heading7Char"/>
    <w:uiPriority w:val="9"/>
    <w:unhideWhenUsed/>
    <w:qFormat/>
    <w:pPr>
      <w:keepNext/>
      <w:numPr>
        <w:ilvl w:val="6"/>
        <w:numId w:val="1"/>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rPr>
      <w:rFonts w:ascii="Times New Roman" w:eastAsiaTheme="majorEastAsia" w:hAnsi="Times New Roman" w:cs="Times New Roman"/>
      <w:iCs/>
      <w:sz w:val="24"/>
      <w:lang w:val="en-GB"/>
    </w:r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Point5">
    <w:name w:val="Point 5"/>
    <w:basedOn w:val="Normal"/>
    <w:pPr>
      <w:ind w:left="3685" w:hanging="567"/>
    </w:pPr>
  </w:style>
  <w:style w:type="paragraph" w:customStyle="1" w:styleId="Tiret5">
    <w:name w:val="Tiret 5"/>
    <w:basedOn w:val="Point5"/>
    <w:pPr>
      <w:numPr>
        <w:numId w:val="2"/>
      </w:numPr>
    </w:pPr>
  </w:style>
  <w:style w:type="paragraph" w:customStyle="1" w:styleId="NumPar5">
    <w:name w:val="NumPar 5"/>
    <w:basedOn w:val="Normal"/>
    <w:next w:val="Text2"/>
    <w:pPr>
      <w:numPr>
        <w:ilvl w:val="4"/>
        <w:numId w:val="3"/>
      </w:numPr>
    </w:pPr>
  </w:style>
  <w:style w:type="paragraph" w:customStyle="1" w:styleId="NumPar6">
    <w:name w:val="NumPar 6"/>
    <w:basedOn w:val="Normal"/>
    <w:next w:val="Text2"/>
    <w:pPr>
      <w:numPr>
        <w:ilvl w:val="5"/>
        <w:numId w:val="3"/>
      </w:numPr>
    </w:pPr>
  </w:style>
  <w:style w:type="paragraph" w:customStyle="1" w:styleId="NumPar7">
    <w:name w:val="NumPar 7"/>
    <w:basedOn w:val="Normal"/>
    <w:next w:val="Text2"/>
    <w:pPr>
      <w:numPr>
        <w:ilvl w:val="6"/>
        <w:numId w:val="3"/>
      </w:numPr>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ommentQuotedText">
    <w:name w:val="CommentQuotedText"/>
    <w:pPr>
      <w:pBdr>
        <w:left w:val="single" w:sz="18" w:space="5" w:color="0070C0"/>
      </w:pBdr>
    </w:pPr>
    <w:rPr>
      <w:i/>
    </w:rPr>
  </w:style>
  <w:style w:type="paragraph" w:styleId="ListBullet">
    <w:name w:val="List Bullet"/>
    <w:basedOn w:val="Normal"/>
    <w:unhideWhenUsed/>
    <w:pPr>
      <w:numPr>
        <w:numId w:val="4"/>
      </w:numPr>
      <w:contextualSpacing/>
    </w:pPr>
  </w:style>
  <w:style w:type="paragraph" w:styleId="ListBullet2">
    <w:name w:val="List Bullet 2"/>
    <w:basedOn w:val="Normal"/>
    <w:unhideWhenUsed/>
    <w:pPr>
      <w:numPr>
        <w:numId w:val="5"/>
      </w:numPr>
      <w:contextualSpacing/>
    </w:pPr>
  </w:style>
  <w:style w:type="paragraph" w:styleId="ListBullet3">
    <w:name w:val="List Bullet 3"/>
    <w:basedOn w:val="Normal"/>
    <w:unhideWhenUsed/>
    <w:pPr>
      <w:numPr>
        <w:numId w:val="6"/>
      </w:numPr>
      <w:contextualSpacing/>
    </w:pPr>
  </w:style>
  <w:style w:type="paragraph" w:styleId="ListBullet4">
    <w:name w:val="List Bullet 4"/>
    <w:basedOn w:val="Normal"/>
    <w:unhideWhenUsed/>
    <w:pPr>
      <w:numPr>
        <w:numId w:val="7"/>
      </w:numPr>
      <w:contextualSpacing/>
    </w:pPr>
  </w:style>
  <w:style w:type="paragraph" w:styleId="ListNumber">
    <w:name w:val="List Number"/>
    <w:basedOn w:val="Normal"/>
    <w:pPr>
      <w:numPr>
        <w:numId w:val="12"/>
      </w:numPr>
    </w:pPr>
    <w:rPr>
      <w:rFonts w:eastAsia="Times New Roman"/>
      <w:lang w:eastAsia="de-DE"/>
    </w:rPr>
  </w:style>
  <w:style w:type="paragraph" w:customStyle="1" w:styleId="ListBullet1">
    <w:name w:val="List Bullet 1"/>
    <w:basedOn w:val="Normal"/>
    <w:pPr>
      <w:numPr>
        <w:numId w:val="8"/>
      </w:numPr>
    </w:pPr>
    <w:rPr>
      <w:rFonts w:eastAsia="Times New Roman"/>
      <w:lang w:eastAsia="de-DE"/>
    </w:rPr>
  </w:style>
  <w:style w:type="paragraph" w:customStyle="1" w:styleId="ListDash">
    <w:name w:val="List Dash"/>
    <w:basedOn w:val="Normal"/>
    <w:pPr>
      <w:numPr>
        <w:numId w:val="9"/>
      </w:numPr>
    </w:pPr>
    <w:rPr>
      <w:rFonts w:eastAsia="Times New Roman"/>
      <w:lang w:eastAsia="de-DE"/>
    </w:rPr>
  </w:style>
  <w:style w:type="paragraph" w:customStyle="1" w:styleId="ListDash1">
    <w:name w:val="List Dash 1"/>
    <w:basedOn w:val="Normal"/>
    <w:pPr>
      <w:numPr>
        <w:numId w:val="10"/>
      </w:numPr>
    </w:pPr>
    <w:rPr>
      <w:rFonts w:eastAsia="Times New Roman"/>
      <w:lang w:eastAsia="de-DE"/>
    </w:rPr>
  </w:style>
  <w:style w:type="paragraph" w:customStyle="1" w:styleId="ListDash2">
    <w:name w:val="List Dash 2"/>
    <w:basedOn w:val="Normal"/>
    <w:pPr>
      <w:numPr>
        <w:numId w:val="11"/>
      </w:numPr>
    </w:pPr>
    <w:rPr>
      <w:rFonts w:eastAsia="Times New Roman"/>
      <w:lang w:eastAsia="de-DE"/>
    </w:rPr>
  </w:style>
  <w:style w:type="paragraph" w:customStyle="1" w:styleId="ListNumberLevel2">
    <w:name w:val="List Number (Level 2)"/>
    <w:basedOn w:val="Normal"/>
    <w:pPr>
      <w:numPr>
        <w:ilvl w:val="1"/>
        <w:numId w:val="12"/>
      </w:numPr>
    </w:pPr>
    <w:rPr>
      <w:rFonts w:eastAsia="Times New Roman"/>
      <w:lang w:eastAsia="de-DE"/>
    </w:rPr>
  </w:style>
  <w:style w:type="paragraph" w:customStyle="1" w:styleId="ListNumberLevel3">
    <w:name w:val="List Number (Level 3)"/>
    <w:basedOn w:val="Normal"/>
    <w:pPr>
      <w:numPr>
        <w:ilvl w:val="2"/>
        <w:numId w:val="12"/>
      </w:numPr>
    </w:pPr>
    <w:rPr>
      <w:rFonts w:eastAsia="Times New Roman"/>
      <w:lang w:eastAsia="de-DE"/>
    </w:rPr>
  </w:style>
  <w:style w:type="paragraph" w:customStyle="1" w:styleId="ListNumberLevel4">
    <w:name w:val="List Number (Level 4)"/>
    <w:basedOn w:val="Normal"/>
    <w:pPr>
      <w:numPr>
        <w:ilvl w:val="3"/>
        <w:numId w:val="12"/>
      </w:numPr>
    </w:pPr>
    <w:rPr>
      <w:rFonts w:eastAsia="Times New Roman"/>
      <w:lang w:eastAsia="de-DE"/>
    </w:rPr>
  </w:style>
  <w:style w:type="table" w:styleId="TableGrid">
    <w:name w:val="Table Grid"/>
    <w:aliases w:val="Document Table,CV1,Deloitte"/>
    <w:basedOn w:val="TableNormal"/>
    <w:uiPriority w:val="39"/>
    <w:pPr>
      <w:spacing w:before="120" w:after="12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Number2">
    <w:name w:val="List Number 2"/>
    <w:basedOn w:val="Normal"/>
    <w:pPr>
      <w:numPr>
        <w:numId w:val="16"/>
      </w:numPr>
    </w:pPr>
    <w:rPr>
      <w:rFonts w:eastAsia="Times New Roman"/>
      <w:lang w:val="fr-FR" w:eastAsia="en-GB"/>
    </w:rPr>
  </w:style>
  <w:style w:type="paragraph" w:styleId="ListNumber3">
    <w:name w:val="List Number 3"/>
    <w:basedOn w:val="Normal"/>
    <w:pPr>
      <w:numPr>
        <w:numId w:val="17"/>
      </w:numPr>
    </w:pPr>
    <w:rPr>
      <w:rFonts w:eastAsia="Times New Roman"/>
      <w:lang w:val="fr-FR" w:eastAsia="en-GB"/>
    </w:rPr>
  </w:style>
  <w:style w:type="paragraph" w:styleId="ListNumber4">
    <w:name w:val="List Number 4"/>
    <w:basedOn w:val="Normal"/>
    <w:pPr>
      <w:numPr>
        <w:numId w:val="18"/>
      </w:numPr>
    </w:pPr>
    <w:rPr>
      <w:rFonts w:eastAsia="Times New Roman"/>
      <w:lang w:val="fr-FR" w:eastAsia="en-GB"/>
    </w:rPr>
  </w:style>
  <w:style w:type="paragraph" w:customStyle="1" w:styleId="ListDash3">
    <w:name w:val="List Dash 3"/>
    <w:basedOn w:val="Normal"/>
    <w:pPr>
      <w:numPr>
        <w:numId w:val="13"/>
      </w:numPr>
    </w:pPr>
    <w:rPr>
      <w:rFonts w:eastAsia="Times New Roman"/>
      <w:lang w:val="fr-FR" w:eastAsia="en-GB"/>
    </w:rPr>
  </w:style>
  <w:style w:type="paragraph" w:customStyle="1" w:styleId="ListDash4">
    <w:name w:val="List Dash 4"/>
    <w:basedOn w:val="Normal"/>
    <w:pPr>
      <w:numPr>
        <w:numId w:val="14"/>
      </w:numPr>
    </w:pPr>
    <w:rPr>
      <w:rFonts w:eastAsia="Times New Roman"/>
      <w:lang w:val="fr-FR" w:eastAsia="en-GB"/>
    </w:rPr>
  </w:style>
  <w:style w:type="paragraph" w:customStyle="1" w:styleId="ListNumber1">
    <w:name w:val="List Number 1"/>
    <w:basedOn w:val="Text1"/>
    <w:pPr>
      <w:numPr>
        <w:numId w:val="15"/>
      </w:numPr>
    </w:pPr>
    <w:rPr>
      <w:rFonts w:eastAsia="Times New Roman"/>
      <w:lang w:val="fr-FR" w:eastAsia="en-GB"/>
    </w:rPr>
  </w:style>
  <w:style w:type="paragraph" w:customStyle="1" w:styleId="ListNumber1Level2">
    <w:name w:val="List Number 1 (Level 2)"/>
    <w:basedOn w:val="Text1"/>
    <w:pPr>
      <w:numPr>
        <w:ilvl w:val="1"/>
        <w:numId w:val="15"/>
      </w:numPr>
    </w:pPr>
    <w:rPr>
      <w:rFonts w:eastAsia="Times New Roman"/>
      <w:lang w:val="fr-FR" w:eastAsia="en-GB"/>
    </w:rPr>
  </w:style>
  <w:style w:type="paragraph" w:customStyle="1" w:styleId="ListNumber2Level2">
    <w:name w:val="List Number 2 (Level 2)"/>
    <w:basedOn w:val="Text2"/>
    <w:pPr>
      <w:numPr>
        <w:ilvl w:val="1"/>
        <w:numId w:val="16"/>
      </w:numPr>
    </w:pPr>
    <w:rPr>
      <w:rFonts w:eastAsia="Times New Roman"/>
      <w:lang w:val="fr-FR" w:eastAsia="en-GB"/>
    </w:rPr>
  </w:style>
  <w:style w:type="paragraph" w:customStyle="1" w:styleId="ListNumber3Level2">
    <w:name w:val="List Number 3 (Level 2)"/>
    <w:basedOn w:val="Text3"/>
    <w:pPr>
      <w:numPr>
        <w:ilvl w:val="1"/>
        <w:numId w:val="17"/>
      </w:numPr>
    </w:pPr>
    <w:rPr>
      <w:rFonts w:eastAsia="Times New Roman"/>
      <w:lang w:val="fr-FR" w:eastAsia="en-GB"/>
    </w:rPr>
  </w:style>
  <w:style w:type="paragraph" w:customStyle="1" w:styleId="ListNumber4Level2">
    <w:name w:val="List Number 4 (Level 2)"/>
    <w:basedOn w:val="Text4"/>
    <w:pPr>
      <w:numPr>
        <w:ilvl w:val="1"/>
        <w:numId w:val="18"/>
      </w:numPr>
    </w:pPr>
    <w:rPr>
      <w:rFonts w:eastAsia="Times New Roman"/>
      <w:lang w:val="fr-FR" w:eastAsia="en-GB"/>
    </w:rPr>
  </w:style>
  <w:style w:type="paragraph" w:customStyle="1" w:styleId="ListNumber1Level3">
    <w:name w:val="List Number 1 (Level 3)"/>
    <w:basedOn w:val="Text1"/>
    <w:pPr>
      <w:numPr>
        <w:ilvl w:val="2"/>
        <w:numId w:val="15"/>
      </w:numPr>
    </w:pPr>
    <w:rPr>
      <w:rFonts w:eastAsia="Times New Roman"/>
      <w:lang w:val="fr-FR" w:eastAsia="en-GB"/>
    </w:rPr>
  </w:style>
  <w:style w:type="paragraph" w:customStyle="1" w:styleId="ListNumber2Level3">
    <w:name w:val="List Number 2 (Level 3)"/>
    <w:basedOn w:val="Text2"/>
    <w:pPr>
      <w:numPr>
        <w:ilvl w:val="2"/>
        <w:numId w:val="16"/>
      </w:numPr>
    </w:pPr>
    <w:rPr>
      <w:rFonts w:eastAsia="Times New Roman"/>
      <w:lang w:val="fr-FR" w:eastAsia="en-GB"/>
    </w:rPr>
  </w:style>
  <w:style w:type="paragraph" w:customStyle="1" w:styleId="ListNumber3Level3">
    <w:name w:val="List Number 3 (Level 3)"/>
    <w:basedOn w:val="Text3"/>
    <w:pPr>
      <w:numPr>
        <w:ilvl w:val="2"/>
        <w:numId w:val="17"/>
      </w:numPr>
    </w:pPr>
    <w:rPr>
      <w:rFonts w:eastAsia="Times New Roman"/>
      <w:lang w:val="fr-FR" w:eastAsia="en-GB"/>
    </w:rPr>
  </w:style>
  <w:style w:type="paragraph" w:customStyle="1" w:styleId="ListNumber4Level3">
    <w:name w:val="List Number 4 (Level 3)"/>
    <w:basedOn w:val="Text4"/>
    <w:pPr>
      <w:numPr>
        <w:ilvl w:val="2"/>
        <w:numId w:val="18"/>
      </w:numPr>
    </w:pPr>
    <w:rPr>
      <w:rFonts w:eastAsia="Times New Roman"/>
      <w:lang w:val="fr-FR" w:eastAsia="en-GB"/>
    </w:rPr>
  </w:style>
  <w:style w:type="paragraph" w:customStyle="1" w:styleId="ListNumber1Level4">
    <w:name w:val="List Number 1 (Level 4)"/>
    <w:basedOn w:val="Text1"/>
    <w:pPr>
      <w:numPr>
        <w:ilvl w:val="3"/>
        <w:numId w:val="15"/>
      </w:numPr>
    </w:pPr>
    <w:rPr>
      <w:rFonts w:eastAsia="Times New Roman"/>
      <w:lang w:val="fr-FR" w:eastAsia="en-GB"/>
    </w:rPr>
  </w:style>
  <w:style w:type="paragraph" w:customStyle="1" w:styleId="ListNumber2Level4">
    <w:name w:val="List Number 2 (Level 4)"/>
    <w:basedOn w:val="Text2"/>
    <w:pPr>
      <w:numPr>
        <w:ilvl w:val="3"/>
        <w:numId w:val="16"/>
      </w:numPr>
    </w:pPr>
    <w:rPr>
      <w:rFonts w:eastAsia="Times New Roman"/>
      <w:lang w:val="fr-FR" w:eastAsia="en-GB"/>
    </w:rPr>
  </w:style>
  <w:style w:type="paragraph" w:customStyle="1" w:styleId="ListNumber3Level4">
    <w:name w:val="List Number 3 (Level 4)"/>
    <w:basedOn w:val="Text3"/>
    <w:pPr>
      <w:numPr>
        <w:ilvl w:val="3"/>
        <w:numId w:val="17"/>
      </w:numPr>
    </w:pPr>
    <w:rPr>
      <w:rFonts w:eastAsia="Times New Roman"/>
      <w:lang w:val="fr-FR" w:eastAsia="en-GB"/>
    </w:rPr>
  </w:style>
  <w:style w:type="paragraph" w:customStyle="1" w:styleId="ListNumber4Level4">
    <w:name w:val="List Number 4 (Level 4)"/>
    <w:basedOn w:val="Text4"/>
    <w:pPr>
      <w:numPr>
        <w:ilvl w:val="3"/>
        <w:numId w:val="18"/>
      </w:numPr>
    </w:pPr>
    <w:rPr>
      <w:rFonts w:eastAsia="Times New Roman"/>
      <w:lang w:val="fr-FR" w:eastAsia="en-GB"/>
    </w:rPr>
  </w:style>
  <w:style w:type="paragraph" w:customStyle="1" w:styleId="Annexetitreacte">
    <w:name w:val="Annexe titre (acte)"/>
    <w:basedOn w:val="Normal"/>
    <w:next w:val="Normal"/>
    <w:pPr>
      <w:jc w:val="center"/>
    </w:pPr>
    <w:rPr>
      <w:rFonts w:eastAsia="Times New Roman"/>
      <w:b/>
      <w:u w:val="single"/>
      <w:lang w:val="fr-FR" w:eastAsia="en-GB"/>
    </w:rPr>
  </w:style>
  <w:style w:type="paragraph" w:customStyle="1" w:styleId="Annexetitreexposglobal">
    <w:name w:val="Annexe titre (exposé global)"/>
    <w:basedOn w:val="Normal"/>
    <w:next w:val="Normal"/>
    <w:pPr>
      <w:jc w:val="center"/>
    </w:pPr>
    <w:rPr>
      <w:rFonts w:eastAsia="Times New Roman"/>
      <w:b/>
      <w:u w:val="single"/>
      <w:lang w:val="fr-FR" w:eastAsia="en-GB"/>
    </w:rPr>
  </w:style>
  <w:style w:type="paragraph" w:customStyle="1" w:styleId="Annexetitrefichefinacte">
    <w:name w:val="Annexe titre (fiche fin. acte)"/>
    <w:basedOn w:val="Normal"/>
    <w:next w:val="Normal"/>
    <w:pPr>
      <w:jc w:val="center"/>
    </w:pPr>
    <w:rPr>
      <w:rFonts w:eastAsia="Times New Roman"/>
      <w:b/>
      <w:u w:val="single"/>
      <w:lang w:val="fr-FR" w:eastAsia="en-GB"/>
    </w:rPr>
  </w:style>
  <w:style w:type="paragraph" w:customStyle="1" w:styleId="Annexetitrefichefinglobale">
    <w:name w:val="Annexe titre (fiche fin. globale)"/>
    <w:basedOn w:val="Normal"/>
    <w:next w:val="Normal"/>
    <w:pPr>
      <w:jc w:val="center"/>
    </w:pPr>
    <w:rPr>
      <w:rFonts w:eastAsia="Times New Roman"/>
      <w:b/>
      <w:u w:val="single"/>
      <w:lang w:val="fr-FR" w:eastAsia="en-GB"/>
    </w:rPr>
  </w:style>
  <w:style w:type="paragraph" w:customStyle="1" w:styleId="Annexetitreglobale">
    <w:name w:val="Annexe titre (globale)"/>
    <w:basedOn w:val="Normal"/>
    <w:next w:val="Normal"/>
    <w:pPr>
      <w:jc w:val="center"/>
    </w:pPr>
    <w:rPr>
      <w:rFonts w:eastAsia="Times New Roman"/>
      <w:b/>
      <w:u w:val="single"/>
      <w:lang w:val="fr-FR" w:eastAsia="en-GB"/>
    </w:rPr>
  </w:style>
  <w:style w:type="paragraph" w:customStyle="1" w:styleId="Exposdesmotifstitreglobal">
    <w:name w:val="Exposé des motifs titre (global)"/>
    <w:basedOn w:val="Normal"/>
    <w:next w:val="Normal"/>
    <w:pPr>
      <w:jc w:val="center"/>
    </w:pPr>
    <w:rPr>
      <w:rFonts w:eastAsia="Times New Roman"/>
      <w:b/>
      <w:u w:val="single"/>
      <w:lang w:val="fr-FR" w:eastAsia="en-GB"/>
    </w:rPr>
  </w:style>
  <w:style w:type="paragraph" w:customStyle="1" w:styleId="Langueoriginale">
    <w:name w:val="Langue originale"/>
    <w:basedOn w:val="Normal"/>
    <w:pPr>
      <w:spacing w:before="360"/>
      <w:jc w:val="center"/>
    </w:pPr>
    <w:rPr>
      <w:rFonts w:eastAsia="Times New Roman"/>
      <w:caps/>
      <w:lang w:val="fr-FR" w:eastAsia="en-GB"/>
    </w:rPr>
  </w:style>
  <w:style w:type="paragraph" w:customStyle="1" w:styleId="Phrasefinale">
    <w:name w:val="Phrase finale"/>
    <w:basedOn w:val="Normal"/>
    <w:next w:val="Normal"/>
    <w:pPr>
      <w:spacing w:before="360" w:after="0"/>
      <w:jc w:val="center"/>
    </w:pPr>
    <w:rPr>
      <w:rFonts w:eastAsia="Times New Roman"/>
      <w:lang w:val="fr-FR" w:eastAsia="en-GB"/>
    </w:rPr>
  </w:style>
  <w:style w:type="paragraph" w:customStyle="1" w:styleId="Prliminairetitre">
    <w:name w:val="Préliminaire titre"/>
    <w:basedOn w:val="Normal"/>
    <w:next w:val="Normal"/>
    <w:pPr>
      <w:spacing w:before="360" w:after="360"/>
      <w:jc w:val="center"/>
    </w:pPr>
    <w:rPr>
      <w:rFonts w:eastAsia="Times New Roman"/>
      <w:b/>
      <w:lang w:val="fr-FR" w:eastAsia="en-GB"/>
    </w:rPr>
  </w:style>
  <w:style w:type="paragraph" w:customStyle="1" w:styleId="Prliminairetype">
    <w:name w:val="Préliminaire type"/>
    <w:basedOn w:val="Normal"/>
    <w:next w:val="Normal"/>
    <w:pPr>
      <w:spacing w:before="360" w:after="0"/>
      <w:jc w:val="center"/>
    </w:pPr>
    <w:rPr>
      <w:rFonts w:eastAsia="Times New Roman"/>
      <w:b/>
      <w:lang w:val="fr-FR"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val="fr-FR" w:eastAsia="en-GB"/>
    </w:rPr>
  </w:style>
  <w:style w:type="paragraph" w:customStyle="1" w:styleId="Sous-titreobjetprliminaire">
    <w:name w:val="Sous-titre objet (préliminaire)"/>
    <w:basedOn w:val="Normal"/>
    <w:pPr>
      <w:spacing w:before="0" w:after="0"/>
      <w:jc w:val="center"/>
    </w:pPr>
    <w:rPr>
      <w:rFonts w:eastAsia="Times New Roman"/>
      <w:b/>
      <w:lang w:val="fr-FR" w:eastAsia="en-GB"/>
    </w:rPr>
  </w:style>
  <w:style w:type="paragraph" w:customStyle="1" w:styleId="Statutprliminaire">
    <w:name w:val="Statut (préliminaire)"/>
    <w:basedOn w:val="Normal"/>
    <w:next w:val="Normal"/>
    <w:pPr>
      <w:spacing w:before="360" w:after="0"/>
      <w:jc w:val="center"/>
    </w:pPr>
    <w:rPr>
      <w:rFonts w:eastAsia="Times New Roman"/>
      <w:lang w:val="fr-FR" w:eastAsia="en-GB"/>
    </w:rPr>
  </w:style>
  <w:style w:type="paragraph" w:customStyle="1" w:styleId="Titreobjetprliminaire">
    <w:name w:val="Titre objet (préliminaire)"/>
    <w:basedOn w:val="Normal"/>
    <w:next w:val="Normal"/>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pPr>
      <w:jc w:val="center"/>
    </w:pPr>
    <w:rPr>
      <w:rFonts w:eastAsia="Times New Roman"/>
      <w:b/>
      <w:u w:val="single"/>
      <w:lang w:val="fr-FR" w:eastAsia="en-GB"/>
    </w:rPr>
  </w:style>
  <w:style w:type="paragraph" w:customStyle="1" w:styleId="Fichefinanciretravailtitre">
    <w:name w:val="Fiche financière (travail) titre"/>
    <w:basedOn w:val="Normal"/>
    <w:next w:val="Normal"/>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val="fr-FR"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val="fr-FR"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val="fr-FR"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val="fr-FR" w:eastAsia="en-GB"/>
    </w:rPr>
  </w:style>
  <w:style w:type="paragraph" w:styleId="TableofFigures">
    <w:name w:val="table of figures"/>
    <w:basedOn w:val="Normal"/>
    <w:next w:val="Normal"/>
    <w:rPr>
      <w:rFonts w:eastAsia="Times New Roman"/>
      <w:lang w:val="fr-FR"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rPr>
      <w:rFonts w:ascii="Times New Roman" w:hAnsi="Times New Roman" w:cs="Times New Roman"/>
      <w:b/>
      <w:sz w:val="24"/>
      <w:lang w:val="en-GB"/>
    </w:rPr>
  </w:style>
  <w:style w:type="character" w:customStyle="1" w:styleId="FooterCoverPageChar">
    <w:name w:val="Footer Cover Page Char"/>
    <w:basedOn w:val="TypedudocumentChar"/>
    <w:link w:val="FooterCoverPage"/>
    <w:rPr>
      <w:rFonts w:ascii="Times New Roman" w:hAnsi="Times New Roman" w:cs="Times New Roman"/>
      <w:b w:val="0"/>
      <w:sz w:val="24"/>
      <w:lang w:val="en-GB"/>
    </w:rPr>
  </w:style>
  <w:style w:type="character" w:customStyle="1" w:styleId="FooterSensitivityChar">
    <w:name w:val="Footer Sensitivity Char"/>
    <w:basedOn w:val="TypedudocumentChar"/>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rFonts w:ascii="Times New Roman" w:hAnsi="Times New Roman" w:cs="Times New Roman"/>
      <w:b w:val="0"/>
      <w:sz w:val="24"/>
      <w:lang w:val="en-GB"/>
    </w:rPr>
  </w:style>
  <w:style w:type="character" w:customStyle="1" w:styleId="HeaderSensitivityChar">
    <w:name w:val="Header Sensitivity Char"/>
    <w:basedOn w:val="TypedudocumentChar"/>
    <w:rPr>
      <w:rFonts w:ascii="Times New Roman" w:hAnsi="Times New Roman" w:cs="Times New Roman"/>
      <w:b/>
      <w:sz w:val="32"/>
      <w:lang w:val="en-GB"/>
    </w:rPr>
  </w:style>
  <w:style w:type="character" w:customStyle="1" w:styleId="HeaderSensitivityRightChar">
    <w:name w:val="Header Sensitivity Right Char"/>
    <w:basedOn w:val="TypedudocumentChar"/>
    <w:rPr>
      <w:rFonts w:ascii="Times New Roman" w:hAnsi="Times New Roman" w:cs="Times New Roman"/>
      <w:b w:val="0"/>
      <w:sz w:val="28"/>
      <w:lang w:val="en-GB"/>
    </w:rPr>
  </w:style>
  <w:style w:type="character" w:customStyle="1" w:styleId="Text2Char">
    <w:name w:val="Text 2 Char"/>
    <w:basedOn w:val="DefaultParagraphFont"/>
    <w:locked/>
    <w:rPr>
      <w:rFonts w:ascii="Times New Roman" w:hAnsi="Times New Roman" w:cs="Times New Roman"/>
      <w:sz w:val="24"/>
      <w:lang w:val="en-GB"/>
    </w:rPr>
  </w:style>
  <w:style w:type="character" w:customStyle="1" w:styleId="BulletsChar">
    <w:name w:val="Bullets Char"/>
    <w:basedOn w:val="DefaultParagraphFont"/>
    <w:link w:val="Bullets"/>
    <w:uiPriority w:val="90"/>
    <w:locked/>
    <w:rPr>
      <w:lang w:eastAsia="nl-NL"/>
    </w:rPr>
  </w:style>
  <w:style w:type="paragraph" w:customStyle="1" w:styleId="Bullets">
    <w:name w:val="Bullets"/>
    <w:basedOn w:val="BodyText"/>
    <w:link w:val="BulletsChar"/>
    <w:uiPriority w:val="90"/>
    <w:qFormat/>
    <w:pPr>
      <w:spacing w:before="60"/>
      <w:ind w:left="720" w:hanging="360"/>
      <w:jc w:val="left"/>
    </w:pPr>
    <w:rPr>
      <w:rFonts w:asciiTheme="minorHAnsi" w:hAnsiTheme="minorHAnsi" w:cstheme="minorBidi"/>
      <w:sz w:val="22"/>
      <w:lang w:val="en-US" w:eastAsia="nl-NL"/>
    </w:rPr>
  </w:style>
  <w:style w:type="paragraph" w:styleId="BodyText">
    <w:name w:val="Body Text"/>
    <w:basedOn w:val="Normal"/>
    <w:link w:val="BodyTextChar"/>
    <w:uiPriority w:val="99"/>
    <w:semiHidden/>
    <w:unhideWhenUsed/>
  </w:style>
  <w:style w:type="character" w:customStyle="1" w:styleId="BodyTextChar">
    <w:name w:val="Body Text Char"/>
    <w:basedOn w:val="DefaultParagraphFont"/>
    <w:link w:val="BodyText"/>
    <w:uiPriority w:val="99"/>
    <w:semiHidden/>
    <w:rPr>
      <w:rFonts w:ascii="Times New Roman" w:hAnsi="Times New Roman" w:cs="Times New Roman"/>
      <w:sz w:val="24"/>
      <w:lang w:val="en-GB"/>
    </w:rPr>
  </w:style>
  <w:style w:type="table" w:customStyle="1" w:styleId="GridTable4-Accent11">
    <w:name w:val="Grid Table 4 - Accent 11"/>
    <w:basedOn w:val="TableNormal"/>
    <w:uiPriority w:val="49"/>
    <w:pPr>
      <w:spacing w:after="0" w:line="240" w:lineRule="auto"/>
    </w:pPr>
    <w:rPr>
      <w:sz w:val="20"/>
      <w:szCs w:val="20"/>
      <w:lang w:val="en-GB" w:eastAsia="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0Body">
    <w:name w:val="0 Body"/>
    <w:basedOn w:val="Normal"/>
    <w:link w:val="0BodyChar"/>
    <w:qFormat/>
    <w:pPr>
      <w:spacing w:before="0" w:after="240"/>
    </w:pPr>
    <w:rPr>
      <w:rFonts w:eastAsia="Times New Roman"/>
      <w:szCs w:val="20"/>
      <w:lang w:eastAsia="en-GB"/>
    </w:rPr>
  </w:style>
  <w:style w:type="character" w:customStyle="1" w:styleId="0BodyChar">
    <w:name w:val="0 Body Char"/>
    <w:link w:val="0Body"/>
    <w:rPr>
      <w:rFonts w:ascii="Times New Roman" w:eastAsia="Times New Roman" w:hAnsi="Times New Roman" w:cs="Times New Roman"/>
      <w:sz w:val="24"/>
      <w:szCs w:val="20"/>
      <w:lang w:val="en-GB"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truncate">
    <w:name w:val="truncate"/>
    <w:basedOn w:val="DefaultParagraphFont"/>
  </w:style>
  <w:style w:type="paragraph" w:styleId="ListParagraph">
    <w:name w:val="List Paragraph"/>
    <w:basedOn w:val="Normal"/>
    <w:uiPriority w:val="34"/>
    <w:qFormat/>
    <w:pPr>
      <w:ind w:left="720"/>
      <w:contextualSpacing/>
    </w:pPr>
  </w:style>
  <w:style w:type="character" w:customStyle="1" w:styleId="white-space">
    <w:name w:val="white-space"/>
    <w:basedOn w:val="DefaultParagraphFont"/>
  </w:style>
  <w:style w:type="paragraph" w:styleId="NormalWeb">
    <w:name w:val="Normal (Web)"/>
    <w:basedOn w:val="Normal"/>
    <w:uiPriority w:val="99"/>
    <w:unhideWhenUsed/>
    <w:pPr>
      <w:spacing w:before="100" w:beforeAutospacing="1" w:after="100" w:afterAutospacing="1"/>
      <w:jc w:val="left"/>
    </w:pPr>
    <w:rPr>
      <w:rFonts w:eastAsia="Times New Roman"/>
      <w:szCs w:val="24"/>
      <w:lang w:val="fr-BE" w:eastAsia="fr-BE"/>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1"/>
      </w:numPr>
    </w:pPr>
  </w:style>
  <w:style w:type="paragraph" w:customStyle="1" w:styleId="Tiret1">
    <w:name w:val="Tiret 1"/>
    <w:basedOn w:val="Point1"/>
    <w:pPr>
      <w:numPr>
        <w:numId w:val="22"/>
      </w:numPr>
    </w:pPr>
  </w:style>
  <w:style w:type="paragraph" w:customStyle="1" w:styleId="Tiret2">
    <w:name w:val="Tiret 2"/>
    <w:basedOn w:val="Point2"/>
    <w:pPr>
      <w:numPr>
        <w:numId w:val="23"/>
      </w:numPr>
    </w:pPr>
  </w:style>
  <w:style w:type="paragraph" w:customStyle="1" w:styleId="Tiret3">
    <w:name w:val="Tiret 3"/>
    <w:basedOn w:val="Point3"/>
    <w:pPr>
      <w:numPr>
        <w:numId w:val="24"/>
      </w:numPr>
    </w:pPr>
  </w:style>
  <w:style w:type="paragraph" w:customStyle="1" w:styleId="Tiret4">
    <w:name w:val="Tiret 4"/>
    <w:basedOn w:val="Point4"/>
    <w:pPr>
      <w:numPr>
        <w:numId w:val="2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6"/>
      </w:numPr>
    </w:pPr>
  </w:style>
  <w:style w:type="paragraph" w:customStyle="1" w:styleId="NumPar2">
    <w:name w:val="NumPar 2"/>
    <w:basedOn w:val="Normal"/>
    <w:next w:val="Text1"/>
    <w:pPr>
      <w:numPr>
        <w:ilvl w:val="1"/>
        <w:numId w:val="26"/>
      </w:numPr>
    </w:pPr>
  </w:style>
  <w:style w:type="paragraph" w:customStyle="1" w:styleId="NumPar3">
    <w:name w:val="NumPar 3"/>
    <w:basedOn w:val="Normal"/>
    <w:next w:val="Text1"/>
    <w:pPr>
      <w:numPr>
        <w:ilvl w:val="2"/>
        <w:numId w:val="26"/>
      </w:numPr>
    </w:pPr>
  </w:style>
  <w:style w:type="paragraph" w:customStyle="1" w:styleId="NumPar4">
    <w:name w:val="NumPar 4"/>
    <w:basedOn w:val="Normal"/>
    <w:next w:val="Text1"/>
    <w:pPr>
      <w:numPr>
        <w:ilvl w:val="3"/>
        <w:numId w:val="2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8"/>
      </w:numPr>
    </w:pPr>
  </w:style>
  <w:style w:type="paragraph" w:customStyle="1" w:styleId="Point1number">
    <w:name w:val="Point 1 (number)"/>
    <w:basedOn w:val="Normal"/>
    <w:pPr>
      <w:numPr>
        <w:ilvl w:val="2"/>
        <w:numId w:val="28"/>
      </w:numPr>
    </w:pPr>
  </w:style>
  <w:style w:type="paragraph" w:customStyle="1" w:styleId="Point2number">
    <w:name w:val="Point 2 (number)"/>
    <w:basedOn w:val="Normal"/>
    <w:pPr>
      <w:numPr>
        <w:ilvl w:val="4"/>
        <w:numId w:val="28"/>
      </w:numPr>
    </w:pPr>
  </w:style>
  <w:style w:type="paragraph" w:customStyle="1" w:styleId="Point3number">
    <w:name w:val="Point 3 (number)"/>
    <w:basedOn w:val="Normal"/>
    <w:pPr>
      <w:numPr>
        <w:ilvl w:val="6"/>
        <w:numId w:val="28"/>
      </w:numPr>
    </w:pPr>
  </w:style>
  <w:style w:type="paragraph" w:customStyle="1" w:styleId="Point0letter">
    <w:name w:val="Point 0 (letter)"/>
    <w:basedOn w:val="Normal"/>
    <w:pPr>
      <w:numPr>
        <w:ilvl w:val="1"/>
        <w:numId w:val="28"/>
      </w:numPr>
    </w:pPr>
  </w:style>
  <w:style w:type="paragraph" w:customStyle="1" w:styleId="Point1letter">
    <w:name w:val="Point 1 (letter)"/>
    <w:basedOn w:val="Normal"/>
    <w:pPr>
      <w:numPr>
        <w:ilvl w:val="3"/>
        <w:numId w:val="28"/>
      </w:numPr>
    </w:pPr>
  </w:style>
  <w:style w:type="paragraph" w:customStyle="1" w:styleId="Point2letter">
    <w:name w:val="Point 2 (letter)"/>
    <w:basedOn w:val="Normal"/>
    <w:pPr>
      <w:numPr>
        <w:ilvl w:val="5"/>
        <w:numId w:val="28"/>
      </w:numPr>
    </w:pPr>
  </w:style>
  <w:style w:type="paragraph" w:customStyle="1" w:styleId="Point3letter">
    <w:name w:val="Point 3 (letter)"/>
    <w:basedOn w:val="Normal"/>
    <w:pPr>
      <w:numPr>
        <w:ilvl w:val="7"/>
        <w:numId w:val="28"/>
      </w:numPr>
    </w:pPr>
  </w:style>
  <w:style w:type="paragraph" w:customStyle="1" w:styleId="Point4letter">
    <w:name w:val="Point 4 (letter)"/>
    <w:basedOn w:val="Normal"/>
    <w:pPr>
      <w:numPr>
        <w:ilvl w:val="8"/>
        <w:numId w:val="28"/>
      </w:numPr>
    </w:pPr>
  </w:style>
  <w:style w:type="paragraph" w:customStyle="1" w:styleId="Bullet0">
    <w:name w:val="Bullet 0"/>
    <w:basedOn w:val="Normal"/>
    <w:pPr>
      <w:numPr>
        <w:numId w:val="29"/>
      </w:numPr>
    </w:pPr>
  </w:style>
  <w:style w:type="paragraph" w:customStyle="1" w:styleId="Bullet1">
    <w:name w:val="Bullet 1"/>
    <w:basedOn w:val="Normal"/>
    <w:pPr>
      <w:numPr>
        <w:numId w:val="30"/>
      </w:numPr>
    </w:pPr>
  </w:style>
  <w:style w:type="paragraph" w:customStyle="1" w:styleId="Bullet2">
    <w:name w:val="Bullet 2"/>
    <w:basedOn w:val="Normal"/>
    <w:pPr>
      <w:numPr>
        <w:numId w:val="31"/>
      </w:numPr>
    </w:pPr>
  </w:style>
  <w:style w:type="paragraph" w:customStyle="1" w:styleId="Bullet3">
    <w:name w:val="Bullet 3"/>
    <w:basedOn w:val="Normal"/>
    <w:pPr>
      <w:numPr>
        <w:numId w:val="32"/>
      </w:numPr>
    </w:pPr>
  </w:style>
  <w:style w:type="paragraph" w:customStyle="1" w:styleId="Bullet4">
    <w:name w:val="Bullet 4"/>
    <w:basedOn w:val="Normal"/>
    <w:pPr>
      <w:numPr>
        <w:numId w:val="3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3169">
      <w:bodyDiv w:val="1"/>
      <w:marLeft w:val="0"/>
      <w:marRight w:val="0"/>
      <w:marTop w:val="0"/>
      <w:marBottom w:val="0"/>
      <w:divBdr>
        <w:top w:val="none" w:sz="0" w:space="0" w:color="auto"/>
        <w:left w:val="none" w:sz="0" w:space="0" w:color="auto"/>
        <w:bottom w:val="none" w:sz="0" w:space="0" w:color="auto"/>
        <w:right w:val="none" w:sz="0" w:space="0" w:color="auto"/>
      </w:divBdr>
    </w:div>
    <w:div w:id="1313559427">
      <w:bodyDiv w:val="1"/>
      <w:marLeft w:val="0"/>
      <w:marRight w:val="0"/>
      <w:marTop w:val="0"/>
      <w:marBottom w:val="0"/>
      <w:divBdr>
        <w:top w:val="none" w:sz="0" w:space="0" w:color="auto"/>
        <w:left w:val="none" w:sz="0" w:space="0" w:color="auto"/>
        <w:bottom w:val="none" w:sz="0" w:space="0" w:color="auto"/>
        <w:right w:val="none" w:sz="0" w:space="0" w:color="auto"/>
      </w:divBdr>
    </w:div>
    <w:div w:id="1396316435">
      <w:bodyDiv w:val="1"/>
      <w:marLeft w:val="0"/>
      <w:marRight w:val="0"/>
      <w:marTop w:val="0"/>
      <w:marBottom w:val="0"/>
      <w:divBdr>
        <w:top w:val="none" w:sz="0" w:space="0" w:color="auto"/>
        <w:left w:val="none" w:sz="0" w:space="0" w:color="auto"/>
        <w:bottom w:val="none" w:sz="0" w:space="0" w:color="auto"/>
        <w:right w:val="none" w:sz="0" w:space="0" w:color="auto"/>
      </w:divBdr>
    </w:div>
    <w:div w:id="206991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cec/budg/leg/internal/leg-070_internal_en.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digital-single-market/en/news/ministerial-declaration-egovernment-tallinn-declaration" TargetMode="External"/><Relationship Id="rId2" Type="http://schemas.openxmlformats.org/officeDocument/2006/relationships/hyperlink" Target="https://ec.europa.eu/info/sites/info/files/strategic-plan-2016-2020-dg-taxud_march2016_en.pdf" TargetMode="External"/><Relationship Id="rId1" Type="http://schemas.openxmlformats.org/officeDocument/2006/relationships/hyperlink" Target="https://ec.europa.eu/isa2/sites/isa/files/isa_annex_ii_eif_en.pdf" TargetMode="External"/><Relationship Id="rId5" Type="http://schemas.openxmlformats.org/officeDocument/2006/relationships/hyperlink" Target="http://www.cc.cec/budg/man/budgmanag/budgmanag_bg.html" TargetMode="External"/><Relationship Id="rId4" Type="http://schemas.openxmlformats.org/officeDocument/2006/relationships/hyperlink" Target="http://data.consilium.europa.eu/doc/document/ST-16507-2014-INIT/bg/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58CA5-31DD-4B33-8B78-449B5960F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7</TotalTime>
  <Pages>66</Pages>
  <Words>20190</Words>
  <Characters>122555</Characters>
  <Application>Microsoft Office Word</Application>
  <DocSecurity>0</DocSecurity>
  <Lines>3225</Lines>
  <Paragraphs>1098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20</cp:revision>
  <dcterms:created xsi:type="dcterms:W3CDTF">2020-10-30T10:47:00Z</dcterms:created>
  <dcterms:modified xsi:type="dcterms:W3CDTF">2020-11-04T14:22:00Z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8.0, Build 20200910</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LWTemplateID">
    <vt:lpwstr>SJ-023</vt:lpwstr>
  </property>
  <property fmtid="{D5CDD505-2E9C-101B-9397-08002B2CF9AE}" pid="6" name="Last edited using">
    <vt:lpwstr>LW 7.0.1, Build 20190916</vt:lpwstr>
  </property>
  <property fmtid="{D5CDD505-2E9C-101B-9397-08002B2CF9AE}" pid="7" name="Part">
    <vt:lpwstr>1</vt:lpwstr>
  </property>
  <property fmtid="{D5CDD505-2E9C-101B-9397-08002B2CF9AE}" pid="8" name="Total parts">
    <vt:lpwstr>1</vt:lpwstr>
  </property>
  <property fmtid="{D5CDD505-2E9C-101B-9397-08002B2CF9AE}" pid="9" name="DQCStatus">
    <vt:lpwstr>Green (DQC version 03)</vt:lpwstr>
  </property>
</Properties>
</file>