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A265ACD-A1B7-4BA3-8141-366717B1C417" style="width:450.75pt;height:348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76" w:lineRule="auto"/>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szCs w:val="24"/>
          <w:u w:val="single"/>
        </w:rPr>
        <w:lastRenderedPageBreak/>
        <w:t>Директива 2008/48/ЕО — Доклад до съзаконодателите (в съответствие с член 27, параграф 2 от ДПК)</w:t>
      </w:r>
    </w:p>
    <w:p>
      <w:pPr>
        <w:numPr>
          <w:ilvl w:val="0"/>
          <w:numId w:val="1"/>
        </w:numPr>
        <w:spacing w:line="276" w:lineRule="auto"/>
        <w:ind w:left="1077"/>
        <w:rPr>
          <w:rFonts w:ascii="Times New Roman" w:hAnsi="Times New Roman" w:cs="Times New Roman"/>
          <w:b/>
          <w:noProof/>
          <w:sz w:val="24"/>
          <w:szCs w:val="24"/>
        </w:rPr>
      </w:pPr>
      <w:r>
        <w:rPr>
          <w:rFonts w:ascii="Times New Roman" w:hAnsi="Times New Roman"/>
          <w:b/>
          <w:noProof/>
          <w:sz w:val="24"/>
          <w:szCs w:val="24"/>
        </w:rPr>
        <w:t>Въведение</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С Директива 2008/48/ЕО относно договорите за потребителски кредити (Директива относно потребителските кредити — „директивата“)</w:t>
      </w:r>
      <w:r>
        <w:rPr>
          <w:rFonts w:ascii="Times New Roman" w:hAnsi="Times New Roman" w:cs="Times New Roman"/>
          <w:noProof/>
          <w:sz w:val="24"/>
          <w:szCs w:val="24"/>
          <w:vertAlign w:val="superscript"/>
          <w:lang w:val="en-IE"/>
        </w:rPr>
        <w:footnoteReference w:id="1"/>
      </w:r>
      <w:r>
        <w:rPr>
          <w:rFonts w:ascii="Times New Roman" w:hAnsi="Times New Roman"/>
          <w:noProof/>
          <w:sz w:val="24"/>
          <w:szCs w:val="24"/>
        </w:rPr>
        <w:t xml:space="preserve"> се хармонизират определени законови, подзаконови и административни разпоредби на държавите членки относно договорите за потребителски кредити. Тя има две основни цели: </w:t>
      </w:r>
    </w:p>
    <w:p>
      <w:pPr>
        <w:numPr>
          <w:ilvl w:val="0"/>
          <w:numId w:val="2"/>
        </w:numPr>
        <w:spacing w:line="276"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да се подобри защитата на потребителите, с което да се повиши доверието на потребителите, и </w:t>
      </w:r>
    </w:p>
    <w:p>
      <w:pPr>
        <w:numPr>
          <w:ilvl w:val="0"/>
          <w:numId w:val="2"/>
        </w:numPr>
        <w:spacing w:line="276" w:lineRule="auto"/>
        <w:contextualSpacing/>
        <w:jc w:val="both"/>
        <w:rPr>
          <w:rFonts w:ascii="Times New Roman" w:hAnsi="Times New Roman" w:cs="Times New Roman"/>
          <w:noProof/>
          <w:sz w:val="24"/>
          <w:szCs w:val="24"/>
        </w:rPr>
      </w:pPr>
      <w:r>
        <w:rPr>
          <w:rFonts w:ascii="Times New Roman" w:hAnsi="Times New Roman"/>
          <w:noProof/>
          <w:sz w:val="24"/>
          <w:szCs w:val="24"/>
        </w:rPr>
        <w:t>да се насърчи изграждането на добре функциониращ вътрешен пазар на потребителски кредити, предлагани трансгранично, като се осигурят равни условия за доставчиците на потребителски кредити във всички държави членки.</w:t>
      </w:r>
    </w:p>
    <w:p>
      <w:pPr>
        <w:spacing w:line="276" w:lineRule="auto"/>
        <w:ind w:left="1080"/>
        <w:contextualSpacing/>
        <w:jc w:val="both"/>
        <w:rPr>
          <w:rFonts w:ascii="Times New Roman" w:hAnsi="Times New Roman" w:cs="Times New Roman"/>
          <w:noProof/>
          <w:sz w:val="24"/>
          <w:szCs w:val="24"/>
        </w:rPr>
      </w:pPr>
    </w:p>
    <w:p>
      <w:pPr>
        <w:spacing w:line="276" w:lineRule="auto"/>
        <w:jc w:val="both"/>
        <w:rPr>
          <w:rFonts w:ascii="Times New Roman" w:hAnsi="Times New Roman" w:cs="Times New Roman"/>
          <w:noProof/>
          <w:spacing w:val="-4"/>
          <w:sz w:val="24"/>
          <w:szCs w:val="24"/>
        </w:rPr>
      </w:pPr>
      <w:r>
        <w:rPr>
          <w:rFonts w:ascii="Times New Roman" w:hAnsi="Times New Roman"/>
          <w:noProof/>
          <w:spacing w:val="-4"/>
          <w:sz w:val="24"/>
          <w:szCs w:val="24"/>
        </w:rPr>
        <w:t>С директивата не се цели насърчаването на потребителите да теглят повече кредити, а по-скоро да им се осигури цялата необходима информация, за да обмислят и сравнят предложенията, преди да изтеглят кредит, и да им се предоставят права, в случай че променят решението си. Тя обхваща потребителските кредити между 200 EUR и 75 000 EUR, като например кредити, предоставени за лично ползване, овърдрафти и кредитни карти, както и необезпечени кредити над 75 000 EUR, чиято цел е ремонт на жилищен недвижим имот. Директивата не се прилага за определени видове потребителски кредити (например определени безлихвени кредити, определени договори за лизинг).</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Директивата влезе в сила през юни 2008 г. и държавите членки разполагаха със срок за транспонирането ѝ до 11 юни 2010 г. Понастоящем няма висящи процедури за нарушения срещу държави членки за нетранспониране на директивата</w:t>
      </w:r>
      <w:r>
        <w:rPr>
          <w:rFonts w:ascii="Times New Roman" w:hAnsi="Times New Roman" w:cs="Times New Roman"/>
          <w:noProof/>
          <w:sz w:val="24"/>
          <w:szCs w:val="24"/>
          <w:vertAlign w:val="superscript"/>
          <w:lang w:val="en-IE"/>
        </w:rPr>
        <w:footnoteReference w:id="2"/>
      </w:r>
      <w:r>
        <w:rPr>
          <w:rFonts w:ascii="Times New Roman" w:hAnsi="Times New Roman"/>
          <w:noProof/>
          <w:sz w:val="24"/>
          <w:szCs w:val="24"/>
        </w:rPr>
        <w:t xml:space="preserve">. </w:t>
      </w:r>
    </w:p>
    <w:p>
      <w:pPr>
        <w:spacing w:line="276" w:lineRule="auto"/>
        <w:jc w:val="both"/>
        <w:rPr>
          <w:rFonts w:ascii="Times New Roman" w:hAnsi="Times New Roman" w:cs="Times New Roman"/>
          <w:noProof/>
          <w:spacing w:val="-4"/>
          <w:sz w:val="24"/>
          <w:szCs w:val="24"/>
        </w:rPr>
      </w:pPr>
      <w:r>
        <w:rPr>
          <w:rFonts w:ascii="Times New Roman" w:hAnsi="Times New Roman"/>
          <w:noProof/>
          <w:spacing w:val="-4"/>
          <w:sz w:val="24"/>
          <w:szCs w:val="24"/>
        </w:rPr>
        <w:t>Директивата предизвика значителни реформи на средата за потребителски кредити в повечето държави членки. Държавите членки трябваше или да разработят и въведат изцяло нова правна уредба, приложима за кредитния пазар, или да изменят съществуващото си законодателство. Доколкото директивата въведе хармонизирани разпоредби, държавите членки нямат право да запазят или въвеждат в националното си законодателство разпоредби, различни от предвидените в директивата. На държавите членки обаче беше предоставена известна свобода на преценка, за да използват определени регулаторни възможности, в девет незадължителни разпоредби</w:t>
      </w:r>
      <w:r>
        <w:rPr>
          <w:rFonts w:ascii="Times New Roman" w:hAnsi="Times New Roman" w:cs="Times New Roman"/>
          <w:noProof/>
          <w:spacing w:val="-4"/>
          <w:sz w:val="24"/>
          <w:szCs w:val="24"/>
          <w:vertAlign w:val="superscript"/>
          <w:lang w:val="en-GB"/>
        </w:rPr>
        <w:footnoteReference w:id="3"/>
      </w:r>
      <w:r>
        <w:rPr>
          <w:rFonts w:ascii="Times New Roman" w:hAnsi="Times New Roman"/>
          <w:noProof/>
          <w:spacing w:val="-4"/>
          <w:sz w:val="24"/>
          <w:szCs w:val="24"/>
        </w:rPr>
        <w:t>. В допълнение в някои разпоредби на директивата се определят ясни цели, но не се уточнява конкретно резултатът, който трябва да бъде постигнат. Това предостави на държавите членки определена допълнителна свобода на преценка при прилагането на директивата.</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Съгласно член 27, параграф 2 от директивата се изисква Комисията да следи начина, по който регулаторните възможности на държавите членки въздействат на вътрешния пазар и потребителите</w:t>
      </w:r>
      <w:r>
        <w:rPr>
          <w:rFonts w:ascii="Times New Roman" w:hAnsi="Times New Roman" w:cs="Times New Roman"/>
          <w:noProof/>
          <w:sz w:val="24"/>
          <w:szCs w:val="24"/>
          <w:vertAlign w:val="superscript"/>
          <w:lang w:val="en-IE"/>
        </w:rPr>
        <w:footnoteReference w:id="4"/>
      </w:r>
      <w:r>
        <w:rPr>
          <w:rFonts w:ascii="Times New Roman" w:hAnsi="Times New Roman"/>
          <w:noProof/>
          <w:sz w:val="24"/>
          <w:szCs w:val="24"/>
        </w:rPr>
        <w:t>. Освен това Комисията подчерта в Плана за действие в областта на финансовите услуги за потребители от 2017 г.</w:t>
      </w:r>
      <w:r>
        <w:rPr>
          <w:rFonts w:ascii="Times New Roman" w:hAnsi="Times New Roman" w:cs="Times New Roman"/>
          <w:noProof/>
          <w:sz w:val="24"/>
          <w:szCs w:val="24"/>
          <w:vertAlign w:val="superscript"/>
          <w:lang w:val="en-IE"/>
        </w:rPr>
        <w:footnoteReference w:id="5"/>
      </w:r>
      <w:r>
        <w:rPr>
          <w:rFonts w:ascii="Times New Roman" w:hAnsi="Times New Roman"/>
          <w:noProof/>
          <w:sz w:val="24"/>
          <w:szCs w:val="24"/>
        </w:rPr>
        <w:t xml:space="preserve"> значението на i) по-задълбочен и сигурен единен пазар на потребителски кредити</w:t>
      </w:r>
      <w:r>
        <w:rPr>
          <w:rFonts w:ascii="Times New Roman" w:hAnsi="Times New Roman" w:cs="Times New Roman"/>
          <w:noProof/>
          <w:sz w:val="24"/>
          <w:szCs w:val="24"/>
          <w:vertAlign w:val="superscript"/>
          <w:lang w:val="en-IE"/>
        </w:rPr>
        <w:footnoteReference w:id="6"/>
      </w:r>
      <w:r>
        <w:rPr>
          <w:rFonts w:ascii="Times New Roman" w:hAnsi="Times New Roman"/>
          <w:noProof/>
          <w:sz w:val="24"/>
          <w:szCs w:val="24"/>
        </w:rPr>
        <w:t>, както и на ii) по-добри оценки на кредитоспособността</w:t>
      </w:r>
      <w:r>
        <w:rPr>
          <w:rFonts w:ascii="Times New Roman" w:hAnsi="Times New Roman" w:cs="Times New Roman"/>
          <w:noProof/>
          <w:sz w:val="24"/>
          <w:szCs w:val="24"/>
          <w:vertAlign w:val="superscript"/>
          <w:lang w:val="en-IE"/>
        </w:rPr>
        <w:footnoteReference w:id="7"/>
      </w:r>
      <w:r>
        <w:rPr>
          <w:rFonts w:ascii="Times New Roman" w:hAnsi="Times New Roman"/>
          <w:noProof/>
          <w:sz w:val="24"/>
          <w:szCs w:val="24"/>
        </w:rPr>
        <w:t xml:space="preserve">. </w:t>
      </w:r>
      <w:r>
        <w:rPr>
          <w:noProof/>
        </w:rPr>
        <w:t xml:space="preserve">В </w:t>
      </w:r>
      <w:hyperlink r:id="rId16" w:history="1">
        <w:r>
          <w:rPr>
            <w:rFonts w:ascii="Times New Roman" w:hAnsi="Times New Roman"/>
            <w:noProof/>
            <w:color w:val="0000FF"/>
            <w:sz w:val="24"/>
            <w:szCs w:val="24"/>
            <w:u w:val="single"/>
          </w:rPr>
          <w:t xml:space="preserve">становището на платформата REFIT </w:t>
        </w:r>
      </w:hyperlink>
      <w:r>
        <w:rPr>
          <w:rFonts w:ascii="Times New Roman" w:hAnsi="Times New Roman"/>
          <w:noProof/>
          <w:sz w:val="24"/>
          <w:szCs w:val="24"/>
        </w:rPr>
        <w:t>на Комисията през 2019 г. се препоръчва да се оцени уместността, ефективността и ефикасността на изискванията за стандартна информация, която трябва да бъде включена в рекламите.</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В този контекст Комисията реши да извърши цялостна оценка на директивата с цел да оцени нейната ефективност, ефикасност, съгласуваност, уместност и добавена стойност от ЕС</w:t>
      </w:r>
      <w:r>
        <w:rPr>
          <w:rFonts w:ascii="Times New Roman" w:hAnsi="Times New Roman" w:cs="Times New Roman"/>
          <w:noProof/>
          <w:sz w:val="24"/>
          <w:szCs w:val="24"/>
          <w:vertAlign w:val="superscript"/>
          <w:lang w:val="en-GB"/>
        </w:rPr>
        <w:footnoteReference w:id="8"/>
      </w:r>
      <w:r>
        <w:rPr>
          <w:rFonts w:ascii="Times New Roman" w:hAnsi="Times New Roman"/>
          <w:noProof/>
          <w:sz w:val="24"/>
          <w:szCs w:val="24"/>
        </w:rPr>
        <w:t>. Оценката беше извършена в съответствие с принципите за по-добро регулиране и включваше открита обществена консултация между януари и април 2019 г. и други дейности за консултиране със заинтересованите страни.</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Настоящият доклад представя ключовите резултати от оценката и поуките, извлечени от прилагането на директивата през последните 10 години, включително съображенията, изисквани съгласно член 27, параграф 2 от директивата</w:t>
      </w:r>
      <w:r>
        <w:rPr>
          <w:rFonts w:ascii="Times New Roman" w:hAnsi="Times New Roman" w:cs="Times New Roman"/>
          <w:noProof/>
          <w:sz w:val="24"/>
          <w:szCs w:val="24"/>
          <w:vertAlign w:val="superscript"/>
          <w:lang w:val="en-IE"/>
        </w:rPr>
        <w:footnoteReference w:id="9"/>
      </w:r>
      <w:r>
        <w:rPr>
          <w:rFonts w:ascii="Times New Roman" w:hAnsi="Times New Roman"/>
          <w:noProof/>
          <w:sz w:val="24"/>
          <w:szCs w:val="24"/>
        </w:rPr>
        <w:t>. Той се основава на резултатите от изчерпателен документ за оценка, изготвен от службите на Комисията</w:t>
      </w:r>
      <w:r>
        <w:rPr>
          <w:rFonts w:ascii="Times New Roman" w:hAnsi="Times New Roman" w:cs="Times New Roman"/>
          <w:noProof/>
          <w:sz w:val="24"/>
          <w:szCs w:val="24"/>
          <w:vertAlign w:val="superscript"/>
          <w:lang w:val="en-IE"/>
        </w:rPr>
        <w:footnoteReference w:id="10"/>
      </w:r>
      <w:r>
        <w:rPr>
          <w:rFonts w:ascii="Times New Roman" w:hAnsi="Times New Roman"/>
          <w:noProof/>
          <w:sz w:val="24"/>
          <w:szCs w:val="24"/>
        </w:rPr>
        <w:t xml:space="preserve"> и публикуван едновременно с доклада.</w:t>
      </w:r>
    </w:p>
    <w:p>
      <w:pPr>
        <w:numPr>
          <w:ilvl w:val="0"/>
          <w:numId w:val="1"/>
        </w:numPr>
        <w:spacing w:line="276" w:lineRule="auto"/>
        <w:contextualSpacing/>
        <w:jc w:val="both"/>
        <w:rPr>
          <w:rFonts w:ascii="Times New Roman" w:hAnsi="Times New Roman" w:cs="Times New Roman"/>
          <w:b/>
          <w:noProof/>
          <w:sz w:val="24"/>
          <w:szCs w:val="24"/>
        </w:rPr>
      </w:pPr>
      <w:r>
        <w:rPr>
          <w:rFonts w:ascii="Times New Roman" w:hAnsi="Times New Roman"/>
          <w:b/>
          <w:noProof/>
          <w:sz w:val="24"/>
          <w:szCs w:val="24"/>
        </w:rPr>
        <w:t>Ключови резултати от оценката</w:t>
      </w:r>
    </w:p>
    <w:p>
      <w:pPr>
        <w:spacing w:line="276" w:lineRule="auto"/>
        <w:ind w:left="720"/>
        <w:contextualSpacing/>
        <w:jc w:val="both"/>
        <w:rPr>
          <w:rFonts w:ascii="Times New Roman" w:hAnsi="Times New Roman" w:cs="Times New Roman"/>
          <w:i/>
          <w:noProof/>
          <w:sz w:val="24"/>
          <w:szCs w:val="24"/>
          <w:u w:val="single"/>
          <w:lang w:val="en-IE"/>
        </w:rPr>
      </w:pPr>
    </w:p>
    <w:p>
      <w:pPr>
        <w:numPr>
          <w:ilvl w:val="1"/>
          <w:numId w:val="1"/>
        </w:numPr>
        <w:spacing w:line="276" w:lineRule="auto"/>
        <w:ind w:left="641" w:hanging="357"/>
        <w:jc w:val="both"/>
        <w:rPr>
          <w:rFonts w:ascii="Times New Roman" w:hAnsi="Times New Roman" w:cs="Times New Roman"/>
          <w:noProof/>
        </w:rPr>
      </w:pPr>
      <w:r>
        <w:rPr>
          <w:rFonts w:ascii="Times New Roman" w:hAnsi="Times New Roman"/>
          <w:noProof/>
          <w:sz w:val="24"/>
          <w:szCs w:val="24"/>
          <w:u w:val="single"/>
        </w:rPr>
        <w:t>Общ резултат</w:t>
      </w:r>
    </w:p>
    <w:p>
      <w:pPr>
        <w:spacing w:line="276" w:lineRule="auto"/>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Общата констатация от оценката е, че директивата е била </w:t>
      </w:r>
      <w:r>
        <w:rPr>
          <w:rFonts w:ascii="Times New Roman" w:hAnsi="Times New Roman"/>
          <w:b/>
          <w:noProof/>
          <w:spacing w:val="-6"/>
          <w:sz w:val="24"/>
          <w:szCs w:val="24"/>
        </w:rPr>
        <w:t>частично ефективна</w:t>
      </w:r>
      <w:r>
        <w:rPr>
          <w:rFonts w:ascii="Times New Roman" w:hAnsi="Times New Roman"/>
          <w:noProof/>
          <w:spacing w:val="-6"/>
          <w:sz w:val="24"/>
          <w:szCs w:val="24"/>
        </w:rPr>
        <w:t xml:space="preserve"> в осигуряването на високи стандарти за защита на потребителите и насърчаване на развитието на единен пазар на кредитите и че нейните </w:t>
      </w:r>
      <w:r>
        <w:rPr>
          <w:rFonts w:ascii="Times New Roman" w:hAnsi="Times New Roman"/>
          <w:b/>
          <w:noProof/>
          <w:spacing w:val="-6"/>
          <w:sz w:val="24"/>
          <w:szCs w:val="24"/>
        </w:rPr>
        <w:t>цели продължават да бъдат уместни</w:t>
      </w:r>
      <w:r>
        <w:rPr>
          <w:rFonts w:ascii="Times New Roman" w:hAnsi="Times New Roman"/>
          <w:noProof/>
          <w:spacing w:val="-6"/>
          <w:sz w:val="24"/>
          <w:szCs w:val="24"/>
        </w:rPr>
        <w:t xml:space="preserve"> в контекста на регулаторната среда, която показва значителна разпокъсаност в целия ЕС.</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Ефективност</w:t>
      </w:r>
    </w:p>
    <w:p>
      <w:pPr>
        <w:spacing w:line="276" w:lineRule="auto"/>
        <w:jc w:val="both"/>
        <w:rPr>
          <w:rFonts w:ascii="Times New Roman" w:hAnsi="Times New Roman" w:cs="Times New Roman"/>
          <w:noProof/>
          <w:spacing w:val="-6"/>
          <w:sz w:val="24"/>
          <w:szCs w:val="24"/>
        </w:rPr>
      </w:pPr>
      <w:r>
        <w:rPr>
          <w:rFonts w:ascii="Times New Roman" w:hAnsi="Times New Roman"/>
          <w:noProof/>
          <w:spacing w:val="-6"/>
          <w:sz w:val="24"/>
          <w:szCs w:val="24"/>
        </w:rPr>
        <w:t>Частично са постигнати високо равнище на защита на потребителите и изграждането на добре функциониращ вътрешен пазар. Най-ефективните разпоредби в директивата са свързани с разпоредбите относно правата на отказ и предсрочно погасяване и разпоредбата, която регламентира годишния процент на разходите. От друга страна, разпоредбите относно оценките на кредитоспособността и кредитните бази данни не са били изцяло ефективни. Причините директивата да бъде само частично ефективна произтичат както от самата директива (например неточни формулировки на определени членове), така и от външни фактори, като например практическото прилагане и изпълнение в държавите членки</w:t>
      </w:r>
      <w:r>
        <w:rPr>
          <w:rFonts w:ascii="Times New Roman" w:hAnsi="Times New Roman" w:cs="Times New Roman"/>
          <w:noProof/>
          <w:spacing w:val="-6"/>
          <w:sz w:val="24"/>
          <w:szCs w:val="24"/>
          <w:vertAlign w:val="superscript"/>
          <w:lang w:val="en-IE"/>
        </w:rPr>
        <w:footnoteReference w:id="11"/>
      </w:r>
      <w:r>
        <w:rPr>
          <w:rFonts w:ascii="Times New Roman" w:hAnsi="Times New Roman"/>
          <w:noProof/>
          <w:spacing w:val="-6"/>
          <w:sz w:val="24"/>
          <w:szCs w:val="24"/>
        </w:rPr>
        <w:t>, и аспекти на пазара на потребителските кредити, които не попадат в обхвата на директивата.</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Ефикасност</w:t>
      </w:r>
    </w:p>
    <w:p>
      <w:pPr>
        <w:spacing w:line="276" w:lineRule="auto"/>
        <w:jc w:val="both"/>
        <w:rPr>
          <w:rFonts w:ascii="Times New Roman" w:hAnsi="Times New Roman" w:cs="Times New Roman"/>
          <w:i/>
          <w:noProof/>
          <w:sz w:val="24"/>
          <w:szCs w:val="24"/>
          <w:highlight w:val="yellow"/>
        </w:rPr>
      </w:pPr>
      <w:r>
        <w:rPr>
          <w:rFonts w:ascii="Times New Roman" w:hAnsi="Times New Roman"/>
          <w:noProof/>
          <w:sz w:val="24"/>
          <w:szCs w:val="24"/>
        </w:rPr>
        <w:t>Влизането в сила на директивата е породило редица първоначални и текущи разходи (например разходи на частните дружества за обучение на персонал и за учредяване; разходи на публичните органи за мониторинг, привеждане в съответствие и изпълнение). Главната констатация обаче е, че основната полза от директивата, а именно намаляването на вредите за потребителите, надделява над разходите.</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Съгласуваност</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Директивата е като цяло съгласувана и допълва другата политика и законодателство за потребителите на равнище ЕС. Макар че не съществуват значими несъответствия с друго приложимо законодателство на равнище ЕС, допълнителното привеждане в съответствие или полезните взаимодействия с такова законодателство може да помогнат за подобряване на правната яснота за потребителите и кредиторите. Един такъв случай се отнася до оценката на кредитоспособността и възможната необходимост директивата да бъде по-добре съгласувана съответно с Директивата за ипотечните кредити и Общия регламент относно защитата на данните.</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Уместност</w:t>
      </w:r>
    </w:p>
    <w:p>
      <w:pPr>
        <w:spacing w:line="276" w:lineRule="auto"/>
        <w:jc w:val="both"/>
        <w:rPr>
          <w:rFonts w:ascii="Times New Roman" w:hAnsi="Times New Roman" w:cs="Times New Roman"/>
          <w:noProof/>
          <w:spacing w:val="-6"/>
          <w:sz w:val="24"/>
          <w:szCs w:val="24"/>
        </w:rPr>
      </w:pPr>
      <w:r>
        <w:rPr>
          <w:rFonts w:ascii="Times New Roman" w:hAnsi="Times New Roman"/>
          <w:noProof/>
          <w:spacing w:val="-6"/>
          <w:sz w:val="24"/>
          <w:szCs w:val="24"/>
        </w:rPr>
        <w:t>Двете основни цели на директивата, а именно постигането на по-високи стандарти за защита на потребителите и създаването на трансграничен пазар, остават уместни. За да се поддържа нейната уместност обаче в краткосрочен и средносрочен план, може да е необходимо в обхвата на директивата да се включат нововъзникващите навици на потребителите и възникващите пазарни промени, предизвикани от цифровизацията. Това не изисква промяна на самите цели, а евентуална адаптация на някои от разпоредбите на директивата.</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Добавена стойност от ЕС</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Добавената стойност на директивата се състои в създаването на високо ниво на защита на потребителите в целия ЕС и намаляването на разпокъсаността на регулаторната рамка на ЕС чрез въвеждането на определени разпоредби за хармонизация (например стандартизирани формати на информацията), с което да се подобри защитата на потребителите и да се намалят пречките за предоставянето на трансгранични кредити. </w:t>
      </w:r>
    </w:p>
    <w:p>
      <w:pPr>
        <w:numPr>
          <w:ilvl w:val="1"/>
          <w:numId w:val="1"/>
        </w:numPr>
        <w:spacing w:line="276" w:lineRule="auto"/>
        <w:ind w:left="641" w:hanging="357"/>
        <w:jc w:val="both"/>
        <w:rPr>
          <w:rFonts w:ascii="Times New Roman" w:hAnsi="Times New Roman" w:cs="Times New Roman"/>
          <w:noProof/>
          <w:sz w:val="24"/>
          <w:szCs w:val="24"/>
          <w:u w:val="single"/>
        </w:rPr>
      </w:pPr>
      <w:r>
        <w:rPr>
          <w:rFonts w:ascii="Times New Roman" w:hAnsi="Times New Roman"/>
          <w:noProof/>
          <w:sz w:val="24"/>
          <w:szCs w:val="24"/>
          <w:u w:val="single"/>
        </w:rPr>
        <w:t xml:space="preserve">Ключови изменения на кредитния пазар, които засягат директивата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Ефективността, ефикасността, съгласуваността, уместността и добавената стойност от директивата са повлияни от няколко тенденции на кредитния пазар през последните 10 години: </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 xml:space="preserve">Цифровизация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Цифровизацията промени коренно процеса на вземане на решения и цялостните навици на потребителите. Това въздейства и на сектора на кредитирането, който постепенно се цифровизира с увеличаващ се брой договори за потребителски кредити, договорени и/или сключени онлайн. Тенденцията към по-голяма цифровизация се очаква да продължи</w:t>
      </w:r>
      <w:r>
        <w:rPr>
          <w:rFonts w:ascii="Times New Roman" w:hAnsi="Times New Roman" w:cs="Times New Roman"/>
          <w:noProof/>
          <w:sz w:val="24"/>
          <w:szCs w:val="24"/>
          <w:vertAlign w:val="superscript"/>
          <w:lang w:val="en-GB"/>
        </w:rPr>
        <w:footnoteReference w:id="12"/>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Цифровизацията също доведе със себе си нови пазарни участници, предлагащи договори за кредити под различни форми, като например кредити от платформи или кредитиране между физически лица. Това предизвика дискусии относно това дали новите пазарни участници попадат или следва да попадат в обхвата на директивата и дали текущото определение за „кредитор“, както е установено в директивата, е достатъчно. Цифровизацията също така постави под въпрос пригодността на съществуващите членове относно преддоговорната информация за една безкнижна среда, в която се борави с цифрови инструменти, като например мобилни телефони и таблети.</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Нови продукти</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На пазара на потребителските кредити са се появили нови продукти в резултат на иновации или чрез адаптиране от страна на сектора на корпоративните финанси — например краткосрочни кредити с високи разходи, револвиращи кредити или кредитиране между физически лица.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Някои от тези нови продукти понастоящем не попадат в обхвата на директивата. В същото време някои от тях пораждат особени рискове за потребителите, тъй като свързаните с тях разходи по кредита може да бъдат или много високи от самото начало, или да се увеличават бързо с времето, с което създават риска потребителят да задлъжнява все повече.</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Предпочитания на потребителите</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През последните десет години процесите на вземане на решения от страна на потребителите за теглене на кредит са се променили не само в резултат от цифровизацията, но и поради трансформирането на потребителските навици. Обществената консултация през 2019 г.</w:t>
      </w:r>
      <w:r>
        <w:rPr>
          <w:rFonts w:ascii="Times New Roman" w:hAnsi="Times New Roman" w:cs="Times New Roman"/>
          <w:noProof/>
          <w:sz w:val="24"/>
          <w:szCs w:val="24"/>
          <w:vertAlign w:val="superscript"/>
          <w:lang w:val="en-GB"/>
        </w:rPr>
        <w:footnoteReference w:id="13"/>
      </w:r>
      <w:r>
        <w:rPr>
          <w:rFonts w:ascii="Times New Roman" w:hAnsi="Times New Roman"/>
          <w:noProof/>
          <w:sz w:val="24"/>
          <w:szCs w:val="24"/>
        </w:rPr>
        <w:t xml:space="preserve"> показа, че потребителите обръщат повече внимание на по-гладкия и по-бърз процес на получаване на кредит, отколкото на местоположението или самоличността на кредитора.</w:t>
      </w:r>
    </w:p>
    <w:p>
      <w:pPr>
        <w:numPr>
          <w:ilvl w:val="1"/>
          <w:numId w:val="1"/>
        </w:numPr>
        <w:spacing w:line="276" w:lineRule="auto"/>
        <w:ind w:left="641" w:hanging="357"/>
        <w:rPr>
          <w:rFonts w:ascii="Times New Roman" w:hAnsi="Times New Roman" w:cs="Times New Roman"/>
          <w:noProof/>
          <w:sz w:val="24"/>
          <w:szCs w:val="24"/>
        </w:rPr>
      </w:pPr>
      <w:r>
        <w:rPr>
          <w:rFonts w:ascii="Times New Roman" w:hAnsi="Times New Roman"/>
          <w:noProof/>
          <w:sz w:val="24"/>
          <w:szCs w:val="24"/>
          <w:u w:val="single"/>
        </w:rPr>
        <w:t xml:space="preserve">Области, в които директивата е имала особено положително въздействие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Независимо от гореспоменатите предизвикателства оценката показа, че директивата е довела до подобрение на защитата на потребителите и интеграцията на вътрешния пазар в редица области: </w:t>
      </w:r>
    </w:p>
    <w:p>
      <w:pPr>
        <w:spacing w:line="276" w:lineRule="auto"/>
        <w:rPr>
          <w:rFonts w:ascii="Times New Roman" w:hAnsi="Times New Roman" w:cs="Times New Roman"/>
          <w:i/>
          <w:noProof/>
          <w:sz w:val="24"/>
          <w:szCs w:val="24"/>
        </w:rPr>
      </w:pPr>
      <w:r>
        <w:rPr>
          <w:rFonts w:ascii="Times New Roman" w:hAnsi="Times New Roman"/>
          <w:i/>
          <w:noProof/>
          <w:sz w:val="24"/>
          <w:szCs w:val="24"/>
        </w:rPr>
        <w:t>Право на отказ и предсрочно погасяване</w:t>
      </w:r>
    </w:p>
    <w:p>
      <w:pPr>
        <w:spacing w:line="276" w:lineRule="auto"/>
        <w:jc w:val="both"/>
        <w:rPr>
          <w:rFonts w:ascii="Times New Roman" w:hAnsi="Times New Roman" w:cs="Times New Roman"/>
          <w:bCs/>
          <w:noProof/>
          <w:sz w:val="24"/>
          <w:szCs w:val="24"/>
        </w:rPr>
      </w:pPr>
      <w:r>
        <w:rPr>
          <w:rFonts w:ascii="Times New Roman" w:hAnsi="Times New Roman"/>
          <w:bCs/>
          <w:noProof/>
          <w:sz w:val="24"/>
          <w:szCs w:val="24"/>
        </w:rPr>
        <w:t>Потребителят разполага със срок от 14 календарни дни, в който може да се откаже от договора за кредит, без да посочва основания за това. В допълнение клаузата за предсрочно погасяване дава право на потребителя да погаси изцяло или частично във всеки един момент неизплатеното задължение по договор за кредит.</w:t>
      </w:r>
    </w:p>
    <w:p>
      <w:pPr>
        <w:spacing w:line="276" w:lineRule="auto"/>
        <w:jc w:val="both"/>
        <w:rPr>
          <w:rFonts w:ascii="Times New Roman" w:hAnsi="Times New Roman" w:cs="Times New Roman"/>
          <w:noProof/>
          <w:sz w:val="24"/>
          <w:szCs w:val="24"/>
        </w:rPr>
      </w:pPr>
      <w:r>
        <w:rPr>
          <w:rFonts w:ascii="Times New Roman" w:hAnsi="Times New Roman"/>
          <w:bCs/>
          <w:noProof/>
          <w:sz w:val="24"/>
          <w:szCs w:val="24"/>
        </w:rPr>
        <w:t>Съществува консенсус между потребителите, потребителските организации, длъжностните лица на държавите членки и кредиторите, че правото на отказ и правото на предсрочно погасяване са ефективни и като цяло функционират добре</w:t>
      </w:r>
      <w:r>
        <w:rPr>
          <w:rFonts w:ascii="Times New Roman" w:hAnsi="Times New Roman" w:cs="Times New Roman"/>
          <w:bCs/>
          <w:noProof/>
          <w:sz w:val="24"/>
          <w:szCs w:val="24"/>
          <w:vertAlign w:val="superscript"/>
          <w:lang w:val="en-GB"/>
        </w:rPr>
        <w:footnoteReference w:id="14"/>
      </w:r>
      <w:r>
        <w:rPr>
          <w:rFonts w:ascii="Times New Roman" w:hAnsi="Times New Roman"/>
          <w:bCs/>
          <w:noProof/>
          <w:sz w:val="24"/>
          <w:szCs w:val="24"/>
        </w:rPr>
        <w:t xml:space="preserve">. Счита се, че </w:t>
      </w:r>
      <w:r>
        <w:rPr>
          <w:rFonts w:ascii="Times New Roman" w:hAnsi="Times New Roman"/>
          <w:noProof/>
          <w:sz w:val="24"/>
          <w:szCs w:val="24"/>
        </w:rPr>
        <w:t>предлагат високи нива на защита на потребителите и също така показват добри нива на съответствие от страна на кредиторите</w:t>
      </w:r>
      <w:r>
        <w:rPr>
          <w:rFonts w:ascii="Times New Roman" w:hAnsi="Times New Roman" w:cs="Times New Roman"/>
          <w:noProof/>
          <w:sz w:val="24"/>
          <w:szCs w:val="24"/>
          <w:vertAlign w:val="superscript"/>
          <w:lang w:val="en-GB"/>
        </w:rPr>
        <w:footnoteReference w:id="15"/>
      </w:r>
      <w:r>
        <w:rPr>
          <w:rFonts w:ascii="Times New Roman" w:hAnsi="Times New Roman"/>
          <w:noProof/>
          <w:sz w:val="24"/>
          <w:szCs w:val="24"/>
        </w:rPr>
        <w:t xml:space="preserve">. </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 xml:space="preserve">Годишен процент на разходите </w:t>
      </w:r>
    </w:p>
    <w:p>
      <w:pPr>
        <w:spacing w:line="276" w:lineRule="auto"/>
        <w:jc w:val="both"/>
        <w:rPr>
          <w:rFonts w:ascii="Times New Roman" w:hAnsi="Times New Roman" w:cs="Times New Roman"/>
          <w:noProof/>
          <w:sz w:val="24"/>
          <w:szCs w:val="24"/>
        </w:rPr>
      </w:pPr>
      <w:r>
        <w:rPr>
          <w:rFonts w:ascii="Times New Roman" w:hAnsi="Times New Roman"/>
          <w:iCs/>
          <w:noProof/>
          <w:sz w:val="24"/>
          <w:szCs w:val="24"/>
        </w:rPr>
        <w:t xml:space="preserve">Годишният процент на разходите означава общите разходи по кредита за потребителя като годишен процент от общия размер на кредита. </w:t>
      </w:r>
      <w:r>
        <w:rPr>
          <w:rFonts w:ascii="Times New Roman" w:hAnsi="Times New Roman"/>
          <w:noProof/>
          <w:sz w:val="24"/>
          <w:szCs w:val="24"/>
        </w:rPr>
        <w:t xml:space="preserve">Въпреки че разпоредбата относно годишния процент на разходите вече съществуваше в предишното законодателство за потребителските кредити, директивата изцяло хармонизира изчисляването на годишния процент на разходите, като предостави съгласувана формула за изчисляването му във всички държави членки. </w:t>
      </w:r>
      <w:r>
        <w:rPr>
          <w:rFonts w:ascii="Times New Roman" w:hAnsi="Times New Roman"/>
          <w:iCs/>
          <w:noProof/>
          <w:sz w:val="24"/>
          <w:szCs w:val="24"/>
        </w:rPr>
        <w:t>Следователно директивата</w:t>
      </w:r>
      <w:r>
        <w:rPr>
          <w:rFonts w:ascii="Times New Roman" w:hAnsi="Times New Roman"/>
          <w:noProof/>
          <w:sz w:val="24"/>
          <w:szCs w:val="24"/>
        </w:rPr>
        <w:t xml:space="preserve"> предвижда общ и съпоставим инструмент с висока ефективност и добавена стойност за потребителите</w:t>
      </w:r>
      <w:r>
        <w:rPr>
          <w:rFonts w:ascii="Times New Roman" w:hAnsi="Times New Roman" w:cs="Times New Roman"/>
          <w:noProof/>
          <w:sz w:val="24"/>
          <w:szCs w:val="24"/>
          <w:vertAlign w:val="superscript"/>
          <w:lang w:val="en-GB"/>
        </w:rPr>
        <w:footnoteReference w:id="16"/>
      </w:r>
      <w:r>
        <w:rPr>
          <w:rFonts w:ascii="Times New Roman" w:hAnsi="Times New Roman"/>
          <w:noProof/>
          <w:sz w:val="24"/>
          <w:szCs w:val="24"/>
        </w:rPr>
        <w:t>.</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 xml:space="preserve">Преддоговорна информация: Формуляр на „Стандартна европейска информация относно потребителски кредит“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Директивата задължава кредитора, достатъчно време преди потребителят да бъде обвързан с договор или предложение за кредит, да предостави на потребителя информацията, необходима за сравняване на различните предложения и вземане на информирано решение за сключване на договор за кредит. Тази информация се предоставя посредством формуляра на „Стандартна европейска информация относно потребителски кредит“, който включва ключови данни като вида на кредита, годишния процент на разходите, броя и периодичността на погасителните вноски и общата дължима сума.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Като цяло заинтересованите страни потвърждават, че формулярът на „Стандартна европейска информация относно потребителски кредит“ е оказал положително въздействие върху защитата на потребителите, като чрез него им е била предоставена информация в лесен за разбиране и добре структуриран формат</w:t>
      </w:r>
      <w:r>
        <w:rPr>
          <w:rFonts w:ascii="Times New Roman" w:hAnsi="Times New Roman" w:cs="Times New Roman"/>
          <w:noProof/>
          <w:sz w:val="24"/>
          <w:szCs w:val="24"/>
          <w:vertAlign w:val="superscript"/>
          <w:lang w:val="en-GB"/>
        </w:rPr>
        <w:footnoteReference w:id="17"/>
      </w:r>
      <w:r>
        <w:rPr>
          <w:rFonts w:ascii="Times New Roman" w:hAnsi="Times New Roman"/>
          <w:noProof/>
          <w:sz w:val="24"/>
          <w:szCs w:val="24"/>
        </w:rPr>
        <w:t xml:space="preserve">. В допълнение съответствието сред доставчиците на кредити с разпоредбата относно </w:t>
      </w:r>
      <w:r>
        <w:rPr>
          <w:rFonts w:ascii="Times New Roman" w:hAnsi="Times New Roman"/>
          <w:bCs/>
          <w:noProof/>
          <w:sz w:val="24"/>
          <w:szCs w:val="24"/>
        </w:rPr>
        <w:t>преддоговорната информация</w:t>
      </w:r>
      <w:r>
        <w:rPr>
          <w:rFonts w:ascii="Times New Roman" w:hAnsi="Times New Roman"/>
          <w:noProof/>
          <w:sz w:val="24"/>
          <w:szCs w:val="24"/>
        </w:rPr>
        <w:t xml:space="preserve"> като цяло е високо. </w:t>
      </w:r>
    </w:p>
    <w:p>
      <w:pPr>
        <w:numPr>
          <w:ilvl w:val="1"/>
          <w:numId w:val="1"/>
        </w:numPr>
        <w:spacing w:line="276" w:lineRule="auto"/>
        <w:ind w:left="641" w:hanging="357"/>
        <w:jc w:val="both"/>
        <w:rPr>
          <w:rFonts w:ascii="Times New Roman" w:hAnsi="Times New Roman" w:cs="Times New Roman"/>
          <w:noProof/>
          <w:sz w:val="24"/>
          <w:szCs w:val="24"/>
          <w:u w:val="single"/>
        </w:rPr>
      </w:pPr>
      <w:r>
        <w:rPr>
          <w:rFonts w:ascii="Times New Roman" w:hAnsi="Times New Roman"/>
          <w:noProof/>
          <w:sz w:val="24"/>
          <w:szCs w:val="24"/>
          <w:u w:val="single"/>
        </w:rPr>
        <w:t>Недостатъци на директивата</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Оценката показа редица предизвикателства, които са възникнали в хода на прилагането на директивата. Те произтичат от недостатъци на директивата и от тенденции в кредитната среда и частично са възпрепятствали постигането на нейните цели: </w:t>
      </w:r>
    </w:p>
    <w:p>
      <w:pPr>
        <w:spacing w:line="276"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Обхват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Изключенията от обхвата на директивата, определени в член 2 от нея, са значителни и обхващат определени широко използвани кредити, както и кредити, за които е документирано, че водят по-лесно до ощетяване на потребителите при определени обстоятелства, като например кредити с нулева лихвена ставка, кредити до заплата, договори за лизинг, които не налагат задължение за закупуване, или договори със заложни къщи.</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Освен това директивата не обхваща целия процес на отпускане на кредити, много от чиито аспекти са само частично хармонизирани или изобщо не са хармонизирани в целия ЕС (например съдържанието на кредитните бази данни). Това представлява значителна пречка за създаването на реален вътрешен пазар на потребителски кредити.</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Определения и неясни термини</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Повечето от определенията в директивата все още са актуални с оглед на текущата пазарна ситуация. Съществува обаче нарастващо ниво на несигурност относно новите форми на кредитиране, които са се появили онлайн. В член 2, параграф 2 от директивата такива нови форми на кредитиране не се посочват изрично — няма препратка например към кредитирането между физически лица</w:t>
      </w:r>
      <w:r>
        <w:rPr>
          <w:rStyle w:val="FootnoteReference"/>
          <w:rFonts w:ascii="Times New Roman" w:hAnsi="Times New Roman" w:cs="Times New Roman"/>
          <w:noProof/>
          <w:sz w:val="24"/>
          <w:szCs w:val="24"/>
          <w:lang w:val="en-GB"/>
        </w:rPr>
        <w:footnoteReference w:id="18"/>
      </w:r>
      <w:r>
        <w:rPr>
          <w:rFonts w:ascii="Times New Roman" w:hAnsi="Times New Roman"/>
          <w:noProof/>
          <w:sz w:val="24"/>
          <w:szCs w:val="24"/>
        </w:rPr>
        <w:t xml:space="preserve"> като част от изключенията от обхвата (член 2, параграф 2), което означава, че директивата по принцип следва да обхваща кредитирането между физически лица. В определението за „кредитор“ обаче се използват думите „в рамките на своята търговска, стопанска или професионална дейност“, което може да не отговаря на концепцията за кредитиране между физически лица.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Правна неяснота възниква и от неточните формулировки на някои разпоредби на директивата, като например тези относно стандартната информация, която трябва да бъде включена в рекламите, относно преддоговорната информация и относно оценката на кредитоспособността, в които се използват термини като „достатъчна информация“ и „достатъчно време“ без по-нататъшно уточняване.</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Задължения за информиране и канали за комуникация</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Макар че няма съмнение, че хармонизираният формуляр на „Стандартна европейска информация относно потребителски кредит“ в подробния табличен формат, определен в приложение II към директивата, изглежда функционира добре в хартиена среда, форматът и дължината на формуляра не са подходящи за модерните мобилни цифрови технологии, използвани от много потребители. Следователно целта на формуляра на „Стандартна европейска информация относно потребителски кредит“ за предоставяне на полезна преддоговорна информация води до задължително оповестяване на информация, до която потребителят трудно може да получи достъп и трудно може да разбере в онлайн среда, което осуетява първоначалното ѝ предназначение.</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Друг въпрос, свързан с прозрачността, който се е появил в хода на последното десетилетие, засяга рекламите за потребителски кредити, излъчвани по телевизията и радиото. Разпоредбите на член 4 от директивата</w:t>
      </w:r>
      <w:r>
        <w:rPr>
          <w:rFonts w:ascii="Times New Roman" w:hAnsi="Times New Roman" w:cs="Times New Roman"/>
          <w:noProof/>
          <w:sz w:val="24"/>
          <w:szCs w:val="24"/>
          <w:vertAlign w:val="superscript"/>
          <w:lang w:val="en-GB"/>
        </w:rPr>
        <w:footnoteReference w:id="19"/>
      </w:r>
      <w:r>
        <w:rPr>
          <w:rFonts w:ascii="Times New Roman" w:hAnsi="Times New Roman"/>
          <w:noProof/>
          <w:sz w:val="24"/>
          <w:szCs w:val="24"/>
        </w:rPr>
        <w:t xml:space="preserve"> дават основание важна информация да бъде или показвана за много кратко време, или изговорена прекалено бързо, при което на потребителите не се предоставя достатъчно време да я обмислят или запомнят. Това показва практическата трудност, свързана с осигуряването на непрекъснатата ефективност на настоящия член 4 от директивата за всички видове медии.</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Оценка на кредитоспособността и кредитни бази данни</w:t>
      </w:r>
    </w:p>
    <w:p>
      <w:pPr>
        <w:spacing w:line="276"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В член 8 от директивата се предвижда „задължение за оценка на кредитоспособността на потребителя“ преди отпускането на кредит на потребителя. В този член се посочва, че кредиторът трябва да оцени „кредитоспособността на потребителя въз основа на достатъчно информация, получена, когато е уместно, от потребителя, и ако е необходимо, въз основа на справка в съответната база данни“, без да се уточнява конкретно информацията, която трябва да се провери, или условията, при които кредиторът може да счете потребителя като кредитоспособен. Информацията, която трябва да се провери, и процесът на взимане на решения са определени на равнище държава членка, като на държавите членки се предоставя значително право на преценка да регулират допълнително подробностите на оценката на кредитоспособността.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По-голямата част от държавите членки</w:t>
      </w:r>
      <w:r>
        <w:rPr>
          <w:rFonts w:ascii="Times New Roman" w:hAnsi="Times New Roman" w:cs="Times New Roman"/>
          <w:noProof/>
          <w:sz w:val="24"/>
          <w:szCs w:val="24"/>
          <w:vertAlign w:val="superscript"/>
          <w:lang w:val="en-GB"/>
        </w:rPr>
        <w:footnoteReference w:id="20"/>
      </w:r>
      <w:r>
        <w:rPr>
          <w:rFonts w:ascii="Times New Roman" w:hAnsi="Times New Roman"/>
          <w:noProof/>
          <w:sz w:val="24"/>
          <w:szCs w:val="24"/>
        </w:rPr>
        <w:t xml:space="preserve"> са установили допълнителни разпоредби относно оценката на кредитоспособността и достъпа до базите данни, в които допълнително се определя как трябва да се извършва оценката на кредитоспособността, и се налагат други задължения на кредиторите. Повечето държави членки, които са въвели разпоредби в допълнение на простото задължение за проверка на платежоспособността на заемополучателя, са определили документите, които потребителите трябва да предоставят за оценка на тяхната кредитоспособност.</w:t>
      </w:r>
      <w:r>
        <w:rPr>
          <w:rFonts w:ascii="Times New Roman" w:hAnsi="Times New Roman" w:cs="Times New Roman"/>
          <w:noProof/>
          <w:sz w:val="24"/>
          <w:szCs w:val="24"/>
          <w:vertAlign w:val="superscript"/>
          <w:lang w:val="en-GB"/>
        </w:rPr>
        <w:footnoteReference w:id="21"/>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Единственият източник на данни, определен в директивата за оценка на кредитоспособността, са кредитните бази данни, които съществуват в държавите членки и в които се съхранява информация относно съществуващите кредити и евентуални неизпълнения на задълженията за плащане на потребителите. В член 9 от директивата относно достъпа до базите данни се налага задължението всяка държава членка да гарантира достъп на кредиторите от други държави членки до базите данни, използвани в съответната държава членка. В директивата обаче не е посочено как трябва да се предоставя такъв достъп, което води до различни изисквания за достъп, определени от отделните държави членки. Освен това кредитните бази данни и информацията, която съдържат, се различават в отделните държави членки — те са публични или частни и съдържат положителни данни (например данни за кредитите, взети от лицето) или отрицателни данни (например само данни за неизпълнения на задълженията за плащане по взети кредити), или и двете.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Разликите в съдържанието на всяка съответна база данни на държава членка правят по-трудна задачата на кредиторите при трансграничните операции.</w:t>
      </w:r>
    </w:p>
    <w:p>
      <w:pPr>
        <w:spacing w:line="276" w:lineRule="auto"/>
        <w:jc w:val="both"/>
        <w:rPr>
          <w:rFonts w:ascii="Times New Roman" w:hAnsi="Times New Roman" w:cs="Times New Roman"/>
          <w:noProof/>
          <w:spacing w:val="-4"/>
          <w:sz w:val="24"/>
          <w:szCs w:val="24"/>
        </w:rPr>
      </w:pPr>
      <w:r>
        <w:rPr>
          <w:rFonts w:ascii="Times New Roman" w:hAnsi="Times New Roman"/>
          <w:noProof/>
          <w:spacing w:val="-4"/>
          <w:sz w:val="24"/>
          <w:szCs w:val="24"/>
        </w:rPr>
        <w:t>В допълнение на различията в начина, по който държавите членки са привели в действие общите изисквания на членове 8 и 9, някои държави членки</w:t>
      </w:r>
      <w:r>
        <w:rPr>
          <w:rFonts w:ascii="Times New Roman" w:hAnsi="Times New Roman" w:cs="Times New Roman"/>
          <w:noProof/>
          <w:spacing w:val="-4"/>
          <w:sz w:val="24"/>
          <w:szCs w:val="24"/>
          <w:vertAlign w:val="superscript"/>
          <w:lang w:val="en-GB"/>
        </w:rPr>
        <w:footnoteReference w:id="22"/>
      </w:r>
      <w:r>
        <w:rPr>
          <w:rFonts w:ascii="Times New Roman" w:hAnsi="Times New Roman"/>
          <w:noProof/>
          <w:spacing w:val="-4"/>
          <w:sz w:val="24"/>
          <w:szCs w:val="24"/>
        </w:rPr>
        <w:t xml:space="preserve"> са въвели набор от други задължения за кредиторите по отношение на оценката на кредитоспособността, като например правила, които забраняват на кредиторите да прекратяват договора за кредит или да налагат санкции и такси за просрочени плащания в случай на оценка на кредитоспособността, която не е била извършена правилно.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В резултат на това настоящите разпоредби на директивата са довели до разпокъсана ситуация по отношение на правилата за оценката на кредитоспособността, както и оперативната съвместимост на базите данни, която възпрепятства по-доброто функциониране на вътрешния пазар на потребителски кредити.</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Прилагане на директивата</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В член 23 от директивата се установява, че държавите членки трябва да въведат система от санкции за нарушаване на националните разпоредби за транспониране на директивата и че тези санкции трябва да бъдат ефективни, пропорционални и възпиращи.</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В този процес държавите членки като цяло са установили граждански и административни санкции за нарушаване на националните разпоредби за транспониране на директивата; някои държави членки обаче предвиждат в допълнение към гражданските и административните санкции възможността за налагане на наказателни санкции. Резултатът е, че съществува значително несъответствие между видовете и степените на санкциите, използвани от националните органи при прилагането на директивата. В допълнение, макар че малко повече от половината държави членки имат само един орган по прилагането, отговарящ за съответствието с директивата, значителен брой държави членки са определили няколко органа, които да гарантират правилното прилагане на различните аспекти на директивата; в някои държави членки компетентният орган зависи от вида на доставчика на кредит, а именно дали е банков, или небанков заемодател</w:t>
      </w:r>
      <w:r>
        <w:rPr>
          <w:rStyle w:val="FootnoteReference"/>
          <w:rFonts w:ascii="Times New Roman" w:hAnsi="Times New Roman" w:cs="Times New Roman"/>
          <w:noProof/>
          <w:sz w:val="24"/>
          <w:szCs w:val="24"/>
          <w:lang w:val="en-GB"/>
        </w:rPr>
        <w:footnoteReference w:id="23"/>
      </w:r>
      <w:r>
        <w:rPr>
          <w:rFonts w:ascii="Times New Roman" w:hAnsi="Times New Roman"/>
          <w:noProof/>
          <w:sz w:val="24"/>
          <w:szCs w:val="24"/>
        </w:rPr>
        <w:t>. Съществуването на множество компетентни органи с различни правомощия за санкциониране и компетентни органи, зависещи от вида на оператора, е оказало въздействие върху равните условия между компетентната позиция на различни категории доставчици и съгласуваността в прилагането.</w:t>
      </w:r>
    </w:p>
    <w:p>
      <w:pPr>
        <w:numPr>
          <w:ilvl w:val="0"/>
          <w:numId w:val="1"/>
        </w:numPr>
        <w:spacing w:line="276" w:lineRule="auto"/>
        <w:ind w:left="1077"/>
        <w:jc w:val="both"/>
        <w:rPr>
          <w:rFonts w:ascii="Times New Roman" w:hAnsi="Times New Roman" w:cs="Times New Roman"/>
          <w:b/>
          <w:noProof/>
          <w:sz w:val="24"/>
          <w:szCs w:val="24"/>
        </w:rPr>
      </w:pPr>
      <w:r>
        <w:rPr>
          <w:rFonts w:ascii="Times New Roman" w:hAnsi="Times New Roman"/>
          <w:b/>
          <w:noProof/>
          <w:sz w:val="24"/>
          <w:szCs w:val="24"/>
        </w:rPr>
        <w:t>Използване от страна на държавите членки на регулаторните възможности, предвидени в директивата</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Недостатъците на директивата, подчертани по-горе, са влошени допълнително от резултатите от регулаторните решения, взети от държавите членки, относно определени елементи на директивата. Макар че съгласно директивата се изисква разработването на определена хармонизирана правна рамка за защита на потребителите, която не съществуваше в множество държави членки по време на нейното въвеждане, на националните законодатели беше дадена гъвкавост да използват девет незадължителни разпоредби, предоставящи определени регулаторни възможности на държавите членки. </w:t>
      </w:r>
    </w:p>
    <w:p>
      <w:pPr>
        <w:rPr>
          <w:rFonts w:ascii="Times New Roman" w:hAnsi="Times New Roman" w:cs="Times New Roman"/>
          <w:i/>
          <w:noProof/>
        </w:rPr>
      </w:pPr>
      <w:r>
        <w:rPr>
          <w:rFonts w:ascii="Times New Roman" w:hAnsi="Times New Roman"/>
          <w:i/>
          <w:noProof/>
        </w:rPr>
        <w:t>Регулаторни възможности, посочени в член 27, параграф 2 от директивата</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Съгласно член 2, параграф 5 от директивата държавите членки може да решат да приложат частично директивата към договорите за кредити, сключени от организации, учредени за взаимна полза на своите членове</w:t>
      </w:r>
      <w:r>
        <w:rPr>
          <w:rFonts w:ascii="Times New Roman" w:hAnsi="Times New Roman" w:cs="Times New Roman"/>
          <w:noProof/>
          <w:sz w:val="24"/>
          <w:szCs w:val="24"/>
          <w:vertAlign w:val="superscript"/>
          <w:lang w:val="en-GB"/>
        </w:rPr>
        <w:footnoteReference w:id="24"/>
      </w:r>
      <w:r>
        <w:rPr>
          <w:rFonts w:ascii="Times New Roman" w:hAnsi="Times New Roman"/>
          <w:noProof/>
          <w:sz w:val="24"/>
          <w:szCs w:val="24"/>
        </w:rPr>
        <w:t>. Тази гъвкавост е използвана от някои държави членки</w:t>
      </w:r>
      <w:r>
        <w:rPr>
          <w:rFonts w:ascii="Times New Roman" w:hAnsi="Times New Roman" w:cs="Times New Roman"/>
          <w:noProof/>
          <w:sz w:val="24"/>
          <w:szCs w:val="24"/>
          <w:vertAlign w:val="superscript"/>
          <w:lang w:val="en-GB"/>
        </w:rPr>
        <w:footnoteReference w:id="25"/>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Съгласно член 2, параграф 6 от директивата държавите членки може да решат да приложат определени членове от директивата в ситуация, при която потребителят вече е в неизпълнение на първоначалния договор за кредит и кредиторът и потребителят постигат споразумение за разсрочено плащане или други начини на погасяване. Тази възможност е използвана от мнозинството</w:t>
      </w:r>
      <w:r>
        <w:rPr>
          <w:rFonts w:ascii="Times New Roman" w:hAnsi="Times New Roman" w:cs="Times New Roman"/>
          <w:noProof/>
          <w:sz w:val="24"/>
          <w:szCs w:val="24"/>
          <w:vertAlign w:val="superscript"/>
          <w:lang w:val="en-GB"/>
        </w:rPr>
        <w:footnoteReference w:id="26"/>
      </w:r>
      <w:r>
        <w:rPr>
          <w:rFonts w:ascii="Times New Roman" w:hAnsi="Times New Roman"/>
          <w:noProof/>
          <w:sz w:val="24"/>
          <w:szCs w:val="24"/>
        </w:rPr>
        <w:t xml:space="preserve"> от държави членки.</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Съгласно член 4, параграф 1, втора алинея от директивата националното законодателство може да определи, че годишният процент на разходите трябва да бъде включен в рекламите за договори за кредити, в които не се указва лихвен процент или други цифри, които са свързани със стойността на кредита за потребителя. Само ограничен брой държави членки</w:t>
      </w:r>
      <w:r>
        <w:rPr>
          <w:rFonts w:ascii="Times New Roman" w:hAnsi="Times New Roman" w:cs="Times New Roman"/>
          <w:noProof/>
          <w:sz w:val="24"/>
          <w:szCs w:val="24"/>
          <w:vertAlign w:val="superscript"/>
          <w:lang w:val="en-GB"/>
        </w:rPr>
        <w:footnoteReference w:id="27"/>
      </w:r>
      <w:r>
        <w:rPr>
          <w:rFonts w:ascii="Times New Roman" w:hAnsi="Times New Roman"/>
          <w:noProof/>
          <w:sz w:val="24"/>
          <w:szCs w:val="24"/>
        </w:rPr>
        <w:t xml:space="preserve"> са се възползвали от гъвкавостта, определена в член 4, параграф 1 от директивата.</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 xml:space="preserve">Съгласно член 4, параграф 2, буква в) и член 10, параграф 5, буква е) съответно от директивата държавите членки може да установят, че не е необходимо годишният процент на разходите да се включва в предоставяната на потребителите информация на </w:t>
      </w:r>
      <w:r>
        <w:rPr>
          <w:rFonts w:ascii="Times New Roman" w:hAnsi="Times New Roman"/>
          <w:i/>
          <w:noProof/>
          <w:sz w:val="24"/>
          <w:szCs w:val="24"/>
        </w:rPr>
        <w:t>рекламния етап</w:t>
      </w:r>
      <w:r>
        <w:rPr>
          <w:rFonts w:ascii="Times New Roman" w:hAnsi="Times New Roman"/>
          <w:noProof/>
          <w:sz w:val="24"/>
          <w:szCs w:val="24"/>
        </w:rPr>
        <w:t xml:space="preserve"> и на </w:t>
      </w:r>
      <w:r>
        <w:rPr>
          <w:rFonts w:ascii="Times New Roman" w:hAnsi="Times New Roman"/>
          <w:i/>
          <w:noProof/>
          <w:sz w:val="24"/>
          <w:szCs w:val="24"/>
        </w:rPr>
        <w:t>договорния етап</w:t>
      </w:r>
      <w:r>
        <w:rPr>
          <w:rFonts w:ascii="Times New Roman" w:hAnsi="Times New Roman"/>
          <w:noProof/>
          <w:sz w:val="24"/>
          <w:szCs w:val="24"/>
        </w:rPr>
        <w:t xml:space="preserve"> за договори за кредити под формата на овърдрафт, при които кредитът следва да бъде погасен при поискване или в срок от три месеца. Значителен брой държави членки са използвали възможността, предвидена в член 10, параграф 5, буква е)</w:t>
      </w:r>
      <w:r>
        <w:rPr>
          <w:rFonts w:ascii="Times New Roman" w:hAnsi="Times New Roman" w:cs="Times New Roman"/>
          <w:noProof/>
          <w:sz w:val="24"/>
          <w:szCs w:val="24"/>
          <w:vertAlign w:val="superscript"/>
          <w:lang w:val="en-GB"/>
        </w:rPr>
        <w:footnoteReference w:id="28"/>
      </w:r>
      <w:r>
        <w:rPr>
          <w:rFonts w:ascii="Times New Roman" w:hAnsi="Times New Roman"/>
          <w:noProof/>
          <w:sz w:val="24"/>
          <w:szCs w:val="24"/>
        </w:rPr>
        <w:t>, докато малко по-малък брой държави членки са използвали варианта, предвиден в член 4, параграф 2, буква в)</w:t>
      </w:r>
      <w:r>
        <w:rPr>
          <w:rFonts w:ascii="Times New Roman" w:hAnsi="Times New Roman" w:cs="Times New Roman"/>
          <w:noProof/>
          <w:sz w:val="24"/>
          <w:szCs w:val="24"/>
          <w:vertAlign w:val="superscript"/>
          <w:lang w:val="en-GB"/>
        </w:rPr>
        <w:footnoteReference w:id="29"/>
      </w:r>
      <w:r>
        <w:rPr>
          <w:rFonts w:ascii="Times New Roman" w:hAnsi="Times New Roman"/>
          <w:noProof/>
          <w:sz w:val="24"/>
          <w:szCs w:val="24"/>
        </w:rPr>
        <w:t xml:space="preserve">. </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 xml:space="preserve">Гъвкавостта, предоставена в член 6, параграф 2 от директивата, която позволява на държавите членки да изключат годишния процент на разходите от </w:t>
      </w:r>
      <w:r>
        <w:rPr>
          <w:rFonts w:ascii="Times New Roman" w:hAnsi="Times New Roman"/>
          <w:i/>
          <w:noProof/>
          <w:sz w:val="24"/>
          <w:szCs w:val="24"/>
        </w:rPr>
        <w:t>преддоговорната информация</w:t>
      </w:r>
      <w:r>
        <w:rPr>
          <w:rFonts w:ascii="Times New Roman" w:hAnsi="Times New Roman"/>
          <w:noProof/>
          <w:sz w:val="24"/>
          <w:szCs w:val="24"/>
        </w:rPr>
        <w:t xml:space="preserve"> в случая на конкретни договори за кредити, попадащи в обхвата на член 2, параграф 3 (овърдрафт, при който кредитът следва да бъде погасен при поискване или в срок от три месеца), е била използвана от редица</w:t>
      </w:r>
      <w:r>
        <w:rPr>
          <w:rFonts w:ascii="Times New Roman" w:hAnsi="Times New Roman" w:cs="Times New Roman"/>
          <w:noProof/>
          <w:sz w:val="24"/>
          <w:szCs w:val="24"/>
          <w:vertAlign w:val="superscript"/>
          <w:lang w:val="en-GB"/>
        </w:rPr>
        <w:footnoteReference w:id="30"/>
      </w:r>
      <w:r>
        <w:rPr>
          <w:rFonts w:ascii="Times New Roman" w:hAnsi="Times New Roman"/>
          <w:noProof/>
          <w:sz w:val="24"/>
          <w:szCs w:val="24"/>
        </w:rPr>
        <w:t xml:space="preserve"> държави членки. </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Съгласно член 10, параграф 1, втора алинея от директивата държавите членки може да установят правила, отнасящи се до действителността на сключването на договорите за кредит, които са в съответствие с правото на Европейския съюз. Всички държави членки са избрали да включат допълнителни правила, отнасящи се до действителността на сключването на договорите за кредит.</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Член 14, параграф 2 от директивата се отнася до правото на отказ при свързани договори за кредит. В него се установява, че в ситуация, при която националното законодателство към момента на влизане в сила на директивата вече предвижда, че на потребителя не могат да бъдат отпускани финансови средства преди изтичането на определен срок, държавите членки могат по изключение да предвидят, че срокът от 14 календарни дни, предвиден в член 14, параграф 1 от директивата, за правото на отказ може да бъде намален до времетраенето на същия определен срок по изрично искане на потребителя. Член 14, параграф 2 от директивата почти не е бил използван от държавите членки</w:t>
      </w:r>
      <w:r>
        <w:rPr>
          <w:rFonts w:ascii="Times New Roman" w:hAnsi="Times New Roman" w:cs="Times New Roman"/>
          <w:noProof/>
          <w:sz w:val="24"/>
          <w:szCs w:val="24"/>
          <w:vertAlign w:val="superscript"/>
          <w:lang w:val="en-GB"/>
        </w:rPr>
        <w:footnoteReference w:id="31"/>
      </w:r>
      <w:r>
        <w:rPr>
          <w:rFonts w:ascii="Times New Roman" w:hAnsi="Times New Roman"/>
          <w:noProof/>
          <w:sz w:val="24"/>
          <w:szCs w:val="24"/>
        </w:rPr>
        <w:t>, тъй като прилагането му е доста специфично.</w:t>
      </w:r>
    </w:p>
    <w:p>
      <w:pPr>
        <w:spacing w:before="240" w:line="276" w:lineRule="auto"/>
        <w:jc w:val="both"/>
        <w:rPr>
          <w:rFonts w:ascii="Times New Roman" w:hAnsi="Times New Roman" w:cs="Times New Roman"/>
          <w:noProof/>
          <w:sz w:val="24"/>
          <w:szCs w:val="24"/>
        </w:rPr>
      </w:pPr>
      <w:r>
        <w:rPr>
          <w:rFonts w:ascii="Times New Roman" w:hAnsi="Times New Roman"/>
          <w:noProof/>
          <w:sz w:val="24"/>
          <w:szCs w:val="24"/>
        </w:rPr>
        <w:t>Член 16 от директивата се отнася до предсрочното погасяване от страна потребителя на неговите задължения по договора за кредит и възможността кредиторът да получи обезщетение. Член 16, параграф 4 от директивата установява, че държавите членки може да предвидят, че кредиторите имат право на обезщетение за предсрочно погасяване само ако размерът на предсрочното погасяване надхвърля праг, определен в националното законодателство (този праг не надхвърля 10 000 EUR в рамките на всеки период от 12 месеца (член 16, параграф 4, буква а)) и че те може по изключение да търсят по-голямо обезщетение, ако могат да докажат, че претърпяната загуба е по-голяма от обикновеното обезщетение (член 16, параграф 4, буква б)). Голям брой държави членки</w:t>
      </w:r>
      <w:r>
        <w:rPr>
          <w:rFonts w:ascii="Times New Roman" w:hAnsi="Times New Roman" w:cs="Times New Roman"/>
          <w:noProof/>
          <w:sz w:val="24"/>
          <w:szCs w:val="24"/>
          <w:vertAlign w:val="superscript"/>
          <w:lang w:val="en-GB"/>
        </w:rPr>
        <w:footnoteReference w:id="32"/>
      </w:r>
      <w:r>
        <w:rPr>
          <w:rFonts w:ascii="Times New Roman" w:hAnsi="Times New Roman"/>
          <w:noProof/>
          <w:sz w:val="24"/>
          <w:szCs w:val="24"/>
        </w:rPr>
        <w:t xml:space="preserve"> всъщност са установили праг, над който кредиторът може да търси обезщетение (член 16, параграф 4, буква а)). По отношение на член 16, параграф 4, буква б) от директивата редица държави членки</w:t>
      </w:r>
      <w:r>
        <w:rPr>
          <w:rFonts w:ascii="Times New Roman" w:hAnsi="Times New Roman" w:cs="Times New Roman"/>
          <w:noProof/>
          <w:sz w:val="24"/>
          <w:szCs w:val="24"/>
          <w:vertAlign w:val="superscript"/>
          <w:lang w:val="en-GB"/>
        </w:rPr>
        <w:footnoteReference w:id="33"/>
      </w:r>
      <w:r>
        <w:rPr>
          <w:rFonts w:ascii="Times New Roman" w:hAnsi="Times New Roman"/>
          <w:noProof/>
          <w:sz w:val="24"/>
          <w:szCs w:val="24"/>
        </w:rPr>
        <w:t xml:space="preserve"> са избрали да въведат съответно законодателство за случаите, при които кредиторът може да докаже, че е претърпял загуба поради предсрочното погасяване, която надвишава прага, определен в член 16, параграф 2 от директивата</w:t>
      </w:r>
      <w:r>
        <w:rPr>
          <w:rFonts w:ascii="Times New Roman" w:hAnsi="Times New Roman" w:cs="Times New Roman"/>
          <w:noProof/>
          <w:sz w:val="24"/>
          <w:szCs w:val="24"/>
          <w:vertAlign w:val="superscript"/>
          <w:lang w:val="en-GB"/>
        </w:rPr>
        <w:footnoteReference w:id="34"/>
      </w:r>
      <w:r>
        <w:rPr>
          <w:rFonts w:ascii="Times New Roman" w:hAnsi="Times New Roman"/>
          <w:noProof/>
          <w:sz w:val="24"/>
          <w:szCs w:val="24"/>
        </w:rPr>
        <w:t>.</w:t>
      </w:r>
    </w:p>
    <w:p>
      <w:pPr>
        <w:spacing w:line="276"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Други регулаторни решения на държавите членки, по-специално относно обхвата </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Някои държави членки са надхвърлили изискванията на директивата в области, които не попадат в обхвата ѝ, и за случаи, за които не се прилага правилото за пълно хармонизиране на директивата. Ограниченията на обхвата на директивата са подтикнали държавите членки да разширят обхвата на съответното законодателство с цел да обхванат повече видове договори за кредит. С изключение на две държави членки</w:t>
      </w:r>
      <w:r>
        <w:rPr>
          <w:rFonts w:ascii="Times New Roman" w:eastAsia="Times New Roman" w:hAnsi="Times New Roman" w:cs="Times New Roman"/>
          <w:noProof/>
          <w:sz w:val="24"/>
          <w:szCs w:val="24"/>
          <w:vertAlign w:val="superscript"/>
          <w:lang w:val="en-IE"/>
        </w:rPr>
        <w:footnoteReference w:id="35"/>
      </w:r>
      <w:r>
        <w:rPr>
          <w:rFonts w:ascii="Times New Roman" w:hAnsi="Times New Roman"/>
          <w:noProof/>
          <w:sz w:val="24"/>
          <w:szCs w:val="24"/>
        </w:rPr>
        <w:t>, всички държави членки са приели мерки, които надхвърлят изискванията на директивата. Някои разширяват обхвата на прилагане на директивата (или определени нейни разпоредби) до потребителски кредити, които не попадат въобще или не попадат изцяло в обхвата на директивата — под 200 EUR</w:t>
      </w:r>
      <w:r>
        <w:rPr>
          <w:rFonts w:ascii="Times New Roman" w:eastAsia="Times New Roman" w:hAnsi="Times New Roman" w:cs="Times New Roman"/>
          <w:noProof/>
          <w:sz w:val="24"/>
          <w:szCs w:val="24"/>
          <w:vertAlign w:val="superscript"/>
          <w:lang w:val="en-IE"/>
        </w:rPr>
        <w:footnoteReference w:id="36"/>
      </w:r>
      <w:r>
        <w:rPr>
          <w:rFonts w:ascii="Times New Roman" w:hAnsi="Times New Roman"/>
          <w:noProof/>
          <w:sz w:val="24"/>
          <w:szCs w:val="24"/>
        </w:rPr>
        <w:t>, над 75 000 EUR</w:t>
      </w:r>
      <w:r>
        <w:rPr>
          <w:rFonts w:ascii="Times New Roman" w:eastAsia="Times New Roman" w:hAnsi="Times New Roman" w:cs="Times New Roman"/>
          <w:noProof/>
          <w:sz w:val="24"/>
          <w:szCs w:val="24"/>
          <w:vertAlign w:val="superscript"/>
          <w:lang w:val="en-IE"/>
        </w:rPr>
        <w:footnoteReference w:id="37"/>
      </w:r>
      <w:r>
        <w:rPr>
          <w:rFonts w:ascii="Times New Roman" w:hAnsi="Times New Roman"/>
          <w:noProof/>
          <w:sz w:val="24"/>
          <w:szCs w:val="24"/>
        </w:rPr>
        <w:t xml:space="preserve"> или за договори за лизинг</w:t>
      </w:r>
      <w:r>
        <w:rPr>
          <w:rFonts w:ascii="Times New Roman" w:eastAsia="Times New Roman" w:hAnsi="Times New Roman" w:cs="Times New Roman"/>
          <w:noProof/>
          <w:sz w:val="24"/>
          <w:szCs w:val="24"/>
          <w:vertAlign w:val="superscript"/>
          <w:lang w:val="en-IE"/>
        </w:rPr>
        <w:footnoteReference w:id="38"/>
      </w:r>
      <w:r>
        <w:rPr>
          <w:rFonts w:ascii="Times New Roman" w:hAnsi="Times New Roman"/>
          <w:noProof/>
          <w:sz w:val="24"/>
          <w:szCs w:val="24"/>
        </w:rPr>
        <w:t>, овърдрафт</w:t>
      </w:r>
      <w:r>
        <w:rPr>
          <w:rFonts w:ascii="Times New Roman" w:eastAsia="Times New Roman" w:hAnsi="Times New Roman" w:cs="Times New Roman"/>
          <w:noProof/>
          <w:sz w:val="24"/>
          <w:szCs w:val="24"/>
          <w:vertAlign w:val="superscript"/>
          <w:lang w:val="en-IE"/>
        </w:rPr>
        <w:footnoteReference w:id="39"/>
      </w:r>
      <w:r>
        <w:rPr>
          <w:rFonts w:ascii="Times New Roman" w:hAnsi="Times New Roman"/>
          <w:noProof/>
          <w:sz w:val="24"/>
          <w:szCs w:val="24"/>
        </w:rPr>
        <w:t>, револвиращи кредити</w:t>
      </w:r>
      <w:r>
        <w:rPr>
          <w:rFonts w:ascii="Times New Roman" w:eastAsia="Times New Roman" w:hAnsi="Times New Roman" w:cs="Times New Roman"/>
          <w:noProof/>
          <w:sz w:val="24"/>
          <w:szCs w:val="24"/>
          <w:vertAlign w:val="superscript"/>
          <w:lang w:val="en-IE"/>
        </w:rPr>
        <w:footnoteReference w:id="40"/>
      </w:r>
      <w:r>
        <w:rPr>
          <w:rFonts w:ascii="Times New Roman" w:hAnsi="Times New Roman"/>
          <w:noProof/>
          <w:sz w:val="24"/>
          <w:szCs w:val="24"/>
        </w:rPr>
        <w:t>, ипотеки</w:t>
      </w:r>
      <w:r>
        <w:rPr>
          <w:rFonts w:ascii="Times New Roman" w:eastAsia="Times New Roman" w:hAnsi="Times New Roman" w:cs="Times New Roman"/>
          <w:noProof/>
          <w:sz w:val="24"/>
          <w:szCs w:val="24"/>
          <w:vertAlign w:val="superscript"/>
          <w:lang w:val="en-IE"/>
        </w:rPr>
        <w:footnoteReference w:id="41"/>
      </w:r>
      <w:r>
        <w:rPr>
          <w:rFonts w:ascii="Times New Roman" w:hAnsi="Times New Roman"/>
          <w:noProof/>
          <w:sz w:val="24"/>
          <w:szCs w:val="24"/>
        </w:rPr>
        <w:t>, кредити с нулева лихвена ставка</w:t>
      </w:r>
      <w:r>
        <w:rPr>
          <w:rFonts w:ascii="Times New Roman" w:eastAsia="Times New Roman" w:hAnsi="Times New Roman" w:cs="Times New Roman"/>
          <w:noProof/>
          <w:sz w:val="24"/>
          <w:szCs w:val="24"/>
          <w:vertAlign w:val="superscript"/>
          <w:lang w:val="en-IE"/>
        </w:rPr>
        <w:footnoteReference w:id="42"/>
      </w:r>
      <w:r>
        <w:rPr>
          <w:rFonts w:ascii="Times New Roman" w:hAnsi="Times New Roman"/>
          <w:noProof/>
          <w:sz w:val="24"/>
          <w:szCs w:val="24"/>
        </w:rPr>
        <w:t xml:space="preserve"> и споразумения със заложни къщи</w:t>
      </w:r>
      <w:r>
        <w:rPr>
          <w:rFonts w:ascii="Times New Roman" w:eastAsia="Times New Roman" w:hAnsi="Times New Roman" w:cs="Times New Roman"/>
          <w:noProof/>
          <w:sz w:val="24"/>
          <w:szCs w:val="24"/>
          <w:vertAlign w:val="superscript"/>
          <w:lang w:val="en-IE"/>
        </w:rPr>
        <w:footnoteReference w:id="43"/>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Освен това, макар че някои разпоредби на директивата определят ясни цели, в тях не се посочва конкретният резултат, който трябва да бъде постигнат, като така остават донякъде нееднозначни (например членът относно оценката на кредитоспособността, разгледан по-горе).</w:t>
      </w:r>
    </w:p>
    <w:p>
      <w:pPr>
        <w:spacing w:line="276" w:lineRule="auto"/>
        <w:jc w:val="both"/>
        <w:rPr>
          <w:rFonts w:ascii="Times New Roman" w:eastAsia="Times New Roman" w:hAnsi="Times New Roman" w:cs="Times New Roman"/>
          <w:noProof/>
          <w:sz w:val="24"/>
          <w:szCs w:val="24"/>
        </w:rPr>
      </w:pPr>
      <w:r>
        <w:rPr>
          <w:rFonts w:ascii="Times New Roman" w:hAnsi="Times New Roman"/>
          <w:i/>
          <w:iCs/>
          <w:noProof/>
          <w:sz w:val="24"/>
          <w:szCs w:val="24"/>
        </w:rPr>
        <w:t>Въздействия от регулаторните възможности</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Съчетаните въздействия от регулаторните възможности в областите, установени от директивата или наложени поради липсата на уточняване в директивата, са довели до разпокъсана правна рамка от гледна точка на редица аспекти на потребителските кредити. Това води до различен обхват на защитата на потребителите и също така въздейства на целостта на вътрешния пазар на потребителски кредити, доколкото те създават пречки за трансграничните операции на кредиторите. </w:t>
      </w:r>
    </w:p>
    <w:p>
      <w:pPr>
        <w:numPr>
          <w:ilvl w:val="0"/>
          <w:numId w:val="1"/>
        </w:numPr>
        <w:ind w:left="1077"/>
        <w:rPr>
          <w:rFonts w:ascii="Times New Roman" w:hAnsi="Times New Roman" w:cs="Times New Roman"/>
          <w:b/>
          <w:noProof/>
          <w:sz w:val="24"/>
          <w:szCs w:val="24"/>
        </w:rPr>
      </w:pPr>
      <w:r>
        <w:rPr>
          <w:rFonts w:ascii="Times New Roman" w:hAnsi="Times New Roman"/>
          <w:b/>
          <w:noProof/>
          <w:sz w:val="24"/>
          <w:szCs w:val="24"/>
        </w:rPr>
        <w:t>Прагове и проценти</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Съгласно член 27, параграф 2 от директивата Комисията се задължава да преразглежда на всеки пет години праговете, установени в законодателството, и процента, използван за изчисляване на обезщетение в случай на предсрочно погасяване.</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Прагове, установени в настоящата директива и нейните приложения</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Както е споменато по-горе, съгласно член 2, параграф 2, буква в) от директивата договорите за кредит на стойност, по-малка от 200 EUR или по-голяма от 75 000 EUR</w:t>
      </w:r>
      <w:r>
        <w:rPr>
          <w:rFonts w:ascii="Times New Roman" w:hAnsi="Times New Roman" w:cs="Times New Roman"/>
          <w:noProof/>
          <w:sz w:val="24"/>
          <w:szCs w:val="24"/>
          <w:vertAlign w:val="superscript"/>
          <w:lang w:val="en-GB"/>
        </w:rPr>
        <w:footnoteReference w:id="44"/>
      </w:r>
      <w:r>
        <w:rPr>
          <w:rFonts w:ascii="Times New Roman" w:hAnsi="Times New Roman"/>
          <w:noProof/>
          <w:sz w:val="24"/>
          <w:szCs w:val="24"/>
        </w:rPr>
        <w:t>, не попадат в обхвата ѝ. Изглежда има всеобщо съгласие</w:t>
      </w:r>
      <w:r>
        <w:rPr>
          <w:rFonts w:ascii="Times New Roman" w:hAnsi="Times New Roman" w:cs="Times New Roman"/>
          <w:noProof/>
          <w:sz w:val="24"/>
          <w:szCs w:val="24"/>
          <w:vertAlign w:val="superscript"/>
          <w:lang w:val="en-GB"/>
        </w:rPr>
        <w:footnoteReference w:id="45"/>
      </w:r>
      <w:r>
        <w:rPr>
          <w:rFonts w:ascii="Times New Roman" w:hAnsi="Times New Roman"/>
          <w:noProof/>
          <w:sz w:val="24"/>
          <w:szCs w:val="24"/>
        </w:rPr>
        <w:t>, че тези прагове въздействат на ефективността и уместността на директивата. Високорисковите договори за кредит, които често причиняват ощетяване на потребителите, често са на стойност, по-малка от 200 EUR, и следователно не попадат в обхвата на директивата. С цел коригиране на това голям брой държави членки</w:t>
      </w:r>
      <w:r>
        <w:rPr>
          <w:rFonts w:ascii="Times New Roman" w:hAnsi="Times New Roman" w:cs="Times New Roman"/>
          <w:noProof/>
          <w:sz w:val="24"/>
          <w:szCs w:val="24"/>
          <w:vertAlign w:val="superscript"/>
          <w:lang w:val="en-GB"/>
        </w:rPr>
        <w:footnoteReference w:id="46"/>
      </w:r>
      <w:r>
        <w:rPr>
          <w:rFonts w:ascii="Times New Roman" w:hAnsi="Times New Roman"/>
          <w:noProof/>
          <w:sz w:val="24"/>
          <w:szCs w:val="24"/>
        </w:rPr>
        <w:t xml:space="preserve"> са решили при транспонирането на директивата да разширят обхвата до договорите за кредит на стойност, по-малка от 200 EUR.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Макар че горният праг от 75 000 EUR изглежда представлява по-нисък риск от гледна точка на защитата на потребителите или на вътрешния пазар, редица държави членки</w:t>
      </w:r>
      <w:r>
        <w:rPr>
          <w:rFonts w:ascii="Times New Roman" w:hAnsi="Times New Roman" w:cs="Times New Roman"/>
          <w:noProof/>
          <w:sz w:val="24"/>
          <w:szCs w:val="24"/>
          <w:vertAlign w:val="superscript"/>
          <w:lang w:val="en-GB"/>
        </w:rPr>
        <w:footnoteReference w:id="47"/>
      </w:r>
      <w:r>
        <w:rPr>
          <w:rFonts w:ascii="Times New Roman" w:hAnsi="Times New Roman"/>
          <w:noProof/>
          <w:sz w:val="24"/>
          <w:szCs w:val="24"/>
        </w:rPr>
        <w:t xml:space="preserve"> са разширили обхвата на директивата (или някои от разпоредбите ѝ) и до договорите за кредити над 75 000 EUR.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Праговете бяха фиксирани по време на приемането на директивата, тоест през 2008 г. Следователно те отразяват икономическите обстоятелства по онова време. Ако бъдат изчислени при настоящите равнища на цените с помощта на стандартния дефлатор на БВП, съответните стойности за долната и горната граница ще бъдат приблизително съответно 235 EUR и 87 380 EUR</w:t>
      </w:r>
      <w:r>
        <w:rPr>
          <w:rFonts w:ascii="Times New Roman" w:hAnsi="Times New Roman" w:cs="Times New Roman"/>
          <w:noProof/>
          <w:sz w:val="24"/>
          <w:szCs w:val="24"/>
          <w:vertAlign w:val="superscript"/>
          <w:lang w:val="en-GB"/>
        </w:rPr>
        <w:footnoteReference w:id="48"/>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В контекста на гореизложеното в планираното преразглеждане на директивата може да се прецени дали би било обосновано да се коригират или премахнат праговете</w:t>
      </w:r>
      <w:r>
        <w:rPr>
          <w:rStyle w:val="FootnoteReference"/>
          <w:rFonts w:ascii="Times New Roman" w:hAnsi="Times New Roman" w:cs="Times New Roman"/>
          <w:noProof/>
          <w:sz w:val="24"/>
          <w:szCs w:val="24"/>
          <w:lang w:val="en-GB"/>
        </w:rPr>
        <w:footnoteReference w:id="49"/>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Директивата съдържа още един праг, определен в част II (</w:t>
      </w:r>
      <w:r>
        <w:rPr>
          <w:rFonts w:ascii="Times New Roman" w:hAnsi="Times New Roman"/>
          <w:i/>
          <w:noProof/>
          <w:sz w:val="24"/>
          <w:szCs w:val="24"/>
        </w:rPr>
        <w:t>Допълнителни допускания за изчисляването на годишния процент на разходите</w:t>
      </w:r>
      <w:r>
        <w:rPr>
          <w:rFonts w:ascii="Times New Roman" w:hAnsi="Times New Roman"/>
          <w:noProof/>
          <w:sz w:val="24"/>
          <w:szCs w:val="24"/>
        </w:rPr>
        <w:t>) от приложение I. В част II, буква з) от приложението се предвижда, ако страните по договора за кредит не са се договорили относно горната му граница, като горна граница за изчислението на годишния процент на разходите да се приеме 1500 EUR. Приложение I беше подложено на законодателно изменение</w:t>
      </w:r>
      <w:r>
        <w:rPr>
          <w:rFonts w:ascii="Times New Roman" w:hAnsi="Times New Roman" w:cs="Times New Roman"/>
          <w:noProof/>
          <w:sz w:val="24"/>
          <w:szCs w:val="24"/>
          <w:vertAlign w:val="superscript"/>
          <w:lang w:val="en-GB"/>
        </w:rPr>
        <w:footnoteReference w:id="50"/>
      </w:r>
      <w:r>
        <w:rPr>
          <w:rFonts w:ascii="Times New Roman" w:hAnsi="Times New Roman"/>
          <w:noProof/>
          <w:sz w:val="24"/>
          <w:szCs w:val="24"/>
        </w:rPr>
        <w:t>, което имаше за цел модернизиране на допусканията, използвани за изчислението на годишния процент на разходите. Горната граница обаче не беше изменена, а при анализите, извършени по време на оценката на директивата през 2019 г., не бяха открити относими доказателства, изискващи изменението ѝ.</w:t>
      </w:r>
    </w:p>
    <w:p>
      <w:pPr>
        <w:spacing w:line="276" w:lineRule="auto"/>
        <w:jc w:val="both"/>
        <w:rPr>
          <w:rFonts w:ascii="Times New Roman" w:hAnsi="Times New Roman" w:cs="Times New Roman"/>
          <w:i/>
          <w:noProof/>
          <w:sz w:val="24"/>
          <w:szCs w:val="24"/>
        </w:rPr>
      </w:pPr>
      <w:r>
        <w:rPr>
          <w:rFonts w:ascii="Times New Roman" w:hAnsi="Times New Roman"/>
          <w:i/>
          <w:noProof/>
          <w:sz w:val="24"/>
          <w:szCs w:val="24"/>
        </w:rPr>
        <w:t>Процент, използван за изчисляване на обезщетението в случай на предсрочно погасяване</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Прагове са определени и в член 16 от директивата; те засягат обезщетението, което кредиторите имат право да получат в случай на предсрочно погасяване. Предвиденият праг е 1 % от предсрочно погасената сума, като той се намалява на 0,5 %, ако периодът между предсрочното погасяване и договореното прекратяване на договора за кредит не надхвърля една година. Нито в доклада относно директивата от 2014 г.</w:t>
      </w:r>
      <w:r>
        <w:rPr>
          <w:rFonts w:ascii="Times New Roman" w:hAnsi="Times New Roman" w:cs="Times New Roman"/>
          <w:noProof/>
          <w:sz w:val="24"/>
          <w:szCs w:val="24"/>
          <w:vertAlign w:val="superscript"/>
          <w:lang w:val="en-GB"/>
        </w:rPr>
        <w:footnoteReference w:id="51"/>
      </w:r>
      <w:r>
        <w:rPr>
          <w:rFonts w:ascii="Times New Roman" w:hAnsi="Times New Roman"/>
          <w:noProof/>
          <w:sz w:val="24"/>
          <w:szCs w:val="24"/>
        </w:rPr>
        <w:t>, нито в скорошното проучване са установени някакви проблеми относно този праг и следователно той все още се счита за уместен по отношение на нуждите на пазара на потребителски кредити.</w:t>
      </w:r>
    </w:p>
    <w:p>
      <w:pPr>
        <w:numPr>
          <w:ilvl w:val="0"/>
          <w:numId w:val="1"/>
        </w:numPr>
        <w:ind w:left="1077"/>
        <w:rPr>
          <w:rFonts w:ascii="Times New Roman" w:hAnsi="Times New Roman" w:cs="Times New Roman"/>
          <w:b/>
          <w:noProof/>
          <w:sz w:val="24"/>
          <w:szCs w:val="24"/>
        </w:rPr>
      </w:pPr>
      <w:r>
        <w:rPr>
          <w:rFonts w:ascii="Times New Roman" w:hAnsi="Times New Roman"/>
          <w:b/>
          <w:noProof/>
          <w:sz w:val="24"/>
          <w:szCs w:val="24"/>
        </w:rPr>
        <w:t>Заключения и следващи стъпки</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Основната констатация от оценката на директивата е, че двете ѝ цели, а именно осигуряването на високи стандарти за защита на потребителите и насърчаване на развитието на единен пазар на кредитите, са били частично постигнати и остават уместни. Правата на отказ и на предсрочно погасяване и въвеждането на стандартизирани формати на информацията са допринесли за осигуряването на стандартно ниво на защита на потребителите в целия ЕС, с което са довели до намаляване на ощетяването на потребителите, подобряване на защитата на потребителите и осигуряването на равни условия за доставчиците в целия ЕС.</w:t>
      </w:r>
    </w:p>
    <w:p>
      <w:pPr>
        <w:jc w:val="both"/>
        <w:rPr>
          <w:rFonts w:ascii="Times New Roman" w:hAnsi="Times New Roman" w:cs="Times New Roman"/>
          <w:noProof/>
          <w:sz w:val="24"/>
          <w:szCs w:val="24"/>
        </w:rPr>
      </w:pPr>
      <w:r>
        <w:rPr>
          <w:rFonts w:ascii="Times New Roman" w:hAnsi="Times New Roman"/>
          <w:noProof/>
          <w:sz w:val="24"/>
          <w:szCs w:val="24"/>
        </w:rPr>
        <w:t>От друга страна, бързата цифровизация и иновациите на продуктите, както и промените в потребителските предпочитания през последното десетилетие представят предизвикателства за основаната на директивата правна уредба за потребителските кредити. Макар че строгите предписания за форматите за оповестяване на информация гарантираха преди десет години по-голяма прозрачност на преддоговорните етапи, които тогава се извършваха в хартиен формат, не е сигурно, че те водят до максимални ползи за потребителите днес в една среда с нарастваща цифровизация и в ситуации, в които потребителите предпочитат бърз и гладък процес на отпускане на кредити. Средата с нарастваща цифровизация, от своя страна, насърчи развитието на нови продукти, някои от които създават нови рискове, за които директивата не предлага ефективна защита.</w:t>
      </w:r>
    </w:p>
    <w:p>
      <w:pPr>
        <w:jc w:val="both"/>
        <w:rPr>
          <w:rFonts w:ascii="Times New Roman" w:hAnsi="Times New Roman" w:cs="Times New Roman"/>
          <w:noProof/>
          <w:sz w:val="24"/>
          <w:szCs w:val="24"/>
        </w:rPr>
      </w:pPr>
      <w:r>
        <w:rPr>
          <w:rFonts w:ascii="Times New Roman" w:hAnsi="Times New Roman"/>
          <w:noProof/>
          <w:sz w:val="24"/>
          <w:szCs w:val="24"/>
        </w:rPr>
        <w:t>Тези факти сочат към вероятната необходимост от преразглеждане на определени разпоредби на директивата, по-специално относно обхвата и процеса на отпускане на кредити (включително преддоговорната информация и оценката на кредитоспособността). Такова преразглеждане може да бъде подходяща възможност и за обмислянето на коригиращи мерки за други недостатъци, като например подобряване на определенията.</w:t>
      </w:r>
    </w:p>
    <w:p>
      <w:pPr>
        <w:jc w:val="both"/>
        <w:rPr>
          <w:rFonts w:ascii="Times New Roman" w:hAnsi="Times New Roman" w:cs="Times New Roman"/>
          <w:noProof/>
          <w:sz w:val="24"/>
          <w:szCs w:val="24"/>
        </w:rPr>
      </w:pPr>
      <w:r>
        <w:rPr>
          <w:rFonts w:ascii="Times New Roman" w:hAnsi="Times New Roman"/>
          <w:noProof/>
          <w:sz w:val="24"/>
          <w:szCs w:val="24"/>
        </w:rPr>
        <w:t>Накрая, макар че изглежда не е необходимо изменение на повечето прагове и проценти в директивата, става ясно, че има широко съгласие между заинтересованите страни, че прагът 200 EUR—75 000 EUR, свързан с обхвата на прилагане на директивата, може да бъде преразгледан.</w:t>
      </w:r>
    </w:p>
    <w:p>
      <w:pPr>
        <w:jc w:val="both"/>
        <w:rPr>
          <w:rFonts w:ascii="Times New Roman" w:hAnsi="Times New Roman" w:cs="Times New Roman"/>
          <w:noProof/>
          <w:sz w:val="24"/>
          <w:szCs w:val="24"/>
        </w:rPr>
      </w:pPr>
      <w:r>
        <w:rPr>
          <w:rFonts w:ascii="Times New Roman" w:hAnsi="Times New Roman"/>
          <w:noProof/>
          <w:sz w:val="24"/>
          <w:szCs w:val="24"/>
        </w:rPr>
        <w:t>Комисията ще включи тези съображения в преразглеждането на директивата, което вече беше обявено за второто тримесечие на 2021 г. в актуализираната работна програма на Комисията за 2020 г., приета на 28 май 2020 г.</w:t>
      </w:r>
      <w:r>
        <w:rPr>
          <w:rStyle w:val="FootnoteReference"/>
          <w:rFonts w:ascii="Times New Roman" w:hAnsi="Times New Roman" w:cs="Times New Roman"/>
          <w:noProof/>
          <w:sz w:val="24"/>
          <w:szCs w:val="24"/>
          <w:lang w:val="en-GB"/>
        </w:rPr>
        <w:footnoteReference w:id="52"/>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15422358"/>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 ОВ L 133, 22.5.2008 г., стр. 66–92.</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След изтичането на крайния срок за транспониране Комисията започна производства за установяване на нарушение срещу 20 държави членки. Държавите членки в крайна сметка обаче приеха и съобщиха своите мерки за транспониране и следователно всички производства бяха прекратени скоро след това.</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Посочени в член 27, параграф 2 от директивата и разгледани по-надолу в раздел 3.</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Освен това съгласно член 27, параграф 2 от директивата се изисква Комисията да преразглежда редовно праговете и процентите, определени в законодателството и съответните приложения. Вж. раздел 4 по-долу за повече информация.</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до Европейския парламент, Съвета, Европейската централна банка, Европейския икономически и социален комитет и Комитета на регионите — План за действие в областта на финансовите услуги за потребители: по-добри продукти, по-голям избор, COM/2017/0139 final.</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Действие 7 — По-задълбочен единен пазар на потребителски кредити: Комисията ще проучи начините за улесняване на трансграничния достъп до кредитиране при гарантиране на високо ниво на защита на потребителите. В тази връзка Комисията също ще разгледа начините за по-ефективно преодоляване на свръхзадлъжнялостта на потребителите, породена от вземането на кредити.</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Действие 9 — По-добри оценки на кредитоспособността: Комисията ще се стреми да въведе общи стандарти за оценка на кредитоспособността и принципи за кредитиране на потребителите и ще подготви минимален набор от данни, които да бъдат обменяни между кредитните регистри при трансгранични оценки на кредитоспособността.</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следното: https://ec.europa.eu/info/law/better-regulation/have-your-say/initiatives/1844-Evaluation-of-the-Consumer-Credit-Directive</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член 27, параграф 2 от директивата се предвижда Комисията да следи последствията от наличието на регулаторните възможности, посочени в член 2, параграфи 5 и 6, член 4, параграф 1 и параграф 2, буква в), член 6, параграф 2, член 10, параграф 1 и параграф 5, буква е), член 14, параграф 2 и член 16, параграф 4 от директивата.</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SWD(2020)254.</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Разгледани по-долу в раздел 2.4.</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Проучване показва, че между второто тримесечие на 2016 г. и второто тримесечие на 2018 г. обемът на кредитите, свързани с финансови технологии, почти се е утроил, а в друго се установява, че се очаква пазарът на финансови технологии да се разрасне с 13,3 % до 2022 г. спрямо договорна стойност от 682 милиарда евро през 2018 г.</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https://ec.europa.eu/info/law/better-regulation/have-your-say/initiatives/1844-Evaluation-of-the-Consumer-Credit-Directive</w:t>
        </w:r>
      </w:hyperlink>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Cs/>
        </w:rPr>
        <w:t>Като цяло потребителите са добре информирани и за двете права, като 72 % от потребителите са запознати с правото на отказ, а 82 % — с правото на предсрочно погасяване.</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Сравнително малък брой потребители са срещнали проблеми при упражняването на своето право на отказ, като малко повече са срещнали проблеми с предсрочното погасяване.</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90 % от лицата, които са отговорили на откритата обществена консултация, считат годишния процент на разходите за донякъде важен или много важен за своето решение.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Близо две трети от организациите, които отговориха на откритата обществена консултация, смятат формуляра на „Стандартна европейска информация относно потребителски кредит“ за ефективен. Макар че мнозинството от отговорилите публични органи (74 %) и асоциациите на потребителите (65 %) ясно са заявили, че формулярът на „Стандартна европейска информация относно потребителски кредит“ е бил ефективен за защитата на потребителите, само малко над половината от представителите на сектора са изразили същото мнение (56 %).</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Кредитирането между физически лица се състои от използването на електронна платформа, която съчетава заемодатели/инвеститори със заемополучатели/емитенти на ценни книжа с цел предоставяне на необезпечени кредити, включително потребителски кредити.</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Съгласно член 4 се изисква стандартната информация да се предоставя по ясен, кратък и забележим начин и в него са изброени редица изисквани единици информация, включително лихвения процент, общия размер на кредита и годишния процент на разходите.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 CZ, DK, ES, FI, HU, IT, LV, LT, NL, PL, RO, SI, SK, SE, UK.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 DK, ES, FI, LV, PL, SK, UK.</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HU, IT, LT, NL, SI.</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изискванията за оценката на кредитоспособността, произтичащи от директивата, като цяло се прилагат от органа за потребителите (за всички кредитори в BE, EE, EL, FR, IS, LV, PL; за небанкови заемодатели в DK, SE, SI и регионалните органи в ES), органа за финансов надзор (за всички кредитори в EE, FR, NL, PL, UK и за банковите заемодатели в DK, SE) или националната централна банка (за всички заемодатели в CY, CZ, ES, HU, IE, IT, LT, PT, RO, SK и за банковите заемодатели в ES, SI).</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член 2, параграф 5 от директивата е предоставен пълен списък на приложимите критерии.</w:t>
      </w:r>
    </w:p>
  </w:footnote>
  <w:footnote w:id="2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CY, IE, LT, LV, RO, UK.</w:t>
      </w:r>
    </w:p>
  </w:footnote>
  <w:footnote w:id="2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BE, CY, CZ, DE, DK, EL, ES, HR, IT, LT, LU, LV, MT, PL, PT, RO, SI, SK. </w:t>
      </w:r>
    </w:p>
  </w:footnote>
  <w:footnote w:id="2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CY, HU, SE, UK.</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Държавите членки, които са избрали да не включват годишния процент на разходите на договорния етап, са: CZ, DE, DK, ES, IE, LU, MT, NL, PL, SK, UK.</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Държавите членки, които са избрали да не включват годишния процент на разходите на рекламния етап, са: BG, DK, ES, IE, LU, MT, PL, UK.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DK, ES, HR, IE, LU, MT, PL, SK, UK.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FR, RO, SI.</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 CY, EL, FI, FR, HR, HU, IE, IT, LT, LU, MT, PL, SI, SK, UK.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BG, CY, DK, ES, LT, LU, MT, NL, UK.</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Вж. таблица 3 на страница 38 от проучването за оценка, което предоставя общ преглед на прилагането на директивата:</w:t>
      </w:r>
      <w:hyperlink r:id="rId2" w:history="1">
        <w:r>
          <w:rPr>
            <w:rStyle w:val="Hyperlink"/>
            <w:rFonts w:ascii="Times New Roman" w:hAnsi="Times New Roman"/>
          </w:rPr>
          <w:t>https://ec.europa.eu/info/business-economy-euro/banking-and-finance/consumer-finance-and-payments/retail-financial-services/credit/consumer-credit_en</w:t>
        </w:r>
      </w:hyperlink>
      <w:r>
        <w:rPr>
          <w:rFonts w:ascii="Times New Roman" w:hAnsi="Times New Roman"/>
        </w:rPr>
        <w:t>.</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CY, EL.</w:t>
      </w:r>
    </w:p>
  </w:footnote>
  <w:footnote w:id="36">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BE, BG, CZ, DK, EE, FI, HU, IT, LV, PT, SK.</w:t>
      </w:r>
    </w:p>
  </w:footnote>
  <w:footnote w:id="37">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DE, DK, CZ, EE, ES, FI, FR, HU, PT, RO.</w:t>
      </w:r>
    </w:p>
  </w:footnote>
  <w:footnote w:id="38">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AT, EE, HU, IT, FI, FR, PT, UK.</w:t>
      </w:r>
    </w:p>
  </w:footnote>
  <w:footnote w:id="39">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AT, BE, FI, PT, FR.</w:t>
      </w:r>
    </w:p>
  </w:footnote>
  <w:footnote w:id="40">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FI, NL, FR, IT.</w:t>
      </w:r>
    </w:p>
  </w:footnote>
  <w:footnote w:id="41">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BG, CZ, HR, HU, RO, SI, SK.</w:t>
      </w:r>
    </w:p>
  </w:footnote>
  <w:footnote w:id="42">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BE, UK.</w:t>
      </w:r>
    </w:p>
  </w:footnote>
  <w:footnote w:id="43">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BE.</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Директивата се прилага също за договори за необезпечени кредити над 75 000 EUR, чиято цел е ремонт на жилищен недвижим имот.</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Съгласно консултации със заинтересованите страни, проведени през 2019 г., над 90 % от асоциациите на потребителите са заявили, че настоящите прагове вече не са адекватни, като 80 % от органите на държавите членки са били съгласни с това. Сред доставчиците на кредити 30 % са сметнали обхвата за неподходящ, като долната граница е била цитирана като конкретен проблем.</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 BG, CZ, DK, EE, FI, HU, IT, LV, PT, SK.</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DK, CZ, EE, ES, FI, FR, HU, PT, RO.</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Ако се използва наличният дефлатор на БВП от</w:t>
      </w:r>
      <w:r>
        <w:t xml:space="preserve"> </w:t>
      </w:r>
      <w:hyperlink r:id="rId3" w:history="1">
        <w:r>
          <w:rPr>
            <w:rStyle w:val="Hyperlink"/>
            <w:rFonts w:ascii="Times New Roman" w:hAnsi="Times New Roman"/>
          </w:rPr>
          <w:t>https://ec.europa.eu/eurostat/tgm/table.do?tab=table&amp;init=1&amp;language=en&amp;pcode=teina110&amp;plugin=1</w:t>
        </w:r>
      </w:hyperlink>
      <w:r>
        <w:rPr>
          <w:rFonts w:ascii="Times New Roman" w:hAnsi="Times New Roman"/>
        </w:rPr>
        <w:t>, 200 EUR в икономиката през 2008 г. отговарят на приблизително 235 EUR в икономиката през 2020 г. По същия начин 75 000 EUR през 2008 г. отговарят на приблизително 87 380 EUR.</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https://ec.europa.eu/info/law/better-regulation/have-your-say/initiatives/12465-Consumer-Credit-Agreement-review-of-EU-rules.</w:t>
      </w:r>
    </w:p>
  </w:footnote>
  <w:footnote w:id="50">
    <w:p>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shd w:val="clear" w:color="auto" w:fill="FFFFFF"/>
        </w:rPr>
        <w:t>Директива 2011/90/ЕС на Комисията от 14 ноември 2011 година за изменение на част II на приложение I към Директива 2008/48/ЕО на Европейския парламент и на Съвета, в която са предвидени допълнителни допускания за изчисляването на годишния процент на разходите.</w:t>
      </w:r>
    </w:p>
  </w:footnote>
  <w:footnote w:id="51">
    <w:p>
      <w:pPr>
        <w:pStyle w:val="FootnoteText"/>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Доклад на Комисията до Европейския парламент и Съвета за изпълнението на Директива </w:t>
      </w:r>
      <w:r>
        <w:rPr>
          <w:rFonts w:ascii="Times New Roman" w:hAnsi="Times New Roman"/>
        </w:rPr>
        <w:t xml:space="preserve">2008/48/ЕО относно договорите за потребителски кредити, Брюксел, 14.5.2014 г. СОМ(2014) 259 final.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Достъпна на адрес:</w:t>
      </w:r>
      <w:r>
        <w:rPr>
          <w:rFonts w:ascii="Times New Roman" w:hAnsi="Times New Roman"/>
        </w:rPr>
        <w:t xml:space="preserve"> </w:t>
      </w:r>
      <w:hyperlink r:id="rId4" w:history="1">
        <w:r>
          <w:rPr>
            <w:rStyle w:val="Hyperlink"/>
            <w:rFonts w:ascii="Times New Roman" w:hAnsi="Times New Roman"/>
          </w:rPr>
          <w:t>https://eur-lex.europa.eu/resource.html?uri=cellar:f1ebd6bf-a0d3-11ea-9d2d-01aa75ed71a1.0013.02/DOC_2&amp;format=PDF</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54720"/>
    <w:multiLevelType w:val="multilevel"/>
    <w:tmpl w:val="DD5A7D90"/>
    <w:lvl w:ilvl="0">
      <w:start w:val="1"/>
      <w:numFmt w:val="decimal"/>
      <w:lvlText w:val="%1."/>
      <w:lvlJc w:val="left"/>
      <w:pPr>
        <w:ind w:left="1080" w:hanging="72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E956F78"/>
    <w:multiLevelType w:val="hybridMultilevel"/>
    <w:tmpl w:val="A37C7398"/>
    <w:lvl w:ilvl="0" w:tplc="AA3AF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nl-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da-DK" w:vendorID="64" w:dllVersion="131078" w:nlCheck="1" w:checkStyle="0"/>
  <w:activeWritingStyle w:appName="MSWord" w:lang="es-ES" w:vendorID="64" w:dllVersion="131078" w:nlCheck="1" w:checkStyle="0"/>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265ACD-A1B7-4BA3-8141-366717B1C417"/>
    <w:docVar w:name="LW_COVERPAGE_TYPE" w:val="1"/>
    <w:docVar w:name="LW_CROSSREFERENCE" w:val="{SEC(2020) 371 final} - {SWD(2020) 254 final} - {SWD(2020) 255 final}"/>
    <w:docVar w:name="LW_DocType" w:val="NORMAL"/>
    <w:docVar w:name="LW_EMISSION" w:val="5.11.2020"/>
    <w:docVar w:name="LW_EMISSION_ISODATE" w:val="2020-11-0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9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79?\u1072? \u1080?\u1079?\u1087?\u1098?\u1083?\u1085?\u1077?\u1085?\u1080?\u1077?\u1090?\u1086? \u1085?\u1072? \u1044?\u1080?\u1088?\u1077?\u1082?\u1090?\u1080?\u1074?\u1072? 2008/48/EC \u1086?\u1090?\u1085?\u1086?\u1089?\u1085?\u1086? \u1076?\u1086?\u1075?\u1086?\u1074?\u1086?\u1088?\u1080?\u1090?\u1077? \u1079?\u1072? \u1087?\u1086?\u1090?\u1088?\u1077?\u1073?\u1080?\u1090?\u1077?\u1083?\u1089?\u1082?\u1080? \u1082?\u1088?\u1077?\u1076?\u1080?\u1090?\u1080?_x000d__x000d__x000b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o Char"/>
    <w:basedOn w:val="DefaultParagraphFont"/>
    <w:link w:val="FootnoteText"/>
    <w:uiPriority w:val="99"/>
    <w:qFormat/>
    <w:rPr>
      <w:sz w:val="20"/>
      <w:szCs w:val="20"/>
      <w:lang w:val="bg-BG"/>
    </w:rPr>
  </w:style>
  <w:style w:type="character" w:styleId="FootnoteReference">
    <w:name w:val="footnote reference"/>
    <w:aliases w:val="Footnote symbol,Voetnootverwijzing,Odwołanie przypisu,footnote ref,FR,Fußnotenzeichen diss neu,Times 10 Point,Exposant 3 Point,Footnote Reference Superscript, Exposant 3 Point,Appel note de bas de p,Style 12,Style 124,Ref,fr,note TESI"/>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o Char"/>
    <w:basedOn w:val="DefaultParagraphFont"/>
    <w:link w:val="FootnoteText"/>
    <w:uiPriority w:val="99"/>
    <w:qFormat/>
    <w:rPr>
      <w:sz w:val="20"/>
      <w:szCs w:val="20"/>
      <w:lang w:val="bg-BG"/>
    </w:rPr>
  </w:style>
  <w:style w:type="character" w:styleId="FootnoteReference">
    <w:name w:val="footnote reference"/>
    <w:aliases w:val="Footnote symbol,Voetnootverwijzing,Odwołanie przypisu,footnote ref,FR,Fußnotenzeichen diss neu,Times 10 Point,Exposant 3 Point,Footnote Reference Superscript, Exposant 3 Point,Appel note de bas de p,Style 12,Style 124,Ref,fr,note TESI"/>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info/sites/info/files/vi4afccd.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tgm/table.do?tab=table&amp;init=1&amp;language=en&amp;pcode=teina110&amp;plugin=1" TargetMode="External"/><Relationship Id="rId2" Type="http://schemas.openxmlformats.org/officeDocument/2006/relationships/hyperlink" Target="https://ec.europa.eu/info/business-economy-euro/banking-and-finance/consumer-finance-and-payments/retail-financial-services/credit/consumer-credit_en" TargetMode="External"/><Relationship Id="rId1" Type="http://schemas.openxmlformats.org/officeDocument/2006/relationships/hyperlink" Target="https://ec.europa.eu/info/law/better-regulation/have-your-say/initiatives/1844-Evaluation-of-the-Consumer-Credit-Directive" TargetMode="External"/><Relationship Id="rId4" Type="http://schemas.openxmlformats.org/officeDocument/2006/relationships/hyperlink" Target="https://eur-lex.europa.eu/resource.html?uri=cellar:f1ebd6bf-a0d3-11ea-9d2d-01aa75ed71a1.0013.02/DOC_2&amp;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A58F-2A73-4AC1-949C-7BA64BD8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4619</Words>
  <Characters>27720</Characters>
  <Application>Microsoft Office Word</Application>
  <DocSecurity>0</DocSecurity>
  <Lines>462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2020-10-27T11:28:00Z</dcterms:created>
  <dcterms:modified xsi:type="dcterms:W3CDTF">2020-10-28T19:01:00Z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