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EFD7527-EEAE-4701-9921-7B90DF7540F0" style="width:450.35pt;height:446.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2018/0089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относно приемането на директива на Европейския парламент и на Съвета относно представителни искове за защита на колективните интереси на потребителите и за отмяна на Директива 2009/22/ЕО</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 (документ COM(2018) 184 final – 2018/0089(COD):</w:t>
            </w:r>
          </w:p>
        </w:tc>
        <w:tc>
          <w:tcPr>
            <w:tcW w:w="2483" w:type="dxa"/>
          </w:tcPr>
          <w:p>
            <w:pPr>
              <w:jc w:val="left"/>
              <w:rPr>
                <w:noProof/>
              </w:rPr>
            </w:pPr>
            <w:r>
              <w:rPr>
                <w:noProof/>
              </w:rPr>
              <w:t>12 април 2018 г.</w:t>
            </w:r>
          </w:p>
        </w:tc>
      </w:tr>
      <w:tr>
        <w:tc>
          <w:tcPr>
            <w:tcW w:w="6804" w:type="dxa"/>
          </w:tcPr>
          <w:p>
            <w:pPr>
              <w:rPr>
                <w:noProof/>
              </w:rPr>
            </w:pPr>
            <w:r>
              <w:rPr>
                <w:noProof/>
              </w:rPr>
              <w:t>Дата на становището на Европейския икономически и социален комитет:</w:t>
            </w:r>
          </w:p>
          <w:p>
            <w:pPr>
              <w:rPr>
                <w:noProof/>
                <w:lang w:eastAsia="fr-BE"/>
              </w:rPr>
            </w:pPr>
          </w:p>
          <w:p>
            <w:pPr>
              <w:rPr>
                <w:noProof/>
              </w:rPr>
            </w:pPr>
            <w:r>
              <w:rPr>
                <w:noProof/>
              </w:rPr>
              <w:t xml:space="preserve">Дата на становището на Комитета на регионите:                                                           </w:t>
            </w:r>
          </w:p>
          <w:p>
            <w:pPr>
              <w:rPr>
                <w:noProof/>
              </w:rPr>
            </w:pPr>
          </w:p>
        </w:tc>
        <w:tc>
          <w:tcPr>
            <w:tcW w:w="2483" w:type="dxa"/>
          </w:tcPr>
          <w:p>
            <w:pPr>
              <w:jc w:val="left"/>
              <w:rPr>
                <w:noProof/>
              </w:rPr>
            </w:pPr>
          </w:p>
          <w:p>
            <w:pPr>
              <w:jc w:val="left"/>
              <w:rPr>
                <w:noProof/>
              </w:rPr>
            </w:pPr>
            <w:r>
              <w:rPr>
                <w:noProof/>
              </w:rPr>
              <w:t>20 септември 2018 г.</w:t>
            </w:r>
          </w:p>
          <w:p>
            <w:pPr>
              <w:jc w:val="left"/>
              <w:rPr>
                <w:noProof/>
              </w:rPr>
            </w:pPr>
          </w:p>
          <w:p>
            <w:pPr>
              <w:jc w:val="left"/>
              <w:rPr>
                <w:noProof/>
              </w:rPr>
            </w:pPr>
            <w:r>
              <w:rPr>
                <w:noProof/>
              </w:rPr>
              <w:t>10 октомври 2018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26 март 2019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Не се прилага.</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4 ноември 2020 г.</w:t>
            </w:r>
          </w:p>
        </w:tc>
      </w:tr>
    </w:tbl>
    <w:p>
      <w:pPr>
        <w:pStyle w:val="ManualHeading1"/>
        <w:rPr>
          <w:noProof/>
        </w:rPr>
      </w:pPr>
      <w:r>
        <w:rPr>
          <w:noProof/>
        </w:rPr>
        <w:t>2.</w:t>
      </w:r>
      <w:r>
        <w:rPr>
          <w:noProof/>
        </w:rPr>
        <w:tab/>
        <w:t>Цел на предложението на Комисията</w:t>
      </w:r>
    </w:p>
    <w:p>
      <w:pPr>
        <w:spacing w:after="0"/>
        <w:ind w:right="330"/>
        <w:rPr>
          <w:noProof/>
        </w:rPr>
      </w:pPr>
      <w:r>
        <w:rPr>
          <w:noProof/>
        </w:rPr>
        <w:t xml:space="preserve">Като част от инициативата „Нов търговски механизъм за потребителите“ Европейската комисия представи предложение за директива относно представителни искове за защита на колективните интереси на потребителите и за отмяна на Директива 2009/22/ЕО. </w:t>
      </w:r>
    </w:p>
    <w:p>
      <w:pPr>
        <w:spacing w:after="0"/>
        <w:ind w:right="330"/>
        <w:rPr>
          <w:noProof/>
        </w:rPr>
      </w:pPr>
      <w:r>
        <w:rPr>
          <w:noProof/>
        </w:rPr>
        <w:t xml:space="preserve">Целта на предложението е да се повиши равнището на защита на потребителите и да се подобри гладкото функциониране на вътрешния пазар, като се подобри ефективността на съществуващата процедура за преустановяване на нарушения с цел защита на интересите на потребителите и тя бъде допълнена с механизъм за колективна защита на потребителите. </w:t>
      </w:r>
    </w:p>
    <w:p>
      <w:pPr>
        <w:spacing w:after="0"/>
        <w:ind w:right="330"/>
        <w:rPr>
          <w:noProof/>
        </w:rPr>
      </w:pPr>
      <w:r>
        <w:rPr>
          <w:noProof/>
        </w:rPr>
        <w:t xml:space="preserve">С предложението </w:t>
      </w:r>
      <w:r>
        <w:rPr>
          <w:noProof/>
          <w:color w:val="000000"/>
          <w:bdr w:val="none" w:sz="0" w:space="0" w:color="auto" w:frame="1"/>
        </w:rPr>
        <w:t xml:space="preserve">се установяват правила, чрез които на квалифицираните органи се дава възможност да предявяват представителни искове, целящи защитата на колективните интереси на потребителите, като същевременно се предвиждат подходящи гаранции, за да се избегне злоупотребата с предявяването на съдебни </w:t>
      </w:r>
      <w:r>
        <w:rPr>
          <w:noProof/>
          <w:color w:val="000000"/>
          <w:bdr w:val="none" w:sz="0" w:space="0" w:color="auto" w:frame="1"/>
        </w:rPr>
        <w:lastRenderedPageBreak/>
        <w:t>искове. Възможните мерки, които могат да бъдат поискани в рамките на представителните искове, включват мерки</w:t>
      </w:r>
      <w:r>
        <w:rPr>
          <w:noProof/>
        </w:rPr>
        <w:t xml:space="preserve"> за спиране или забрана на практиката на търговеца, ако се счита, че тя е в нарушение на съответното законодателство на ЕС, както и мерки за защита, които ще предоставят на представляваните в рамките на иска потребители средства за защита, предвидени в правото на ЕС и националното право. Предложението предвижда хармонизирани критерии за определяне на квалифицирани органи, както и правила за финансиране от трети страни, подпомагане на квалифицираните органи и тяхното взаимно признаване, уреждане на спорове, информация за потребителите и разкриване на доказателства, с цел да се гарантира ефективността на процедурата в национален и трансграничен контекст. В обхвата на предложението се включват хоризонталното право за защита на потребителите и специфичните секторни инструменти на ЕС, които са от значение за защитата на колективните интереси на потребителите в различни сектори като финансовите услуги, енергетиката, телекомуникациите, защитата на данните, пътуванията, туризма, здравеопазването и околната среда. </w:t>
      </w:r>
    </w:p>
    <w:p>
      <w:pPr>
        <w:rPr>
          <w:noProof/>
        </w:rPr>
      </w:pPr>
    </w:p>
    <w:p>
      <w:pPr>
        <w:pStyle w:val="ManualHeading1"/>
        <w:rPr>
          <w:noProof/>
        </w:rPr>
      </w:pPr>
      <w:r>
        <w:rPr>
          <w:noProof/>
        </w:rPr>
        <w:t>3.</w:t>
      </w:r>
      <w:r>
        <w:rPr>
          <w:noProof/>
        </w:rPr>
        <w:tab/>
        <w:t>Коментари относно позицията на Съвета</w:t>
      </w:r>
    </w:p>
    <w:p>
      <w:pPr>
        <w:widowControl w:val="0"/>
        <w:rPr>
          <w:noProof/>
        </w:rPr>
      </w:pPr>
      <w:r>
        <w:rPr>
          <w:noProof/>
        </w:rPr>
        <w:t>В съответствие с политическото споразумение, с позицията на Съвета на първо четене в предложението на Комисията се въвеждат редица изменения, които имат за цел:</w:t>
      </w:r>
    </w:p>
    <w:p>
      <w:pPr>
        <w:pStyle w:val="Bullet1"/>
        <w:numPr>
          <w:ilvl w:val="0"/>
          <w:numId w:val="5"/>
        </w:numPr>
        <w:rPr>
          <w:noProof/>
        </w:rPr>
      </w:pPr>
      <w:r>
        <w:rPr>
          <w:noProof/>
        </w:rPr>
        <w:t xml:space="preserve">да се изяснят целите на Директивата, а именно тя да допринася за функционирането на единния пазар чрез високо равнище на защита на потребителите. В този контекст е извършено позоваване и на целта за достъп на потребителите до правосъдие; </w:t>
      </w:r>
    </w:p>
    <w:p>
      <w:pPr>
        <w:pStyle w:val="Bullet1"/>
        <w:numPr>
          <w:ilvl w:val="0"/>
          <w:numId w:val="5"/>
        </w:numPr>
        <w:rPr>
          <w:noProof/>
        </w:rPr>
      </w:pPr>
      <w:r>
        <w:rPr>
          <w:noProof/>
        </w:rPr>
        <w:t>да се предостави на държавите членки свобода на действие по отношение на определянето на квалифицираните органи, които имат възможност да предявяват национални представителни искове, като същевременно се засилят хармонизираните критерии за определяне на квалифицирани органи, които имат възможност да предявяват трансгранични искове,</w:t>
      </w:r>
    </w:p>
    <w:p>
      <w:pPr>
        <w:pStyle w:val="Bullet1"/>
        <w:numPr>
          <w:ilvl w:val="0"/>
          <w:numId w:val="5"/>
        </w:numPr>
        <w:rPr>
          <w:noProof/>
        </w:rPr>
      </w:pPr>
      <w:r>
        <w:rPr>
          <w:noProof/>
        </w:rPr>
        <w:t>да се изяснят категориите мерки, които могат да бъдат търсени от квалифицираните органи, правилата за участие на потребителите в рамките на иска, координацията на евентуални паралелни искове, финансирането от трети страни, разпределянето на процесуалните разходи, информацията за потребителите, разкриването на доказателства и подпомагането на квалифицираните органи;</w:t>
      </w:r>
    </w:p>
    <w:p>
      <w:pPr>
        <w:pStyle w:val="Bullet1"/>
        <w:numPr>
          <w:ilvl w:val="0"/>
          <w:numId w:val="5"/>
        </w:numPr>
        <w:rPr>
          <w:noProof/>
        </w:rPr>
      </w:pPr>
      <w:r>
        <w:rPr>
          <w:noProof/>
        </w:rPr>
        <w:t>Директивата да се основава в по-голяма степен на принципи, като на държавите членки се предостави по-голяма свобода на действие по отношение на процедурните условия като споразумения, последици от окончателните решения, давностни срокове и санкции с цел да се улесни адаптирането на представителните искове към националните рамки за правоприлагане;</w:t>
      </w:r>
    </w:p>
    <w:p>
      <w:pPr>
        <w:pStyle w:val="Bullet1"/>
        <w:numPr>
          <w:ilvl w:val="0"/>
          <w:numId w:val="5"/>
        </w:numPr>
        <w:rPr>
          <w:noProof/>
        </w:rPr>
      </w:pPr>
      <w:r>
        <w:rPr>
          <w:noProof/>
        </w:rPr>
        <w:t>да се въведе клауза за преразглеждане относно евентуалното създаване на длъжността европейски омбудсман за представителни искове,</w:t>
      </w:r>
    </w:p>
    <w:p>
      <w:pPr>
        <w:pStyle w:val="Bullet1"/>
        <w:widowControl w:val="0"/>
        <w:rPr>
          <w:noProof/>
        </w:rPr>
      </w:pPr>
      <w:r>
        <w:rPr>
          <w:noProof/>
        </w:rPr>
        <w:t>да се удължи периодът за транспониране на Директивата от 18 на 24 месеца.</w:t>
      </w:r>
      <w:r>
        <w:rPr>
          <w:noProof/>
          <w:color w:val="000000"/>
          <w:bdr w:val="none" w:sz="0" w:space="0" w:color="auto" w:frame="1"/>
        </w:rPr>
        <w:t xml:space="preserve"> </w:t>
      </w:r>
    </w:p>
    <w:p>
      <w:pPr>
        <w:rPr>
          <w:noProof/>
        </w:rPr>
      </w:pPr>
    </w:p>
    <w:p>
      <w:pPr>
        <w:widowControl w:val="0"/>
        <w:rPr>
          <w:noProof/>
          <w:color w:val="000000" w:themeColor="text1"/>
        </w:rPr>
      </w:pPr>
      <w:r>
        <w:rPr>
          <w:noProof/>
        </w:rPr>
        <w:lastRenderedPageBreak/>
        <w:t xml:space="preserve">Позицията на Съвета напълно отразява политическото споразумение, постигнато от Европейския парламент и Съвета на 22 юни 2020 г. Комисията счита, че тези изменения на предложението съответстват на първоначалните цели на политиката, които се преследват с него. Поради това Комисията може да подкрепи позицията на Съвета. </w:t>
      </w:r>
    </w:p>
    <w:p>
      <w:pPr>
        <w:widowControl w:val="0"/>
        <w:rPr>
          <w:noProof/>
        </w:rPr>
      </w:pPr>
    </w:p>
    <w:p>
      <w:pPr>
        <w:pStyle w:val="ManualHeading1"/>
        <w:rPr>
          <w:noProof/>
        </w:rPr>
      </w:pPr>
      <w:r>
        <w:rPr>
          <w:noProof/>
        </w:rPr>
        <w:t>4.</w:t>
      </w:r>
      <w:r>
        <w:rPr>
          <w:noProof/>
        </w:rPr>
        <w:tab/>
        <w:t>Заключение</w:t>
      </w:r>
    </w:p>
    <w:p>
      <w:pPr>
        <w:keepNext/>
        <w:keepLines/>
        <w:rPr>
          <w:noProof/>
        </w:rPr>
      </w:pPr>
      <w:r>
        <w:rPr>
          <w:noProof/>
        </w:rPr>
        <w:t>Комисията подкрепя позицията на Съвета.</w:t>
      </w:r>
    </w:p>
    <w:p>
      <w:pPr>
        <w:keepNext/>
        <w:rPr>
          <w:noProof/>
        </w:rPr>
      </w:pPr>
      <w:r>
        <w:rPr>
          <w:noProof/>
        </w:rPr>
        <w:t>Приемането на Директивата ще отбележи важен етап към ефективното прилагане на правата на потребителите в ЕС по отношение на колективните интереси на потребителите Директивата също така ще допринесе за еднакви условия на конкуренция за търговците на вътрешния пазар.</w:t>
      </w:r>
    </w:p>
    <w:p>
      <w:pPr>
        <w:keepNext/>
        <w:rPr>
          <w:noProof/>
        </w:rPr>
      </w:pPr>
    </w:p>
    <w:sectPr>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7CC9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8C55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F61D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54A7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CCB6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2C5C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9ED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6FFA38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5 12:09: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EFD7527-EEAE-4701-9921-7B90DF7540F0"/>
    <w:docVar w:name="LW_COVERPAGE_TYPE" w:val="1"/>
    <w:docVar w:name="LW_CROSSREFERENCE" w:val="&lt;UNUSED&gt;"/>
    <w:docVar w:name="LW_DocType" w:val="COM"/>
    <w:docVar w:name="LW_EMISSION" w:val="5.11.2020"/>
    <w:docVar w:name="LW_EMISSION_ISODATE" w:val="2020-11-05"/>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9"/>
    <w:docVar w:name="LW_REF.II.NEW.CP_YEAR" w:val="2018"/>
    <w:docVar w:name="LW_REF.INST.NEW" w:val="COM"/>
    <w:docVar w:name="LW_REF.INST.NEW_ADOPTED" w:val="final"/>
    <w:docVar w:name="LW_REF.INST.NEW_TEXT" w:val="(2020)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86?\u1090?\u1085?\u1086?\u1089?\u1085?\u1086? \u1087?\u1088?\u1080?\u1077?\u1084?\u1072?\u1085?\u1077?\u1090?\u1086? \u1085?\u1072? \u1076?\u1080?\u1088?\u1077?\u1082?\u1090?\u1080?\u1074?\u1072? \u1085?\u1072? \u1045?\u1074?\u1088?\u1086?\u1087?\u1077?\u1081?\u1089?\u1082?\u1080?\u1103? \u1087?\u1072?\u1088?\u1083?\u1072?\u1084?\u1077?\u1085?\u1090? \u1080? \u1085?\u1072? \u1057?\u1098?\u1074?\u1077?\u1090?\u1072? \u1086?\u1090?\u1085?\u1086?\u1089?\u1085?\u1086? \u1087?\u1088?\u1077?\u1076?\u1089?\u1090?\u1072?\u1074?\u1080?\u1090?\u1077?\u1083?\u1085?\u1080? \u1080?\u1089?\u1082?\u1086?\u1074?\u1077? \u1079?\u1072? \u1079?\u1072?\u1097?\u1080?\u1090?\u1072? \u1085?\u1072? \u1082?\u1086?\u1083?\u1077?\u1082?\u1090?\u1080?\u1074?\u1085?\u1080?\u1090?\u1077? \u1080?\u1085?\u1090?\u1077?\u1088?\u1077?\u1089?\u1080? \u1085?\u1072? \u1087?\u1086?\u1090?\u1088?\u1077?\u1073?\u1080?\u1090?\u1077?\u1083?\u1080?\u1090?\u1077? \u1080? \u1079?\u1072? \u1086?\u1090?\u1084?\u1103?\u1085?\u1072? \u1085?\u1072? \u1044?\u1080?\u1088?\u1077?\u1082?\u1090?\u1080?\u1074?\u1072? 2009/22/\u1045?\u1054?"/>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DDF7F35A3401C4BB91D5CF7DD36AE46" ma:contentTypeVersion="0" ma:contentTypeDescription="Create a new document in this library." ma:contentTypeScope="" ma:versionID="d65778064434dedef7bdf7c9e4bc507f">
  <xsd:schema xmlns:xsd="http://www.w3.org/2001/XMLSchema" xmlns:xs="http://www.w3.org/2001/XMLSchema" xmlns:p="http://schemas.microsoft.com/office/2006/metadata/properties" xmlns:ns2="http://schemas.microsoft.com/sharepoint/v3/fields" xmlns:ns3="C54881DA-CF37-464C-9681-A4E367659537" targetNamespace="http://schemas.microsoft.com/office/2006/metadata/properties" ma:root="true" ma:fieldsID="f488dddd6f1869c081533151b38379d1" ns2:_="" ns3:_="">
    <xsd:import namespace="http://schemas.microsoft.com/sharepoint/v3/fields"/>
    <xsd:import namespace="C54881DA-CF37-464C-9681-A4E36765953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54881DA-CF37-464C-9681-A4E36765953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C54881DA-CF37-464C-9681-A4E367659537">Not Started</EC_Collab_Status>
    <EC_Collab_Reference xmlns="C54881DA-CF37-464C-9681-A4E367659537" xsi:nil="true"/>
    <EC_Collab_DocumentLanguage xmlns="C54881DA-CF37-464C-9681-A4E367659537">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89B8-2AFF-4874-B960-EA5A420C3079}">
  <ds:schemaRefs>
    <ds:schemaRef ds:uri="http://schemas.microsoft.com/sharepoint/v3/contenttype/forms"/>
  </ds:schemaRefs>
</ds:datastoreItem>
</file>

<file path=customXml/itemProps2.xml><?xml version="1.0" encoding="utf-8"?>
<ds:datastoreItem xmlns:ds="http://schemas.openxmlformats.org/officeDocument/2006/customXml" ds:itemID="{E51233CC-6FEC-41B3-8F4A-E9C76291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54881DA-CF37-464C-9681-A4E367659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9F29C-CCF8-4B85-A123-9A03E64DBF3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54881DA-CF37-464C-9681-A4E367659537"/>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B58AD9FA-D6AD-4E00-AC0F-EDC5A663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750</Words>
  <Characters>4604</Characters>
  <Application>Microsoft Office Word</Application>
  <DocSecurity>0</DocSecurity>
  <Lines>104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2020-11-05T08:04:00Z</dcterms:created>
  <dcterms:modified xsi:type="dcterms:W3CDTF">2020-11-05T11:09:00Z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ContentTypeId">
    <vt:lpwstr>0x010100258AA79CEB83498886A3A0868112325000BDDF7F35A3401C4BB91D5CF7DD36AE46</vt:lpwstr>
  </property>
  <property fmtid="{D5CDD505-2E9C-101B-9397-08002B2CF9AE}" pid="11" name="DQCStatus">
    <vt:lpwstr>Green (DQC version 03)</vt:lpwstr>
  </property>
</Properties>
</file>