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44" w:rsidRDefault="00FB7959">
      <w:pPr>
        <w:pStyle w:val="Pagedecouverture"/>
        <w:rPr>
          <w:rFonts w:eastAsiaTheme="minorHAnsi"/>
          <w:noProof/>
        </w:rPr>
      </w:pPr>
      <w:bookmarkStart w:id="0" w:name="LW_BM_COVERPAGE"/>
      <w:bookmarkStart w:id="1" w:name="_Toc9585283"/>
      <w:r>
        <w:rPr>
          <w:rFonts w:eastAsiaTheme="minorHAnsi"/>
          <w:noProof/>
        </w:rPr>
        <w:pict w14:anchorId="2E709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62E33E-3645-471B-AEB1-3821406C03D1" style="width:451pt;height:471pt">
            <v:imagedata r:id="rId8" o:title=""/>
          </v:shape>
        </w:pict>
      </w:r>
    </w:p>
    <w:bookmarkEnd w:id="0"/>
    <w:p w:rsidR="003C2144" w:rsidRDefault="003C2144">
      <w:pPr>
        <w:rPr>
          <w:noProof/>
        </w:rPr>
        <w:sectPr w:rsidR="003C214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C2144" w:rsidRDefault="003C2144">
      <w:pPr>
        <w:pStyle w:val="TOCHeading"/>
        <w:rPr>
          <w:rFonts w:eastAsiaTheme="minorHAnsi" w:cstheme="minorBidi"/>
          <w:b w:val="0"/>
          <w:noProof/>
          <w:sz w:val="24"/>
          <w:szCs w:val="22"/>
        </w:rPr>
      </w:pPr>
    </w:p>
    <w:sdt>
      <w:sdtPr>
        <w:rPr>
          <w:rFonts w:eastAsiaTheme="minorHAnsi" w:cstheme="minorBidi"/>
          <w:b w:val="0"/>
          <w:noProof/>
          <w:sz w:val="24"/>
          <w:szCs w:val="22"/>
        </w:rPr>
        <w:id w:val="-701624568"/>
        <w:docPartObj>
          <w:docPartGallery w:val="Table of Contents"/>
          <w:docPartUnique/>
        </w:docPartObj>
      </w:sdtPr>
      <w:sdtEndPr>
        <w:rPr>
          <w:bCs/>
        </w:rPr>
      </w:sdtEndPr>
      <w:sdtContent>
        <w:p w:rsidR="003C2144" w:rsidRDefault="00FB7959">
          <w:pPr>
            <w:pStyle w:val="TOCHeading"/>
            <w:rPr>
              <w:noProof/>
            </w:rPr>
          </w:pPr>
          <w:r>
            <w:rPr>
              <w:noProof/>
            </w:rPr>
            <w:t>Table of Contents</w:t>
          </w:r>
        </w:p>
        <w:p w:rsidR="003C2144" w:rsidRDefault="00FB7959">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2744918" w:history="1">
            <w:r>
              <w:rPr>
                <w:rStyle w:val="Hyperlink"/>
                <w:noProof/>
              </w:rPr>
              <w:t>1.</w:t>
            </w:r>
            <w:r>
              <w:rPr>
                <w:rFonts w:asciiTheme="minorHAnsi" w:eastAsiaTheme="minorEastAsia" w:hAnsiTheme="minorHAnsi" w:cstheme="minorBidi"/>
                <w:noProof/>
                <w:sz w:val="22"/>
                <w:szCs w:val="22"/>
                <w:lang w:eastAsia="en-GB"/>
              </w:rPr>
              <w:tab/>
            </w:r>
            <w:r>
              <w:rPr>
                <w:rStyle w:val="Hyperlink"/>
                <w:smallCaps/>
                <w:noProof/>
                <w:lang w:eastAsia="en-GB"/>
              </w:rPr>
              <w:t>Introduction</w:t>
            </w:r>
            <w:r>
              <w:rPr>
                <w:noProof/>
                <w:webHidden/>
              </w:rPr>
              <w:tab/>
            </w:r>
            <w:r>
              <w:rPr>
                <w:noProof/>
                <w:webHidden/>
              </w:rPr>
              <w:fldChar w:fldCharType="begin"/>
            </w:r>
            <w:r>
              <w:rPr>
                <w:noProof/>
                <w:webHidden/>
              </w:rPr>
              <w:instrText xml:space="preserve"> PAGEREF _Toc52744918 \h </w:instrText>
            </w:r>
            <w:r>
              <w:rPr>
                <w:noProof/>
                <w:webHidden/>
              </w:rPr>
            </w:r>
            <w:r>
              <w:rPr>
                <w:noProof/>
                <w:webHidden/>
              </w:rPr>
              <w:fldChar w:fldCharType="separate"/>
            </w:r>
            <w:r>
              <w:rPr>
                <w:noProof/>
                <w:webHidden/>
              </w:rPr>
              <w:t>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19" w:history="1">
            <w:r>
              <w:rPr>
                <w:rStyle w:val="Hyperlink"/>
                <w:rFonts w:eastAsia="Calibri"/>
                <w:noProof/>
              </w:rPr>
              <w:t xml:space="preserve">1.1. </w:t>
            </w:r>
            <w:r>
              <w:rPr>
                <w:rFonts w:asciiTheme="minorHAnsi" w:eastAsiaTheme="minorEastAsia" w:hAnsiTheme="minorHAnsi" w:cstheme="minorBidi"/>
                <w:noProof/>
                <w:sz w:val="22"/>
                <w:szCs w:val="22"/>
                <w:lang w:eastAsia="en-GB"/>
              </w:rPr>
              <w:tab/>
            </w:r>
            <w:r>
              <w:rPr>
                <w:rStyle w:val="Hyperlink"/>
                <w:rFonts w:eastAsia="Calibri"/>
                <w:noProof/>
              </w:rPr>
              <w:t>Context</w:t>
            </w:r>
            <w:r>
              <w:rPr>
                <w:noProof/>
                <w:webHidden/>
              </w:rPr>
              <w:tab/>
            </w:r>
            <w:r>
              <w:rPr>
                <w:noProof/>
                <w:webHidden/>
              </w:rPr>
              <w:fldChar w:fldCharType="begin"/>
            </w:r>
            <w:r>
              <w:rPr>
                <w:noProof/>
                <w:webHidden/>
              </w:rPr>
              <w:instrText xml:space="preserve"> PAGEREF _Toc52744919 \h </w:instrText>
            </w:r>
            <w:r>
              <w:rPr>
                <w:noProof/>
                <w:webHidden/>
              </w:rPr>
            </w:r>
            <w:r>
              <w:rPr>
                <w:noProof/>
                <w:webHidden/>
              </w:rPr>
              <w:fldChar w:fldCharType="separate"/>
            </w:r>
            <w:r>
              <w:rPr>
                <w:noProof/>
                <w:webHidden/>
              </w:rPr>
              <w:t>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0" w:history="1">
            <w:r>
              <w:rPr>
                <w:rStyle w:val="Hyperlink"/>
                <w:rFonts w:eastAsia="Calibri"/>
                <w:noProof/>
              </w:rPr>
              <w:t xml:space="preserve">1.2. </w:t>
            </w:r>
            <w:r>
              <w:rPr>
                <w:rFonts w:asciiTheme="minorHAnsi" w:eastAsiaTheme="minorEastAsia" w:hAnsiTheme="minorHAnsi" w:cstheme="minorBidi"/>
                <w:noProof/>
                <w:sz w:val="22"/>
                <w:szCs w:val="22"/>
                <w:lang w:eastAsia="en-GB"/>
              </w:rPr>
              <w:tab/>
            </w:r>
            <w:r>
              <w:rPr>
                <w:rStyle w:val="Hyperlink"/>
                <w:rFonts w:eastAsia="Calibri"/>
                <w:noProof/>
              </w:rPr>
              <w:t>Summary of th</w:t>
            </w:r>
            <w:bookmarkStart w:id="2" w:name="_GoBack"/>
            <w:bookmarkEnd w:id="2"/>
            <w:r>
              <w:rPr>
                <w:rStyle w:val="Hyperlink"/>
                <w:rFonts w:eastAsia="Calibri"/>
                <w:noProof/>
              </w:rPr>
              <w:t>e Report</w:t>
            </w:r>
            <w:r>
              <w:rPr>
                <w:noProof/>
                <w:webHidden/>
              </w:rPr>
              <w:tab/>
            </w:r>
            <w:r>
              <w:rPr>
                <w:noProof/>
                <w:webHidden/>
              </w:rPr>
              <w:fldChar w:fldCharType="begin"/>
            </w:r>
            <w:r>
              <w:rPr>
                <w:noProof/>
                <w:webHidden/>
              </w:rPr>
              <w:instrText xml:space="preserve"> PAGEREF _Toc52744920 \h </w:instrText>
            </w:r>
            <w:r>
              <w:rPr>
                <w:noProof/>
                <w:webHidden/>
              </w:rPr>
            </w:r>
            <w:r>
              <w:rPr>
                <w:noProof/>
                <w:webHidden/>
              </w:rPr>
              <w:fldChar w:fldCharType="separate"/>
            </w:r>
            <w:r>
              <w:rPr>
                <w:noProof/>
                <w:webHidden/>
              </w:rPr>
              <w:t>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1"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St</w:t>
            </w:r>
            <w:r>
              <w:rPr>
                <w:rStyle w:val="Hyperlink"/>
                <w:noProof/>
              </w:rPr>
              <w:t>ate of play of the accession negotiations</w:t>
            </w:r>
            <w:r>
              <w:rPr>
                <w:noProof/>
                <w:webHidden/>
              </w:rPr>
              <w:tab/>
            </w:r>
            <w:r>
              <w:rPr>
                <w:noProof/>
                <w:webHidden/>
              </w:rPr>
              <w:fldChar w:fldCharType="begin"/>
            </w:r>
            <w:r>
              <w:rPr>
                <w:noProof/>
                <w:webHidden/>
              </w:rPr>
              <w:instrText xml:space="preserve"> PAGEREF _Toc52744921 \h </w:instrText>
            </w:r>
            <w:r>
              <w:rPr>
                <w:noProof/>
                <w:webHidden/>
              </w:rPr>
            </w:r>
            <w:r>
              <w:rPr>
                <w:noProof/>
                <w:webHidden/>
              </w:rPr>
              <w:fldChar w:fldCharType="separate"/>
            </w:r>
            <w:r>
              <w:rPr>
                <w:noProof/>
                <w:webHidden/>
              </w:rPr>
              <w:t>8</w:t>
            </w:r>
            <w:r>
              <w:rPr>
                <w:noProof/>
                <w:webHidden/>
              </w:rPr>
              <w:fldChar w:fldCharType="end"/>
            </w:r>
          </w:hyperlink>
        </w:p>
        <w:p w:rsidR="003C2144" w:rsidRDefault="00FB7959">
          <w:pPr>
            <w:pStyle w:val="TOC1"/>
            <w:rPr>
              <w:rFonts w:asciiTheme="minorHAnsi" w:eastAsiaTheme="minorEastAsia" w:hAnsiTheme="minorHAnsi" w:cstheme="minorBidi"/>
              <w:noProof/>
              <w:sz w:val="22"/>
              <w:szCs w:val="22"/>
              <w:lang w:eastAsia="en-GB"/>
            </w:rPr>
          </w:pPr>
          <w:hyperlink w:anchor="_Toc52744922" w:history="1">
            <w:r>
              <w:rPr>
                <w:rStyle w:val="Hyperlink"/>
                <w:noProof/>
              </w:rPr>
              <w:t>2.</w:t>
            </w:r>
            <w:r>
              <w:rPr>
                <w:rFonts w:asciiTheme="minorHAnsi" w:eastAsiaTheme="minorEastAsia" w:hAnsiTheme="minorHAnsi" w:cstheme="minorBidi"/>
                <w:noProof/>
                <w:sz w:val="22"/>
                <w:szCs w:val="22"/>
                <w:lang w:eastAsia="en-GB"/>
              </w:rPr>
              <w:tab/>
            </w:r>
            <w:r>
              <w:rPr>
                <w:rStyle w:val="Hyperlink"/>
                <w:noProof/>
                <w:lang w:eastAsia="en-GB"/>
              </w:rPr>
              <w:t>Fundamentals first: political criteria and rule of law chapters</w:t>
            </w:r>
            <w:r>
              <w:rPr>
                <w:noProof/>
                <w:webHidden/>
              </w:rPr>
              <w:tab/>
            </w:r>
            <w:r>
              <w:rPr>
                <w:noProof/>
                <w:webHidden/>
              </w:rPr>
              <w:fldChar w:fldCharType="begin"/>
            </w:r>
            <w:r>
              <w:rPr>
                <w:noProof/>
                <w:webHidden/>
              </w:rPr>
              <w:instrText xml:space="preserve"> PAGEREF _Toc52744922</w:instrText>
            </w:r>
            <w:r>
              <w:rPr>
                <w:noProof/>
                <w:webHidden/>
              </w:rPr>
              <w:instrText xml:space="preserve"> \h </w:instrText>
            </w:r>
            <w:r>
              <w:rPr>
                <w:noProof/>
                <w:webHidden/>
              </w:rPr>
            </w:r>
            <w:r>
              <w:rPr>
                <w:noProof/>
                <w:webHidden/>
              </w:rPr>
              <w:fldChar w:fldCharType="separate"/>
            </w:r>
            <w:r>
              <w:rPr>
                <w:noProof/>
                <w:webHidden/>
              </w:rPr>
              <w:t>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3" w:history="1">
            <w:r>
              <w:rPr>
                <w:rStyle w:val="Hyperlink"/>
                <w:noProof/>
              </w:rPr>
              <w:t>2.1</w:t>
            </w:r>
            <w:r>
              <w:rPr>
                <w:rFonts w:asciiTheme="minorHAnsi" w:eastAsiaTheme="minorEastAsia" w:hAnsiTheme="minorHAnsi" w:cstheme="minorBidi"/>
                <w:noProof/>
                <w:sz w:val="22"/>
                <w:szCs w:val="22"/>
                <w:lang w:eastAsia="en-GB"/>
              </w:rPr>
              <w:tab/>
            </w:r>
            <w:r>
              <w:rPr>
                <w:rStyle w:val="Hyperlink"/>
                <w:noProof/>
                <w:lang w:eastAsia="it-IT"/>
              </w:rPr>
              <w:t>Functioning of democratic institutions and public administration reform</w:t>
            </w:r>
            <w:r>
              <w:rPr>
                <w:noProof/>
                <w:webHidden/>
              </w:rPr>
              <w:tab/>
            </w:r>
            <w:r>
              <w:rPr>
                <w:noProof/>
                <w:webHidden/>
              </w:rPr>
              <w:fldChar w:fldCharType="begin"/>
            </w:r>
            <w:r>
              <w:rPr>
                <w:noProof/>
                <w:webHidden/>
              </w:rPr>
              <w:instrText xml:space="preserve"> PAGEREF _Toc52744923 \h </w:instrText>
            </w:r>
            <w:r>
              <w:rPr>
                <w:noProof/>
                <w:webHidden/>
              </w:rPr>
            </w:r>
            <w:r>
              <w:rPr>
                <w:noProof/>
                <w:webHidden/>
              </w:rPr>
              <w:fldChar w:fldCharType="separate"/>
            </w:r>
            <w:r>
              <w:rPr>
                <w:noProof/>
                <w:webHidden/>
              </w:rPr>
              <w:t>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4"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Democracy</w:t>
            </w:r>
            <w:r>
              <w:rPr>
                <w:noProof/>
                <w:webHidden/>
              </w:rPr>
              <w:tab/>
            </w:r>
            <w:r>
              <w:rPr>
                <w:noProof/>
                <w:webHidden/>
              </w:rPr>
              <w:fldChar w:fldCharType="begin"/>
            </w:r>
            <w:r>
              <w:rPr>
                <w:noProof/>
                <w:webHidden/>
              </w:rPr>
              <w:instrText xml:space="preserve"> PAGEREF _Toc52744924 \h </w:instrText>
            </w:r>
            <w:r>
              <w:rPr>
                <w:noProof/>
                <w:webHidden/>
              </w:rPr>
            </w:r>
            <w:r>
              <w:rPr>
                <w:noProof/>
                <w:webHidden/>
              </w:rPr>
              <w:fldChar w:fldCharType="separate"/>
            </w:r>
            <w:r>
              <w:rPr>
                <w:noProof/>
                <w:webHidden/>
              </w:rPr>
              <w:t>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5"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Public administration reform</w:t>
            </w:r>
            <w:r>
              <w:rPr>
                <w:noProof/>
                <w:webHidden/>
              </w:rPr>
              <w:tab/>
            </w:r>
            <w:r>
              <w:rPr>
                <w:noProof/>
                <w:webHidden/>
              </w:rPr>
              <w:fldChar w:fldCharType="begin"/>
            </w:r>
            <w:r>
              <w:rPr>
                <w:noProof/>
                <w:webHidden/>
              </w:rPr>
              <w:instrText xml:space="preserve"> PAGEREF _Toc52744925 \h </w:instrText>
            </w:r>
            <w:r>
              <w:rPr>
                <w:noProof/>
                <w:webHidden/>
              </w:rPr>
            </w:r>
            <w:r>
              <w:rPr>
                <w:noProof/>
                <w:webHidden/>
              </w:rPr>
              <w:fldChar w:fldCharType="separate"/>
            </w:r>
            <w:r>
              <w:rPr>
                <w:noProof/>
                <w:webHidden/>
              </w:rPr>
              <w:t>16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6"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Rule of law and fundamental rights</w:t>
            </w:r>
            <w:r>
              <w:rPr>
                <w:noProof/>
                <w:webHidden/>
              </w:rPr>
              <w:tab/>
            </w:r>
            <w:r>
              <w:rPr>
                <w:noProof/>
                <w:webHidden/>
              </w:rPr>
              <w:fldChar w:fldCharType="begin"/>
            </w:r>
            <w:r>
              <w:rPr>
                <w:noProof/>
                <w:webHidden/>
              </w:rPr>
              <w:instrText xml:space="preserve"> PAGEREF _Toc52744926 \h </w:instrText>
            </w:r>
            <w:r>
              <w:rPr>
                <w:noProof/>
                <w:webHidden/>
              </w:rPr>
            </w:r>
            <w:r>
              <w:rPr>
                <w:noProof/>
                <w:webHidden/>
              </w:rPr>
              <w:fldChar w:fldCharType="separate"/>
            </w:r>
            <w:r>
              <w:rPr>
                <w:noProof/>
                <w:webHidden/>
              </w:rPr>
              <w:t>19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7"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Chapter 23: Judiciary and fundamental rights</w:t>
            </w:r>
            <w:r>
              <w:rPr>
                <w:noProof/>
                <w:webHidden/>
              </w:rPr>
              <w:tab/>
            </w:r>
            <w:r>
              <w:rPr>
                <w:noProof/>
                <w:webHidden/>
              </w:rPr>
              <w:fldChar w:fldCharType="begin"/>
            </w:r>
            <w:r>
              <w:rPr>
                <w:noProof/>
                <w:webHidden/>
              </w:rPr>
              <w:instrText xml:space="preserve"> PAGEREF</w:instrText>
            </w:r>
            <w:r>
              <w:rPr>
                <w:noProof/>
                <w:webHidden/>
              </w:rPr>
              <w:instrText xml:space="preserve"> _Toc52744927 \h </w:instrText>
            </w:r>
            <w:r>
              <w:rPr>
                <w:noProof/>
                <w:webHidden/>
              </w:rPr>
            </w:r>
            <w:r>
              <w:rPr>
                <w:noProof/>
                <w:webHidden/>
              </w:rPr>
              <w:fldChar w:fldCharType="separate"/>
            </w:r>
            <w:r>
              <w:rPr>
                <w:noProof/>
                <w:webHidden/>
              </w:rPr>
              <w:t>19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28"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Chapter 24: Justice, freedom and security</w:t>
            </w:r>
            <w:r>
              <w:rPr>
                <w:noProof/>
                <w:webHidden/>
              </w:rPr>
              <w:tab/>
            </w:r>
            <w:r>
              <w:rPr>
                <w:noProof/>
                <w:webHidden/>
              </w:rPr>
              <w:fldChar w:fldCharType="begin"/>
            </w:r>
            <w:r>
              <w:rPr>
                <w:noProof/>
                <w:webHidden/>
              </w:rPr>
              <w:instrText xml:space="preserve"> PAGEREF _Toc52744928 \h </w:instrText>
            </w:r>
            <w:r>
              <w:rPr>
                <w:noProof/>
                <w:webHidden/>
              </w:rPr>
            </w:r>
            <w:r>
              <w:rPr>
                <w:noProof/>
                <w:webHidden/>
              </w:rPr>
              <w:fldChar w:fldCharType="separate"/>
            </w:r>
            <w:r>
              <w:rPr>
                <w:noProof/>
                <w:webHidden/>
              </w:rPr>
              <w:t>42</w:t>
            </w:r>
            <w:r>
              <w:rPr>
                <w:noProof/>
                <w:webHidden/>
              </w:rPr>
              <w:fldChar w:fldCharType="end"/>
            </w:r>
          </w:hyperlink>
        </w:p>
        <w:p w:rsidR="003C2144" w:rsidRDefault="00FB7959">
          <w:pPr>
            <w:pStyle w:val="TOC1"/>
            <w:rPr>
              <w:rFonts w:asciiTheme="minorHAnsi" w:eastAsiaTheme="minorEastAsia" w:hAnsiTheme="minorHAnsi" w:cstheme="minorBidi"/>
              <w:noProof/>
              <w:sz w:val="22"/>
              <w:szCs w:val="22"/>
              <w:lang w:eastAsia="en-GB"/>
            </w:rPr>
          </w:pPr>
          <w:hyperlink w:anchor="_Toc52744929"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Fundamentals first: economic development and competitiveness</w:t>
            </w:r>
            <w:r>
              <w:rPr>
                <w:noProof/>
                <w:webHidden/>
              </w:rPr>
              <w:tab/>
            </w:r>
            <w:r>
              <w:rPr>
                <w:noProof/>
                <w:webHidden/>
              </w:rPr>
              <w:fldChar w:fldCharType="begin"/>
            </w:r>
            <w:r>
              <w:rPr>
                <w:noProof/>
                <w:webHidden/>
              </w:rPr>
              <w:instrText xml:space="preserve"> PAGEREF _Toc52744929 \h </w:instrText>
            </w:r>
            <w:r>
              <w:rPr>
                <w:noProof/>
                <w:webHidden/>
              </w:rPr>
            </w:r>
            <w:r>
              <w:rPr>
                <w:noProof/>
                <w:webHidden/>
              </w:rPr>
              <w:fldChar w:fldCharType="separate"/>
            </w:r>
            <w:r>
              <w:rPr>
                <w:noProof/>
                <w:webHidden/>
              </w:rPr>
              <w:t>57</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0"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existence of a functioning market economy</w:t>
            </w:r>
            <w:r>
              <w:rPr>
                <w:noProof/>
                <w:webHidden/>
              </w:rPr>
              <w:tab/>
            </w:r>
            <w:r>
              <w:rPr>
                <w:noProof/>
                <w:webHidden/>
              </w:rPr>
              <w:fldChar w:fldCharType="begin"/>
            </w:r>
            <w:r>
              <w:rPr>
                <w:noProof/>
                <w:webHidden/>
              </w:rPr>
              <w:instrText xml:space="preserve"> PAGEREF _Toc52744930 \h </w:instrText>
            </w:r>
            <w:r>
              <w:rPr>
                <w:noProof/>
                <w:webHidden/>
              </w:rPr>
            </w:r>
            <w:r>
              <w:rPr>
                <w:noProof/>
                <w:webHidden/>
              </w:rPr>
              <w:fldChar w:fldCharType="separate"/>
            </w:r>
            <w:r>
              <w:rPr>
                <w:noProof/>
                <w:webHidden/>
              </w:rPr>
              <w:t>57</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1"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The capacity to cope with competitive press</w:t>
            </w:r>
            <w:r>
              <w:rPr>
                <w:rStyle w:val="Hyperlink"/>
                <w:noProof/>
              </w:rPr>
              <w:t>ure and market forces within the Union</w:t>
            </w:r>
            <w:r>
              <w:rPr>
                <w:noProof/>
                <w:webHidden/>
              </w:rPr>
              <w:tab/>
            </w:r>
            <w:r>
              <w:rPr>
                <w:noProof/>
                <w:webHidden/>
              </w:rPr>
              <w:fldChar w:fldCharType="begin"/>
            </w:r>
            <w:r>
              <w:rPr>
                <w:noProof/>
                <w:webHidden/>
              </w:rPr>
              <w:instrText xml:space="preserve"> PAGEREF _Toc52744931 \h </w:instrText>
            </w:r>
            <w:r>
              <w:rPr>
                <w:noProof/>
                <w:webHidden/>
              </w:rPr>
            </w:r>
            <w:r>
              <w:rPr>
                <w:noProof/>
                <w:webHidden/>
              </w:rPr>
              <w:fldChar w:fldCharType="separate"/>
            </w:r>
            <w:r>
              <w:rPr>
                <w:noProof/>
                <w:webHidden/>
              </w:rPr>
              <w:t>65</w:t>
            </w:r>
            <w:r>
              <w:rPr>
                <w:noProof/>
                <w:webHidden/>
              </w:rPr>
              <w:fldChar w:fldCharType="end"/>
            </w:r>
          </w:hyperlink>
        </w:p>
        <w:p w:rsidR="003C2144" w:rsidRDefault="00FB7959">
          <w:pPr>
            <w:pStyle w:val="TOC1"/>
            <w:rPr>
              <w:rFonts w:asciiTheme="minorHAnsi" w:eastAsiaTheme="minorEastAsia" w:hAnsiTheme="minorHAnsi" w:cstheme="minorBidi"/>
              <w:noProof/>
              <w:sz w:val="22"/>
              <w:szCs w:val="22"/>
              <w:lang w:eastAsia="en-GB"/>
            </w:rPr>
          </w:pPr>
          <w:hyperlink w:anchor="_Toc52744932"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Good neighbourly relations and regional cooperation</w:t>
            </w:r>
            <w:r>
              <w:rPr>
                <w:noProof/>
                <w:webHidden/>
              </w:rPr>
              <w:tab/>
            </w:r>
            <w:r>
              <w:rPr>
                <w:noProof/>
                <w:webHidden/>
              </w:rPr>
              <w:fldChar w:fldCharType="begin"/>
            </w:r>
            <w:r>
              <w:rPr>
                <w:noProof/>
                <w:webHidden/>
              </w:rPr>
              <w:instrText xml:space="preserve"> PAGEREF _Toc52744932 \h </w:instrText>
            </w:r>
            <w:r>
              <w:rPr>
                <w:noProof/>
                <w:webHidden/>
              </w:rPr>
            </w:r>
            <w:r>
              <w:rPr>
                <w:noProof/>
                <w:webHidden/>
              </w:rPr>
              <w:fldChar w:fldCharType="separate"/>
            </w:r>
            <w:r>
              <w:rPr>
                <w:noProof/>
                <w:webHidden/>
              </w:rPr>
              <w:t>67</w:t>
            </w:r>
            <w:r>
              <w:rPr>
                <w:noProof/>
                <w:webHidden/>
              </w:rPr>
              <w:fldChar w:fldCharType="end"/>
            </w:r>
          </w:hyperlink>
        </w:p>
        <w:p w:rsidR="003C2144" w:rsidRDefault="00FB7959">
          <w:pPr>
            <w:pStyle w:val="TOC1"/>
            <w:rPr>
              <w:rFonts w:asciiTheme="minorHAnsi" w:eastAsiaTheme="minorEastAsia" w:hAnsiTheme="minorHAnsi" w:cstheme="minorBidi"/>
              <w:noProof/>
              <w:sz w:val="22"/>
              <w:szCs w:val="22"/>
              <w:lang w:eastAsia="en-GB"/>
            </w:rPr>
          </w:pPr>
          <w:hyperlink w:anchor="_Toc52744933" w:history="1">
            <w:r>
              <w:rPr>
                <w:rStyle w:val="Hyperlink"/>
                <w:noProof/>
              </w:rPr>
              <w:t xml:space="preserve">5. </w:t>
            </w:r>
            <w:r>
              <w:rPr>
                <w:rFonts w:asciiTheme="minorHAnsi" w:eastAsiaTheme="minorEastAsia" w:hAnsiTheme="minorHAnsi" w:cstheme="minorBidi"/>
                <w:noProof/>
                <w:sz w:val="22"/>
                <w:szCs w:val="22"/>
                <w:lang w:eastAsia="en-GB"/>
              </w:rPr>
              <w:tab/>
            </w:r>
            <w:r>
              <w:rPr>
                <w:rStyle w:val="Hyperlink"/>
                <w:noProof/>
              </w:rPr>
              <w:t>Ability to assume the obligations of membership</w:t>
            </w:r>
            <w:r>
              <w:rPr>
                <w:noProof/>
                <w:webHidden/>
              </w:rPr>
              <w:tab/>
            </w:r>
            <w:r>
              <w:rPr>
                <w:noProof/>
                <w:webHidden/>
              </w:rPr>
              <w:fldChar w:fldCharType="begin"/>
            </w:r>
            <w:r>
              <w:rPr>
                <w:noProof/>
                <w:webHidden/>
              </w:rPr>
              <w:instrText xml:space="preserve"> PAGEREF _Toc52744933 \h </w:instrText>
            </w:r>
            <w:r>
              <w:rPr>
                <w:noProof/>
                <w:webHidden/>
              </w:rPr>
            </w:r>
            <w:r>
              <w:rPr>
                <w:noProof/>
                <w:webHidden/>
              </w:rPr>
              <w:fldChar w:fldCharType="separate"/>
            </w:r>
            <w:r>
              <w:rPr>
                <w:noProof/>
                <w:webHidden/>
              </w:rPr>
              <w:t>70</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4"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Chapter 1: Free movement of goods</w:t>
            </w:r>
            <w:r>
              <w:rPr>
                <w:noProof/>
                <w:webHidden/>
              </w:rPr>
              <w:tab/>
            </w:r>
            <w:r>
              <w:rPr>
                <w:noProof/>
                <w:webHidden/>
              </w:rPr>
              <w:fldChar w:fldCharType="begin"/>
            </w:r>
            <w:r>
              <w:rPr>
                <w:noProof/>
                <w:webHidden/>
              </w:rPr>
              <w:instrText xml:space="preserve"> PAGEREF _Toc52744934 \h </w:instrText>
            </w:r>
            <w:r>
              <w:rPr>
                <w:noProof/>
                <w:webHidden/>
              </w:rPr>
            </w:r>
            <w:r>
              <w:rPr>
                <w:noProof/>
                <w:webHidden/>
              </w:rPr>
              <w:fldChar w:fldCharType="separate"/>
            </w:r>
            <w:r>
              <w:rPr>
                <w:noProof/>
                <w:webHidden/>
              </w:rPr>
              <w:t>70</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5" w:history="1">
            <w:r>
              <w:rPr>
                <w:rStyle w:val="Hyperlink"/>
                <w:noProof/>
                <w:lang w:eastAsia="it-IT"/>
              </w:rPr>
              <w:t>5.2</w:t>
            </w:r>
            <w:r>
              <w:rPr>
                <w:rFonts w:asciiTheme="minorHAnsi" w:eastAsiaTheme="minorEastAsia" w:hAnsiTheme="minorHAnsi" w:cstheme="minorBidi"/>
                <w:noProof/>
                <w:sz w:val="22"/>
                <w:szCs w:val="22"/>
                <w:lang w:eastAsia="en-GB"/>
              </w:rPr>
              <w:tab/>
            </w:r>
            <w:r>
              <w:rPr>
                <w:rStyle w:val="Hyperlink"/>
                <w:noProof/>
                <w:lang w:eastAsia="it-IT"/>
              </w:rPr>
              <w:t>Chapter 2: Freedom of movement for workers</w:t>
            </w:r>
            <w:r>
              <w:rPr>
                <w:noProof/>
                <w:webHidden/>
              </w:rPr>
              <w:tab/>
            </w:r>
            <w:r>
              <w:rPr>
                <w:noProof/>
                <w:webHidden/>
              </w:rPr>
              <w:fldChar w:fldCharType="begin"/>
            </w:r>
            <w:r>
              <w:rPr>
                <w:noProof/>
                <w:webHidden/>
              </w:rPr>
              <w:instrText xml:space="preserve"> PAGEREF _Toc52744935 \h </w:instrText>
            </w:r>
            <w:r>
              <w:rPr>
                <w:noProof/>
                <w:webHidden/>
              </w:rPr>
            </w:r>
            <w:r>
              <w:rPr>
                <w:noProof/>
                <w:webHidden/>
              </w:rPr>
              <w:fldChar w:fldCharType="separate"/>
            </w:r>
            <w:r>
              <w:rPr>
                <w:noProof/>
                <w:webHidden/>
              </w:rPr>
              <w:t>72</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6" w:history="1">
            <w:r>
              <w:rPr>
                <w:rStyle w:val="Hyperlink"/>
                <w:rFonts w:eastAsia="Calibri"/>
                <w:bCs/>
                <w:noProof/>
              </w:rPr>
              <w:t>5.3</w:t>
            </w:r>
            <w:r>
              <w:rPr>
                <w:rFonts w:asciiTheme="minorHAnsi" w:eastAsiaTheme="minorEastAsia" w:hAnsiTheme="minorHAnsi" w:cstheme="minorBidi"/>
                <w:noProof/>
                <w:sz w:val="22"/>
                <w:szCs w:val="22"/>
                <w:lang w:eastAsia="en-GB"/>
              </w:rPr>
              <w:tab/>
            </w:r>
            <w:r>
              <w:rPr>
                <w:rStyle w:val="Hyperlink"/>
                <w:noProof/>
              </w:rPr>
              <w:t>Chapter 3: Right of establishment and freedom to provide services</w:t>
            </w:r>
            <w:r>
              <w:rPr>
                <w:noProof/>
                <w:webHidden/>
              </w:rPr>
              <w:tab/>
            </w:r>
            <w:r>
              <w:rPr>
                <w:noProof/>
                <w:webHidden/>
              </w:rPr>
              <w:fldChar w:fldCharType="begin"/>
            </w:r>
            <w:r>
              <w:rPr>
                <w:noProof/>
                <w:webHidden/>
              </w:rPr>
              <w:instrText xml:space="preserve"> PAGEREF</w:instrText>
            </w:r>
            <w:r>
              <w:rPr>
                <w:noProof/>
                <w:webHidden/>
              </w:rPr>
              <w:instrText xml:space="preserve"> _Toc52744936 \h </w:instrText>
            </w:r>
            <w:r>
              <w:rPr>
                <w:noProof/>
                <w:webHidden/>
              </w:rPr>
            </w:r>
            <w:r>
              <w:rPr>
                <w:noProof/>
                <w:webHidden/>
              </w:rPr>
              <w:fldChar w:fldCharType="separate"/>
            </w:r>
            <w:r>
              <w:rPr>
                <w:noProof/>
                <w:webHidden/>
              </w:rPr>
              <w:t>73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7"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Chapter 4: Free movement of capital</w:t>
            </w:r>
            <w:r>
              <w:rPr>
                <w:noProof/>
                <w:webHidden/>
              </w:rPr>
              <w:tab/>
            </w:r>
            <w:r>
              <w:rPr>
                <w:noProof/>
                <w:webHidden/>
              </w:rPr>
              <w:fldChar w:fldCharType="begin"/>
            </w:r>
            <w:r>
              <w:rPr>
                <w:noProof/>
                <w:webHidden/>
              </w:rPr>
              <w:instrText xml:space="preserve"> PAGEREF _Toc52744937 \h </w:instrText>
            </w:r>
            <w:r>
              <w:rPr>
                <w:noProof/>
                <w:webHidden/>
              </w:rPr>
            </w:r>
            <w:r>
              <w:rPr>
                <w:noProof/>
                <w:webHidden/>
              </w:rPr>
              <w:fldChar w:fldCharType="separate"/>
            </w:r>
            <w:r>
              <w:rPr>
                <w:noProof/>
                <w:webHidden/>
              </w:rPr>
              <w:t>74</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8"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Chapter 5: Public procurement</w:t>
            </w:r>
            <w:r>
              <w:rPr>
                <w:noProof/>
                <w:webHidden/>
              </w:rPr>
              <w:tab/>
            </w:r>
            <w:r>
              <w:rPr>
                <w:noProof/>
                <w:webHidden/>
              </w:rPr>
              <w:fldChar w:fldCharType="begin"/>
            </w:r>
            <w:r>
              <w:rPr>
                <w:noProof/>
                <w:webHidden/>
              </w:rPr>
              <w:instrText xml:space="preserve"> PAGEREF _Toc52744938 \h </w:instrText>
            </w:r>
            <w:r>
              <w:rPr>
                <w:noProof/>
                <w:webHidden/>
              </w:rPr>
            </w:r>
            <w:r>
              <w:rPr>
                <w:noProof/>
                <w:webHidden/>
              </w:rPr>
              <w:fldChar w:fldCharType="separate"/>
            </w:r>
            <w:r>
              <w:rPr>
                <w:noProof/>
                <w:webHidden/>
              </w:rPr>
              <w:t>76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39" w:history="1">
            <w:r>
              <w:rPr>
                <w:rStyle w:val="Hyperlink"/>
                <w:noProof/>
              </w:rPr>
              <w:t>5.6</w:t>
            </w:r>
            <w:r>
              <w:rPr>
                <w:rFonts w:asciiTheme="minorHAnsi" w:eastAsiaTheme="minorEastAsia" w:hAnsiTheme="minorHAnsi" w:cstheme="minorBidi"/>
                <w:noProof/>
                <w:sz w:val="22"/>
                <w:szCs w:val="22"/>
                <w:lang w:eastAsia="en-GB"/>
              </w:rPr>
              <w:tab/>
            </w:r>
            <w:r>
              <w:rPr>
                <w:rStyle w:val="Hyperlink"/>
                <w:noProof/>
              </w:rPr>
              <w:t>Chapter 6: Company law</w:t>
            </w:r>
            <w:r>
              <w:rPr>
                <w:noProof/>
                <w:webHidden/>
              </w:rPr>
              <w:tab/>
            </w:r>
            <w:r>
              <w:rPr>
                <w:noProof/>
                <w:webHidden/>
              </w:rPr>
              <w:fldChar w:fldCharType="begin"/>
            </w:r>
            <w:r>
              <w:rPr>
                <w:noProof/>
                <w:webHidden/>
              </w:rPr>
              <w:instrText xml:space="preserve"> PAGEREF _Toc52744939 \h </w:instrText>
            </w:r>
            <w:r>
              <w:rPr>
                <w:noProof/>
                <w:webHidden/>
              </w:rPr>
            </w:r>
            <w:r>
              <w:rPr>
                <w:noProof/>
                <w:webHidden/>
              </w:rPr>
              <w:fldChar w:fldCharType="separate"/>
            </w:r>
            <w:r>
              <w:rPr>
                <w:noProof/>
                <w:webHidden/>
              </w:rPr>
              <w:t>77</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0" w:history="1">
            <w:r>
              <w:rPr>
                <w:rStyle w:val="Hyperlink"/>
                <w:noProof/>
              </w:rPr>
              <w:t>5.7</w:t>
            </w:r>
            <w:r>
              <w:rPr>
                <w:rFonts w:asciiTheme="minorHAnsi" w:eastAsiaTheme="minorEastAsia" w:hAnsiTheme="minorHAnsi" w:cstheme="minorBidi"/>
                <w:noProof/>
                <w:sz w:val="22"/>
                <w:szCs w:val="22"/>
                <w:lang w:eastAsia="en-GB"/>
              </w:rPr>
              <w:tab/>
            </w:r>
            <w:r>
              <w:rPr>
                <w:rStyle w:val="Hyperlink"/>
                <w:noProof/>
              </w:rPr>
              <w:t>Chapter 7: Intellectual property law</w:t>
            </w:r>
            <w:r>
              <w:rPr>
                <w:noProof/>
                <w:webHidden/>
              </w:rPr>
              <w:tab/>
            </w:r>
            <w:r>
              <w:rPr>
                <w:noProof/>
                <w:webHidden/>
              </w:rPr>
              <w:fldChar w:fldCharType="begin"/>
            </w:r>
            <w:r>
              <w:rPr>
                <w:noProof/>
                <w:webHidden/>
              </w:rPr>
              <w:instrText xml:space="preserve"> PAGEREF _Toc52744940 \h </w:instrText>
            </w:r>
            <w:r>
              <w:rPr>
                <w:noProof/>
                <w:webHidden/>
              </w:rPr>
            </w:r>
            <w:r>
              <w:rPr>
                <w:noProof/>
                <w:webHidden/>
              </w:rPr>
              <w:fldChar w:fldCharType="separate"/>
            </w:r>
            <w:r>
              <w:rPr>
                <w:noProof/>
                <w:webHidden/>
              </w:rPr>
              <w:t>78</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1" w:history="1">
            <w:r>
              <w:rPr>
                <w:rStyle w:val="Hyperlink"/>
                <w:noProof/>
              </w:rPr>
              <w:t>5.8</w:t>
            </w:r>
            <w:r>
              <w:rPr>
                <w:rFonts w:asciiTheme="minorHAnsi" w:eastAsiaTheme="minorEastAsia" w:hAnsiTheme="minorHAnsi" w:cstheme="minorBidi"/>
                <w:noProof/>
                <w:sz w:val="22"/>
                <w:szCs w:val="22"/>
                <w:lang w:eastAsia="en-GB"/>
              </w:rPr>
              <w:tab/>
            </w:r>
            <w:r>
              <w:rPr>
                <w:rStyle w:val="Hyperlink"/>
                <w:noProof/>
              </w:rPr>
              <w:t>Chapter 8: Competition policy</w:t>
            </w:r>
            <w:r>
              <w:rPr>
                <w:noProof/>
                <w:webHidden/>
              </w:rPr>
              <w:tab/>
            </w:r>
            <w:r>
              <w:rPr>
                <w:noProof/>
                <w:webHidden/>
              </w:rPr>
              <w:fldChar w:fldCharType="begin"/>
            </w:r>
            <w:r>
              <w:rPr>
                <w:noProof/>
                <w:webHidden/>
              </w:rPr>
              <w:instrText xml:space="preserve"> PAGEREF _Toc52744941 \h </w:instrText>
            </w:r>
            <w:r>
              <w:rPr>
                <w:noProof/>
                <w:webHidden/>
              </w:rPr>
            </w:r>
            <w:r>
              <w:rPr>
                <w:noProof/>
                <w:webHidden/>
              </w:rPr>
              <w:fldChar w:fldCharType="separate"/>
            </w:r>
            <w:r>
              <w:rPr>
                <w:noProof/>
                <w:webHidden/>
              </w:rPr>
              <w:t>79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2" w:history="1">
            <w:r>
              <w:rPr>
                <w:rStyle w:val="Hyperlink"/>
                <w:noProof/>
              </w:rPr>
              <w:t>5.9</w:t>
            </w:r>
            <w:r>
              <w:rPr>
                <w:rFonts w:asciiTheme="minorHAnsi" w:eastAsiaTheme="minorEastAsia" w:hAnsiTheme="minorHAnsi" w:cstheme="minorBidi"/>
                <w:noProof/>
                <w:sz w:val="22"/>
                <w:szCs w:val="22"/>
                <w:lang w:eastAsia="en-GB"/>
              </w:rPr>
              <w:tab/>
            </w:r>
            <w:r>
              <w:rPr>
                <w:rStyle w:val="Hyperlink"/>
                <w:noProof/>
              </w:rPr>
              <w:t>Chapter 9: Financial services</w:t>
            </w:r>
            <w:r>
              <w:rPr>
                <w:noProof/>
                <w:webHidden/>
              </w:rPr>
              <w:tab/>
            </w:r>
            <w:r>
              <w:rPr>
                <w:noProof/>
                <w:webHidden/>
              </w:rPr>
              <w:fldChar w:fldCharType="begin"/>
            </w:r>
            <w:r>
              <w:rPr>
                <w:noProof/>
                <w:webHidden/>
              </w:rPr>
              <w:instrText xml:space="preserve"> PAGEREF _Toc52744942 \h </w:instrText>
            </w:r>
            <w:r>
              <w:rPr>
                <w:noProof/>
                <w:webHidden/>
              </w:rPr>
            </w:r>
            <w:r>
              <w:rPr>
                <w:noProof/>
                <w:webHidden/>
              </w:rPr>
              <w:fldChar w:fldCharType="separate"/>
            </w:r>
            <w:r>
              <w:rPr>
                <w:noProof/>
                <w:webHidden/>
              </w:rPr>
              <w:t>82</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3" w:history="1">
            <w:r>
              <w:rPr>
                <w:rStyle w:val="Hyperlink"/>
                <w:noProof/>
              </w:rPr>
              <w:t>5.10</w:t>
            </w:r>
            <w:r>
              <w:rPr>
                <w:rFonts w:asciiTheme="minorHAnsi" w:eastAsiaTheme="minorEastAsia" w:hAnsiTheme="minorHAnsi" w:cstheme="minorBidi"/>
                <w:noProof/>
                <w:sz w:val="22"/>
                <w:szCs w:val="22"/>
                <w:lang w:eastAsia="en-GB"/>
              </w:rPr>
              <w:tab/>
            </w:r>
            <w:r>
              <w:rPr>
                <w:rStyle w:val="Hyperlink"/>
                <w:noProof/>
              </w:rPr>
              <w:t>Chapter 10: Information society and media</w:t>
            </w:r>
            <w:r>
              <w:rPr>
                <w:noProof/>
                <w:webHidden/>
              </w:rPr>
              <w:tab/>
            </w:r>
            <w:r>
              <w:rPr>
                <w:noProof/>
                <w:webHidden/>
              </w:rPr>
              <w:fldChar w:fldCharType="begin"/>
            </w:r>
            <w:r>
              <w:rPr>
                <w:noProof/>
                <w:webHidden/>
              </w:rPr>
              <w:instrText xml:space="preserve"> PAGEREF _Toc52744943 \h </w:instrText>
            </w:r>
            <w:r>
              <w:rPr>
                <w:noProof/>
                <w:webHidden/>
              </w:rPr>
            </w:r>
            <w:r>
              <w:rPr>
                <w:noProof/>
                <w:webHidden/>
              </w:rPr>
              <w:fldChar w:fldCharType="separate"/>
            </w:r>
            <w:r>
              <w:rPr>
                <w:noProof/>
                <w:webHidden/>
              </w:rPr>
              <w:t>83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4" w:history="1">
            <w:r>
              <w:rPr>
                <w:rStyle w:val="Hyperlink"/>
                <w:rFonts w:eastAsia="Calibri"/>
                <w:noProof/>
              </w:rPr>
              <w:t>5.11</w:t>
            </w:r>
            <w:r>
              <w:rPr>
                <w:rFonts w:asciiTheme="minorHAnsi" w:eastAsiaTheme="minorEastAsia" w:hAnsiTheme="minorHAnsi" w:cstheme="minorBidi"/>
                <w:noProof/>
                <w:sz w:val="22"/>
                <w:szCs w:val="22"/>
                <w:lang w:eastAsia="en-GB"/>
              </w:rPr>
              <w:tab/>
            </w:r>
            <w:r>
              <w:rPr>
                <w:rStyle w:val="Hyperlink"/>
                <w:rFonts w:eastAsia="Calibri"/>
                <w:noProof/>
              </w:rPr>
              <w:t>Chapter 11: Agriculture and rural development</w:t>
            </w:r>
            <w:r>
              <w:rPr>
                <w:noProof/>
                <w:webHidden/>
              </w:rPr>
              <w:tab/>
            </w:r>
            <w:r>
              <w:rPr>
                <w:noProof/>
                <w:webHidden/>
              </w:rPr>
              <w:fldChar w:fldCharType="begin"/>
            </w:r>
            <w:r>
              <w:rPr>
                <w:noProof/>
                <w:webHidden/>
              </w:rPr>
              <w:instrText xml:space="preserve"> PAGEREF _Toc52744944 \h </w:instrText>
            </w:r>
            <w:r>
              <w:rPr>
                <w:noProof/>
                <w:webHidden/>
              </w:rPr>
            </w:r>
            <w:r>
              <w:rPr>
                <w:noProof/>
                <w:webHidden/>
              </w:rPr>
              <w:fldChar w:fldCharType="separate"/>
            </w:r>
            <w:r>
              <w:rPr>
                <w:noProof/>
                <w:webHidden/>
              </w:rPr>
              <w:t>85</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5"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Chapter 12: Food safety, veterinary and phytosanitary policy</w:t>
            </w:r>
            <w:r>
              <w:rPr>
                <w:noProof/>
                <w:webHidden/>
              </w:rPr>
              <w:tab/>
            </w:r>
            <w:r>
              <w:rPr>
                <w:noProof/>
                <w:webHidden/>
              </w:rPr>
              <w:fldChar w:fldCharType="begin"/>
            </w:r>
            <w:r>
              <w:rPr>
                <w:noProof/>
                <w:webHidden/>
              </w:rPr>
              <w:instrText xml:space="preserve"> PAGEREF _Toc52744945 \h </w:instrText>
            </w:r>
            <w:r>
              <w:rPr>
                <w:noProof/>
                <w:webHidden/>
              </w:rPr>
            </w:r>
            <w:r>
              <w:rPr>
                <w:noProof/>
                <w:webHidden/>
              </w:rPr>
              <w:fldChar w:fldCharType="separate"/>
            </w:r>
            <w:r>
              <w:rPr>
                <w:noProof/>
                <w:webHidden/>
              </w:rPr>
              <w:t>86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6"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Chapter 13: Fisheries</w:t>
            </w:r>
            <w:r>
              <w:rPr>
                <w:noProof/>
                <w:webHidden/>
              </w:rPr>
              <w:tab/>
            </w:r>
            <w:r>
              <w:rPr>
                <w:noProof/>
                <w:webHidden/>
              </w:rPr>
              <w:fldChar w:fldCharType="begin"/>
            </w:r>
            <w:r>
              <w:rPr>
                <w:noProof/>
                <w:webHidden/>
              </w:rPr>
              <w:instrText xml:space="preserve"> PAGEREF _Toc52744946 \h </w:instrText>
            </w:r>
            <w:r>
              <w:rPr>
                <w:noProof/>
                <w:webHidden/>
              </w:rPr>
            </w:r>
            <w:r>
              <w:rPr>
                <w:noProof/>
                <w:webHidden/>
              </w:rPr>
              <w:fldChar w:fldCharType="separate"/>
            </w:r>
            <w:r>
              <w:rPr>
                <w:noProof/>
                <w:webHidden/>
              </w:rPr>
              <w:t>87</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7" w:history="1">
            <w:r>
              <w:rPr>
                <w:rStyle w:val="Hyperlink"/>
                <w:noProof/>
              </w:rPr>
              <w:t>5.14</w:t>
            </w:r>
            <w:r>
              <w:rPr>
                <w:rFonts w:asciiTheme="minorHAnsi" w:eastAsiaTheme="minorEastAsia" w:hAnsiTheme="minorHAnsi" w:cstheme="minorBidi"/>
                <w:noProof/>
                <w:sz w:val="22"/>
                <w:szCs w:val="22"/>
                <w:lang w:eastAsia="en-GB"/>
              </w:rPr>
              <w:tab/>
            </w:r>
            <w:r>
              <w:rPr>
                <w:rStyle w:val="Hyperlink"/>
                <w:noProof/>
              </w:rPr>
              <w:t>Chapter 14: Transport policy</w:t>
            </w:r>
            <w:r>
              <w:rPr>
                <w:noProof/>
                <w:webHidden/>
              </w:rPr>
              <w:tab/>
            </w:r>
            <w:r>
              <w:rPr>
                <w:noProof/>
                <w:webHidden/>
              </w:rPr>
              <w:fldChar w:fldCharType="begin"/>
            </w:r>
            <w:r>
              <w:rPr>
                <w:noProof/>
                <w:webHidden/>
              </w:rPr>
              <w:instrText xml:space="preserve"> PAGEREF _Toc52744947 \h </w:instrText>
            </w:r>
            <w:r>
              <w:rPr>
                <w:noProof/>
                <w:webHidden/>
              </w:rPr>
            </w:r>
            <w:r>
              <w:rPr>
                <w:noProof/>
                <w:webHidden/>
              </w:rPr>
              <w:fldChar w:fldCharType="separate"/>
            </w:r>
            <w:r>
              <w:rPr>
                <w:noProof/>
                <w:webHidden/>
              </w:rPr>
              <w:t>88</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8" w:history="1">
            <w:r>
              <w:rPr>
                <w:rStyle w:val="Hyperlink"/>
                <w:noProof/>
              </w:rPr>
              <w:t>5.15</w:t>
            </w:r>
            <w:r>
              <w:rPr>
                <w:rFonts w:asciiTheme="minorHAnsi" w:eastAsiaTheme="minorEastAsia" w:hAnsiTheme="minorHAnsi" w:cstheme="minorBidi"/>
                <w:noProof/>
                <w:sz w:val="22"/>
                <w:szCs w:val="22"/>
                <w:lang w:eastAsia="en-GB"/>
              </w:rPr>
              <w:tab/>
            </w:r>
            <w:r>
              <w:rPr>
                <w:rStyle w:val="Hyperlink"/>
                <w:noProof/>
              </w:rPr>
              <w:t>Chapter 15: Energy</w:t>
            </w:r>
            <w:r>
              <w:rPr>
                <w:noProof/>
                <w:webHidden/>
              </w:rPr>
              <w:tab/>
            </w:r>
            <w:r>
              <w:rPr>
                <w:noProof/>
                <w:webHidden/>
              </w:rPr>
              <w:fldChar w:fldCharType="begin"/>
            </w:r>
            <w:r>
              <w:rPr>
                <w:noProof/>
                <w:webHidden/>
              </w:rPr>
              <w:instrText xml:space="preserve"> PAGEREF _Toc52744948 \h </w:instrText>
            </w:r>
            <w:r>
              <w:rPr>
                <w:noProof/>
                <w:webHidden/>
              </w:rPr>
            </w:r>
            <w:r>
              <w:rPr>
                <w:noProof/>
                <w:webHidden/>
              </w:rPr>
              <w:fldChar w:fldCharType="separate"/>
            </w:r>
            <w:r>
              <w:rPr>
                <w:noProof/>
                <w:webHidden/>
              </w:rPr>
              <w:t>90</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49" w:history="1">
            <w:r>
              <w:rPr>
                <w:rStyle w:val="Hyperlink"/>
                <w:noProof/>
              </w:rPr>
              <w:t>5.16</w:t>
            </w:r>
            <w:r>
              <w:rPr>
                <w:rFonts w:asciiTheme="minorHAnsi" w:eastAsiaTheme="minorEastAsia" w:hAnsiTheme="minorHAnsi" w:cstheme="minorBidi"/>
                <w:noProof/>
                <w:sz w:val="22"/>
                <w:szCs w:val="22"/>
                <w:lang w:eastAsia="en-GB"/>
              </w:rPr>
              <w:tab/>
            </w:r>
            <w:r>
              <w:rPr>
                <w:rStyle w:val="Hyperlink"/>
                <w:noProof/>
              </w:rPr>
              <w:t>Chapter 16:</w:t>
            </w:r>
            <w:r>
              <w:rPr>
                <w:rStyle w:val="Hyperlink"/>
                <w:noProof/>
              </w:rPr>
              <w:t xml:space="preserve"> Taxation</w:t>
            </w:r>
            <w:r>
              <w:rPr>
                <w:noProof/>
                <w:webHidden/>
              </w:rPr>
              <w:tab/>
            </w:r>
            <w:r>
              <w:rPr>
                <w:noProof/>
                <w:webHidden/>
              </w:rPr>
              <w:fldChar w:fldCharType="begin"/>
            </w:r>
            <w:r>
              <w:rPr>
                <w:noProof/>
                <w:webHidden/>
              </w:rPr>
              <w:instrText xml:space="preserve"> PAGEREF _Toc52744949 \h </w:instrText>
            </w:r>
            <w:r>
              <w:rPr>
                <w:noProof/>
                <w:webHidden/>
              </w:rPr>
            </w:r>
            <w:r>
              <w:rPr>
                <w:noProof/>
                <w:webHidden/>
              </w:rPr>
              <w:fldChar w:fldCharType="separate"/>
            </w:r>
            <w:r>
              <w:rPr>
                <w:noProof/>
                <w:webHidden/>
              </w:rPr>
              <w:t>93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0" w:history="1">
            <w:r>
              <w:rPr>
                <w:rStyle w:val="Hyperlink"/>
                <w:noProof/>
              </w:rPr>
              <w:t>5.17</w:t>
            </w:r>
            <w:r>
              <w:rPr>
                <w:rFonts w:asciiTheme="minorHAnsi" w:eastAsiaTheme="minorEastAsia" w:hAnsiTheme="minorHAnsi" w:cstheme="minorBidi"/>
                <w:noProof/>
                <w:sz w:val="22"/>
                <w:szCs w:val="22"/>
                <w:lang w:eastAsia="en-GB"/>
              </w:rPr>
              <w:tab/>
            </w:r>
            <w:r>
              <w:rPr>
                <w:rStyle w:val="Hyperlink"/>
                <w:noProof/>
              </w:rPr>
              <w:t>Chapter 17: Economic and monetary policy</w:t>
            </w:r>
            <w:r>
              <w:rPr>
                <w:noProof/>
                <w:webHidden/>
              </w:rPr>
              <w:tab/>
            </w:r>
            <w:r>
              <w:rPr>
                <w:noProof/>
                <w:webHidden/>
              </w:rPr>
              <w:fldChar w:fldCharType="begin"/>
            </w:r>
            <w:r>
              <w:rPr>
                <w:noProof/>
                <w:webHidden/>
              </w:rPr>
              <w:instrText xml:space="preserve"> PAGEREF _Toc52744950 \h </w:instrText>
            </w:r>
            <w:r>
              <w:rPr>
                <w:noProof/>
                <w:webHidden/>
              </w:rPr>
            </w:r>
            <w:r>
              <w:rPr>
                <w:noProof/>
                <w:webHidden/>
              </w:rPr>
              <w:fldChar w:fldCharType="separate"/>
            </w:r>
            <w:r>
              <w:rPr>
                <w:noProof/>
                <w:webHidden/>
              </w:rPr>
              <w:t>94</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1" w:history="1">
            <w:r>
              <w:rPr>
                <w:rStyle w:val="Hyperlink"/>
                <w:noProof/>
              </w:rPr>
              <w:t>5.18</w:t>
            </w:r>
            <w:r>
              <w:rPr>
                <w:rFonts w:asciiTheme="minorHAnsi" w:eastAsiaTheme="minorEastAsia" w:hAnsiTheme="minorHAnsi" w:cstheme="minorBidi"/>
                <w:noProof/>
                <w:sz w:val="22"/>
                <w:szCs w:val="22"/>
                <w:lang w:eastAsia="en-GB"/>
              </w:rPr>
              <w:tab/>
            </w:r>
            <w:r>
              <w:rPr>
                <w:rStyle w:val="Hyperlink"/>
                <w:noProof/>
              </w:rPr>
              <w:t>Chapter 18: Statistics</w:t>
            </w:r>
            <w:r>
              <w:rPr>
                <w:noProof/>
                <w:webHidden/>
              </w:rPr>
              <w:tab/>
            </w:r>
            <w:r>
              <w:rPr>
                <w:noProof/>
                <w:webHidden/>
              </w:rPr>
              <w:fldChar w:fldCharType="begin"/>
            </w:r>
            <w:r>
              <w:rPr>
                <w:noProof/>
                <w:webHidden/>
              </w:rPr>
              <w:instrText xml:space="preserve"> PAGEREF _Toc52744951 \h </w:instrText>
            </w:r>
            <w:r>
              <w:rPr>
                <w:noProof/>
                <w:webHidden/>
              </w:rPr>
            </w:r>
            <w:r>
              <w:rPr>
                <w:noProof/>
                <w:webHidden/>
              </w:rPr>
              <w:fldChar w:fldCharType="separate"/>
            </w:r>
            <w:r>
              <w:rPr>
                <w:noProof/>
                <w:webHidden/>
              </w:rPr>
              <w:t>96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2" w:history="1">
            <w:r>
              <w:rPr>
                <w:rStyle w:val="Hyperlink"/>
                <w:noProof/>
              </w:rPr>
              <w:t>5.19</w:t>
            </w:r>
            <w:r>
              <w:rPr>
                <w:rFonts w:asciiTheme="minorHAnsi" w:eastAsiaTheme="minorEastAsia" w:hAnsiTheme="minorHAnsi" w:cstheme="minorBidi"/>
                <w:noProof/>
                <w:sz w:val="22"/>
                <w:szCs w:val="22"/>
                <w:lang w:eastAsia="en-GB"/>
              </w:rPr>
              <w:tab/>
            </w:r>
            <w:r>
              <w:rPr>
                <w:rStyle w:val="Hyperlink"/>
                <w:noProof/>
              </w:rPr>
              <w:t>C</w:t>
            </w:r>
            <w:r>
              <w:rPr>
                <w:rStyle w:val="Hyperlink"/>
                <w:noProof/>
              </w:rPr>
              <w:t>hapter 19: Social Policy and employment</w:t>
            </w:r>
            <w:r>
              <w:rPr>
                <w:noProof/>
                <w:webHidden/>
              </w:rPr>
              <w:tab/>
            </w:r>
            <w:r>
              <w:rPr>
                <w:noProof/>
                <w:webHidden/>
              </w:rPr>
              <w:fldChar w:fldCharType="begin"/>
            </w:r>
            <w:r>
              <w:rPr>
                <w:noProof/>
                <w:webHidden/>
              </w:rPr>
              <w:instrText xml:space="preserve"> PAGEREF _Toc52744952 \h </w:instrText>
            </w:r>
            <w:r>
              <w:rPr>
                <w:noProof/>
                <w:webHidden/>
              </w:rPr>
            </w:r>
            <w:r>
              <w:rPr>
                <w:noProof/>
                <w:webHidden/>
              </w:rPr>
              <w:fldChar w:fldCharType="separate"/>
            </w:r>
            <w:r>
              <w:rPr>
                <w:noProof/>
                <w:webHidden/>
              </w:rPr>
              <w:t>98</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3" w:history="1">
            <w:r>
              <w:rPr>
                <w:rStyle w:val="Hyperlink"/>
                <w:noProof/>
              </w:rPr>
              <w:t>5.20</w:t>
            </w:r>
            <w:r>
              <w:rPr>
                <w:rFonts w:asciiTheme="minorHAnsi" w:eastAsiaTheme="minorEastAsia" w:hAnsiTheme="minorHAnsi" w:cstheme="minorBidi"/>
                <w:noProof/>
                <w:sz w:val="22"/>
                <w:szCs w:val="22"/>
                <w:lang w:eastAsia="en-GB"/>
              </w:rPr>
              <w:tab/>
            </w:r>
            <w:r>
              <w:rPr>
                <w:rStyle w:val="Hyperlink"/>
                <w:noProof/>
              </w:rPr>
              <w:t>Chapter 20: Enterprise and industrial policy</w:t>
            </w:r>
            <w:r>
              <w:rPr>
                <w:noProof/>
                <w:webHidden/>
              </w:rPr>
              <w:tab/>
            </w:r>
            <w:r>
              <w:rPr>
                <w:noProof/>
                <w:webHidden/>
              </w:rPr>
              <w:fldChar w:fldCharType="begin"/>
            </w:r>
            <w:r>
              <w:rPr>
                <w:noProof/>
                <w:webHidden/>
              </w:rPr>
              <w:instrText xml:space="preserve"> PAGEREF _Toc52744953 \h </w:instrText>
            </w:r>
            <w:r>
              <w:rPr>
                <w:noProof/>
                <w:webHidden/>
              </w:rPr>
            </w:r>
            <w:r>
              <w:rPr>
                <w:noProof/>
                <w:webHidden/>
              </w:rPr>
              <w:fldChar w:fldCharType="separate"/>
            </w:r>
            <w:r>
              <w:rPr>
                <w:noProof/>
                <w:webHidden/>
              </w:rPr>
              <w:t>100</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4"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Chapter 21: Trans-European networks</w:t>
            </w:r>
            <w:r>
              <w:rPr>
                <w:noProof/>
                <w:webHidden/>
              </w:rPr>
              <w:tab/>
            </w:r>
            <w:r>
              <w:rPr>
                <w:noProof/>
                <w:webHidden/>
              </w:rPr>
              <w:fldChar w:fldCharType="begin"/>
            </w:r>
            <w:r>
              <w:rPr>
                <w:noProof/>
                <w:webHidden/>
              </w:rPr>
              <w:instrText xml:space="preserve"> PAGEREF _Toc52744954 \h </w:instrText>
            </w:r>
            <w:r>
              <w:rPr>
                <w:noProof/>
                <w:webHidden/>
              </w:rPr>
            </w:r>
            <w:r>
              <w:rPr>
                <w:noProof/>
                <w:webHidden/>
              </w:rPr>
              <w:fldChar w:fldCharType="separate"/>
            </w:r>
            <w:r>
              <w:rPr>
                <w:noProof/>
                <w:webHidden/>
              </w:rPr>
              <w:t>102</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5" w:history="1">
            <w:r>
              <w:rPr>
                <w:rStyle w:val="Hyperlink"/>
                <w:noProof/>
              </w:rPr>
              <w:t>5.22</w:t>
            </w:r>
            <w:r>
              <w:rPr>
                <w:rFonts w:asciiTheme="minorHAnsi" w:eastAsiaTheme="minorEastAsia" w:hAnsiTheme="minorHAnsi" w:cstheme="minorBidi"/>
                <w:noProof/>
                <w:sz w:val="22"/>
                <w:szCs w:val="22"/>
                <w:lang w:eastAsia="en-GB"/>
              </w:rPr>
              <w:tab/>
            </w:r>
            <w:r>
              <w:rPr>
                <w:rStyle w:val="Hyperlink"/>
                <w:noProof/>
              </w:rPr>
              <w:t>Chapter 22: Regional policy and coordination of structural instruments</w:t>
            </w:r>
            <w:r>
              <w:rPr>
                <w:noProof/>
                <w:webHidden/>
              </w:rPr>
              <w:tab/>
            </w:r>
            <w:r>
              <w:rPr>
                <w:noProof/>
                <w:webHidden/>
              </w:rPr>
              <w:fldChar w:fldCharType="begin"/>
            </w:r>
            <w:r>
              <w:rPr>
                <w:noProof/>
                <w:webHidden/>
              </w:rPr>
              <w:instrText xml:space="preserve"> PAGEREF _Toc52744955 \h </w:instrText>
            </w:r>
            <w:r>
              <w:rPr>
                <w:noProof/>
                <w:webHidden/>
              </w:rPr>
            </w:r>
            <w:r>
              <w:rPr>
                <w:noProof/>
                <w:webHidden/>
              </w:rPr>
              <w:fldChar w:fldCharType="separate"/>
            </w:r>
            <w:r>
              <w:rPr>
                <w:noProof/>
                <w:webHidden/>
              </w:rPr>
              <w:t>103</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6" w:history="1">
            <w:r>
              <w:rPr>
                <w:rStyle w:val="Hyperlink"/>
                <w:noProof/>
              </w:rPr>
              <w:t>5.25</w:t>
            </w:r>
            <w:r>
              <w:rPr>
                <w:rFonts w:asciiTheme="minorHAnsi" w:eastAsiaTheme="minorEastAsia" w:hAnsiTheme="minorHAnsi" w:cstheme="minorBidi"/>
                <w:noProof/>
                <w:sz w:val="22"/>
                <w:szCs w:val="22"/>
                <w:lang w:eastAsia="en-GB"/>
              </w:rPr>
              <w:tab/>
            </w:r>
            <w:r>
              <w:rPr>
                <w:rStyle w:val="Hyperlink"/>
                <w:noProof/>
              </w:rPr>
              <w:t>Chapter 25: Science and Research</w:t>
            </w:r>
            <w:r>
              <w:rPr>
                <w:noProof/>
                <w:webHidden/>
              </w:rPr>
              <w:tab/>
            </w:r>
            <w:r>
              <w:rPr>
                <w:noProof/>
                <w:webHidden/>
              </w:rPr>
              <w:fldChar w:fldCharType="begin"/>
            </w:r>
            <w:r>
              <w:rPr>
                <w:noProof/>
                <w:webHidden/>
              </w:rPr>
              <w:instrText xml:space="preserve"> PAGEREF _Toc5</w:instrText>
            </w:r>
            <w:r>
              <w:rPr>
                <w:noProof/>
                <w:webHidden/>
              </w:rPr>
              <w:instrText xml:space="preserve">2744956 \h </w:instrText>
            </w:r>
            <w:r>
              <w:rPr>
                <w:noProof/>
                <w:webHidden/>
              </w:rPr>
            </w:r>
            <w:r>
              <w:rPr>
                <w:noProof/>
                <w:webHidden/>
              </w:rPr>
              <w:fldChar w:fldCharType="separate"/>
            </w:r>
            <w:r>
              <w:rPr>
                <w:noProof/>
                <w:webHidden/>
              </w:rPr>
              <w:t>105</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7" w:history="1">
            <w:r>
              <w:rPr>
                <w:rStyle w:val="Hyperlink"/>
                <w:noProof/>
              </w:rPr>
              <w:t>5.26</w:t>
            </w:r>
            <w:r>
              <w:rPr>
                <w:rFonts w:asciiTheme="minorHAnsi" w:eastAsiaTheme="minorEastAsia" w:hAnsiTheme="minorHAnsi" w:cstheme="minorBidi"/>
                <w:noProof/>
                <w:sz w:val="22"/>
                <w:szCs w:val="22"/>
                <w:lang w:eastAsia="en-GB"/>
              </w:rPr>
              <w:tab/>
            </w:r>
            <w:r>
              <w:rPr>
                <w:rStyle w:val="Hyperlink"/>
                <w:noProof/>
              </w:rPr>
              <w:t>Chapter 26: Education and culture</w:t>
            </w:r>
            <w:r>
              <w:rPr>
                <w:noProof/>
                <w:webHidden/>
              </w:rPr>
              <w:tab/>
            </w:r>
            <w:r>
              <w:rPr>
                <w:noProof/>
                <w:webHidden/>
              </w:rPr>
              <w:fldChar w:fldCharType="begin"/>
            </w:r>
            <w:r>
              <w:rPr>
                <w:noProof/>
                <w:webHidden/>
              </w:rPr>
              <w:instrText xml:space="preserve"> PAGEREF _Toc52744957 \h </w:instrText>
            </w:r>
            <w:r>
              <w:rPr>
                <w:noProof/>
                <w:webHidden/>
              </w:rPr>
            </w:r>
            <w:r>
              <w:rPr>
                <w:noProof/>
                <w:webHidden/>
              </w:rPr>
              <w:fldChar w:fldCharType="separate"/>
            </w:r>
            <w:r>
              <w:rPr>
                <w:noProof/>
                <w:webHidden/>
              </w:rPr>
              <w:t>106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8" w:history="1">
            <w:r>
              <w:rPr>
                <w:rStyle w:val="Hyperlink"/>
                <w:noProof/>
              </w:rPr>
              <w:t>5.27</w:t>
            </w:r>
            <w:r>
              <w:rPr>
                <w:rFonts w:asciiTheme="minorHAnsi" w:eastAsiaTheme="minorEastAsia" w:hAnsiTheme="minorHAnsi" w:cstheme="minorBidi"/>
                <w:noProof/>
                <w:sz w:val="22"/>
                <w:szCs w:val="22"/>
                <w:lang w:eastAsia="en-GB"/>
              </w:rPr>
              <w:tab/>
            </w:r>
            <w:r>
              <w:rPr>
                <w:rStyle w:val="Hyperlink"/>
                <w:noProof/>
              </w:rPr>
              <w:t>Chapter 27: Environment and climate change</w:t>
            </w:r>
            <w:r>
              <w:rPr>
                <w:noProof/>
                <w:webHidden/>
              </w:rPr>
              <w:tab/>
            </w:r>
            <w:r>
              <w:rPr>
                <w:noProof/>
                <w:webHidden/>
              </w:rPr>
              <w:fldChar w:fldCharType="begin"/>
            </w:r>
            <w:r>
              <w:rPr>
                <w:noProof/>
                <w:webHidden/>
              </w:rPr>
              <w:instrText xml:space="preserve"> PAGEREF _Toc52744958 \h </w:instrText>
            </w:r>
            <w:r>
              <w:rPr>
                <w:noProof/>
                <w:webHidden/>
              </w:rPr>
            </w:r>
            <w:r>
              <w:rPr>
                <w:noProof/>
                <w:webHidden/>
              </w:rPr>
              <w:fldChar w:fldCharType="separate"/>
            </w:r>
            <w:r>
              <w:rPr>
                <w:noProof/>
                <w:webHidden/>
              </w:rPr>
              <w:t>109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59" w:history="1">
            <w:r>
              <w:rPr>
                <w:rStyle w:val="Hyperlink"/>
                <w:noProof/>
              </w:rPr>
              <w:t>5.28</w:t>
            </w:r>
            <w:r>
              <w:rPr>
                <w:rFonts w:asciiTheme="minorHAnsi" w:eastAsiaTheme="minorEastAsia" w:hAnsiTheme="minorHAnsi" w:cstheme="minorBidi"/>
                <w:noProof/>
                <w:sz w:val="22"/>
                <w:szCs w:val="22"/>
                <w:lang w:eastAsia="en-GB"/>
              </w:rPr>
              <w:tab/>
            </w:r>
            <w:r>
              <w:rPr>
                <w:rStyle w:val="Hyperlink"/>
                <w:noProof/>
              </w:rPr>
              <w:t>Chapter 28: Consumer and health protection</w:t>
            </w:r>
            <w:r>
              <w:rPr>
                <w:noProof/>
                <w:webHidden/>
              </w:rPr>
              <w:tab/>
            </w:r>
            <w:r>
              <w:rPr>
                <w:noProof/>
                <w:webHidden/>
              </w:rPr>
              <w:fldChar w:fldCharType="begin"/>
            </w:r>
            <w:r>
              <w:rPr>
                <w:noProof/>
                <w:webHidden/>
              </w:rPr>
              <w:instrText xml:space="preserve"> PAGEREF _Toc52744959 \h </w:instrText>
            </w:r>
            <w:r>
              <w:rPr>
                <w:noProof/>
                <w:webHidden/>
              </w:rPr>
            </w:r>
            <w:r>
              <w:rPr>
                <w:noProof/>
                <w:webHidden/>
              </w:rPr>
              <w:fldChar w:fldCharType="separate"/>
            </w:r>
            <w:r>
              <w:rPr>
                <w:noProof/>
                <w:webHidden/>
              </w:rPr>
              <w:t>111</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0" w:history="1">
            <w:r>
              <w:rPr>
                <w:rStyle w:val="Hyperlink"/>
                <w:noProof/>
              </w:rPr>
              <w:t>5.29</w:t>
            </w:r>
            <w:r>
              <w:rPr>
                <w:rFonts w:asciiTheme="minorHAnsi" w:eastAsiaTheme="minorEastAsia" w:hAnsiTheme="minorHAnsi" w:cstheme="minorBidi"/>
                <w:noProof/>
                <w:sz w:val="22"/>
                <w:szCs w:val="22"/>
                <w:lang w:eastAsia="en-GB"/>
              </w:rPr>
              <w:tab/>
            </w:r>
            <w:r>
              <w:rPr>
                <w:rStyle w:val="Hyperlink"/>
                <w:noProof/>
              </w:rPr>
              <w:t>Chapter 29: Customs union</w:t>
            </w:r>
            <w:r>
              <w:rPr>
                <w:noProof/>
                <w:webHidden/>
              </w:rPr>
              <w:tab/>
            </w:r>
            <w:r>
              <w:rPr>
                <w:noProof/>
                <w:webHidden/>
              </w:rPr>
              <w:fldChar w:fldCharType="begin"/>
            </w:r>
            <w:r>
              <w:rPr>
                <w:noProof/>
                <w:webHidden/>
              </w:rPr>
              <w:instrText xml:space="preserve"> PAGEREF _Toc52744960 \h </w:instrText>
            </w:r>
            <w:r>
              <w:rPr>
                <w:noProof/>
                <w:webHidden/>
              </w:rPr>
            </w:r>
            <w:r>
              <w:rPr>
                <w:noProof/>
                <w:webHidden/>
              </w:rPr>
              <w:fldChar w:fldCharType="separate"/>
            </w:r>
            <w:r>
              <w:rPr>
                <w:noProof/>
                <w:webHidden/>
              </w:rPr>
              <w:t>114</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1" w:history="1">
            <w:r>
              <w:rPr>
                <w:rStyle w:val="Hyperlink"/>
                <w:noProof/>
              </w:rPr>
              <w:t>5.30</w:t>
            </w:r>
            <w:r>
              <w:rPr>
                <w:rFonts w:asciiTheme="minorHAnsi" w:eastAsiaTheme="minorEastAsia" w:hAnsiTheme="minorHAnsi" w:cstheme="minorBidi"/>
                <w:noProof/>
                <w:sz w:val="22"/>
                <w:szCs w:val="22"/>
                <w:lang w:eastAsia="en-GB"/>
              </w:rPr>
              <w:tab/>
            </w:r>
            <w:r>
              <w:rPr>
                <w:rStyle w:val="Hyperlink"/>
                <w:noProof/>
              </w:rPr>
              <w:t>Chapter 30: External relations</w:t>
            </w:r>
            <w:r>
              <w:rPr>
                <w:noProof/>
                <w:webHidden/>
              </w:rPr>
              <w:tab/>
            </w:r>
            <w:r>
              <w:rPr>
                <w:noProof/>
                <w:webHidden/>
              </w:rPr>
              <w:fldChar w:fldCharType="begin"/>
            </w:r>
            <w:r>
              <w:rPr>
                <w:noProof/>
                <w:webHidden/>
              </w:rPr>
              <w:instrText xml:space="preserve"> PAGEREF _Toc52744961 \h </w:instrText>
            </w:r>
            <w:r>
              <w:rPr>
                <w:noProof/>
                <w:webHidden/>
              </w:rPr>
            </w:r>
            <w:r>
              <w:rPr>
                <w:noProof/>
                <w:webHidden/>
              </w:rPr>
              <w:fldChar w:fldCharType="separate"/>
            </w:r>
            <w:r>
              <w:rPr>
                <w:noProof/>
                <w:webHidden/>
              </w:rPr>
              <w:t>116</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2" w:history="1">
            <w:r>
              <w:rPr>
                <w:rStyle w:val="Hyperlink"/>
                <w:noProof/>
              </w:rPr>
              <w:t>5.31</w:t>
            </w:r>
            <w:r>
              <w:rPr>
                <w:rFonts w:asciiTheme="minorHAnsi" w:eastAsiaTheme="minorEastAsia" w:hAnsiTheme="minorHAnsi" w:cstheme="minorBidi"/>
                <w:noProof/>
                <w:sz w:val="22"/>
                <w:szCs w:val="22"/>
                <w:lang w:eastAsia="en-GB"/>
              </w:rPr>
              <w:tab/>
            </w:r>
            <w:r>
              <w:rPr>
                <w:rStyle w:val="Hyperlink"/>
                <w:noProof/>
              </w:rPr>
              <w:t>Chapter 31: Foreign, security and defence policy</w:t>
            </w:r>
            <w:r>
              <w:rPr>
                <w:noProof/>
                <w:webHidden/>
              </w:rPr>
              <w:tab/>
            </w:r>
            <w:r>
              <w:rPr>
                <w:noProof/>
                <w:webHidden/>
              </w:rPr>
              <w:fldChar w:fldCharType="begin"/>
            </w:r>
            <w:r>
              <w:rPr>
                <w:noProof/>
                <w:webHidden/>
              </w:rPr>
              <w:instrText xml:space="preserve"> PAGEREF</w:instrText>
            </w:r>
            <w:r>
              <w:rPr>
                <w:noProof/>
                <w:webHidden/>
              </w:rPr>
              <w:instrText xml:space="preserve"> _Toc52744962 \h </w:instrText>
            </w:r>
            <w:r>
              <w:rPr>
                <w:noProof/>
                <w:webHidden/>
              </w:rPr>
            </w:r>
            <w:r>
              <w:rPr>
                <w:noProof/>
                <w:webHidden/>
              </w:rPr>
              <w:fldChar w:fldCharType="separate"/>
            </w:r>
            <w:r>
              <w:rPr>
                <w:noProof/>
                <w:webHidden/>
              </w:rPr>
              <w:t>117</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3" w:history="1">
            <w:r>
              <w:rPr>
                <w:rStyle w:val="Hyperlink"/>
                <w:noProof/>
              </w:rPr>
              <w:t>5.32</w:t>
            </w:r>
            <w:r>
              <w:rPr>
                <w:rFonts w:asciiTheme="minorHAnsi" w:eastAsiaTheme="minorEastAsia" w:hAnsiTheme="minorHAnsi" w:cstheme="minorBidi"/>
                <w:noProof/>
                <w:sz w:val="22"/>
                <w:szCs w:val="22"/>
                <w:lang w:eastAsia="en-GB"/>
              </w:rPr>
              <w:tab/>
            </w:r>
            <w:r>
              <w:rPr>
                <w:rStyle w:val="Hyperlink"/>
                <w:noProof/>
              </w:rPr>
              <w:t>Chapter 32: Financial control</w:t>
            </w:r>
            <w:r>
              <w:rPr>
                <w:noProof/>
                <w:webHidden/>
              </w:rPr>
              <w:tab/>
            </w:r>
            <w:r>
              <w:rPr>
                <w:noProof/>
                <w:webHidden/>
              </w:rPr>
              <w:fldChar w:fldCharType="begin"/>
            </w:r>
            <w:r>
              <w:rPr>
                <w:noProof/>
                <w:webHidden/>
              </w:rPr>
              <w:instrText xml:space="preserve"> PAGEREF _Toc52744963 \h </w:instrText>
            </w:r>
            <w:r>
              <w:rPr>
                <w:noProof/>
                <w:webHidden/>
              </w:rPr>
            </w:r>
            <w:r>
              <w:rPr>
                <w:noProof/>
                <w:webHidden/>
              </w:rPr>
              <w:fldChar w:fldCharType="separate"/>
            </w:r>
            <w:r>
              <w:rPr>
                <w:noProof/>
                <w:webHidden/>
              </w:rPr>
              <w:t>119</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4" w:history="1">
            <w:r>
              <w:rPr>
                <w:rStyle w:val="Hyperlink"/>
                <w:noProof/>
              </w:rPr>
              <w:t>5.33</w:t>
            </w:r>
            <w:r>
              <w:rPr>
                <w:rFonts w:asciiTheme="minorHAnsi" w:eastAsiaTheme="minorEastAsia" w:hAnsiTheme="minorHAnsi" w:cstheme="minorBidi"/>
                <w:noProof/>
                <w:sz w:val="22"/>
                <w:szCs w:val="22"/>
                <w:lang w:eastAsia="en-GB"/>
              </w:rPr>
              <w:tab/>
            </w:r>
            <w:r>
              <w:rPr>
                <w:rStyle w:val="Hyperlink"/>
                <w:noProof/>
              </w:rPr>
              <w:t>Chapter 33: Financial and budgetary provisions</w:t>
            </w:r>
            <w:r>
              <w:rPr>
                <w:noProof/>
                <w:webHidden/>
              </w:rPr>
              <w:tab/>
            </w:r>
            <w:r>
              <w:rPr>
                <w:noProof/>
                <w:webHidden/>
              </w:rPr>
              <w:fldChar w:fldCharType="begin"/>
            </w:r>
            <w:r>
              <w:rPr>
                <w:noProof/>
                <w:webHidden/>
              </w:rPr>
              <w:instrText xml:space="preserve"> PAGEREF _Toc52744964 \h </w:instrText>
            </w:r>
            <w:r>
              <w:rPr>
                <w:noProof/>
                <w:webHidden/>
              </w:rPr>
            </w:r>
            <w:r>
              <w:rPr>
                <w:noProof/>
                <w:webHidden/>
              </w:rPr>
              <w:fldChar w:fldCharType="separate"/>
            </w:r>
            <w:r>
              <w:rPr>
                <w:noProof/>
                <w:webHidden/>
              </w:rPr>
              <w:t>121</w:t>
            </w:r>
            <w:r>
              <w:rPr>
                <w:noProof/>
                <w:webHidden/>
              </w:rPr>
              <w:fldChar w:fldCharType="end"/>
            </w:r>
          </w:hyperlink>
        </w:p>
        <w:p w:rsidR="003C2144" w:rsidRDefault="00FB7959">
          <w:pPr>
            <w:pStyle w:val="TOC2"/>
            <w:rPr>
              <w:rFonts w:asciiTheme="minorHAnsi" w:eastAsiaTheme="minorEastAsia" w:hAnsiTheme="minorHAnsi" w:cstheme="minorBidi"/>
              <w:noProof/>
              <w:sz w:val="22"/>
              <w:szCs w:val="22"/>
              <w:lang w:eastAsia="en-GB"/>
            </w:rPr>
          </w:pPr>
          <w:hyperlink w:anchor="_Toc52744965" w:history="1">
            <w:r>
              <w:rPr>
                <w:rStyle w:val="Hyperlink"/>
                <w:noProof/>
              </w:rPr>
              <w:t>Annex I – Relations between the EU and Montene</w:t>
            </w:r>
            <w:r>
              <w:rPr>
                <w:rStyle w:val="Hyperlink"/>
                <w:noProof/>
              </w:rPr>
              <w:t>gro</w:t>
            </w:r>
            <w:r>
              <w:rPr>
                <w:noProof/>
                <w:webHidden/>
              </w:rPr>
              <w:tab/>
            </w:r>
            <w:r>
              <w:rPr>
                <w:noProof/>
                <w:webHidden/>
              </w:rPr>
              <w:fldChar w:fldCharType="begin"/>
            </w:r>
            <w:r>
              <w:rPr>
                <w:noProof/>
                <w:webHidden/>
              </w:rPr>
              <w:instrText xml:space="preserve"> PAGEREF _Toc52744965 \h </w:instrText>
            </w:r>
            <w:r>
              <w:rPr>
                <w:noProof/>
                <w:webHidden/>
              </w:rPr>
            </w:r>
            <w:r>
              <w:rPr>
                <w:noProof/>
                <w:webHidden/>
              </w:rPr>
              <w:fldChar w:fldCharType="separate"/>
            </w:r>
            <w:r>
              <w:rPr>
                <w:noProof/>
                <w:webHidden/>
              </w:rPr>
              <w:t>123</w:t>
            </w:r>
            <w:r>
              <w:rPr>
                <w:noProof/>
                <w:webHidden/>
              </w:rPr>
              <w:fldChar w:fldCharType="end"/>
            </w:r>
          </w:hyperlink>
        </w:p>
        <w:p w:rsidR="003C2144" w:rsidRDefault="00FB7959">
          <w:pPr>
            <w:rPr>
              <w:noProof/>
            </w:rPr>
          </w:pPr>
          <w:r>
            <w:rPr>
              <w:b/>
              <w:bCs/>
              <w:noProof/>
            </w:rPr>
            <w:fldChar w:fldCharType="end"/>
          </w:r>
        </w:p>
      </w:sdtContent>
    </w:sdt>
    <w:p w:rsidR="003C2144" w:rsidRDefault="00FB7959">
      <w:pPr>
        <w:spacing w:after="160" w:line="259" w:lineRule="auto"/>
        <w:rPr>
          <w:rFonts w:eastAsiaTheme="majorEastAsia" w:cs="Times New Roman"/>
          <w:b/>
          <w:noProof/>
          <w:szCs w:val="24"/>
          <w:lang w:eastAsia="it-IT"/>
        </w:rPr>
      </w:pPr>
      <w:r>
        <w:rPr>
          <w:rFonts w:cs="Times New Roman"/>
          <w:noProof/>
          <w:szCs w:val="24"/>
        </w:rPr>
        <w:br w:type="page"/>
      </w:r>
    </w:p>
    <w:p w:rsidR="003C2144" w:rsidRDefault="00FB7959">
      <w:pPr>
        <w:pStyle w:val="Heading1"/>
        <w:spacing w:before="0"/>
        <w:rPr>
          <w:rFonts w:cs="Times New Roman"/>
          <w:b w:val="0"/>
          <w:noProof/>
          <w:color w:val="auto"/>
          <w:szCs w:val="24"/>
        </w:rPr>
      </w:pPr>
      <w:bookmarkStart w:id="3" w:name="_Toc52744918"/>
      <w:r>
        <w:rPr>
          <w:rFonts w:cs="Times New Roman"/>
          <w:noProof/>
          <w:color w:val="auto"/>
          <w:szCs w:val="24"/>
        </w:rPr>
        <w:lastRenderedPageBreak/>
        <w:t>1.</w:t>
      </w:r>
      <w:r>
        <w:rPr>
          <w:rFonts w:cs="Times New Roman"/>
          <w:noProof/>
          <w:color w:val="auto"/>
          <w:szCs w:val="24"/>
        </w:rPr>
        <w:tab/>
      </w:r>
      <w:r>
        <w:rPr>
          <w:rFonts w:eastAsiaTheme="minorEastAsia" w:cs="Times New Roman"/>
          <w:smallCaps/>
          <w:noProof/>
          <w:color w:val="auto"/>
          <w:szCs w:val="24"/>
          <w:lang w:eastAsia="en-GB"/>
        </w:rPr>
        <w:t>Introduction</w:t>
      </w:r>
      <w:bookmarkEnd w:id="1"/>
      <w:bookmarkEnd w:id="3"/>
      <w:r>
        <w:rPr>
          <w:rFonts w:eastAsiaTheme="minorEastAsia" w:cs="Times New Roman"/>
          <w:smallCaps/>
          <w:noProof/>
          <w:color w:val="auto"/>
          <w:szCs w:val="24"/>
          <w:lang w:eastAsia="en-GB"/>
        </w:rPr>
        <w:t xml:space="preserve"> </w:t>
      </w:r>
    </w:p>
    <w:p w:rsidR="003C2144" w:rsidRDefault="00FB7959">
      <w:pPr>
        <w:pStyle w:val="Heading2"/>
        <w:spacing w:before="0" w:line="240" w:lineRule="auto"/>
        <w:rPr>
          <w:rFonts w:eastAsia="Calibri" w:cs="Times New Roman"/>
          <w:b w:val="0"/>
          <w:noProof/>
          <w:szCs w:val="24"/>
        </w:rPr>
      </w:pPr>
      <w:bookmarkStart w:id="4" w:name="_Toc465318855"/>
      <w:bookmarkStart w:id="5" w:name="_Toc9585284"/>
      <w:bookmarkStart w:id="6" w:name="_Toc52744919"/>
      <w:bookmarkStart w:id="7" w:name="_Toc465318856"/>
      <w:r>
        <w:rPr>
          <w:rFonts w:eastAsia="Calibri" w:cs="Times New Roman"/>
          <w:noProof/>
          <w:szCs w:val="24"/>
        </w:rPr>
        <w:t xml:space="preserve">1.1. </w:t>
      </w:r>
      <w:r>
        <w:rPr>
          <w:rFonts w:eastAsia="Calibri" w:cs="Times New Roman"/>
          <w:noProof/>
          <w:szCs w:val="24"/>
        </w:rPr>
        <w:tab/>
        <w:t>Context</w:t>
      </w:r>
      <w:bookmarkEnd w:id="4"/>
      <w:bookmarkEnd w:id="5"/>
      <w:bookmarkEnd w:id="6"/>
    </w:p>
    <w:p w:rsidR="003C2144" w:rsidRDefault="00FB7959">
      <w:pPr>
        <w:spacing w:after="120" w:line="240" w:lineRule="auto"/>
        <w:jc w:val="both"/>
        <w:rPr>
          <w:rFonts w:eastAsia="Calibri" w:cs="Times New Roman"/>
          <w:bCs/>
          <w:noProof/>
          <w:szCs w:val="24"/>
        </w:rPr>
      </w:pPr>
      <w:r>
        <w:rPr>
          <w:rFonts w:eastAsia="Calibri" w:cs="Times New Roman"/>
          <w:noProof/>
          <w:szCs w:val="24"/>
        </w:rPr>
        <w:t xml:space="preserve">Accession negotiations with Montenegro were opened in June 2012. To date all 33 screened  </w:t>
      </w:r>
      <w:r>
        <w:rPr>
          <w:rFonts w:cs="Times New Roman"/>
          <w:noProof/>
          <w:szCs w:val="24"/>
        </w:rPr>
        <w:t xml:space="preserve">negotiating chapters have </w:t>
      </w:r>
      <w:r>
        <w:rPr>
          <w:rFonts w:cs="Times New Roman"/>
          <w:noProof/>
          <w:szCs w:val="24"/>
        </w:rPr>
        <w:t>been opened, of which three have been provisionally closed</w:t>
      </w:r>
      <w:r>
        <w:rPr>
          <w:rFonts w:eastAsia="Calibri" w:cs="Times New Roman"/>
          <w:noProof/>
          <w:szCs w:val="24"/>
        </w:rPr>
        <w:t xml:space="preserve">. </w:t>
      </w:r>
      <w:r>
        <w:rPr>
          <w:rFonts w:cs="Times New Roman"/>
          <w:noProof/>
          <w:szCs w:val="24"/>
        </w:rPr>
        <w:t>Montenegro continued to broadly implement the Stabilisation and Association Agreement (SAA) and the meetings of the joint bodies under the agreement took place at regular intervals.</w:t>
      </w:r>
    </w:p>
    <w:p w:rsidR="003C2144" w:rsidRDefault="00FB7959">
      <w:pPr>
        <w:spacing w:after="120" w:line="240" w:lineRule="auto"/>
        <w:jc w:val="both"/>
        <w:rPr>
          <w:rFonts w:eastAsia="Calibri" w:cs="Times New Roman"/>
          <w:noProof/>
          <w:szCs w:val="24"/>
        </w:rPr>
      </w:pPr>
      <w:r>
        <w:rPr>
          <w:rFonts w:eastAsia="Calibri" w:cs="Times New Roman"/>
          <w:noProof/>
          <w:szCs w:val="24"/>
        </w:rPr>
        <w:t>Chapter 8 (Com</w:t>
      </w:r>
      <w:r>
        <w:rPr>
          <w:rFonts w:eastAsia="Calibri" w:cs="Times New Roman"/>
          <w:noProof/>
          <w:szCs w:val="24"/>
        </w:rPr>
        <w:t>petition), the final negotiating chapter for Montenegro, was opened in June 2020.</w:t>
      </w:r>
      <w:r>
        <w:rPr>
          <w:rFonts w:eastAsia="Calibri" w:cs="Times New Roman"/>
          <w:bCs/>
          <w:noProof/>
          <w:szCs w:val="24"/>
        </w:rPr>
        <w:t xml:space="preserve"> </w:t>
      </w:r>
      <w:r>
        <w:rPr>
          <w:rFonts w:eastAsia="Calibri" w:cs="Times New Roman"/>
          <w:noProof/>
          <w:szCs w:val="24"/>
        </w:rPr>
        <w:t>Overall progress in the accession negotiations will depend on progress in the area of rule of law, as per the requirements in the Negotiating Framework. Progress towards meet</w:t>
      </w:r>
      <w:r>
        <w:rPr>
          <w:rFonts w:eastAsia="Calibri" w:cs="Times New Roman"/>
          <w:noProof/>
          <w:szCs w:val="24"/>
        </w:rPr>
        <w:t xml:space="preserve">ing the interim benchmarks set in the rule of law chapters 23 and 24 will be key for further progress in the negotiations overall. </w:t>
      </w:r>
    </w:p>
    <w:p w:rsidR="003C2144" w:rsidRDefault="00FB795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public political commitment of the Montenegrin authorities to the strategic goal of European integration is regularly an</w:t>
      </w:r>
      <w:r>
        <w:rPr>
          <w:rFonts w:ascii="Times New Roman" w:hAnsi="Times New Roman" w:cs="Times New Roman"/>
          <w:noProof/>
          <w:sz w:val="24"/>
          <w:szCs w:val="24"/>
        </w:rPr>
        <w:t xml:space="preserve">d consistently stated as the key priority for the country and mostly also translates to policy decisions.  </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The COVID-19 pandemic is a global shock that has not spared the Western Balkans. The final extent of its footprint in terms of loss of human lives a</w:t>
      </w:r>
      <w:r>
        <w:rPr>
          <w:rFonts w:cs="Times New Roman"/>
          <w:noProof/>
          <w:szCs w:val="24"/>
        </w:rPr>
        <w:t>nd damage to the economies is still difficult to assess, but early estimates foresee a drop of between 4 and 6% of Gross Domestic Product in the region. Thousands of citizens are at risk of losing their jobs, and temporary government support measures (unem</w:t>
      </w:r>
      <w:r>
        <w:rPr>
          <w:rFonts w:cs="Times New Roman"/>
          <w:noProof/>
          <w:szCs w:val="24"/>
        </w:rPr>
        <w:t xml:space="preserve">ployment benefits, deferrals/waivers to tax and social security contributions, etc.) have an important fiscal impact. </w:t>
      </w:r>
    </w:p>
    <w:p w:rsidR="003C2144" w:rsidRDefault="00FB795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While the EU is itself heavily affected by the pandemic, it has spared no time and effort to provide essential and unparalleled support t</w:t>
      </w:r>
      <w:r>
        <w:rPr>
          <w:rFonts w:ascii="Times New Roman" w:hAnsi="Times New Roman" w:cs="Times New Roman"/>
          <w:noProof/>
          <w:sz w:val="24"/>
          <w:szCs w:val="24"/>
        </w:rPr>
        <w:t>o the Western Balkans. This includes financial support of more than EUR 3.3 billion for countries in the region to address the immediate health crisis and resulting humanitarian needs, as well as longer term and structural impact on their societies and eco</w:t>
      </w:r>
      <w:r>
        <w:rPr>
          <w:rFonts w:ascii="Times New Roman" w:hAnsi="Times New Roman" w:cs="Times New Roman"/>
          <w:noProof/>
          <w:sz w:val="24"/>
          <w:szCs w:val="24"/>
        </w:rPr>
        <w:t>nomies. Given the European perspective of the Western Balkans, the EU is also treating the region as privileged partners by associating them with the Union’s mechanisms and instruments. These include the Health Security Committee, Joint Procurement Agreeme</w:t>
      </w:r>
      <w:r>
        <w:rPr>
          <w:rFonts w:ascii="Times New Roman" w:hAnsi="Times New Roman" w:cs="Times New Roman"/>
          <w:noProof/>
          <w:sz w:val="24"/>
          <w:szCs w:val="24"/>
        </w:rPr>
        <w:t>nts, Union Civil Protection Mechanism, Solidarity Fund, consular assistance in repatriation or exemption from temporary EU export restrictions of medical equipment. These and other measures have provided immediate relief and are a clear message of the EU’s</w:t>
      </w:r>
      <w:r>
        <w:rPr>
          <w:rFonts w:ascii="Times New Roman" w:hAnsi="Times New Roman" w:cs="Times New Roman"/>
          <w:noProof/>
          <w:sz w:val="24"/>
          <w:szCs w:val="24"/>
        </w:rPr>
        <w:t xml:space="preserve"> political commitment towards the region. The European Commission recommended that emergency measures taken in the context of the COVID-19 pandemic are proportionate, restricted to what is necessary and limited in time so that rule of law and democratic an</w:t>
      </w:r>
      <w:r>
        <w:rPr>
          <w:rFonts w:ascii="Times New Roman" w:hAnsi="Times New Roman" w:cs="Times New Roman"/>
          <w:noProof/>
          <w:sz w:val="24"/>
          <w:szCs w:val="24"/>
        </w:rPr>
        <w:t>d human rights standards are respected.</w:t>
      </w:r>
    </w:p>
    <w:p w:rsidR="003C2144" w:rsidRDefault="00FB7959">
      <w:pPr>
        <w:pStyle w:val="Heading2"/>
        <w:spacing w:before="0" w:line="240" w:lineRule="auto"/>
        <w:rPr>
          <w:noProof/>
        </w:rPr>
      </w:pPr>
      <w:bookmarkStart w:id="8" w:name="_Toc9585285"/>
      <w:bookmarkStart w:id="9" w:name="_Toc52744920"/>
      <w:r>
        <w:rPr>
          <w:rFonts w:eastAsia="Calibri"/>
          <w:noProof/>
        </w:rPr>
        <w:t>1.2</w:t>
      </w:r>
      <w:r>
        <w:rPr>
          <w:rFonts w:eastAsia="Calibri" w:cs="Times New Roman"/>
          <w:noProof/>
          <w:szCs w:val="24"/>
        </w:rPr>
        <w:t xml:space="preserve">. </w:t>
      </w:r>
      <w:r>
        <w:rPr>
          <w:rFonts w:eastAsia="Calibri" w:cs="Times New Roman"/>
          <w:noProof/>
          <w:szCs w:val="24"/>
        </w:rPr>
        <w:tab/>
      </w:r>
      <w:r>
        <w:rPr>
          <w:rFonts w:eastAsia="Calibri"/>
          <w:noProof/>
        </w:rPr>
        <w:t>Summary of the Report</w:t>
      </w:r>
      <w:bookmarkEnd w:id="8"/>
      <w:bookmarkEnd w:id="9"/>
    </w:p>
    <w:p w:rsidR="003C2144" w:rsidRDefault="00FB7959">
      <w:pPr>
        <w:spacing w:after="120" w:line="240" w:lineRule="auto"/>
        <w:jc w:val="both"/>
        <w:rPr>
          <w:rFonts w:cs="Times New Roman"/>
          <w:noProof/>
          <w:szCs w:val="24"/>
        </w:rPr>
      </w:pPr>
      <w:r>
        <w:rPr>
          <w:rFonts w:cs="Times New Roman"/>
          <w:noProof/>
          <w:szCs w:val="24"/>
        </w:rPr>
        <w:t xml:space="preserve">Concerning the </w:t>
      </w:r>
      <w:r>
        <w:rPr>
          <w:rFonts w:cs="Times New Roman"/>
          <w:b/>
          <w:noProof/>
          <w:szCs w:val="24"/>
        </w:rPr>
        <w:t xml:space="preserve">political criteria </w:t>
      </w:r>
      <w:r>
        <w:rPr>
          <w:rFonts w:cs="Times New Roman"/>
          <w:noProof/>
          <w:szCs w:val="24"/>
        </w:rPr>
        <w:t>the reporting period was marked by tensions and mistrust between political actors and low level of trust in the electoral framework. Due to the COVID-19 pandemic parliament was inactive in the early months of 2020 and was subsequently dissolved, due to the</w:t>
      </w:r>
      <w:r>
        <w:rPr>
          <w:rFonts w:cs="Times New Roman"/>
          <w:noProof/>
          <w:szCs w:val="24"/>
        </w:rPr>
        <w:t xml:space="preserve"> August 30 parliamentary elections. </w:t>
      </w:r>
    </w:p>
    <w:p w:rsidR="003C2144" w:rsidRDefault="00FB7959">
      <w:pPr>
        <w:spacing w:after="120" w:line="240" w:lineRule="auto"/>
        <w:jc w:val="both"/>
        <w:rPr>
          <w:rFonts w:cs="Times New Roman"/>
          <w:noProof/>
          <w:szCs w:val="24"/>
        </w:rPr>
      </w:pPr>
      <w:r>
        <w:rPr>
          <w:rFonts w:cs="Times New Roman"/>
          <w:noProof/>
          <w:szCs w:val="24"/>
        </w:rPr>
        <w:t>No political party boycotted the elections, which were contested by 11 candidate lists.</w:t>
      </w:r>
    </w:p>
    <w:p w:rsidR="003C2144" w:rsidRDefault="00FB7959">
      <w:pPr>
        <w:spacing w:after="120" w:line="240" w:lineRule="auto"/>
        <w:jc w:val="both"/>
        <w:rPr>
          <w:rFonts w:cs="Times New Roman"/>
          <w:noProof/>
          <w:szCs w:val="24"/>
          <w:lang w:val="en-US"/>
        </w:rPr>
      </w:pPr>
      <w:r>
        <w:rPr>
          <w:rFonts w:cs="Times New Roman"/>
          <w:noProof/>
          <w:szCs w:val="24"/>
          <w:lang w:val="en-US"/>
        </w:rPr>
        <w:t>According to the preliminary findings</w:t>
      </w:r>
      <w:r>
        <w:rPr>
          <w:rFonts w:eastAsiaTheme="minorEastAsia" w:cs="Times New Roman"/>
          <w:noProof/>
          <w:szCs w:val="24"/>
          <w:lang w:eastAsia="it-IT"/>
        </w:rPr>
        <w:t xml:space="preserve"> from the Office for Democratic Institutions and Human Rights of the Organisation for Security and Cooperation in Europe (OSCE/ODIHR)</w:t>
      </w:r>
      <w:r>
        <w:rPr>
          <w:rFonts w:cs="Times New Roman"/>
          <w:noProof/>
          <w:szCs w:val="24"/>
          <w:lang w:val="en-US"/>
        </w:rPr>
        <w:t xml:space="preserve"> the elections </w:t>
      </w:r>
      <w:r>
        <w:rPr>
          <w:rFonts w:cs="Times New Roman"/>
          <w:noProof/>
          <w:szCs w:val="24"/>
          <w:lang w:val="en-US"/>
        </w:rPr>
        <w:lastRenderedPageBreak/>
        <w:t>were competitive and were managed transparently and efficiently, but took place in an environment highly pol</w:t>
      </w:r>
      <w:r>
        <w:rPr>
          <w:rFonts w:cs="Times New Roman"/>
          <w:noProof/>
          <w:szCs w:val="24"/>
          <w:lang w:val="en-US"/>
        </w:rPr>
        <w:t>arized over issues of church, and national identity. The campaign was peaceful despite the frequent confrontational tone. Contestants were able to convey their messages, but OSCE/ODIHR expressed a number of concerns in relation to an undue advantage for th</w:t>
      </w:r>
      <w:r>
        <w:rPr>
          <w:rFonts w:cs="Times New Roman"/>
          <w:noProof/>
          <w:szCs w:val="24"/>
          <w:lang w:val="en-US"/>
        </w:rPr>
        <w:t>e ruling party and unbalanced media coverage.</w:t>
      </w:r>
    </w:p>
    <w:p w:rsidR="003C2144" w:rsidRDefault="00FB7959">
      <w:pPr>
        <w:spacing w:after="120" w:line="240" w:lineRule="auto"/>
        <w:jc w:val="both"/>
        <w:rPr>
          <w:rFonts w:cs="Times New Roman"/>
          <w:noProof/>
          <w:szCs w:val="24"/>
        </w:rPr>
      </w:pPr>
      <w:r>
        <w:rPr>
          <w:rFonts w:cs="Times New Roman"/>
          <w:noProof/>
          <w:szCs w:val="24"/>
        </w:rPr>
        <w:t>The elections resulted in an unprecedented change of the ruling majority composition. The new parliament should endeavour to find a broad cross-party and societal consensus and demonstrate in practice its commi</w:t>
      </w:r>
      <w:r>
        <w:rPr>
          <w:rFonts w:cs="Times New Roman"/>
          <w:noProof/>
          <w:szCs w:val="24"/>
        </w:rPr>
        <w:t>tment to Montenegro's EU reform agenda, which is vital for the country’s progress on its EU path; as well as engage in a transparent, decisive and inclusive dialogue on the implementation of OSCE/ODIHR outstanding recommendations.</w:t>
      </w:r>
    </w:p>
    <w:p w:rsidR="003C2144" w:rsidRDefault="00FB7959">
      <w:pPr>
        <w:spacing w:after="120" w:line="240" w:lineRule="auto"/>
        <w:jc w:val="both"/>
        <w:rPr>
          <w:rFonts w:cs="Times New Roman"/>
          <w:noProof/>
          <w:szCs w:val="24"/>
        </w:rPr>
      </w:pPr>
      <w:r>
        <w:rPr>
          <w:rFonts w:cs="Times New Roman"/>
          <w:noProof/>
          <w:szCs w:val="24"/>
        </w:rPr>
        <w:t xml:space="preserve">In December 2019, due to </w:t>
      </w:r>
      <w:r>
        <w:rPr>
          <w:rFonts w:cs="Times New Roman"/>
          <w:noProof/>
          <w:szCs w:val="24"/>
        </w:rPr>
        <w:t xml:space="preserve">lack of quorum, the parliament </w:t>
      </w:r>
      <w:r>
        <w:rPr>
          <w:rFonts w:eastAsiaTheme="minorEastAsia" w:cs="Times New Roman"/>
          <w:noProof/>
          <w:szCs w:val="24"/>
          <w:lang w:eastAsia="it-IT"/>
        </w:rPr>
        <w:t>enacted solely with the votes of the hitherto ruling majority some legal solutions aimed at partially addressing the recommendations of OSCE/ODIHR</w:t>
      </w:r>
      <w:r>
        <w:rPr>
          <w:rFonts w:cs="Times New Roman"/>
          <w:noProof/>
          <w:szCs w:val="24"/>
        </w:rPr>
        <w:t>. The adopted changes did not significantly affect the existing electoral frame</w:t>
      </w:r>
      <w:r>
        <w:rPr>
          <w:rFonts w:cs="Times New Roman"/>
          <w:noProof/>
          <w:szCs w:val="24"/>
        </w:rPr>
        <w:t>work, with the exception of campaign finance. Outstanding priority OSCE/ODIHR recommendations, such as professionalism, impartiality and transparency of the election administration; candidate registration and mechanisms for authentication of credibility of</w:t>
      </w:r>
      <w:r>
        <w:rPr>
          <w:rFonts w:cs="Times New Roman"/>
          <w:noProof/>
          <w:szCs w:val="24"/>
        </w:rPr>
        <w:t xml:space="preserve"> voter signatures; media supervision during electoral campaign, an audit of the voter register; measures against the misuse of state resources and gender balanced political representation in the elections, remain unaddressed. Thus, review of the electoral </w:t>
      </w:r>
      <w:r>
        <w:rPr>
          <w:rFonts w:cs="Times New Roman"/>
          <w:noProof/>
          <w:szCs w:val="24"/>
        </w:rPr>
        <w:t>framework in a comprehensive and inclusive manner remains pending.</w:t>
      </w:r>
    </w:p>
    <w:p w:rsidR="003C2144" w:rsidRDefault="00FB7959">
      <w:pPr>
        <w:spacing w:after="120" w:line="240" w:lineRule="auto"/>
        <w:jc w:val="both"/>
        <w:rPr>
          <w:rFonts w:cs="Times New Roman"/>
          <w:noProof/>
          <w:szCs w:val="24"/>
        </w:rPr>
      </w:pPr>
      <w:r>
        <w:rPr>
          <w:rFonts w:cs="Times New Roman"/>
          <w:noProof/>
          <w:szCs w:val="24"/>
        </w:rPr>
        <w:t>The new chair of the State Electoral Commission (SEC) was appointed in March 2020. Efforts to enhance the transparency and accountability of the SEC's work need to continue. Despite cross-p</w:t>
      </w:r>
      <w:r>
        <w:rPr>
          <w:rFonts w:cs="Times New Roman"/>
          <w:noProof/>
          <w:szCs w:val="24"/>
        </w:rPr>
        <w:t xml:space="preserve">arty agreement to hold local elections on the same day, the legal framework still provides for their conduct on a rolling basis. It remains to be decided when a new system will be implemented. </w:t>
      </w:r>
    </w:p>
    <w:p w:rsidR="003C2144" w:rsidRDefault="00FB7959">
      <w:pPr>
        <w:spacing w:after="120" w:line="240" w:lineRule="auto"/>
        <w:jc w:val="both"/>
        <w:rPr>
          <w:rFonts w:cs="Times New Roman"/>
          <w:noProof/>
          <w:szCs w:val="24"/>
        </w:rPr>
      </w:pPr>
      <w:r>
        <w:rPr>
          <w:rFonts w:cs="Times New Roman"/>
          <w:noProof/>
          <w:szCs w:val="24"/>
        </w:rPr>
        <w:t>The political scene prior to the August 2020 elections was fra</w:t>
      </w:r>
      <w:r>
        <w:rPr>
          <w:rFonts w:cs="Times New Roman"/>
          <w:noProof/>
          <w:szCs w:val="24"/>
        </w:rPr>
        <w:t>gmented, polarised and marked by lack of genuine political dialogue. Some initial steps were taken in the course of 2019 towards re-establishing the political dialogue in Parliament with the partial participation of the opposition parties in work in the te</w:t>
      </w:r>
      <w:r>
        <w:rPr>
          <w:rFonts w:cs="Times New Roman"/>
          <w:noProof/>
          <w:szCs w:val="24"/>
        </w:rPr>
        <w:t xml:space="preserve">mporary parliamentary committee. However </w:t>
      </w:r>
      <w:r>
        <w:rPr>
          <w:rFonts w:cs="Times New Roman"/>
          <w:bCs/>
          <w:iCs/>
          <w:noProof/>
          <w:szCs w:val="24"/>
        </w:rPr>
        <w:t xml:space="preserve">opposition members </w:t>
      </w:r>
      <w:r>
        <w:rPr>
          <w:rFonts w:cs="Times New Roman"/>
          <w:noProof/>
          <w:szCs w:val="24"/>
        </w:rPr>
        <w:t>suspended their participation after the government tabled the draft Law on religious freedoms or belief for plenary adoption. The latter resulted in large-scale religious protests as of December 2</w:t>
      </w:r>
      <w:r>
        <w:rPr>
          <w:rFonts w:cs="Times New Roman"/>
          <w:noProof/>
          <w:szCs w:val="24"/>
        </w:rPr>
        <w:t>019, which were temporarily put on hold in spring 2020, due to COVID-19 crisis.</w:t>
      </w:r>
    </w:p>
    <w:p w:rsidR="003C2144" w:rsidRDefault="00FB7959">
      <w:pPr>
        <w:spacing w:after="120" w:line="240" w:lineRule="auto"/>
        <w:jc w:val="both"/>
        <w:rPr>
          <w:rFonts w:eastAsia="Calibri" w:cs="Times New Roman"/>
          <w:noProof/>
          <w:szCs w:val="24"/>
        </w:rPr>
      </w:pPr>
      <w:r>
        <w:rPr>
          <w:rFonts w:cs="Times New Roman"/>
          <w:noProof/>
          <w:szCs w:val="24"/>
        </w:rPr>
        <w:t xml:space="preserve">The outcome of the Parliamentary elections paves the way for returning the political debate to the Parliament. Active and constructive participation by all parties is required </w:t>
      </w:r>
      <w:r>
        <w:rPr>
          <w:rFonts w:cs="Times New Roman"/>
          <w:noProof/>
          <w:szCs w:val="24"/>
        </w:rPr>
        <w:t>to enhance parliamentary accountability, oversight of the executive, democratic scrutiny, better quality of legislation and to enable key appointments. In 2019 and the first half of 2020 the parliament could not secure the required 2/3 majority for importa</w:t>
      </w:r>
      <w:r>
        <w:rPr>
          <w:rFonts w:cs="Times New Roman"/>
          <w:noProof/>
          <w:szCs w:val="24"/>
        </w:rPr>
        <w:t xml:space="preserve">nt judicial appointments and therefore key functions of the judical system are filled on an acting basis. </w:t>
      </w:r>
      <w:r>
        <w:rPr>
          <w:rFonts w:eastAsia="Calibri" w:cs="Times New Roman"/>
          <w:noProof/>
          <w:szCs w:val="24"/>
        </w:rPr>
        <w:t xml:space="preserve">The mandate of the Supreme State Prosecutor expired in October 2019 and his successor remains to be appointed. </w:t>
      </w:r>
    </w:p>
    <w:p w:rsidR="003C2144" w:rsidRDefault="00FB7959">
      <w:pPr>
        <w:widowControl w:val="0"/>
        <w:spacing w:after="120" w:line="240" w:lineRule="auto"/>
        <w:jc w:val="both"/>
        <w:rPr>
          <w:rFonts w:cs="Times New Roman"/>
          <w:noProof/>
          <w:szCs w:val="24"/>
        </w:rPr>
      </w:pPr>
      <w:r>
        <w:rPr>
          <w:rFonts w:cs="Times New Roman"/>
          <w:noProof/>
          <w:szCs w:val="24"/>
        </w:rPr>
        <w:t xml:space="preserve">There were no new developments in the </w:t>
      </w:r>
      <w:r>
        <w:rPr>
          <w:rFonts w:cs="Times New Roman"/>
          <w:noProof/>
          <w:szCs w:val="24"/>
        </w:rPr>
        <w:t>political and judicial follow-up of the alleged misuse of public funds for party political purposes that took place in 2012 (the ‘audio recordings affair’). With regard to the January 2019 ‘envelope affair’, indictments were lodged for money laundering aga</w:t>
      </w:r>
      <w:r>
        <w:rPr>
          <w:rFonts w:cs="Times New Roman"/>
          <w:noProof/>
          <w:szCs w:val="24"/>
        </w:rPr>
        <w:t xml:space="preserve">inst two defendants. These cases require a credible, independent and effective institutional response. </w:t>
      </w:r>
    </w:p>
    <w:p w:rsidR="003C2144" w:rsidRDefault="00FB7959">
      <w:pPr>
        <w:spacing w:after="120" w:line="240" w:lineRule="auto"/>
        <w:jc w:val="both"/>
        <w:rPr>
          <w:rFonts w:cs="Times New Roman"/>
          <w:noProof/>
          <w:szCs w:val="24"/>
          <w:highlight w:val="yellow"/>
        </w:rPr>
      </w:pPr>
      <w:r>
        <w:rPr>
          <w:rFonts w:cs="Times New Roman"/>
          <w:noProof/>
          <w:szCs w:val="24"/>
        </w:rPr>
        <w:lastRenderedPageBreak/>
        <w:t xml:space="preserve">As regards </w:t>
      </w:r>
      <w:r>
        <w:rPr>
          <w:rFonts w:cs="Times New Roman"/>
          <w:b/>
          <w:noProof/>
          <w:szCs w:val="24"/>
        </w:rPr>
        <w:t>governance</w:t>
      </w:r>
      <w:r>
        <w:rPr>
          <w:rFonts w:cs="Times New Roman"/>
          <w:noProof/>
          <w:szCs w:val="24"/>
        </w:rPr>
        <w:t>, there is a need to strengthen transparency, stakeholders' participation, and the government's capacity to implement reforms. Moni</w:t>
      </w:r>
      <w:r>
        <w:rPr>
          <w:rFonts w:cs="Times New Roman"/>
          <w:noProof/>
          <w:szCs w:val="24"/>
        </w:rPr>
        <w:t xml:space="preserve">toring of the quality of strategic policy documents by the Government's General Secretariat has become structured and systemic. The </w:t>
      </w:r>
      <w:r>
        <w:rPr>
          <w:rFonts w:cs="Times New Roman"/>
          <w:iCs/>
          <w:noProof/>
          <w:szCs w:val="24"/>
        </w:rPr>
        <w:t>government's policy on state-sponsored apartments or loans under favourable conditions</w:t>
      </w:r>
      <w:r>
        <w:rPr>
          <w:rFonts w:cs="Times New Roman"/>
          <w:noProof/>
          <w:szCs w:val="24"/>
        </w:rPr>
        <w:t xml:space="preserve"> raised concerns about the effectivene</w:t>
      </w:r>
      <w:r>
        <w:rPr>
          <w:rFonts w:cs="Times New Roman"/>
          <w:noProof/>
          <w:szCs w:val="24"/>
        </w:rPr>
        <w:t>ss of the national checks and balances system. Stakeholders’ participation in both the accession and legislative processes remains to be improved.</w:t>
      </w:r>
    </w:p>
    <w:p w:rsidR="003C2144" w:rsidRDefault="00FB7959">
      <w:pPr>
        <w:spacing w:after="120" w:line="240" w:lineRule="auto"/>
        <w:jc w:val="both"/>
        <w:rPr>
          <w:rFonts w:cs="Times New Roman"/>
          <w:noProof/>
          <w:szCs w:val="24"/>
        </w:rPr>
      </w:pPr>
      <w:r>
        <w:rPr>
          <w:rFonts w:cs="Times New Roman"/>
          <w:noProof/>
          <w:szCs w:val="24"/>
        </w:rPr>
        <w:t xml:space="preserve">Montenegro is moderately prepared on the reform of its </w:t>
      </w:r>
      <w:r>
        <w:rPr>
          <w:rFonts w:cs="Times New Roman"/>
          <w:b/>
          <w:noProof/>
          <w:szCs w:val="24"/>
        </w:rPr>
        <w:t>public administration</w:t>
      </w:r>
      <w:r>
        <w:rPr>
          <w:rFonts w:cs="Times New Roman"/>
          <w:noProof/>
          <w:szCs w:val="24"/>
        </w:rPr>
        <w:t>. Overall, some progress was made</w:t>
      </w:r>
      <w:r>
        <w:rPr>
          <w:rFonts w:cs="Times New Roman"/>
          <w:noProof/>
          <w:szCs w:val="24"/>
        </w:rPr>
        <w:t xml:space="preserve"> during the reporting period. Montenegro started the implementation of the law on civil servants. The medium-term policy-planning framework, merit-based recruitment, human resource management and rationalising of the organisation of the state administratio</w:t>
      </w:r>
      <w:r>
        <w:rPr>
          <w:rFonts w:cs="Times New Roman"/>
          <w:noProof/>
          <w:szCs w:val="24"/>
        </w:rPr>
        <w:t>n continued to advance well. Strong political will is still needed to effectively ensure the de-politicisation of the public service, the optimisation of the state administration, and the implementation of managerial accountability.</w:t>
      </w:r>
    </w:p>
    <w:p w:rsidR="003C2144" w:rsidRDefault="00FB7959">
      <w:pPr>
        <w:spacing w:after="120" w:line="240" w:lineRule="auto"/>
        <w:jc w:val="both"/>
        <w:rPr>
          <w:rFonts w:cs="Times New Roman"/>
          <w:noProof/>
          <w:szCs w:val="24"/>
        </w:rPr>
      </w:pPr>
      <w:r>
        <w:rPr>
          <w:rFonts w:cs="Times New Roman"/>
          <w:noProof/>
          <w:szCs w:val="24"/>
        </w:rPr>
        <w:t>Montenegro remains mode</w:t>
      </w:r>
      <w:r>
        <w:rPr>
          <w:rFonts w:cs="Times New Roman"/>
          <w:noProof/>
          <w:szCs w:val="24"/>
        </w:rPr>
        <w:t xml:space="preserve">rately prepared to apply the EU </w:t>
      </w:r>
      <w:r>
        <w:rPr>
          <w:rFonts w:cs="Times New Roman"/>
          <w:i/>
          <w:noProof/>
          <w:szCs w:val="24"/>
        </w:rPr>
        <w:t>acquis</w:t>
      </w:r>
      <w:r>
        <w:rPr>
          <w:rFonts w:cs="Times New Roman"/>
          <w:noProof/>
          <w:szCs w:val="24"/>
        </w:rPr>
        <w:t xml:space="preserve"> and the European standards in the area of the </w:t>
      </w:r>
      <w:r>
        <w:rPr>
          <w:rFonts w:cs="Times New Roman"/>
          <w:b/>
          <w:noProof/>
          <w:szCs w:val="24"/>
        </w:rPr>
        <w:t>judiciary</w:t>
      </w:r>
      <w:r>
        <w:rPr>
          <w:rFonts w:cs="Times New Roman"/>
          <w:noProof/>
          <w:szCs w:val="24"/>
        </w:rPr>
        <w:t xml:space="preserve"> and has made limited progress overall, namely through the continuous implementation of the ICT strategy for the judiciary. Last year’s recommendations regarding </w:t>
      </w:r>
      <w:r>
        <w:rPr>
          <w:rFonts w:cs="Times New Roman"/>
          <w:noProof/>
          <w:szCs w:val="24"/>
        </w:rPr>
        <w:t>the judiciary were only partially addressed. Challenges remain, in particular with regard to the independence, professionalism, efficiency and accountability of the judiciary. The decision of the Judicial Council to re-appoint seven court presidents, inclu</w:t>
      </w:r>
      <w:r>
        <w:rPr>
          <w:rFonts w:cs="Times New Roman"/>
          <w:noProof/>
          <w:szCs w:val="24"/>
        </w:rPr>
        <w:t>ding the President of the Supreme Court, for at least a third term raises serious concerns over the Judicial Council’s interpretation of the letter and the spirit of the Constitutional and legal framework, which limits those appointments to maximum two ter</w:t>
      </w:r>
      <w:r>
        <w:rPr>
          <w:rFonts w:cs="Times New Roman"/>
          <w:noProof/>
          <w:szCs w:val="24"/>
        </w:rPr>
        <w:t>ms in order to prevent over</w:t>
      </w:r>
      <w:r>
        <w:rPr>
          <w:rFonts w:cs="Times New Roman"/>
          <w:noProof/>
          <w:szCs w:val="24"/>
        </w:rPr>
        <w:noBreakHyphen/>
        <w:t>concentration of power within the judiciary. It is not in line with GRECO recommendations on the independence of the judiciary, which Montenegro is expected to comply with, in order not to reverse earlier achievements in the jud</w:t>
      </w:r>
      <w:r>
        <w:rPr>
          <w:rFonts w:cs="Times New Roman"/>
          <w:noProof/>
          <w:szCs w:val="24"/>
        </w:rPr>
        <w:t xml:space="preserve">icial reform. </w:t>
      </w:r>
    </w:p>
    <w:p w:rsidR="003C2144" w:rsidRDefault="00FB7959">
      <w:pPr>
        <w:spacing w:after="120" w:line="240" w:lineRule="auto"/>
        <w:jc w:val="both"/>
        <w:rPr>
          <w:rFonts w:cs="Times New Roman"/>
          <w:noProof/>
          <w:szCs w:val="24"/>
        </w:rPr>
      </w:pPr>
      <w:r>
        <w:rPr>
          <w:rFonts w:cs="Times New Roman"/>
          <w:noProof/>
          <w:szCs w:val="24"/>
        </w:rPr>
        <w:t xml:space="preserve">Montenegro has achieved some level of preparation in the </w:t>
      </w:r>
      <w:r>
        <w:rPr>
          <w:rFonts w:cs="Times New Roman"/>
          <w:b/>
          <w:noProof/>
          <w:szCs w:val="24"/>
        </w:rPr>
        <w:t>fight against corruption</w:t>
      </w:r>
      <w:r>
        <w:rPr>
          <w:rFonts w:cs="Times New Roman"/>
          <w:noProof/>
          <w:szCs w:val="24"/>
        </w:rPr>
        <w:t>. It made limited progress on last year’s recommendations which were only partially addressed regarding the track record on repression and prevention of corrupt</w:t>
      </w:r>
      <w:r>
        <w:rPr>
          <w:rFonts w:cs="Times New Roman"/>
          <w:noProof/>
          <w:szCs w:val="24"/>
        </w:rPr>
        <w:t>ion and a new institutional framework for the Asset Recovery Office. The Anti-Corruption Agency, operating under newly appointmed leadership, continued to be strengthened through capacity building activities and technical assistance. However, challenges re</w:t>
      </w:r>
      <w:r>
        <w:rPr>
          <w:rFonts w:cs="Times New Roman"/>
          <w:noProof/>
          <w:szCs w:val="24"/>
        </w:rPr>
        <w:t>lated to its independence, priority-setting, selective approach and quality of its decisions remained. The Agency is yet to demonstrate a proactive approach in all areas falling under its mandate, including on the protection of whistle blowers, the control</w:t>
      </w:r>
      <w:r>
        <w:rPr>
          <w:rFonts w:cs="Times New Roman"/>
          <w:noProof/>
          <w:szCs w:val="24"/>
        </w:rPr>
        <w:t xml:space="preserve"> of financing of political parties and electoral campaign, and oversight of lobbying. The track record on seizure and confiscation of criminal assets needs to be further improved. Corruption remains prevalent in many areas and a serious concern. There is a</w:t>
      </w:r>
      <w:r>
        <w:rPr>
          <w:rFonts w:cs="Times New Roman"/>
          <w:noProof/>
          <w:szCs w:val="24"/>
        </w:rPr>
        <w:t xml:space="preserve"> need for strong political will to effectively address this issue of concern, as well as a robust criminal justice response to high-level corruption.</w:t>
      </w:r>
    </w:p>
    <w:p w:rsidR="003C2144" w:rsidRDefault="00FB7959">
      <w:pPr>
        <w:spacing w:after="120" w:line="240" w:lineRule="auto"/>
        <w:jc w:val="both"/>
        <w:rPr>
          <w:rFonts w:cs="Times New Roman"/>
          <w:noProof/>
          <w:szCs w:val="24"/>
        </w:rPr>
      </w:pPr>
      <w:r>
        <w:rPr>
          <w:rFonts w:cs="Times New Roman"/>
          <w:noProof/>
          <w:szCs w:val="24"/>
        </w:rPr>
        <w:t xml:space="preserve">Montenegro has some level of preparedness/is moderately prepared in the </w:t>
      </w:r>
      <w:r>
        <w:rPr>
          <w:rFonts w:cs="Times New Roman"/>
          <w:b/>
          <w:noProof/>
          <w:szCs w:val="24"/>
        </w:rPr>
        <w:t>fight against organised crime</w:t>
      </w:r>
      <w:r>
        <w:rPr>
          <w:rFonts w:cs="Times New Roman"/>
          <w:noProof/>
          <w:szCs w:val="24"/>
        </w:rPr>
        <w:t xml:space="preserve">. </w:t>
      </w:r>
      <w:r>
        <w:rPr>
          <w:rFonts w:cs="Times New Roman"/>
          <w:noProof/>
          <w:szCs w:val="24"/>
        </w:rPr>
        <w:t>Some progress was made, including in addressing last year’s recommendations, in particular as regards the creation of a centralised bank account register, a stronger capacity and professionalism of the police and an increased number of on-going proceedings</w:t>
      </w:r>
      <w:r>
        <w:rPr>
          <w:rFonts w:cs="Times New Roman"/>
          <w:noProof/>
          <w:szCs w:val="24"/>
        </w:rPr>
        <w:t xml:space="preserve"> on asset confiscation. An initial track record of investigations into trafficking in human beings and money laundering  was established. Internal organisation and coordination of </w:t>
      </w:r>
      <w:r>
        <w:rPr>
          <w:rFonts w:cs="Times New Roman"/>
          <w:noProof/>
          <w:szCs w:val="24"/>
        </w:rPr>
        <w:lastRenderedPageBreak/>
        <w:t>law-enforcement agencies was further improved, as reflected in the increasin</w:t>
      </w:r>
      <w:r>
        <w:rPr>
          <w:rFonts w:cs="Times New Roman"/>
          <w:noProof/>
          <w:szCs w:val="24"/>
        </w:rPr>
        <w:t>g number of investigations, arrests and seizures. However, Montenegro still needs to address some fundamental and systemic deficiencies in its criminal justice system, including the way organised crime cases are handled in the courts. Some progress was mad</w:t>
      </w:r>
      <w:r>
        <w:rPr>
          <w:rFonts w:cs="Times New Roman"/>
          <w:noProof/>
          <w:szCs w:val="24"/>
        </w:rPr>
        <w:t>e in the fight against terrorism and preventing/countering violent extremism in line with the objectives set out in the Joint Action Plan on counter-terrorism for the Western Balkans and the bilateral implementing arrangement.</w:t>
      </w:r>
    </w:p>
    <w:p w:rsidR="003C2144" w:rsidRDefault="00FB7959">
      <w:pPr>
        <w:spacing w:after="120" w:line="240" w:lineRule="auto"/>
        <w:jc w:val="both"/>
        <w:rPr>
          <w:rFonts w:cs="Times New Roman"/>
          <w:noProof/>
          <w:szCs w:val="24"/>
          <w:highlight w:val="yellow"/>
        </w:rPr>
      </w:pPr>
      <w:r>
        <w:rPr>
          <w:rFonts w:cs="Times New Roman"/>
          <w:noProof/>
          <w:szCs w:val="24"/>
        </w:rPr>
        <w:t xml:space="preserve">On </w:t>
      </w:r>
      <w:r>
        <w:rPr>
          <w:rFonts w:cs="Times New Roman"/>
          <w:b/>
          <w:noProof/>
          <w:szCs w:val="24"/>
        </w:rPr>
        <w:t>fundamental rights</w:t>
      </w:r>
      <w:r>
        <w:rPr>
          <w:rFonts w:cs="Times New Roman"/>
          <w:noProof/>
          <w:szCs w:val="24"/>
        </w:rPr>
        <w:t>, Monten</w:t>
      </w:r>
      <w:r>
        <w:rPr>
          <w:rFonts w:cs="Times New Roman"/>
          <w:noProof/>
          <w:szCs w:val="24"/>
        </w:rPr>
        <w:t xml:space="preserve">egro made some progress. The legislative and institutional framework in the area of fundamental rights is now largely in place. In July 2020, the law on life partnership of same-sex couples was enacted by Parliament, making Montenegro the first country in </w:t>
      </w:r>
      <w:r>
        <w:rPr>
          <w:rFonts w:cs="Times New Roman"/>
          <w:noProof/>
          <w:szCs w:val="24"/>
        </w:rPr>
        <w:t>the region to regulate the status of same-sex couples. The capacity of human rights institutions and of the Ministry of Human and Minority Rights has been reinforced, and trust in the Ombudsperson’s office is increasing. However, important challenges remai</w:t>
      </w:r>
      <w:r>
        <w:rPr>
          <w:rFonts w:cs="Times New Roman"/>
          <w:noProof/>
          <w:szCs w:val="24"/>
        </w:rPr>
        <w:t xml:space="preserve">n in ensuring that national legislation on human rights is effectively implemented. The reports of excessive use of force by the police and allegations of torture call for swift and effective investigations. Ethnically and religiously motivated attacks in </w:t>
      </w:r>
      <w:r>
        <w:rPr>
          <w:rFonts w:cs="Times New Roman"/>
          <w:noProof/>
          <w:szCs w:val="24"/>
        </w:rPr>
        <w:t>the context of the August 2020 elections are a matter of serious concern. Further efforts are necessary to mainstream human rights across all areas of work, public policies and sectors. Disadvantaged groups, including Roma and Egyptians, and persons with d</w:t>
      </w:r>
      <w:r>
        <w:rPr>
          <w:rFonts w:cs="Times New Roman"/>
          <w:noProof/>
          <w:szCs w:val="24"/>
        </w:rPr>
        <w:t xml:space="preserve">isabilities continue to experience multiple types of discrimination and difficulty in enforcing their rights in administrative and judicial proceedings. Gender-based violence and violence against children remain issues of serious concern.  </w:t>
      </w:r>
    </w:p>
    <w:p w:rsidR="003C2144" w:rsidRDefault="00FB7959">
      <w:pPr>
        <w:spacing w:after="120" w:line="240" w:lineRule="auto"/>
        <w:jc w:val="both"/>
        <w:rPr>
          <w:rFonts w:cs="Times New Roman"/>
          <w:noProof/>
          <w:szCs w:val="24"/>
        </w:rPr>
      </w:pPr>
      <w:r>
        <w:rPr>
          <w:rFonts w:cs="Times New Roman"/>
          <w:noProof/>
          <w:szCs w:val="24"/>
        </w:rPr>
        <w:t>During the repo</w:t>
      </w:r>
      <w:r>
        <w:rPr>
          <w:rFonts w:cs="Times New Roman"/>
          <w:noProof/>
          <w:szCs w:val="24"/>
        </w:rPr>
        <w:t xml:space="preserve">rting period Montenegro made no progress on </w:t>
      </w:r>
      <w:r>
        <w:rPr>
          <w:rFonts w:cs="Times New Roman"/>
          <w:b/>
          <w:noProof/>
          <w:szCs w:val="24"/>
        </w:rPr>
        <w:t>freedom of expression</w:t>
      </w:r>
      <w:r>
        <w:rPr>
          <w:rFonts w:cs="Times New Roman"/>
          <w:noProof/>
          <w:szCs w:val="24"/>
        </w:rPr>
        <w:t xml:space="preserve">. </w:t>
      </w:r>
      <w:r>
        <w:rPr>
          <w:rFonts w:cs="Times New Roman"/>
          <w:noProof/>
          <w:szCs w:val="24"/>
          <w:lang w:bidi="en-US"/>
        </w:rPr>
        <w:t>Although there has been progress on the media legislation, this has been overshadowed by arrests and proceedings against editors of on-line portals and citizens for content they posted or s</w:t>
      </w:r>
      <w:r>
        <w:rPr>
          <w:rFonts w:cs="Times New Roman"/>
          <w:noProof/>
          <w:szCs w:val="24"/>
          <w:lang w:bidi="en-US"/>
        </w:rPr>
        <w:t xml:space="preserve">hared on-line in the course of 2020. Important old cases of attacks remain unresolved, including the 2004 murder of the editor-in-chief of daily newspaper, </w:t>
      </w:r>
      <w:r>
        <w:rPr>
          <w:rFonts w:cs="Times New Roman"/>
          <w:i/>
          <w:noProof/>
          <w:szCs w:val="24"/>
          <w:lang w:bidi="en-US"/>
        </w:rPr>
        <w:t>Dan</w:t>
      </w:r>
      <w:r>
        <w:rPr>
          <w:rFonts w:cs="Times New Roman"/>
          <w:noProof/>
          <w:szCs w:val="24"/>
          <w:lang w:bidi="en-US"/>
        </w:rPr>
        <w:t xml:space="preserve">, and the 2018 shooting of an investigative journalist. </w:t>
      </w:r>
      <w:r>
        <w:rPr>
          <w:rFonts w:cs="Times New Roman"/>
          <w:noProof/>
          <w:szCs w:val="24"/>
        </w:rPr>
        <w:t>C</w:t>
      </w:r>
      <w:r>
        <w:rPr>
          <w:rFonts w:cs="Times New Roman"/>
          <w:noProof/>
          <w:szCs w:val="24"/>
          <w:lang w:bidi="en-US"/>
        </w:rPr>
        <w:t>oncerns also remain about national publi</w:t>
      </w:r>
      <w:r>
        <w:rPr>
          <w:rFonts w:cs="Times New Roman"/>
          <w:noProof/>
          <w:szCs w:val="24"/>
          <w:lang w:bidi="en-US"/>
        </w:rPr>
        <w:t>c broadcaster RTCG’s editorial independence and professional standards. The media scene continues to be highly polarised and self</w:t>
      </w:r>
      <w:r>
        <w:rPr>
          <w:rFonts w:cs="Times New Roman"/>
          <w:noProof/>
          <w:szCs w:val="24"/>
          <w:lang w:bidi="en-US"/>
        </w:rPr>
        <w:noBreakHyphen/>
        <w:t xml:space="preserve">regulatory mechanisms remain weak. </w:t>
      </w:r>
      <w:r>
        <w:rPr>
          <w:rFonts w:cs="Times New Roman"/>
          <w:noProof/>
          <w:szCs w:val="24"/>
        </w:rPr>
        <w:t>The growing volume of region-wide disinformation further polarised the society in the after</w:t>
      </w:r>
      <w:r>
        <w:rPr>
          <w:rFonts w:cs="Times New Roman"/>
          <w:noProof/>
          <w:szCs w:val="24"/>
        </w:rPr>
        <w:t xml:space="preserve">math of the adoption of the Law on freedom of religion and during the electoral campaign. </w:t>
      </w:r>
    </w:p>
    <w:p w:rsidR="003C2144" w:rsidRDefault="00FB7959">
      <w:pPr>
        <w:spacing w:after="120" w:line="240" w:lineRule="auto"/>
        <w:jc w:val="both"/>
        <w:rPr>
          <w:rFonts w:cs="Times New Roman"/>
          <w:noProof/>
          <w:szCs w:val="24"/>
          <w:lang w:bidi="en-US"/>
        </w:rPr>
      </w:pPr>
      <w:r>
        <w:rPr>
          <w:rFonts w:eastAsia="Calibri" w:cs="Times New Roman"/>
          <w:noProof/>
          <w:szCs w:val="24"/>
        </w:rPr>
        <w:t xml:space="preserve">In the area of </w:t>
      </w:r>
      <w:r>
        <w:rPr>
          <w:rFonts w:eastAsia="Calibri" w:cs="Times New Roman"/>
          <w:b/>
          <w:noProof/>
          <w:szCs w:val="24"/>
        </w:rPr>
        <w:t>migration</w:t>
      </w:r>
      <w:r>
        <w:rPr>
          <w:rFonts w:eastAsia="Calibri" w:cs="Times New Roman"/>
          <w:noProof/>
          <w:szCs w:val="24"/>
        </w:rPr>
        <w:t xml:space="preserve"> t</w:t>
      </w:r>
      <w:r>
        <w:rPr>
          <w:rFonts w:eastAsia="Times New Roman" w:cs="Times New Roman"/>
          <w:noProof/>
          <w:szCs w:val="24"/>
          <w:lang w:val="en-IE"/>
        </w:rPr>
        <w:t>he 2018 upward trend in the number of incoming irregular migrants was confirmed in 2019. 7,978 irregular migrants were apprehended in 2019,</w:t>
      </w:r>
      <w:r>
        <w:rPr>
          <w:rFonts w:eastAsia="Times New Roman" w:cs="Times New Roman"/>
          <w:noProof/>
          <w:szCs w:val="24"/>
          <w:lang w:val="en-IE"/>
        </w:rPr>
        <w:t xml:space="preserve"> a 60% increase from 2018. All of the apprehended migrants expressed their intention to request asylum, which continued to put the country’s reception facilities under pressure. Montenegrin authorities prevented 516 illegal entries to the country and 1514 </w:t>
      </w:r>
      <w:r>
        <w:rPr>
          <w:rFonts w:eastAsia="Times New Roman" w:cs="Times New Roman"/>
          <w:noProof/>
          <w:szCs w:val="24"/>
          <w:lang w:val="en-IE"/>
        </w:rPr>
        <w:t xml:space="preserve">illegal exits from the country. The Special Prosecutors Office (SPO) conducted three investigations into migrant smuggling, involving more than 40 people. </w:t>
      </w:r>
      <w:r>
        <w:rPr>
          <w:rFonts w:eastAsia="Calibri" w:cs="Times New Roman"/>
          <w:noProof/>
          <w:szCs w:val="24"/>
          <w:lang w:val="en-IE"/>
        </w:rPr>
        <w:t>T</w:t>
      </w:r>
      <w:r>
        <w:rPr>
          <w:rFonts w:eastAsia="Calibri" w:cs="Times New Roman"/>
          <w:noProof/>
          <w:szCs w:val="24"/>
        </w:rPr>
        <w:t xml:space="preserve">he </w:t>
      </w:r>
      <w:r>
        <w:rPr>
          <w:rFonts w:eastAsia="Calibri" w:cs="Times New Roman"/>
          <w:bCs/>
          <w:noProof/>
          <w:szCs w:val="24"/>
        </w:rPr>
        <w:t xml:space="preserve">European Border and Coast Guard </w:t>
      </w:r>
      <w:r>
        <w:rPr>
          <w:rFonts w:eastAsia="Calibri" w:cs="Times New Roman"/>
          <w:noProof/>
          <w:szCs w:val="24"/>
        </w:rPr>
        <w:t xml:space="preserve">Status </w:t>
      </w:r>
      <w:r>
        <w:rPr>
          <w:rFonts w:eastAsia="Calibri" w:cs="Times New Roman"/>
          <w:bCs/>
          <w:noProof/>
          <w:szCs w:val="24"/>
        </w:rPr>
        <w:t>Agreement with the EU, signed in October 2019, entered int</w:t>
      </w:r>
      <w:r>
        <w:rPr>
          <w:rFonts w:eastAsia="Calibri" w:cs="Times New Roman"/>
          <w:bCs/>
          <w:noProof/>
          <w:szCs w:val="24"/>
        </w:rPr>
        <w:t>o force on 1 July 2020. The implementation of the first Joint Operation under the Agreement was launched on 15 July.</w:t>
      </w:r>
      <w:r>
        <w:rPr>
          <w:rFonts w:eastAsia="Times New Roman" w:cs="Times New Roman"/>
          <w:noProof/>
          <w:szCs w:val="24"/>
          <w:lang w:val="en-IE"/>
        </w:rPr>
        <w:t xml:space="preserve"> Montenegro must continue its efforts to cope with the migratory pressure, by further developing its international cooperation on readmissio</w:t>
      </w:r>
      <w:r>
        <w:rPr>
          <w:rFonts w:eastAsia="Times New Roman" w:cs="Times New Roman"/>
          <w:noProof/>
          <w:szCs w:val="24"/>
          <w:lang w:val="en-IE"/>
        </w:rPr>
        <w:t>n, raising its capacity to prosecute migrant smuggling networks, increasing its reception capacity and enhancing its migrants’ data collection system.</w:t>
      </w:r>
    </w:p>
    <w:p w:rsidR="003C2144" w:rsidRDefault="00FB7959">
      <w:pPr>
        <w:spacing w:after="120" w:line="240" w:lineRule="auto"/>
        <w:jc w:val="both"/>
        <w:rPr>
          <w:rFonts w:eastAsiaTheme="minorEastAsia" w:cs="Times New Roman"/>
          <w:noProof/>
          <w:szCs w:val="24"/>
        </w:rPr>
      </w:pPr>
      <w:r>
        <w:rPr>
          <w:rFonts w:cs="Times New Roman"/>
          <w:noProof/>
          <w:szCs w:val="24"/>
        </w:rPr>
        <w:t xml:space="preserve">As regards the </w:t>
      </w:r>
      <w:r>
        <w:rPr>
          <w:rFonts w:cs="Times New Roman"/>
          <w:b/>
          <w:noProof/>
          <w:szCs w:val="24"/>
        </w:rPr>
        <w:t>economic criteria</w:t>
      </w:r>
      <w:r>
        <w:rPr>
          <w:rFonts w:cs="Times New Roman"/>
          <w:noProof/>
          <w:szCs w:val="24"/>
        </w:rPr>
        <w:t xml:space="preserve">, </w:t>
      </w:r>
      <w:r>
        <w:rPr>
          <w:rFonts w:eastAsiaTheme="minorEastAsia" w:cs="Times New Roman"/>
          <w:noProof/>
          <w:szCs w:val="24"/>
        </w:rPr>
        <w:t>Montenegro has made some progress and is moderately prepared in develop</w:t>
      </w:r>
      <w:r>
        <w:rPr>
          <w:rFonts w:eastAsiaTheme="minorEastAsia" w:cs="Times New Roman"/>
          <w:noProof/>
          <w:szCs w:val="24"/>
        </w:rPr>
        <w:t xml:space="preserve">ing a functioning market economy. Due to lower investment growth, the economy slowed down to a more sustainable pace in 2019. Exports, in particular of services, </w:t>
      </w:r>
      <w:r>
        <w:rPr>
          <w:rFonts w:eastAsiaTheme="minorEastAsia" w:cs="Times New Roman"/>
          <w:noProof/>
          <w:szCs w:val="24"/>
        </w:rPr>
        <w:lastRenderedPageBreak/>
        <w:t>were growing but not enough to curb the large current account deficit. Financial sector stabil</w:t>
      </w:r>
      <w:r>
        <w:rPr>
          <w:rFonts w:eastAsiaTheme="minorEastAsia" w:cs="Times New Roman"/>
          <w:noProof/>
          <w:szCs w:val="24"/>
        </w:rPr>
        <w:t xml:space="preserve">ity has been reinforced following the bankruptcy and resolution of two local banks and the strengthening of the banking supervision framework. Labour market conditions improved, but the unemployment rate remains high, particularly among women, youth, Roma </w:t>
      </w:r>
      <w:r>
        <w:rPr>
          <w:rFonts w:eastAsiaTheme="minorEastAsia" w:cs="Times New Roman"/>
          <w:noProof/>
          <w:szCs w:val="24"/>
        </w:rPr>
        <w:t>and low-skilled people. Labour activation measures and coordination between employment and social services recorded limited progress. Montenegro’s economic outlook deteriorated substantially since the second quarter of 2020, as the COVID-19 quarantine meas</w:t>
      </w:r>
      <w:r>
        <w:rPr>
          <w:rFonts w:eastAsiaTheme="minorEastAsia" w:cs="Times New Roman"/>
          <w:noProof/>
          <w:szCs w:val="24"/>
        </w:rPr>
        <w:t>ures introduced in April brought large pans of the economy to a halt. Public finances, which improved in 2019, are under significant pressure in 2020 due to fast growing costs to finance the authorities’ policy response to the pandemic combined with a shar</w:t>
      </w:r>
      <w:r>
        <w:rPr>
          <w:rFonts w:eastAsiaTheme="minorEastAsia" w:cs="Times New Roman"/>
          <w:noProof/>
          <w:szCs w:val="24"/>
        </w:rPr>
        <w:t>p decline in budget revenue due to lower economic activity. Meanwhile, in spite of some signs of improvement of the business environment, measures to fight against informality were delayed and there is a persistent and very large number of companies with f</w:t>
      </w:r>
      <w:r>
        <w:rPr>
          <w:rFonts w:eastAsiaTheme="minorEastAsia" w:cs="Times New Roman"/>
          <w:noProof/>
          <w:szCs w:val="24"/>
        </w:rPr>
        <w:t>rozen bank accounts. State-owned transport companies are not competitive and their losses are being transferred to the state. The institutional capacities of the competition and anticorruption agencies remain weak.</w:t>
      </w:r>
    </w:p>
    <w:p w:rsidR="003C2144" w:rsidRDefault="00FB7959">
      <w:pPr>
        <w:spacing w:after="120" w:line="240" w:lineRule="auto"/>
        <w:jc w:val="both"/>
        <w:rPr>
          <w:rFonts w:cs="Times New Roman"/>
          <w:noProof/>
          <w:szCs w:val="24"/>
          <w:highlight w:val="yellow"/>
        </w:rPr>
      </w:pPr>
      <w:r>
        <w:rPr>
          <w:rFonts w:eastAsiaTheme="minorEastAsia" w:cs="Times New Roman"/>
          <w:noProof/>
          <w:szCs w:val="24"/>
        </w:rPr>
        <w:t>Montenegro has made some progress and rem</w:t>
      </w:r>
      <w:r>
        <w:rPr>
          <w:rFonts w:eastAsiaTheme="minorEastAsia" w:cs="Times New Roman"/>
          <w:noProof/>
          <w:szCs w:val="24"/>
        </w:rPr>
        <w:t>ains moderately prepared in terms of its capacity to cope with competitive pressure and market forces within the EU. Investment in knowledge and human capital is very modest, resulting in low innovation and productivity levels of local companies. Education</w:t>
      </w:r>
      <w:r>
        <w:rPr>
          <w:rFonts w:eastAsiaTheme="minorEastAsia" w:cs="Times New Roman"/>
          <w:noProof/>
          <w:szCs w:val="24"/>
        </w:rPr>
        <w:t>al outcomes need to improve across the board, as well as the provision of upskilling and reskilling measures. Several important infrastructure projects are being implemented, gradually transforming Montenegro into a net exporter of electricity and developi</w:t>
      </w:r>
      <w:r>
        <w:rPr>
          <w:rFonts w:eastAsiaTheme="minorEastAsia" w:cs="Times New Roman"/>
          <w:noProof/>
          <w:szCs w:val="24"/>
        </w:rPr>
        <w:t>ng transport networks. Physical broadband networks are being developed by the private sector while the authorities strengthened the legislative framework. However, the economy presents a weak industrial base characterised by low value-added activities, con</w:t>
      </w:r>
      <w:r>
        <w:rPr>
          <w:rFonts w:eastAsiaTheme="minorEastAsia" w:cs="Times New Roman"/>
          <w:noProof/>
          <w:szCs w:val="24"/>
        </w:rPr>
        <w:t>strained by the small size of the market and the low technological know-how of most local companies.</w:t>
      </w:r>
    </w:p>
    <w:p w:rsidR="003C2144" w:rsidRDefault="00FB7959">
      <w:pPr>
        <w:spacing w:after="120" w:line="240" w:lineRule="auto"/>
        <w:jc w:val="both"/>
        <w:rPr>
          <w:rFonts w:cs="Times New Roman"/>
          <w:noProof/>
          <w:szCs w:val="24"/>
        </w:rPr>
      </w:pPr>
      <w:r>
        <w:rPr>
          <w:rFonts w:cs="Times New Roman"/>
          <w:noProof/>
          <w:szCs w:val="24"/>
        </w:rPr>
        <w:t xml:space="preserve">With regard to </w:t>
      </w:r>
      <w:r>
        <w:rPr>
          <w:rFonts w:cs="Times New Roman"/>
          <w:b/>
          <w:noProof/>
          <w:szCs w:val="24"/>
        </w:rPr>
        <w:t>good neighbourly relations and regional cooperation</w:t>
      </w:r>
      <w:r>
        <w:rPr>
          <w:rFonts w:cs="Times New Roman"/>
          <w:noProof/>
          <w:szCs w:val="24"/>
        </w:rPr>
        <w:t>, Montenegro remained constructively committed to bilateral relations with other enlargem</w:t>
      </w:r>
      <w:r>
        <w:rPr>
          <w:rFonts w:cs="Times New Roman"/>
          <w:noProof/>
          <w:szCs w:val="24"/>
        </w:rPr>
        <w:t xml:space="preserve">ent countries and neighbouring EU Member States, albeit bilateral relations with Serbia were marked by tensions. Montenegro is generally an active participant in regional cooperation. </w:t>
      </w:r>
    </w:p>
    <w:p w:rsidR="003C2144" w:rsidRDefault="00FB7959">
      <w:pPr>
        <w:spacing w:after="120" w:line="240" w:lineRule="auto"/>
        <w:jc w:val="both"/>
        <w:rPr>
          <w:rFonts w:cs="Times New Roman"/>
          <w:noProof/>
          <w:szCs w:val="24"/>
        </w:rPr>
      </w:pPr>
      <w:r>
        <w:rPr>
          <w:rFonts w:cs="Times New Roman"/>
          <w:noProof/>
          <w:szCs w:val="24"/>
        </w:rPr>
        <w:t xml:space="preserve">Concerning Montenegro's </w:t>
      </w:r>
      <w:r>
        <w:rPr>
          <w:rFonts w:cs="Times New Roman"/>
          <w:b/>
          <w:noProof/>
          <w:szCs w:val="24"/>
        </w:rPr>
        <w:t>ability to assume the obligations of membership</w:t>
      </w:r>
      <w:r>
        <w:rPr>
          <w:rFonts w:cs="Times New Roman"/>
          <w:noProof/>
          <w:szCs w:val="24"/>
        </w:rPr>
        <w:t>,</w:t>
      </w:r>
      <w:r>
        <w:rPr>
          <w:rFonts w:cs="Times New Roman"/>
          <w:b/>
          <w:noProof/>
          <w:szCs w:val="24"/>
        </w:rPr>
        <w:t xml:space="preserve"> </w:t>
      </w:r>
      <w:r>
        <w:rPr>
          <w:rFonts w:cs="Times New Roman"/>
          <w:noProof/>
          <w:szCs w:val="24"/>
        </w:rPr>
        <w:t xml:space="preserve">important work on alignment and preparation for the implementation of the EU </w:t>
      </w:r>
      <w:r>
        <w:rPr>
          <w:rFonts w:cs="Times New Roman"/>
          <w:i/>
          <w:noProof/>
          <w:szCs w:val="24"/>
        </w:rPr>
        <w:t>acquis</w:t>
      </w:r>
      <w:r>
        <w:rPr>
          <w:rFonts w:cs="Times New Roman"/>
          <w:noProof/>
          <w:szCs w:val="24"/>
        </w:rPr>
        <w:t xml:space="preserve"> has taken place in most areas. The country has reached a good level of preparation in areas such as company law, intellectual property law, energy, and foreign, security </w:t>
      </w:r>
      <w:r>
        <w:rPr>
          <w:rFonts w:cs="Times New Roman"/>
          <w:noProof/>
          <w:szCs w:val="24"/>
        </w:rPr>
        <w:t>and defence policy. It is moderately prepared in many chapters, such as free movement of goods, agriculture and rural development as well as food safety, veterinary and phytosanitary policy. Montenegro is at some level of preparation in the areas such as e</w:t>
      </w:r>
      <w:r>
        <w:rPr>
          <w:rFonts w:cs="Times New Roman"/>
          <w:noProof/>
          <w:szCs w:val="24"/>
        </w:rPr>
        <w:t>nvironment and climate change, and social policy and employment. Good progress has been made in the areas of Social policy and employment, Financial services, Agriculture and rural development, and food safety, veterinary and phytosanitary policy and Scien</w:t>
      </w:r>
      <w:r>
        <w:rPr>
          <w:rFonts w:cs="Times New Roman"/>
          <w:noProof/>
          <w:szCs w:val="24"/>
        </w:rPr>
        <w:t xml:space="preserve">ce and research. </w:t>
      </w:r>
    </w:p>
    <w:p w:rsidR="003C2144" w:rsidRDefault="00FB7959">
      <w:pPr>
        <w:spacing w:after="120" w:line="240" w:lineRule="auto"/>
        <w:jc w:val="both"/>
        <w:rPr>
          <w:rFonts w:eastAsia="Calibri" w:cs="Times New Roman"/>
          <w:noProof/>
          <w:szCs w:val="24"/>
        </w:rPr>
      </w:pPr>
      <w:r>
        <w:rPr>
          <w:rFonts w:cs="Times New Roman"/>
          <w:noProof/>
          <w:szCs w:val="24"/>
        </w:rPr>
        <w:t xml:space="preserve">Looking ahead, Montenegro should focus in particular on competition policy, economic and monetary policy, statistics and financial control, and specifically on the functioning of the judiciary and freedom of expression. Strengthening the </w:t>
      </w:r>
      <w:r>
        <w:rPr>
          <w:rFonts w:cs="Times New Roman"/>
          <w:noProof/>
          <w:szCs w:val="24"/>
        </w:rPr>
        <w:t xml:space="preserve">administrative capacity for ensuring the application of the EU </w:t>
      </w:r>
      <w:r>
        <w:rPr>
          <w:rFonts w:cs="Times New Roman"/>
          <w:i/>
          <w:noProof/>
          <w:szCs w:val="24"/>
        </w:rPr>
        <w:t xml:space="preserve">acquis </w:t>
      </w:r>
      <w:r>
        <w:rPr>
          <w:rFonts w:cs="Times New Roman"/>
          <w:noProof/>
          <w:szCs w:val="24"/>
        </w:rPr>
        <w:t>remains an important challenge for Montenegro. Montenegro has continued to fully align with all EU common foreign and security policy positions and declarations.</w:t>
      </w:r>
      <w:r>
        <w:rPr>
          <w:rFonts w:eastAsia="Calibri" w:cs="Times New Roman"/>
          <w:noProof/>
          <w:szCs w:val="24"/>
        </w:rPr>
        <w:t xml:space="preserve"> </w:t>
      </w:r>
    </w:p>
    <w:bookmarkEnd w:id="7"/>
    <w:p w:rsidR="003C2144" w:rsidRDefault="003C2144">
      <w:pPr>
        <w:spacing w:after="120" w:line="240" w:lineRule="auto"/>
        <w:jc w:val="both"/>
        <w:rPr>
          <w:rFonts w:eastAsia="Times New Roman" w:cs="Times New Roman"/>
          <w:noProof/>
          <w:szCs w:val="24"/>
          <w:lang w:val="en-IE"/>
        </w:rPr>
      </w:pPr>
    </w:p>
    <w:p w:rsidR="003C2144" w:rsidRDefault="00FB7959">
      <w:pPr>
        <w:pStyle w:val="Heading2"/>
        <w:rPr>
          <w:rFonts w:eastAsia="Times New Roman"/>
          <w:noProof/>
        </w:rPr>
      </w:pPr>
      <w:bookmarkStart w:id="10" w:name="_Toc52744921"/>
      <w:r>
        <w:rPr>
          <w:rFonts w:eastAsia="Times New Roman"/>
          <w:noProof/>
        </w:rPr>
        <w:t>1.3</w:t>
      </w:r>
      <w:r>
        <w:rPr>
          <w:rFonts w:eastAsia="Times New Roman"/>
          <w:noProof/>
        </w:rPr>
        <w:tab/>
        <w:t>State of play of t</w:t>
      </w:r>
      <w:r>
        <w:rPr>
          <w:rFonts w:eastAsia="Times New Roman"/>
          <w:noProof/>
        </w:rPr>
        <w:t>he accession negotiations</w:t>
      </w:r>
      <w:bookmarkEnd w:id="10"/>
      <w:r>
        <w:rPr>
          <w:rFonts w:eastAsia="Times New Roman"/>
          <w:noProof/>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7466"/>
        <w:gridCol w:w="20"/>
      </w:tblGrid>
      <w:tr w:rsidR="003C2144">
        <w:trPr>
          <w:jc w:val="center"/>
        </w:trPr>
        <w:tc>
          <w:tcPr>
            <w:tcW w:w="9607" w:type="dxa"/>
            <w:gridSpan w:val="3"/>
            <w:tcBorders>
              <w:top w:val="single" w:sz="4" w:space="0" w:color="auto"/>
              <w:bottom w:val="nil"/>
            </w:tcBorders>
            <w:shd w:val="clear" w:color="auto" w:fill="auto"/>
          </w:tcPr>
          <w:p w:rsidR="003C2144" w:rsidRDefault="00FB7959">
            <w:pPr>
              <w:spacing w:after="120" w:line="240" w:lineRule="auto"/>
              <w:rPr>
                <w:rFonts w:cs="Times New Roman"/>
                <w:noProof/>
                <w:szCs w:val="24"/>
              </w:rPr>
            </w:pPr>
            <w:r>
              <w:rPr>
                <w:rFonts w:cs="Times New Roman"/>
                <w:b/>
                <w:noProof/>
                <w:szCs w:val="24"/>
              </w:rPr>
              <w:t>30 Chapters opened (with interim or closing benchmarks; date)</w:t>
            </w:r>
          </w:p>
        </w:tc>
      </w:tr>
      <w:tr w:rsidR="003C2144">
        <w:trPr>
          <w:gridAfter w:val="1"/>
          <w:wAfter w:w="20" w:type="dxa"/>
          <w:jc w:val="center"/>
        </w:trPr>
        <w:tc>
          <w:tcPr>
            <w:tcW w:w="2121" w:type="dxa"/>
            <w:tcBorders>
              <w:top w:val="single" w:sz="4" w:space="0" w:color="auto"/>
              <w:bottom w:val="nil"/>
            </w:tcBorders>
            <w:shd w:val="clear" w:color="auto" w:fill="auto"/>
          </w:tcPr>
          <w:p w:rsidR="003C2144" w:rsidRDefault="00FB7959">
            <w:pPr>
              <w:spacing w:after="120" w:line="240" w:lineRule="auto"/>
              <w:rPr>
                <w:rFonts w:cs="Times New Roman"/>
                <w:noProof/>
                <w:szCs w:val="24"/>
              </w:rPr>
            </w:pPr>
            <w:r>
              <w:rPr>
                <w:rFonts w:cs="Times New Roman"/>
                <w:noProof/>
                <w:szCs w:val="24"/>
              </w:rPr>
              <w:t>Montenegro working on fulfilment of interim or closing benchmarks</w:t>
            </w:r>
          </w:p>
        </w:tc>
        <w:tc>
          <w:tcPr>
            <w:tcW w:w="7466" w:type="dxa"/>
            <w:tcBorders>
              <w:bottom w:val="single" w:sz="4" w:space="0" w:color="auto"/>
            </w:tcBorders>
            <w:shd w:val="clear" w:color="auto" w:fill="auto"/>
          </w:tcPr>
          <w:p w:rsidR="003C2144" w:rsidRDefault="00FB7959">
            <w:pPr>
              <w:spacing w:after="120" w:line="240" w:lineRule="auto"/>
              <w:ind w:right="-1950"/>
              <w:rPr>
                <w:rFonts w:cs="Times New Roman"/>
                <w:noProof/>
                <w:szCs w:val="24"/>
              </w:rPr>
            </w:pPr>
            <w:r>
              <w:rPr>
                <w:rFonts w:cs="Times New Roman"/>
                <w:noProof/>
                <w:szCs w:val="24"/>
              </w:rPr>
              <w:t>1 – Free movement of goods - 20/06/17</w:t>
            </w:r>
          </w:p>
          <w:p w:rsidR="003C2144" w:rsidRDefault="00FB7959">
            <w:pPr>
              <w:spacing w:after="120" w:line="240" w:lineRule="auto"/>
              <w:ind w:right="-1950"/>
              <w:rPr>
                <w:rFonts w:cs="Times New Roman"/>
                <w:noProof/>
                <w:szCs w:val="24"/>
              </w:rPr>
            </w:pPr>
            <w:r>
              <w:rPr>
                <w:rFonts w:cs="Times New Roman"/>
                <w:noProof/>
                <w:szCs w:val="24"/>
              </w:rPr>
              <w:t>2 – Freedom of movement for workers - 11/12/17</w:t>
            </w:r>
          </w:p>
          <w:p w:rsidR="003C2144" w:rsidRDefault="00FB7959">
            <w:pPr>
              <w:spacing w:after="120" w:line="240" w:lineRule="auto"/>
              <w:ind w:right="-1950"/>
              <w:rPr>
                <w:rFonts w:cs="Times New Roman"/>
                <w:noProof/>
                <w:szCs w:val="24"/>
              </w:rPr>
            </w:pPr>
            <w:r>
              <w:rPr>
                <w:rFonts w:cs="Times New Roman"/>
                <w:noProof/>
                <w:szCs w:val="24"/>
              </w:rPr>
              <w:t xml:space="preserve">3 – Right of establishment and freedom to provide services -  </w:t>
            </w:r>
          </w:p>
          <w:p w:rsidR="003C2144" w:rsidRDefault="00FB7959">
            <w:pPr>
              <w:spacing w:after="120" w:line="240" w:lineRule="auto"/>
              <w:ind w:right="-1950"/>
              <w:rPr>
                <w:rFonts w:cs="Times New Roman"/>
                <w:noProof/>
                <w:szCs w:val="24"/>
              </w:rPr>
            </w:pPr>
            <w:r>
              <w:rPr>
                <w:rFonts w:cs="Times New Roman"/>
                <w:noProof/>
                <w:szCs w:val="24"/>
              </w:rPr>
              <w:t xml:space="preserve">11/12/17  </w:t>
            </w:r>
          </w:p>
          <w:p w:rsidR="003C2144" w:rsidRDefault="00FB7959">
            <w:pPr>
              <w:spacing w:after="120" w:line="240" w:lineRule="auto"/>
              <w:ind w:right="-1950"/>
              <w:rPr>
                <w:rFonts w:cs="Times New Roman"/>
                <w:noProof/>
                <w:szCs w:val="24"/>
              </w:rPr>
            </w:pPr>
            <w:r>
              <w:rPr>
                <w:rFonts w:cs="Times New Roman"/>
                <w:noProof/>
                <w:szCs w:val="24"/>
              </w:rPr>
              <w:t xml:space="preserve">4 – Free movement of capital - 24/06/14 </w:t>
            </w:r>
          </w:p>
          <w:p w:rsidR="003C2144" w:rsidRDefault="00FB7959">
            <w:pPr>
              <w:spacing w:after="120" w:line="240" w:lineRule="auto"/>
              <w:rPr>
                <w:rFonts w:cs="Times New Roman"/>
                <w:noProof/>
                <w:szCs w:val="24"/>
              </w:rPr>
            </w:pPr>
            <w:r>
              <w:rPr>
                <w:rFonts w:cs="Times New Roman"/>
                <w:noProof/>
                <w:szCs w:val="24"/>
              </w:rPr>
              <w:t xml:space="preserve">5 – Public procurement </w:t>
            </w:r>
            <w:r>
              <w:rPr>
                <w:rFonts w:cs="Times New Roman"/>
                <w:b/>
                <w:noProof/>
                <w:szCs w:val="24"/>
              </w:rPr>
              <w:t xml:space="preserve">- </w:t>
            </w:r>
            <w:r>
              <w:rPr>
                <w:rFonts w:cs="Times New Roman"/>
                <w:noProof/>
                <w:szCs w:val="24"/>
              </w:rPr>
              <w:t>18/12/13</w:t>
            </w:r>
          </w:p>
          <w:p w:rsidR="003C2144" w:rsidRDefault="00FB7959">
            <w:pPr>
              <w:spacing w:after="120" w:line="240" w:lineRule="auto"/>
              <w:ind w:left="-141" w:firstLine="33"/>
              <w:rPr>
                <w:rFonts w:cs="Times New Roman"/>
                <w:noProof/>
                <w:szCs w:val="24"/>
              </w:rPr>
            </w:pPr>
            <w:r>
              <w:rPr>
                <w:rFonts w:cs="Times New Roman"/>
                <w:noProof/>
                <w:szCs w:val="24"/>
              </w:rPr>
              <w:t xml:space="preserve">  6 – Company law - 18/12/13</w:t>
            </w:r>
          </w:p>
          <w:p w:rsidR="003C2144" w:rsidRDefault="00FB7959">
            <w:pPr>
              <w:spacing w:after="120" w:line="240" w:lineRule="auto"/>
              <w:rPr>
                <w:rFonts w:cs="Times New Roman"/>
                <w:noProof/>
                <w:szCs w:val="24"/>
              </w:rPr>
            </w:pPr>
            <w:r>
              <w:rPr>
                <w:rFonts w:cs="Times New Roman"/>
                <w:noProof/>
                <w:szCs w:val="24"/>
              </w:rPr>
              <w:t xml:space="preserve">7 – Intellectual property rights - 31/03/14   </w:t>
            </w:r>
          </w:p>
          <w:p w:rsidR="003C2144" w:rsidRDefault="00FB7959">
            <w:pPr>
              <w:spacing w:after="120" w:line="240" w:lineRule="auto"/>
              <w:ind w:left="1" w:hanging="1"/>
              <w:rPr>
                <w:rFonts w:cs="Times New Roman"/>
                <w:noProof/>
                <w:szCs w:val="24"/>
              </w:rPr>
            </w:pPr>
            <w:r>
              <w:rPr>
                <w:rFonts w:cs="Times New Roman"/>
                <w:noProof/>
                <w:szCs w:val="24"/>
              </w:rPr>
              <w:t xml:space="preserve">8 – Competition policy – </w:t>
            </w:r>
            <w:r>
              <w:rPr>
                <w:rFonts w:cs="Times New Roman"/>
                <w:noProof/>
                <w:szCs w:val="24"/>
              </w:rPr>
              <w:t>30/06/20</w:t>
            </w:r>
          </w:p>
          <w:p w:rsidR="003C2144" w:rsidRDefault="00FB7959">
            <w:pPr>
              <w:spacing w:after="120" w:line="240" w:lineRule="auto"/>
              <w:rPr>
                <w:rFonts w:cs="Times New Roman"/>
                <w:noProof/>
                <w:szCs w:val="24"/>
              </w:rPr>
            </w:pPr>
            <w:r>
              <w:rPr>
                <w:rFonts w:cs="Times New Roman"/>
                <w:noProof/>
                <w:szCs w:val="24"/>
              </w:rPr>
              <w:t>9 – Financial services</w:t>
            </w:r>
            <w:r>
              <w:rPr>
                <w:rFonts w:cs="Times New Roman"/>
                <w:b/>
                <w:noProof/>
                <w:szCs w:val="24"/>
              </w:rPr>
              <w:t xml:space="preserve"> - </w:t>
            </w:r>
            <w:r>
              <w:rPr>
                <w:rFonts w:cs="Times New Roman"/>
                <w:noProof/>
                <w:szCs w:val="24"/>
              </w:rPr>
              <w:t xml:space="preserve">22/06/15 </w:t>
            </w:r>
          </w:p>
          <w:p w:rsidR="003C2144" w:rsidRDefault="00FB7959">
            <w:pPr>
              <w:spacing w:after="120" w:line="240" w:lineRule="auto"/>
              <w:rPr>
                <w:rFonts w:cs="Times New Roman"/>
                <w:noProof/>
                <w:szCs w:val="24"/>
              </w:rPr>
            </w:pPr>
            <w:r>
              <w:rPr>
                <w:rFonts w:cs="Times New Roman"/>
                <w:noProof/>
                <w:szCs w:val="24"/>
              </w:rPr>
              <w:t xml:space="preserve">10 – Information society and media - 31/03/14  </w:t>
            </w:r>
          </w:p>
          <w:p w:rsidR="003C2144" w:rsidRDefault="00FB7959">
            <w:pPr>
              <w:spacing w:after="120" w:line="240" w:lineRule="auto"/>
              <w:rPr>
                <w:rFonts w:cs="Times New Roman"/>
                <w:noProof/>
                <w:szCs w:val="24"/>
              </w:rPr>
            </w:pPr>
            <w:r>
              <w:rPr>
                <w:rFonts w:cs="Times New Roman"/>
                <w:noProof/>
                <w:szCs w:val="24"/>
              </w:rPr>
              <w:t xml:space="preserve">11 – Agriculture and rural development - 13/12/16  </w:t>
            </w:r>
          </w:p>
          <w:p w:rsidR="003C2144" w:rsidRDefault="00FB7959">
            <w:pPr>
              <w:spacing w:after="120" w:line="240" w:lineRule="auto"/>
              <w:rPr>
                <w:rFonts w:cs="Times New Roman"/>
                <w:noProof/>
                <w:szCs w:val="24"/>
              </w:rPr>
            </w:pPr>
            <w:r>
              <w:rPr>
                <w:rFonts w:cs="Times New Roman"/>
                <w:noProof/>
                <w:szCs w:val="24"/>
              </w:rPr>
              <w:t xml:space="preserve">12 – Food safety, veterinary, phytosanitary services - 30/06/16           </w:t>
            </w:r>
          </w:p>
          <w:p w:rsidR="003C2144" w:rsidRDefault="00FB7959">
            <w:pPr>
              <w:spacing w:after="120" w:line="240" w:lineRule="auto"/>
              <w:rPr>
                <w:rFonts w:cs="Times New Roman"/>
                <w:b/>
                <w:noProof/>
                <w:szCs w:val="24"/>
              </w:rPr>
            </w:pPr>
            <w:r>
              <w:rPr>
                <w:rFonts w:cs="Times New Roman"/>
                <w:noProof/>
                <w:szCs w:val="24"/>
              </w:rPr>
              <w:t>13 – Fisheries - 30/06/16</w:t>
            </w:r>
          </w:p>
          <w:p w:rsidR="003C2144" w:rsidRDefault="00FB7959">
            <w:pPr>
              <w:spacing w:after="120" w:line="240" w:lineRule="auto"/>
              <w:rPr>
                <w:rFonts w:cs="Times New Roman"/>
                <w:noProof/>
                <w:szCs w:val="24"/>
              </w:rPr>
            </w:pPr>
            <w:r>
              <w:rPr>
                <w:rFonts w:cs="Times New Roman"/>
                <w:noProof/>
                <w:szCs w:val="24"/>
              </w:rPr>
              <w:t>14 – Transp</w:t>
            </w:r>
            <w:r>
              <w:rPr>
                <w:rFonts w:cs="Times New Roman"/>
                <w:noProof/>
                <w:szCs w:val="24"/>
              </w:rPr>
              <w:t xml:space="preserve">ort policy - 21/12/15 </w:t>
            </w:r>
          </w:p>
          <w:p w:rsidR="003C2144" w:rsidRDefault="00FB7959">
            <w:pPr>
              <w:spacing w:after="120" w:line="240" w:lineRule="auto"/>
              <w:rPr>
                <w:rFonts w:cs="Times New Roman"/>
                <w:noProof/>
                <w:szCs w:val="24"/>
              </w:rPr>
            </w:pPr>
            <w:r>
              <w:rPr>
                <w:rFonts w:cs="Times New Roman"/>
                <w:noProof/>
                <w:szCs w:val="24"/>
              </w:rPr>
              <w:t>15 – Energy - 21/12/15</w:t>
            </w:r>
          </w:p>
          <w:p w:rsidR="003C2144" w:rsidRDefault="00FB7959">
            <w:pPr>
              <w:spacing w:after="120" w:line="240" w:lineRule="auto"/>
              <w:rPr>
                <w:rFonts w:cs="Times New Roman"/>
                <w:noProof/>
                <w:szCs w:val="24"/>
              </w:rPr>
            </w:pPr>
            <w:r>
              <w:rPr>
                <w:rFonts w:cs="Times New Roman"/>
                <w:noProof/>
                <w:szCs w:val="24"/>
              </w:rPr>
              <w:t>16 – Taxation</w:t>
            </w:r>
            <w:r>
              <w:rPr>
                <w:rFonts w:cs="Times New Roman"/>
                <w:b/>
                <w:noProof/>
                <w:szCs w:val="24"/>
              </w:rPr>
              <w:t xml:space="preserve"> - </w:t>
            </w:r>
            <w:r>
              <w:rPr>
                <w:rFonts w:cs="Times New Roman"/>
                <w:noProof/>
                <w:szCs w:val="24"/>
              </w:rPr>
              <w:t>30/03/15</w:t>
            </w:r>
          </w:p>
          <w:p w:rsidR="003C2144" w:rsidRDefault="00FB7959">
            <w:pPr>
              <w:spacing w:after="120" w:line="240" w:lineRule="auto"/>
              <w:rPr>
                <w:rFonts w:cs="Times New Roman"/>
                <w:noProof/>
                <w:szCs w:val="24"/>
              </w:rPr>
            </w:pPr>
            <w:r>
              <w:rPr>
                <w:rFonts w:cs="Times New Roman"/>
                <w:noProof/>
                <w:szCs w:val="24"/>
              </w:rPr>
              <w:t>17 – Economic and monetary policy - 25/06/18</w:t>
            </w:r>
          </w:p>
          <w:p w:rsidR="003C2144" w:rsidRDefault="00FB7959">
            <w:pPr>
              <w:spacing w:after="120" w:line="240" w:lineRule="auto"/>
              <w:rPr>
                <w:rFonts w:cs="Times New Roman"/>
                <w:noProof/>
                <w:szCs w:val="24"/>
              </w:rPr>
            </w:pPr>
            <w:r>
              <w:rPr>
                <w:rFonts w:cs="Times New Roman"/>
                <w:noProof/>
                <w:szCs w:val="24"/>
              </w:rPr>
              <w:t>18 – Statistics - 16/12/14</w:t>
            </w:r>
          </w:p>
          <w:p w:rsidR="003C2144" w:rsidRDefault="00FB7959">
            <w:pPr>
              <w:spacing w:after="120" w:line="240" w:lineRule="auto"/>
              <w:rPr>
                <w:rFonts w:cs="Times New Roman"/>
                <w:noProof/>
                <w:szCs w:val="24"/>
              </w:rPr>
            </w:pPr>
            <w:r>
              <w:rPr>
                <w:rFonts w:cs="Times New Roman"/>
                <w:noProof/>
                <w:szCs w:val="24"/>
              </w:rPr>
              <w:t xml:space="preserve">19 – Social policy and employment - 13/12/16  </w:t>
            </w:r>
          </w:p>
          <w:p w:rsidR="003C2144" w:rsidRDefault="00FB7959">
            <w:pPr>
              <w:spacing w:after="120" w:line="240" w:lineRule="auto"/>
              <w:rPr>
                <w:rFonts w:cs="Times New Roman"/>
                <w:noProof/>
                <w:szCs w:val="24"/>
              </w:rPr>
            </w:pPr>
            <w:r>
              <w:rPr>
                <w:rFonts w:cs="Times New Roman"/>
                <w:noProof/>
                <w:szCs w:val="24"/>
              </w:rPr>
              <w:t>20 – Enterprise and industrial policy -  18/12/13</w:t>
            </w:r>
          </w:p>
          <w:p w:rsidR="003C2144" w:rsidRDefault="00FB7959">
            <w:pPr>
              <w:spacing w:after="120" w:line="240" w:lineRule="auto"/>
              <w:rPr>
                <w:rFonts w:cs="Times New Roman"/>
                <w:b/>
                <w:noProof/>
                <w:szCs w:val="24"/>
              </w:rPr>
            </w:pPr>
            <w:r>
              <w:rPr>
                <w:rFonts w:cs="Times New Roman"/>
                <w:noProof/>
                <w:szCs w:val="24"/>
              </w:rPr>
              <w:t xml:space="preserve">21 – </w:t>
            </w:r>
            <w:r>
              <w:rPr>
                <w:rFonts w:cs="Times New Roman"/>
                <w:noProof/>
                <w:color w:val="000000" w:themeColor="text1"/>
                <w:szCs w:val="24"/>
                <w:lang w:eastAsia="en-GB"/>
              </w:rPr>
              <w:t xml:space="preserve">Trans European Networks </w:t>
            </w:r>
            <w:r>
              <w:rPr>
                <w:rFonts w:cs="Times New Roman"/>
                <w:noProof/>
                <w:szCs w:val="24"/>
              </w:rPr>
              <w:t xml:space="preserve">- 22/06/15 </w:t>
            </w:r>
          </w:p>
          <w:p w:rsidR="003C2144" w:rsidRDefault="00FB7959">
            <w:pPr>
              <w:spacing w:after="120" w:line="240" w:lineRule="auto"/>
              <w:rPr>
                <w:rFonts w:cs="Times New Roman"/>
                <w:noProof/>
                <w:szCs w:val="24"/>
              </w:rPr>
            </w:pPr>
            <w:r>
              <w:rPr>
                <w:rFonts w:cs="Times New Roman"/>
                <w:noProof/>
                <w:szCs w:val="24"/>
              </w:rPr>
              <w:t>22 – Regional policy, coordination of structural instruments - 20/06/17</w:t>
            </w:r>
          </w:p>
          <w:p w:rsidR="003C2144" w:rsidRDefault="00FB7959">
            <w:pPr>
              <w:spacing w:after="120" w:line="240" w:lineRule="auto"/>
              <w:rPr>
                <w:rFonts w:cs="Times New Roman"/>
                <w:noProof/>
                <w:szCs w:val="24"/>
              </w:rPr>
            </w:pPr>
            <w:r>
              <w:rPr>
                <w:rFonts w:cs="Times New Roman"/>
                <w:noProof/>
                <w:szCs w:val="24"/>
              </w:rPr>
              <w:t>23 – Judiciary and fundamental rights - 18/12/13</w:t>
            </w:r>
          </w:p>
          <w:p w:rsidR="003C2144" w:rsidRDefault="00FB7959">
            <w:pPr>
              <w:spacing w:after="120" w:line="240" w:lineRule="auto"/>
              <w:rPr>
                <w:rFonts w:cs="Times New Roman"/>
                <w:noProof/>
                <w:szCs w:val="24"/>
              </w:rPr>
            </w:pPr>
            <w:r>
              <w:rPr>
                <w:rFonts w:cs="Times New Roman"/>
                <w:noProof/>
                <w:szCs w:val="24"/>
              </w:rPr>
              <w:t>24 – Justice, freedom, security - 18/12/13</w:t>
            </w:r>
          </w:p>
          <w:p w:rsidR="003C2144" w:rsidRDefault="00FB7959">
            <w:pPr>
              <w:spacing w:after="120" w:line="240" w:lineRule="auto"/>
              <w:rPr>
                <w:rFonts w:cs="Times New Roman"/>
                <w:noProof/>
                <w:szCs w:val="24"/>
              </w:rPr>
            </w:pPr>
            <w:r>
              <w:rPr>
                <w:rFonts w:cs="Times New Roman"/>
                <w:noProof/>
                <w:szCs w:val="24"/>
              </w:rPr>
              <w:t>27 – Environment - 10/12/18</w:t>
            </w:r>
          </w:p>
          <w:p w:rsidR="003C2144" w:rsidRDefault="00FB7959">
            <w:pPr>
              <w:spacing w:after="120" w:line="240" w:lineRule="auto"/>
              <w:rPr>
                <w:rFonts w:cs="Times New Roman"/>
                <w:b/>
                <w:noProof/>
                <w:szCs w:val="24"/>
              </w:rPr>
            </w:pPr>
            <w:r>
              <w:rPr>
                <w:rFonts w:cs="Times New Roman"/>
                <w:noProof/>
                <w:szCs w:val="24"/>
              </w:rPr>
              <w:t>28 – Consumer and health pro</w:t>
            </w:r>
            <w:r>
              <w:rPr>
                <w:rFonts w:cs="Times New Roman"/>
                <w:noProof/>
                <w:szCs w:val="24"/>
              </w:rPr>
              <w:t>tection - 16/12/14</w:t>
            </w:r>
          </w:p>
          <w:p w:rsidR="003C2144" w:rsidRDefault="00FB7959">
            <w:pPr>
              <w:spacing w:after="120" w:line="240" w:lineRule="auto"/>
              <w:rPr>
                <w:rFonts w:cs="Times New Roman"/>
                <w:b/>
                <w:noProof/>
                <w:szCs w:val="24"/>
              </w:rPr>
            </w:pPr>
            <w:r>
              <w:rPr>
                <w:rFonts w:cs="Times New Roman"/>
                <w:noProof/>
                <w:szCs w:val="24"/>
              </w:rPr>
              <w:t>29 – Customs Union - 16/12/14</w:t>
            </w:r>
          </w:p>
          <w:p w:rsidR="003C2144" w:rsidRDefault="00FB7959">
            <w:pPr>
              <w:spacing w:after="120" w:line="240" w:lineRule="auto"/>
              <w:ind w:right="-1950"/>
              <w:rPr>
                <w:rFonts w:cs="Times New Roman"/>
                <w:noProof/>
                <w:szCs w:val="24"/>
              </w:rPr>
            </w:pPr>
            <w:r>
              <w:rPr>
                <w:rFonts w:cs="Times New Roman"/>
                <w:noProof/>
                <w:szCs w:val="24"/>
              </w:rPr>
              <w:t>31 – Foreign, Security &amp; Defence policy - 24/06/14</w:t>
            </w:r>
          </w:p>
          <w:p w:rsidR="003C2144" w:rsidRDefault="00FB7959">
            <w:pPr>
              <w:spacing w:after="120" w:line="240" w:lineRule="auto"/>
              <w:rPr>
                <w:rFonts w:cs="Times New Roman"/>
                <w:noProof/>
                <w:szCs w:val="24"/>
              </w:rPr>
            </w:pPr>
            <w:r>
              <w:rPr>
                <w:rFonts w:cs="Times New Roman"/>
                <w:noProof/>
                <w:szCs w:val="24"/>
              </w:rPr>
              <w:lastRenderedPageBreak/>
              <w:t>32 – Financial Control - 24/06/14</w:t>
            </w:r>
          </w:p>
          <w:p w:rsidR="003C2144" w:rsidRDefault="00FB7959">
            <w:pPr>
              <w:spacing w:after="120" w:line="240" w:lineRule="auto"/>
              <w:rPr>
                <w:rFonts w:cs="Times New Roman"/>
                <w:noProof/>
                <w:szCs w:val="24"/>
              </w:rPr>
            </w:pPr>
            <w:r>
              <w:rPr>
                <w:rFonts w:cs="Times New Roman"/>
                <w:noProof/>
                <w:szCs w:val="24"/>
              </w:rPr>
              <w:t>33 – Financial and budgetary provisions  - 16/12/14</w:t>
            </w:r>
          </w:p>
        </w:tc>
      </w:tr>
      <w:tr w:rsidR="003C2144">
        <w:trPr>
          <w:jc w:val="center"/>
        </w:trPr>
        <w:tc>
          <w:tcPr>
            <w:tcW w:w="9607" w:type="dxa"/>
            <w:gridSpan w:val="3"/>
            <w:tcBorders>
              <w:bottom w:val="single" w:sz="4" w:space="0" w:color="auto"/>
            </w:tcBorders>
            <w:shd w:val="clear" w:color="auto" w:fill="auto"/>
          </w:tcPr>
          <w:p w:rsidR="003C2144" w:rsidRDefault="00FB7959">
            <w:pPr>
              <w:spacing w:after="120" w:line="240" w:lineRule="auto"/>
              <w:rPr>
                <w:rFonts w:cs="Times New Roman"/>
                <w:b/>
                <w:noProof/>
                <w:szCs w:val="24"/>
              </w:rPr>
            </w:pPr>
            <w:r>
              <w:rPr>
                <w:rFonts w:cs="Times New Roman"/>
                <w:b/>
                <w:noProof/>
                <w:szCs w:val="24"/>
              </w:rPr>
              <w:lastRenderedPageBreak/>
              <w:t>3 Chapters provisionally closed</w:t>
            </w:r>
          </w:p>
        </w:tc>
      </w:tr>
      <w:tr w:rsidR="003C2144">
        <w:trPr>
          <w:jc w:val="center"/>
        </w:trPr>
        <w:tc>
          <w:tcPr>
            <w:tcW w:w="9607" w:type="dxa"/>
            <w:gridSpan w:val="3"/>
            <w:shd w:val="clear" w:color="auto" w:fill="auto"/>
          </w:tcPr>
          <w:p w:rsidR="003C2144" w:rsidRDefault="00FB7959">
            <w:pPr>
              <w:spacing w:after="120" w:line="240" w:lineRule="auto"/>
              <w:rPr>
                <w:rFonts w:cs="Times New Roman"/>
                <w:noProof/>
                <w:szCs w:val="24"/>
              </w:rPr>
            </w:pPr>
            <w:r>
              <w:rPr>
                <w:rFonts w:cs="Times New Roman"/>
                <w:noProof/>
                <w:szCs w:val="24"/>
              </w:rPr>
              <w:t xml:space="preserve">25 – Science and research (opened and closed 18/12/12) </w:t>
            </w:r>
          </w:p>
          <w:p w:rsidR="003C2144" w:rsidRDefault="00FB7959">
            <w:pPr>
              <w:spacing w:after="120" w:line="240" w:lineRule="auto"/>
              <w:rPr>
                <w:rFonts w:cs="Times New Roman"/>
                <w:noProof/>
                <w:szCs w:val="24"/>
              </w:rPr>
            </w:pPr>
            <w:r>
              <w:rPr>
                <w:rFonts w:cs="Times New Roman"/>
                <w:noProof/>
                <w:szCs w:val="24"/>
              </w:rPr>
              <w:t xml:space="preserve">26 – Education and culture (opened and closed 15/04/13) </w:t>
            </w:r>
          </w:p>
          <w:p w:rsidR="003C2144" w:rsidRDefault="00FB7959">
            <w:pPr>
              <w:spacing w:after="120" w:line="240" w:lineRule="auto"/>
              <w:rPr>
                <w:rFonts w:cs="Times New Roman"/>
                <w:i/>
                <w:noProof/>
                <w:szCs w:val="24"/>
              </w:rPr>
            </w:pPr>
            <w:r>
              <w:rPr>
                <w:rFonts w:cs="Times New Roman"/>
                <w:noProof/>
                <w:szCs w:val="24"/>
              </w:rPr>
              <w:t>30 – External relations: (opened 30/03/15; provisionally closed 20/06/17)</w:t>
            </w:r>
          </w:p>
        </w:tc>
      </w:tr>
      <w:tr w:rsidR="003C2144">
        <w:trPr>
          <w:jc w:val="center"/>
        </w:trPr>
        <w:tc>
          <w:tcPr>
            <w:tcW w:w="9607" w:type="dxa"/>
            <w:gridSpan w:val="3"/>
            <w:tcBorders>
              <w:top w:val="single" w:sz="4" w:space="0" w:color="auto"/>
              <w:left w:val="single" w:sz="4" w:space="0" w:color="auto"/>
              <w:bottom w:val="nil"/>
              <w:right w:val="single" w:sz="4" w:space="0" w:color="auto"/>
            </w:tcBorders>
            <w:shd w:val="clear" w:color="auto" w:fill="auto"/>
          </w:tcPr>
          <w:p w:rsidR="003C2144" w:rsidRDefault="00FB7959">
            <w:pPr>
              <w:spacing w:after="120" w:line="240" w:lineRule="auto"/>
              <w:rPr>
                <w:rFonts w:cs="Times New Roman"/>
                <w:b/>
                <w:noProof/>
                <w:szCs w:val="24"/>
              </w:rPr>
            </w:pPr>
            <w:r>
              <w:rPr>
                <w:rFonts w:cs="Times New Roman"/>
                <w:b/>
                <w:noProof/>
                <w:szCs w:val="24"/>
              </w:rPr>
              <w:t>2 Chapters currently not applicable for Montenegro</w:t>
            </w:r>
          </w:p>
        </w:tc>
      </w:tr>
      <w:tr w:rsidR="003C2144">
        <w:trPr>
          <w:jc w:val="center"/>
        </w:trPr>
        <w:tc>
          <w:tcPr>
            <w:tcW w:w="9607" w:type="dxa"/>
            <w:gridSpan w:val="3"/>
            <w:shd w:val="clear" w:color="auto" w:fill="auto"/>
          </w:tcPr>
          <w:p w:rsidR="003C2144" w:rsidRDefault="00FB7959">
            <w:pPr>
              <w:spacing w:after="120" w:line="240" w:lineRule="auto"/>
              <w:rPr>
                <w:rFonts w:cs="Times New Roman"/>
                <w:noProof/>
                <w:szCs w:val="24"/>
              </w:rPr>
            </w:pPr>
            <w:r>
              <w:rPr>
                <w:rFonts w:cs="Times New Roman"/>
                <w:noProof/>
                <w:szCs w:val="24"/>
              </w:rPr>
              <w:t xml:space="preserve">34 – </w:t>
            </w:r>
            <w:r>
              <w:rPr>
                <w:rFonts w:cs="Times New Roman"/>
                <w:noProof/>
                <w:szCs w:val="24"/>
              </w:rPr>
              <w:t>Institutions</w:t>
            </w:r>
          </w:p>
          <w:p w:rsidR="003C2144" w:rsidRDefault="00FB7959">
            <w:pPr>
              <w:spacing w:after="120" w:line="240" w:lineRule="auto"/>
              <w:rPr>
                <w:rFonts w:cs="Times New Roman"/>
                <w:i/>
                <w:noProof/>
                <w:szCs w:val="24"/>
              </w:rPr>
            </w:pPr>
            <w:r>
              <w:rPr>
                <w:rFonts w:cs="Times New Roman"/>
                <w:noProof/>
                <w:szCs w:val="24"/>
              </w:rPr>
              <w:t>35 – Other issues</w:t>
            </w:r>
          </w:p>
        </w:tc>
      </w:tr>
    </w:tbl>
    <w:p w:rsidR="003C2144" w:rsidRDefault="00FB7959">
      <w:pPr>
        <w:pStyle w:val="ManualHeading1"/>
        <w:spacing w:before="120"/>
        <w:ind w:left="851" w:hanging="851"/>
        <w:rPr>
          <w:rFonts w:eastAsiaTheme="minorEastAsia"/>
          <w:noProof/>
          <w:lang w:eastAsia="en-GB"/>
        </w:rPr>
      </w:pPr>
      <w:bookmarkStart w:id="11" w:name="_Toc52744922"/>
      <w:r>
        <w:rPr>
          <w:rFonts w:eastAsiaTheme="minorEastAsia"/>
          <w:noProof/>
        </w:rPr>
        <w:t>2.</w:t>
      </w:r>
      <w:r>
        <w:rPr>
          <w:rFonts w:eastAsiaTheme="minorEastAsia"/>
          <w:noProof/>
        </w:rPr>
        <w:tab/>
      </w:r>
      <w:r>
        <w:rPr>
          <w:rFonts w:eastAsiaTheme="minorEastAsia"/>
          <w:noProof/>
          <w:lang w:eastAsia="en-GB"/>
        </w:rPr>
        <w:t>Fundamentals first: political criteria and rule of law chapters</w:t>
      </w:r>
      <w:bookmarkEnd w:id="11"/>
      <w:r>
        <w:rPr>
          <w:rFonts w:eastAsiaTheme="minorEastAsia"/>
          <w:noProof/>
          <w:lang w:eastAsia="en-GB"/>
        </w:rPr>
        <w:t xml:space="preserve"> </w:t>
      </w:r>
    </w:p>
    <w:p w:rsidR="003C2144" w:rsidRDefault="00FB7959">
      <w:pPr>
        <w:pStyle w:val="Heading2"/>
        <w:rPr>
          <w:noProof/>
          <w:lang w:eastAsia="it-IT"/>
        </w:rPr>
      </w:pPr>
      <w:bookmarkStart w:id="12" w:name="_Toc510690708"/>
      <w:bookmarkStart w:id="13" w:name="_Toc510805369"/>
      <w:bookmarkStart w:id="14" w:name="_Toc9585287"/>
      <w:bookmarkStart w:id="15" w:name="_Toc30073803"/>
      <w:bookmarkStart w:id="16" w:name="_Toc30074116"/>
      <w:bookmarkStart w:id="17" w:name="_Toc30080555"/>
      <w:bookmarkStart w:id="18" w:name="_Toc52744923"/>
      <w:r>
        <w:rPr>
          <w:noProof/>
        </w:rPr>
        <w:t>2.1</w:t>
      </w:r>
      <w:r>
        <w:rPr>
          <w:noProof/>
        </w:rPr>
        <w:tab/>
      </w:r>
      <w:r>
        <w:rPr>
          <w:noProof/>
          <w:lang w:eastAsia="it-IT"/>
        </w:rPr>
        <w:t xml:space="preserve">Functioning of democratic institutions and public administration </w:t>
      </w:r>
      <w:bookmarkEnd w:id="12"/>
      <w:bookmarkEnd w:id="13"/>
      <w:r>
        <w:rPr>
          <w:noProof/>
          <w:lang w:eastAsia="it-IT"/>
        </w:rPr>
        <w:t>reform</w:t>
      </w:r>
      <w:bookmarkEnd w:id="14"/>
      <w:bookmarkEnd w:id="15"/>
      <w:bookmarkEnd w:id="16"/>
      <w:bookmarkEnd w:id="17"/>
      <w:bookmarkEnd w:id="18"/>
    </w:p>
    <w:p w:rsidR="003C2144" w:rsidRDefault="00FB7959">
      <w:pPr>
        <w:pStyle w:val="Heading2"/>
        <w:spacing w:before="0" w:line="240" w:lineRule="auto"/>
        <w:rPr>
          <w:rFonts w:cs="Times New Roman"/>
          <w:noProof/>
          <w:szCs w:val="24"/>
        </w:rPr>
      </w:pPr>
      <w:bookmarkStart w:id="19" w:name="_Toc9585288"/>
      <w:bookmarkStart w:id="20" w:name="_Toc30073804"/>
      <w:bookmarkStart w:id="21" w:name="_Toc30074117"/>
      <w:bookmarkStart w:id="22" w:name="_Toc30080556"/>
      <w:bookmarkStart w:id="23" w:name="_Toc52744924"/>
      <w:r>
        <w:rPr>
          <w:rFonts w:cs="Times New Roman"/>
          <w:noProof/>
          <w:szCs w:val="24"/>
        </w:rPr>
        <w:t>2.1.1</w:t>
      </w:r>
      <w:r>
        <w:rPr>
          <w:rFonts w:cs="Times New Roman"/>
          <w:noProof/>
          <w:szCs w:val="24"/>
        </w:rPr>
        <w:tab/>
      </w:r>
      <w:bookmarkStart w:id="24" w:name="_Toc510805370"/>
      <w:r>
        <w:rPr>
          <w:rFonts w:cs="Times New Roman"/>
          <w:noProof/>
          <w:szCs w:val="24"/>
        </w:rPr>
        <w:t>Democracy</w:t>
      </w:r>
      <w:bookmarkEnd w:id="19"/>
      <w:bookmarkEnd w:id="20"/>
      <w:bookmarkEnd w:id="21"/>
      <w:bookmarkEnd w:id="22"/>
      <w:bookmarkEnd w:id="24"/>
      <w:bookmarkEnd w:id="23"/>
    </w:p>
    <w:p w:rsidR="003C2144" w:rsidRDefault="00FB7959">
      <w:pPr>
        <w:spacing w:after="120" w:line="240" w:lineRule="auto"/>
        <w:jc w:val="both"/>
        <w:rPr>
          <w:rFonts w:cs="Times New Roman"/>
          <w:b/>
          <w:noProof/>
          <w:szCs w:val="24"/>
        </w:rPr>
      </w:pPr>
      <w:r>
        <w:rPr>
          <w:rFonts w:cs="Times New Roman"/>
          <w:b/>
          <w:noProof/>
          <w:szCs w:val="24"/>
        </w:rPr>
        <w:t xml:space="preserve">Elections </w:t>
      </w:r>
    </w:p>
    <w:tbl>
      <w:tblPr>
        <w:tblStyle w:val="TableGrid"/>
        <w:tblW w:w="0" w:type="auto"/>
        <w:tblLook w:val="04A0" w:firstRow="1" w:lastRow="0" w:firstColumn="1" w:lastColumn="0" w:noHBand="0" w:noVBand="1"/>
      </w:tblPr>
      <w:tblGrid>
        <w:gridCol w:w="9464"/>
      </w:tblGrid>
      <w:tr w:rsidR="003C2144">
        <w:trPr>
          <w:trHeight w:val="274"/>
        </w:trPr>
        <w:tc>
          <w:tcPr>
            <w:tcW w:w="9464" w:type="dxa"/>
            <w:shd w:val="clear" w:color="auto" w:fill="D9D9D9" w:themeFill="background1" w:themeFillShade="D9"/>
          </w:tcPr>
          <w:p w:rsidR="003C2144" w:rsidRDefault="00FB7959">
            <w:pPr>
              <w:spacing w:after="120" w:line="240" w:lineRule="auto"/>
              <w:jc w:val="both"/>
              <w:rPr>
                <w:rFonts w:cs="Times New Roman"/>
                <w:noProof/>
                <w:szCs w:val="24"/>
                <w:lang w:val="en-US"/>
              </w:rPr>
            </w:pPr>
            <w:r>
              <w:rPr>
                <w:rFonts w:cs="Times New Roman"/>
                <w:noProof/>
                <w:szCs w:val="24"/>
              </w:rPr>
              <w:t xml:space="preserve">Montenegro held Parliamentary and local elections in </w:t>
            </w:r>
            <w:r>
              <w:rPr>
                <w:rFonts w:cs="Times New Roman"/>
                <w:noProof/>
                <w:szCs w:val="24"/>
              </w:rPr>
              <w:t>five municipalities on 30 August 2020, under an electoral legal framework assessed to be largely unchanged since the last elections, in the challenging context of the COVID-19 pandemic</w:t>
            </w:r>
            <w:r>
              <w:rPr>
                <w:rFonts w:cs="Times New Roman"/>
                <w:noProof/>
                <w:szCs w:val="24"/>
                <w:lang w:val="en-IE"/>
              </w:rPr>
              <w:t>. A</w:t>
            </w:r>
            <w:r>
              <w:rPr>
                <w:rFonts w:cs="Times New Roman"/>
                <w:noProof/>
                <w:szCs w:val="24"/>
              </w:rPr>
              <w:t>ccording to international observers from the OSCE Office for Democrat</w:t>
            </w:r>
            <w:r>
              <w:rPr>
                <w:rFonts w:cs="Times New Roman"/>
                <w:noProof/>
                <w:szCs w:val="24"/>
              </w:rPr>
              <w:t>ic Institutions and Human Rights (ODIHR) and OSCE Parliamentary Assembly, the elections were peaceful and competitive; they were mostly run transparently and efficiently. The campaign environment was highly polarized over issues of church and national iden</w:t>
            </w:r>
            <w:r>
              <w:rPr>
                <w:rFonts w:cs="Times New Roman"/>
                <w:noProof/>
                <w:szCs w:val="24"/>
              </w:rPr>
              <w:t>tity as well as marked by undue advantage for the ruling party and unbalanced media coverage. Numerous recommendations previously made by OSCE/ODIHR remain unaddressed, therefore political actors and relevant institutions now need to engage in a transparen</w:t>
            </w:r>
            <w:r>
              <w:rPr>
                <w:rFonts w:cs="Times New Roman"/>
                <w:noProof/>
                <w:szCs w:val="24"/>
              </w:rPr>
              <w:t>t, decisive and inclusive dialogue on the implementation of these recommendations to address long-standing electoral shortcomings well ahead of the next elections.</w:t>
            </w:r>
          </w:p>
        </w:tc>
      </w:tr>
    </w:tbl>
    <w:p w:rsidR="003C2144" w:rsidRDefault="00FB7959">
      <w:pPr>
        <w:spacing w:after="120" w:line="240" w:lineRule="auto"/>
        <w:jc w:val="both"/>
        <w:rPr>
          <w:rFonts w:cs="Times New Roman"/>
          <w:noProof/>
          <w:szCs w:val="24"/>
          <w:lang w:val="en-US"/>
        </w:rPr>
      </w:pPr>
      <w:r>
        <w:rPr>
          <w:rFonts w:cs="Times New Roman"/>
          <w:noProof/>
          <w:szCs w:val="24"/>
          <w:lang w:val="en-US"/>
        </w:rPr>
        <w:t>Upon the invitation of the Montenegrin authorities, ODIHR and OSCE Parliamentary Assembly d</w:t>
      </w:r>
      <w:r>
        <w:rPr>
          <w:rFonts w:cs="Times New Roman"/>
          <w:noProof/>
          <w:szCs w:val="24"/>
          <w:lang w:val="en-US"/>
        </w:rPr>
        <w:t>eployed a limited election observation mission, due the COVID-19 pandemic context.</w:t>
      </w:r>
    </w:p>
    <w:p w:rsidR="003C2144" w:rsidRDefault="00FB7959">
      <w:pPr>
        <w:spacing w:after="120" w:line="240" w:lineRule="auto"/>
        <w:jc w:val="both"/>
        <w:rPr>
          <w:rFonts w:cs="Times New Roman"/>
          <w:noProof/>
          <w:szCs w:val="24"/>
          <w:lang w:val="en-US"/>
        </w:rPr>
      </w:pPr>
      <w:r>
        <w:rPr>
          <w:rFonts w:cs="Times New Roman"/>
          <w:noProof/>
          <w:szCs w:val="24"/>
          <w:lang w:val="en-US"/>
        </w:rPr>
        <w:t>According to their preliminary conclusions, the elections were competitive and took place in an environment highly polarized over issues of national identity and church, wit</w:t>
      </w:r>
      <w:r>
        <w:rPr>
          <w:rFonts w:cs="Times New Roman"/>
          <w:noProof/>
          <w:szCs w:val="24"/>
          <w:lang w:val="en-US"/>
        </w:rPr>
        <w:t xml:space="preserve">h the Serbian Orthodox Church (SOC) taking an active stance during the campaign period. The campaign was peaceful despite the frequent confrontational tone. </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 xml:space="preserve">OSCE/ODIHR and OSCE Parliamentary Assembly further noted that </w:t>
      </w:r>
      <w:r>
        <w:rPr>
          <w:rFonts w:cs="Times New Roman"/>
          <w:noProof/>
          <w:szCs w:val="24"/>
          <w:lang w:val="en-US"/>
        </w:rPr>
        <w:t>contestants were able to convey thei</w:t>
      </w:r>
      <w:r>
        <w:rPr>
          <w:rFonts w:cs="Times New Roman"/>
          <w:noProof/>
          <w:szCs w:val="24"/>
          <w:lang w:val="en-US"/>
        </w:rPr>
        <w:t>r messages, during the election campaign but that the ruling party gained an undue advantage through misuse of office and state resources and dominant media coverage, which further undermined the quality of information available to voters. The elections we</w:t>
      </w:r>
      <w:r>
        <w:rPr>
          <w:rFonts w:cs="Times New Roman"/>
          <w:noProof/>
          <w:szCs w:val="24"/>
          <w:lang w:val="en-US"/>
        </w:rPr>
        <w:t>re run overall transparently and efficiently, and although COVID-19 related restrictions limited physical campaign opportunities and increased online outreach, they did not prevent voters from turning out in high numbers. The voter turnout was at record hi</w:t>
      </w:r>
      <w:r>
        <w:rPr>
          <w:rFonts w:cs="Times New Roman"/>
          <w:noProof/>
          <w:szCs w:val="24"/>
          <w:lang w:val="en-US"/>
        </w:rPr>
        <w:t xml:space="preserve">gh level of 76, 6% of the electorate, </w:t>
      </w:r>
      <w:r>
        <w:rPr>
          <w:rFonts w:cs="Times New Roman"/>
          <w:bCs/>
          <w:iCs/>
          <w:noProof/>
          <w:szCs w:val="24"/>
        </w:rPr>
        <w:t xml:space="preserve">only surpassed by the 2006 independence referendum. </w:t>
      </w:r>
      <w:r>
        <w:rPr>
          <w:rFonts w:cs="Times New Roman"/>
          <w:noProof/>
          <w:szCs w:val="24"/>
        </w:rPr>
        <w:t xml:space="preserve">The Election Day was orderly and the process was generally transparent and well administered, while health protocols were not implemented </w:t>
      </w:r>
      <w:r>
        <w:rPr>
          <w:rFonts w:cs="Times New Roman"/>
          <w:noProof/>
          <w:szCs w:val="24"/>
        </w:rPr>
        <w:lastRenderedPageBreak/>
        <w:t>consistently. The election a</w:t>
      </w:r>
      <w:r>
        <w:rPr>
          <w:rFonts w:cs="Times New Roman"/>
          <w:noProof/>
          <w:szCs w:val="24"/>
        </w:rPr>
        <w:t xml:space="preserve">dministration met legal deadlines and generally worked transparently and managed the technical aspects of the electoral preparations efficiently. The SEC held regular sessions open for observers but not to the media. </w:t>
      </w:r>
    </w:p>
    <w:p w:rsidR="003C2144" w:rsidRDefault="00FB7959">
      <w:pPr>
        <w:spacing w:after="120" w:line="240" w:lineRule="auto"/>
        <w:jc w:val="both"/>
        <w:rPr>
          <w:rFonts w:cs="Times New Roman"/>
          <w:bCs/>
          <w:iCs/>
          <w:noProof/>
          <w:szCs w:val="24"/>
        </w:rPr>
      </w:pPr>
      <w:r>
        <w:rPr>
          <w:rFonts w:cs="Times New Roman"/>
          <w:bCs/>
          <w:iCs/>
          <w:noProof/>
          <w:szCs w:val="24"/>
        </w:rPr>
        <w:t>Based on</w:t>
      </w:r>
      <w:r>
        <w:rPr>
          <w:rFonts w:cs="Times New Roman"/>
          <w:bCs/>
          <w:iCs/>
          <w:noProof/>
          <w:szCs w:val="24"/>
          <w:lang w:val="en-US"/>
        </w:rPr>
        <w:t xml:space="preserve"> the </w:t>
      </w:r>
      <w:r>
        <w:rPr>
          <w:rFonts w:cs="Times New Roman"/>
          <w:bCs/>
          <w:iCs/>
          <w:noProof/>
          <w:szCs w:val="24"/>
        </w:rPr>
        <w:t>State Election Commission</w:t>
      </w:r>
      <w:r>
        <w:rPr>
          <w:rFonts w:cs="Times New Roman"/>
          <w:bCs/>
          <w:iCs/>
          <w:noProof/>
          <w:szCs w:val="24"/>
        </w:rPr>
        <w:t xml:space="preserve">’s (SEC) final results the three opposition-led coalitions won together 41 mandates, which, in a parliament of 81 members, constitutes the basis to form a new majority. Hitherto ruling party Democratic Party of Socialists and its junior coalition partners </w:t>
      </w:r>
      <w:r>
        <w:rPr>
          <w:rFonts w:cs="Times New Roman"/>
          <w:bCs/>
          <w:iCs/>
          <w:noProof/>
          <w:szCs w:val="24"/>
        </w:rPr>
        <w:t>from the previous legislature (SD, Bosniak party and Albanian lists) got 38 seats together, except for the Croatian minority party, which for the first time will not be represented in the parliament. SDP passed the threshold, winning two mandates.</w:t>
      </w:r>
    </w:p>
    <w:p w:rsidR="003C2144" w:rsidRDefault="00FB7959">
      <w:pPr>
        <w:spacing w:after="120" w:line="240" w:lineRule="auto"/>
        <w:jc w:val="both"/>
        <w:rPr>
          <w:rFonts w:cs="Times New Roman"/>
          <w:noProof/>
          <w:szCs w:val="24"/>
          <w:lang w:val="en-US"/>
        </w:rPr>
      </w:pPr>
      <w:r>
        <w:rPr>
          <w:rFonts w:cs="Times New Roman"/>
          <w:noProof/>
          <w:szCs w:val="24"/>
          <w:lang w:val="en-US"/>
        </w:rPr>
        <w:t xml:space="preserve">In line </w:t>
      </w:r>
      <w:r>
        <w:rPr>
          <w:rFonts w:cs="Times New Roman"/>
          <w:noProof/>
          <w:szCs w:val="24"/>
          <w:lang w:val="en-US"/>
        </w:rPr>
        <w:t>with the legal framework, voters and contestants can file complaints to election commissions and the courts, including appeals of SEC decisions to the Constitutional Court. According to OSCE/ODIHR the election dispute resolution system does not ensure effe</w:t>
      </w:r>
      <w:r>
        <w:rPr>
          <w:rFonts w:cs="Times New Roman"/>
          <w:noProof/>
          <w:szCs w:val="24"/>
          <w:lang w:val="en-US"/>
        </w:rPr>
        <w:t xml:space="preserve">ctive remedy, due to the lack of transparency and short deadlines. </w:t>
      </w:r>
    </w:p>
    <w:p w:rsidR="003C2144" w:rsidRDefault="00FB7959">
      <w:pPr>
        <w:spacing w:after="120" w:line="240" w:lineRule="auto"/>
        <w:jc w:val="both"/>
        <w:rPr>
          <w:rFonts w:cs="Times New Roman"/>
          <w:noProof/>
          <w:szCs w:val="24"/>
          <w:lang w:val="en-US"/>
        </w:rPr>
      </w:pPr>
      <w:r>
        <w:rPr>
          <w:rFonts w:cs="Times New Roman"/>
          <w:noProof/>
          <w:szCs w:val="24"/>
          <w:lang w:val="en-US"/>
        </w:rPr>
        <w:t>Prior to the election day, six appeals were filed to the SEC and five to the Constitutional Court which discussed four of them in closed sessions and did not publish its decisions, thus un</w:t>
      </w:r>
      <w:r>
        <w:rPr>
          <w:rFonts w:cs="Times New Roman"/>
          <w:noProof/>
          <w:szCs w:val="24"/>
          <w:lang w:val="en-US"/>
        </w:rPr>
        <w:t xml:space="preserve">dermining transparency of the election dispute resolution process. </w:t>
      </w:r>
      <w:r>
        <w:rPr>
          <w:noProof/>
          <w:color w:val="000000"/>
          <w:szCs w:val="24"/>
        </w:rPr>
        <w:t xml:space="preserve">The State Prosecutor initiated ex officio two cases related to pressure on voters in the run-up to the August 2020 parliamentary elections. Following Election Day, </w:t>
      </w:r>
      <w:r>
        <w:rPr>
          <w:rFonts w:eastAsia="Times New Roman"/>
          <w:noProof/>
          <w:szCs w:val="24"/>
          <w:lang w:eastAsia="en-GB"/>
        </w:rPr>
        <w:t>prosecution offices initi</w:t>
      </w:r>
      <w:r>
        <w:rPr>
          <w:rFonts w:eastAsia="Times New Roman"/>
          <w:noProof/>
          <w:szCs w:val="24"/>
          <w:lang w:eastAsia="en-GB"/>
        </w:rPr>
        <w:t xml:space="preserve">ated investigations in nine alleged Election Day violations, including buying of voters IDs, vote buying, pressure on voters and breach of the secrecy of vote. </w:t>
      </w:r>
      <w:r>
        <w:rPr>
          <w:noProof/>
          <w:color w:val="000000"/>
          <w:szCs w:val="24"/>
        </w:rPr>
        <w:t>Following the Election Day, the Basic Prosecution Office in Podgorica has indicted two persons u</w:t>
      </w:r>
      <w:r>
        <w:rPr>
          <w:noProof/>
          <w:color w:val="000000"/>
          <w:szCs w:val="24"/>
        </w:rPr>
        <w:t xml:space="preserve">pon suspicion of having violated free voter's will at voting and destroying voting documentation. </w:t>
      </w:r>
      <w:r>
        <w:rPr>
          <w:noProof/>
          <w:szCs w:val="24"/>
        </w:rPr>
        <w:t>Parliamentary elections were repeated at one polling station</w:t>
      </w:r>
    </w:p>
    <w:p w:rsidR="003C2144" w:rsidRDefault="00FB7959">
      <w:pPr>
        <w:spacing w:after="120" w:line="240" w:lineRule="auto"/>
        <w:jc w:val="both"/>
        <w:rPr>
          <w:rFonts w:cs="Times New Roman"/>
          <w:noProof/>
          <w:szCs w:val="24"/>
        </w:rPr>
      </w:pPr>
      <w:r>
        <w:rPr>
          <w:rFonts w:cs="Times New Roman"/>
          <w:noProof/>
          <w:szCs w:val="24"/>
          <w:lang w:val="en-US"/>
        </w:rPr>
        <w:t>The legal framework remained largely unchanged since the last parliamentary elections, with the e</w:t>
      </w:r>
      <w:r>
        <w:rPr>
          <w:rFonts w:cs="Times New Roman"/>
          <w:noProof/>
          <w:szCs w:val="24"/>
          <w:lang w:val="en-US"/>
        </w:rPr>
        <w:t>xception of campaign finance. While it provides basic regulations for the conduct of democratic elections, gaps and ambiguities allow for circumvention, particularly in campaign finance. A number of ODIHR recommendations remain unaddressed. These include</w:t>
      </w:r>
      <w:r>
        <w:rPr>
          <w:rFonts w:cs="Times New Roman"/>
          <w:noProof/>
          <w:szCs w:val="24"/>
        </w:rPr>
        <w:t xml:space="preserve"> p</w:t>
      </w:r>
      <w:r>
        <w:rPr>
          <w:rFonts w:cs="Times New Roman"/>
          <w:noProof/>
          <w:szCs w:val="24"/>
        </w:rPr>
        <w:t xml:space="preserve">rofessionalism, impartiality and transparency of the election administration; </w:t>
      </w:r>
      <w:r>
        <w:rPr>
          <w:rFonts w:cs="Times New Roman"/>
          <w:noProof/>
          <w:szCs w:val="24"/>
          <w:lang w:val="en-US"/>
        </w:rPr>
        <w:t xml:space="preserve">an audit of the voter register and measures against the misuse of state resources; certain limitations of suffrage rights; </w:t>
      </w:r>
      <w:r>
        <w:rPr>
          <w:rFonts w:cs="Times New Roman"/>
          <w:noProof/>
          <w:szCs w:val="24"/>
        </w:rPr>
        <w:t>candidate registration and mechanisms for authenticatin</w:t>
      </w:r>
      <w:r>
        <w:rPr>
          <w:rFonts w:cs="Times New Roman"/>
          <w:noProof/>
          <w:szCs w:val="24"/>
        </w:rPr>
        <w:t>g the credibility of voter signatures; media compliance during electoral campaigns; and gender-balanced political representation in elections.</w:t>
      </w:r>
    </w:p>
    <w:p w:rsidR="003C2144" w:rsidRDefault="00FB7959">
      <w:pPr>
        <w:spacing w:after="120" w:line="240" w:lineRule="auto"/>
        <w:jc w:val="both"/>
        <w:rPr>
          <w:rFonts w:cs="Times New Roman"/>
          <w:noProof/>
          <w:szCs w:val="24"/>
        </w:rPr>
      </w:pPr>
      <w:r>
        <w:rPr>
          <w:rFonts w:cs="Times New Roman"/>
          <w:b/>
          <w:bCs/>
          <w:iCs/>
          <w:noProof/>
          <w:szCs w:val="24"/>
        </w:rPr>
        <w:t>A temporary parliamentary committee</w:t>
      </w:r>
      <w:r>
        <w:rPr>
          <w:rFonts w:cs="Times New Roman"/>
          <w:bCs/>
          <w:iCs/>
          <w:noProof/>
          <w:szCs w:val="24"/>
        </w:rPr>
        <w:t xml:space="preserve"> for comprehensive reform of electoral and other legislation was set up in aut</w:t>
      </w:r>
      <w:r>
        <w:rPr>
          <w:rFonts w:cs="Times New Roman"/>
          <w:bCs/>
          <w:iCs/>
          <w:noProof/>
          <w:szCs w:val="24"/>
        </w:rPr>
        <w:t xml:space="preserve">umn 2018 as a special purpose vehicle to enable cross-party political dialogue. The committee resumed its work after a 10-month stalemate and in October 2019. </w:t>
      </w:r>
      <w:r>
        <w:rPr>
          <w:rFonts w:cs="Times New Roman"/>
          <w:noProof/>
          <w:szCs w:val="24"/>
        </w:rPr>
        <w:t>In December 2019,</w:t>
      </w:r>
      <w:r>
        <w:rPr>
          <w:rFonts w:cs="Times New Roman"/>
          <w:bCs/>
          <w:iCs/>
          <w:noProof/>
          <w:szCs w:val="24"/>
        </w:rPr>
        <w:t xml:space="preserve"> opposition members </w:t>
      </w:r>
      <w:r>
        <w:rPr>
          <w:rFonts w:cs="Times New Roman"/>
          <w:noProof/>
          <w:szCs w:val="24"/>
        </w:rPr>
        <w:t>suspended their participation in the committee after the gov</w:t>
      </w:r>
      <w:r>
        <w:rPr>
          <w:rFonts w:cs="Times New Roman"/>
          <w:noProof/>
          <w:szCs w:val="24"/>
        </w:rPr>
        <w:t xml:space="preserve">ernment tabled the draft law on religious freedoms or belief for plenary adoption. This resulted in a lack of quorum and the committee's inability to complete its work. </w:t>
      </w:r>
    </w:p>
    <w:p w:rsidR="003C2144" w:rsidRDefault="00FB7959">
      <w:pPr>
        <w:spacing w:after="120" w:line="240" w:lineRule="auto"/>
        <w:jc w:val="both"/>
        <w:rPr>
          <w:rFonts w:cs="Times New Roman"/>
          <w:noProof/>
          <w:szCs w:val="24"/>
        </w:rPr>
      </w:pPr>
      <w:r>
        <w:rPr>
          <w:rFonts w:cs="Times New Roman"/>
          <w:noProof/>
          <w:szCs w:val="24"/>
        </w:rPr>
        <w:t xml:space="preserve">In December 2019, the Parliament enacted, solely with the votes of the ruling </w:t>
      </w:r>
      <w:r>
        <w:rPr>
          <w:rFonts w:cs="Times New Roman"/>
          <w:noProof/>
          <w:szCs w:val="24"/>
        </w:rPr>
        <w:t>majority, changes to election-related provisions of four pieces of legislation. The adopted changes do not significantly affect the existing electoral framework. In May 2020, the ruling majority submitted the draft Law on Election of MPs and Councillors fo</w:t>
      </w:r>
      <w:r>
        <w:rPr>
          <w:rFonts w:cs="Times New Roman"/>
          <w:noProof/>
          <w:szCs w:val="24"/>
        </w:rPr>
        <w:t xml:space="preserve">r the adoption and simultaneously to the Venice Commission and OSCE/ODIHR for their opinion. The draft Law was submitted without prior cross-party agreement and a few weeks before calling the parliamentary elections. In their joint opinion, OSCE/ODIHR and </w:t>
      </w:r>
      <w:r>
        <w:rPr>
          <w:rFonts w:cs="Times New Roman"/>
          <w:noProof/>
          <w:szCs w:val="24"/>
        </w:rPr>
        <w:t>the Venice Commission assessed the draft as an overall improvement in the legal framework, underlining however the need for an open and transparent process of legislative making and a number of key recommendations.</w:t>
      </w:r>
    </w:p>
    <w:p w:rsidR="003C2144" w:rsidRDefault="00FB7959">
      <w:pPr>
        <w:spacing w:after="120" w:line="240" w:lineRule="auto"/>
        <w:jc w:val="both"/>
        <w:rPr>
          <w:rFonts w:cs="Times New Roman"/>
          <w:noProof/>
          <w:szCs w:val="24"/>
        </w:rPr>
      </w:pPr>
      <w:r>
        <w:rPr>
          <w:rFonts w:cs="Times New Roman"/>
          <w:noProof/>
          <w:szCs w:val="24"/>
        </w:rPr>
        <w:t>Elections in five municipalities (Andrije</w:t>
      </w:r>
      <w:r>
        <w:rPr>
          <w:rFonts w:cs="Times New Roman"/>
          <w:noProof/>
          <w:szCs w:val="24"/>
        </w:rPr>
        <w:t xml:space="preserve">vica, Budva, Gusinje, Kotor, and Tivat) took place on 30 August, along with the parliamentary elections. Despite cross-party agreement to hold all local elections on the same day, the legal framework still provides for their conduct on a rolling basis. It </w:t>
      </w:r>
      <w:r>
        <w:rPr>
          <w:rFonts w:cs="Times New Roman"/>
          <w:noProof/>
          <w:szCs w:val="24"/>
        </w:rPr>
        <w:t>is yet to be decided when a new system will be implemented. The local elections in Tivat, initially scheduled for April 2020, were postponed due to the COVID-19 outbreak. This decision was possible as April 2020 amendments to the Law on local self-governme</w:t>
      </w:r>
      <w:r>
        <w:rPr>
          <w:rFonts w:cs="Times New Roman"/>
          <w:noProof/>
          <w:szCs w:val="24"/>
        </w:rPr>
        <w:t>nt introduced the possibility to prolong the mandate of local assemblies for up to 90 days in cases of 'emergency situation', in addition to a 'state of emergency'.</w:t>
      </w:r>
    </w:p>
    <w:p w:rsidR="003C2144" w:rsidRDefault="00FB7959">
      <w:pPr>
        <w:spacing w:after="120" w:line="240" w:lineRule="auto"/>
        <w:jc w:val="both"/>
        <w:rPr>
          <w:rFonts w:cs="Times New Roman"/>
          <w:noProof/>
          <w:szCs w:val="24"/>
          <w:lang w:val="en-US"/>
        </w:rPr>
      </w:pPr>
      <w:r>
        <w:rPr>
          <w:rFonts w:cs="Times New Roman"/>
          <w:noProof/>
          <w:szCs w:val="24"/>
        </w:rPr>
        <w:t xml:space="preserve">Following a public call, the new chair of the SEC was appointed in March 2020, solely with </w:t>
      </w:r>
      <w:r>
        <w:rPr>
          <w:rFonts w:cs="Times New Roman"/>
          <w:noProof/>
          <w:szCs w:val="24"/>
        </w:rPr>
        <w:t>the votes of the hitherto ruling majority. Capacity building of the SEC is ongoing, but efforts to enhance the transparency and accountability of SEC's work need to continue. In their preliminary findings, OSCE/ODIHR</w:t>
      </w:r>
      <w:r>
        <w:rPr>
          <w:rFonts w:cs="Times New Roman"/>
          <w:noProof/>
          <w:szCs w:val="24"/>
          <w:lang w:val="en-US"/>
        </w:rPr>
        <w:t xml:space="preserve"> and OSCE Parliamentary Assembly conclud</w:t>
      </w:r>
      <w:r>
        <w:rPr>
          <w:rFonts w:cs="Times New Roman"/>
          <w:noProof/>
          <w:szCs w:val="24"/>
          <w:lang w:val="en-US"/>
        </w:rPr>
        <w:t>ed that SEC did not entirely fulfill its regulatory role during the parliamentary elections, leaving several important aspects, such as the verification of supporting signatures for candidate registration, the criteria for registration of the lists with na</w:t>
      </w:r>
      <w:r>
        <w:rPr>
          <w:rFonts w:cs="Times New Roman"/>
          <w:noProof/>
          <w:szCs w:val="24"/>
          <w:lang w:val="en-US"/>
        </w:rPr>
        <w:t>tional minority status, and the tabulation of results, unaddressed. It was also assessed that in some of its decisions the SEC used wide discretionary powers to interpret and implement the law. The recommendations on the epidemiological protection of voter</w:t>
      </w:r>
      <w:r>
        <w:rPr>
          <w:rFonts w:cs="Times New Roman"/>
          <w:noProof/>
          <w:szCs w:val="24"/>
          <w:lang w:val="en-US"/>
        </w:rPr>
        <w:t xml:space="preserve">s were unclear and difficult to implement. </w:t>
      </w:r>
    </w:p>
    <w:p w:rsidR="003C2144" w:rsidRDefault="00FB7959">
      <w:pPr>
        <w:keepNext/>
        <w:spacing w:after="120" w:line="240" w:lineRule="auto"/>
        <w:jc w:val="both"/>
        <w:rPr>
          <w:rFonts w:cs="Times New Roman"/>
          <w:noProof/>
          <w:szCs w:val="24"/>
        </w:rPr>
      </w:pPr>
      <w:r>
        <w:rPr>
          <w:rFonts w:cs="Times New Roman"/>
          <w:bCs/>
          <w:iCs/>
          <w:noProof/>
          <w:szCs w:val="24"/>
        </w:rPr>
        <w:t>The public prosecution service compiled 1,142 cases following the April 2018 presidential elections, mostly related to alleged falsification of identification documents and/or of signatures. Of these, 1,134 are s</w:t>
      </w:r>
      <w:r>
        <w:rPr>
          <w:rFonts w:cs="Times New Roman"/>
          <w:bCs/>
          <w:iCs/>
          <w:noProof/>
          <w:szCs w:val="24"/>
        </w:rPr>
        <w:t xml:space="preserve">till in the phase of preliminary investigation. </w:t>
      </w:r>
      <w:r>
        <w:rPr>
          <w:rFonts w:cs="Times New Roman"/>
          <w:noProof/>
          <w:szCs w:val="24"/>
        </w:rPr>
        <w:t>In spring 2019, the Constitutional Court ruled that the blocking of freeware and cross-platform instant messaging services on the October 2016 Election Day was unconstitutional and annulled the respective pro</w:t>
      </w:r>
      <w:r>
        <w:rPr>
          <w:rFonts w:cs="Times New Roman"/>
          <w:noProof/>
          <w:szCs w:val="24"/>
        </w:rPr>
        <w:t xml:space="preserve">vision of the law on electronic communication. </w:t>
      </w:r>
    </w:p>
    <w:p w:rsidR="003C2144" w:rsidRDefault="00FB7959">
      <w:pPr>
        <w:keepNext/>
        <w:spacing w:after="120" w:line="240" w:lineRule="auto"/>
        <w:jc w:val="both"/>
        <w:rPr>
          <w:rFonts w:cs="Times New Roman"/>
          <w:noProof/>
          <w:szCs w:val="24"/>
        </w:rPr>
      </w:pPr>
      <w:r>
        <w:rPr>
          <w:rFonts w:cs="Times New Roman"/>
          <w:noProof/>
          <w:szCs w:val="24"/>
        </w:rPr>
        <w:t>There were no new developments in the political and judicial follow-up of the alleged misuse of public funds for party political purposes that took place in 2012 (the ‘audio recordings affair’). In December 2</w:t>
      </w:r>
      <w:r>
        <w:rPr>
          <w:rFonts w:cs="Times New Roman"/>
          <w:noProof/>
          <w:szCs w:val="24"/>
        </w:rPr>
        <w:t>019, the Special State Prosecution indicted a high DPS official for money laundering in the 'envelope affair'. The indictment includes six more individuals, suspected of creating a criminal organisation and money laundering. Political and judicial follow-u</w:t>
      </w:r>
      <w:r>
        <w:rPr>
          <w:rFonts w:cs="Times New Roman"/>
          <w:noProof/>
          <w:szCs w:val="24"/>
        </w:rPr>
        <w:t>p is still ongoing.</w:t>
      </w:r>
    </w:p>
    <w:p w:rsidR="003C2144" w:rsidRDefault="00FB7959">
      <w:pPr>
        <w:autoSpaceDE w:val="0"/>
        <w:autoSpaceDN w:val="0"/>
        <w:adjustRightInd w:val="0"/>
        <w:spacing w:after="120" w:line="240" w:lineRule="auto"/>
        <w:rPr>
          <w:rFonts w:cs="Times New Roman"/>
          <w:b/>
          <w:bCs/>
          <w:noProof/>
          <w:szCs w:val="24"/>
        </w:rPr>
      </w:pPr>
      <w:r>
        <w:rPr>
          <w:rFonts w:cs="Times New Roman"/>
          <w:b/>
          <w:bCs/>
          <w:noProof/>
          <w:szCs w:val="24"/>
        </w:rPr>
        <w:t>Parliament</w:t>
      </w:r>
    </w:p>
    <w:tbl>
      <w:tblPr>
        <w:tblStyle w:val="TableGrid"/>
        <w:tblW w:w="9606" w:type="dxa"/>
        <w:tblLook w:val="04A0" w:firstRow="1" w:lastRow="0" w:firstColumn="1" w:lastColumn="0" w:noHBand="0" w:noVBand="1"/>
      </w:tblPr>
      <w:tblGrid>
        <w:gridCol w:w="9606"/>
      </w:tblGrid>
      <w:tr w:rsidR="003C2144">
        <w:trPr>
          <w:trHeight w:val="416"/>
        </w:trPr>
        <w:tc>
          <w:tcPr>
            <w:tcW w:w="9606" w:type="dxa"/>
            <w:shd w:val="clear" w:color="auto" w:fill="D9D9D9" w:themeFill="background1" w:themeFillShade="D9"/>
          </w:tcPr>
          <w:p w:rsidR="003C2144" w:rsidRDefault="00FB7959">
            <w:pPr>
              <w:spacing w:after="120" w:line="240" w:lineRule="auto"/>
              <w:jc w:val="both"/>
              <w:rPr>
                <w:rFonts w:eastAsia="Calibri" w:cs="Times New Roman"/>
                <w:noProof/>
                <w:szCs w:val="24"/>
              </w:rPr>
            </w:pPr>
            <w:r>
              <w:rPr>
                <w:rFonts w:cs="Times New Roman"/>
                <w:noProof/>
                <w:szCs w:val="24"/>
              </w:rPr>
              <w:t xml:space="preserve">In spite of some positive steps towards re-establishing political dialogue in the Parliament, some opposition parties boycotted most of parliamentary work during 2019. </w:t>
            </w:r>
            <w:r>
              <w:rPr>
                <w:rFonts w:cs="Times New Roman"/>
                <w:noProof/>
                <w:color w:val="000000" w:themeColor="text1"/>
                <w:szCs w:val="24"/>
              </w:rPr>
              <w:t xml:space="preserve">Limited progress was made in improving parliamentary </w:t>
            </w:r>
            <w:r>
              <w:rPr>
                <w:rFonts w:cs="Times New Roman"/>
                <w:noProof/>
                <w:color w:val="000000" w:themeColor="text1"/>
                <w:szCs w:val="24"/>
              </w:rPr>
              <w:t>accountability, the oversight of the executive and democratic scrutiny, and the legislative-making process.</w:t>
            </w:r>
            <w:r>
              <w:rPr>
                <w:rFonts w:eastAsia="Calibri" w:cs="Times New Roman"/>
                <w:noProof/>
                <w:szCs w:val="24"/>
              </w:rPr>
              <w:t>The parliament's role in overseeing the government response to the coronavirus pandemic was marginal</w:t>
            </w:r>
            <w:r>
              <w:rPr>
                <w:rFonts w:cs="Times New Roman"/>
                <w:noProof/>
                <w:szCs w:val="24"/>
              </w:rPr>
              <w:t>. The 30 August elections resulted in an unpreced</w:t>
            </w:r>
            <w:r>
              <w:rPr>
                <w:rFonts w:cs="Times New Roman"/>
                <w:noProof/>
                <w:szCs w:val="24"/>
              </w:rPr>
              <w:t>ented change of the ruling majority composition. The new parliament should demonstrate in practice its commitment to Montenegro's EU reform agenda, step up its legislative role and oversight role, and engage in a transparent, decisive and inclusive dialogu</w:t>
            </w:r>
            <w:r>
              <w:rPr>
                <w:rFonts w:cs="Times New Roman"/>
                <w:noProof/>
                <w:szCs w:val="24"/>
              </w:rPr>
              <w:t>e on the implementation of OSCE/ODIHR outstanding recommendations.</w:t>
            </w:r>
          </w:p>
        </w:tc>
      </w:tr>
    </w:tbl>
    <w:p w:rsidR="003C2144" w:rsidRDefault="00FB7959">
      <w:pPr>
        <w:spacing w:after="120" w:line="240" w:lineRule="auto"/>
        <w:jc w:val="both"/>
        <w:rPr>
          <w:rFonts w:eastAsia="Calibri" w:cs="Times New Roman"/>
          <w:noProof/>
          <w:szCs w:val="24"/>
        </w:rPr>
      </w:pPr>
      <w:r>
        <w:rPr>
          <w:rFonts w:eastAsia="Calibri" w:cs="Times New Roman"/>
          <w:noProof/>
          <w:color w:val="000000" w:themeColor="text1"/>
          <w:szCs w:val="24"/>
        </w:rPr>
        <w:t>Following the August 2020 parliamentary elections, the</w:t>
      </w:r>
      <w:r>
        <w:rPr>
          <w:rFonts w:eastAsia="Calibri" w:cs="Times New Roman"/>
          <w:noProof/>
          <w:szCs w:val="24"/>
        </w:rPr>
        <w:t xml:space="preserve"> new Parliament </w:t>
      </w:r>
      <w:r>
        <w:rPr>
          <w:rFonts w:eastAsia="Calibri" w:cs="Times New Roman"/>
          <w:noProof/>
          <w:color w:val="000000" w:themeColor="text1"/>
          <w:szCs w:val="24"/>
        </w:rPr>
        <w:t>was constituted on 23 September. The number of women Members of Parliament (MPs) decreased to 18, now accounting for 2</w:t>
      </w:r>
      <w:r>
        <w:rPr>
          <w:rFonts w:eastAsia="Calibri" w:cs="Times New Roman"/>
          <w:noProof/>
          <w:color w:val="000000" w:themeColor="text1"/>
          <w:szCs w:val="24"/>
        </w:rPr>
        <w:t>2%.</w:t>
      </w:r>
    </w:p>
    <w:p w:rsidR="003C2144" w:rsidRDefault="00FB7959">
      <w:pPr>
        <w:spacing w:after="120" w:line="240" w:lineRule="auto"/>
        <w:jc w:val="both"/>
        <w:rPr>
          <w:rFonts w:eastAsia="Calibri" w:cs="Times New Roman"/>
          <w:noProof/>
          <w:szCs w:val="24"/>
        </w:rPr>
      </w:pPr>
      <w:r>
        <w:rPr>
          <w:rFonts w:eastAsia="Calibri" w:cs="Times New Roman"/>
          <w:noProof/>
          <w:szCs w:val="24"/>
        </w:rPr>
        <w:t>The deep political polarisation between the opposition and the ruling parties, as well as among opposition parties themselves, continued in 2019.</w:t>
      </w:r>
      <w:r>
        <w:rPr>
          <w:rFonts w:eastAsia="Times New Roman" w:cs="Times New Roman"/>
          <w:noProof/>
          <w:szCs w:val="24"/>
          <w:lang w:eastAsia="en-GB"/>
        </w:rPr>
        <w:t xml:space="preserve"> Before the 2020 elections, t</w:t>
      </w:r>
      <w:r>
        <w:rPr>
          <w:rFonts w:eastAsia="Calibri" w:cs="Times New Roman"/>
          <w:noProof/>
          <w:szCs w:val="24"/>
        </w:rPr>
        <w:t xml:space="preserve">here were 16 political parties represented in Parliament. Out of 81 MPs, four </w:t>
      </w:r>
      <w:r>
        <w:rPr>
          <w:rFonts w:eastAsia="Calibri" w:cs="Times New Roman"/>
          <w:noProof/>
          <w:szCs w:val="24"/>
        </w:rPr>
        <w:t>represented ethnic minorities, while three operated as independent MPs. Five coalitions and four political parties are represented in the new parliament's composition. Out of 81 MPs, five represent ethnic minorities</w:t>
      </w:r>
    </w:p>
    <w:p w:rsidR="003C2144" w:rsidRDefault="00FB7959">
      <w:pPr>
        <w:spacing w:after="120" w:line="240" w:lineRule="auto"/>
        <w:jc w:val="both"/>
        <w:rPr>
          <w:rFonts w:cs="Times New Roman"/>
          <w:noProof/>
          <w:szCs w:val="24"/>
        </w:rPr>
      </w:pPr>
      <w:r>
        <w:rPr>
          <w:rFonts w:cs="Times New Roman"/>
          <w:noProof/>
          <w:szCs w:val="24"/>
        </w:rPr>
        <w:t>The partial return of the majority of op</w:t>
      </w:r>
      <w:r>
        <w:rPr>
          <w:rFonts w:cs="Times New Roman"/>
          <w:noProof/>
          <w:szCs w:val="24"/>
        </w:rPr>
        <w:t>position MPs did not yield the necessary qualified majority during the previous legislative term for the overdue appointment of Judicial Council lay members and the new Supreme State Prosecutor. In June 2019, the Supreme Court adopted a non-binding legal o</w:t>
      </w:r>
      <w:r>
        <w:rPr>
          <w:rFonts w:cs="Times New Roman"/>
          <w:noProof/>
          <w:szCs w:val="24"/>
        </w:rPr>
        <w:t>pinion stating that Parliament's decisions on the election, appointment or dismissal of public officials cannot be challenged through administrative or civil procedures. On the basis of this opinion and contrary to its first judgment recognising the regula</w:t>
      </w:r>
      <w:r>
        <w:rPr>
          <w:rFonts w:cs="Times New Roman"/>
          <w:noProof/>
          <w:szCs w:val="24"/>
        </w:rPr>
        <w:t>r court's jurisdiction, a basic court in a civil procedure decided in the retrial that it has no jurisdiction to examine the legality of Parliament’s decision in the case of a former Radio and Television of Montenegro (RTCG) Council member. This raises con</w:t>
      </w:r>
      <w:r>
        <w:rPr>
          <w:rFonts w:cs="Times New Roman"/>
          <w:noProof/>
          <w:szCs w:val="24"/>
        </w:rPr>
        <w:t xml:space="preserve">cerns about the lack of legal safeguards against Parliament's decisions, jeopardising the right to effective legal remedy. </w:t>
      </w:r>
    </w:p>
    <w:p w:rsidR="003C2144" w:rsidRDefault="00FB7959">
      <w:pPr>
        <w:spacing w:after="120" w:line="240" w:lineRule="auto"/>
        <w:jc w:val="both"/>
        <w:rPr>
          <w:rFonts w:cs="Times New Roman"/>
          <w:noProof/>
          <w:szCs w:val="24"/>
        </w:rPr>
      </w:pPr>
      <w:r>
        <w:rPr>
          <w:rFonts w:cs="Times New Roman"/>
          <w:noProof/>
          <w:szCs w:val="24"/>
        </w:rPr>
        <w:t xml:space="preserve">As regards Parliament’s </w:t>
      </w:r>
      <w:r>
        <w:rPr>
          <w:rFonts w:cs="Times New Roman"/>
          <w:b/>
          <w:bCs/>
          <w:noProof/>
          <w:szCs w:val="24"/>
        </w:rPr>
        <w:t>legislative role</w:t>
      </w:r>
      <w:r>
        <w:rPr>
          <w:rFonts w:cs="Times New Roman"/>
          <w:noProof/>
          <w:szCs w:val="24"/>
        </w:rPr>
        <w:t>, participation of opposition MPs in the plenary sessions contributed to improving the quali</w:t>
      </w:r>
      <w:r>
        <w:rPr>
          <w:rFonts w:cs="Times New Roman"/>
          <w:noProof/>
          <w:szCs w:val="24"/>
        </w:rPr>
        <w:t xml:space="preserve">ty of debate overall. However, a number of laws were adopted without proper discussion and in the absence of the opposition. Parliament's capacity to scrutinise proposed legislation for compliance with EU </w:t>
      </w:r>
      <w:r>
        <w:rPr>
          <w:rFonts w:cs="Times New Roman"/>
          <w:i/>
          <w:iCs/>
          <w:noProof/>
          <w:szCs w:val="24"/>
        </w:rPr>
        <w:t xml:space="preserve">acquis </w:t>
      </w:r>
      <w:r>
        <w:rPr>
          <w:rFonts w:cs="Times New Roman"/>
          <w:iCs/>
          <w:noProof/>
          <w:szCs w:val="24"/>
        </w:rPr>
        <w:t>is still</w:t>
      </w:r>
      <w:r>
        <w:rPr>
          <w:rFonts w:cs="Times New Roman"/>
          <w:noProof/>
          <w:szCs w:val="24"/>
        </w:rPr>
        <w:t xml:space="preserve"> limited. A parliamentary budget off</w:t>
      </w:r>
      <w:r>
        <w:rPr>
          <w:rFonts w:cs="Times New Roman"/>
          <w:noProof/>
          <w:szCs w:val="24"/>
        </w:rPr>
        <w:t>ice was established in 2019 to provide general expertise to MPs on budgetary issues. There was a reduction in 2019 of the number of acts adopted via extraordinary measures, 3 legislative acts out of 97 (3% of the total), compared to 13.6 % in 2018, this re</w:t>
      </w:r>
      <w:r>
        <w:rPr>
          <w:rFonts w:cs="Times New Roman"/>
          <w:noProof/>
          <w:szCs w:val="24"/>
        </w:rPr>
        <w:t xml:space="preserve">duction being largely the result of the opposition parliamentary boycott. </w:t>
      </w:r>
    </w:p>
    <w:p w:rsidR="003C2144" w:rsidRDefault="00FB7959">
      <w:pPr>
        <w:spacing w:after="120" w:line="240" w:lineRule="auto"/>
        <w:jc w:val="both"/>
        <w:rPr>
          <w:rFonts w:cs="Times New Roman"/>
          <w:noProof/>
          <w:szCs w:val="24"/>
        </w:rPr>
      </w:pPr>
      <w:r>
        <w:rPr>
          <w:rFonts w:cs="Times New Roman"/>
          <w:noProof/>
          <w:szCs w:val="24"/>
        </w:rPr>
        <w:t xml:space="preserve">Further efforts are needed to ensure effective control and </w:t>
      </w:r>
      <w:r>
        <w:rPr>
          <w:rFonts w:cs="Times New Roman"/>
          <w:b/>
          <w:noProof/>
          <w:szCs w:val="24"/>
        </w:rPr>
        <w:t>parliamentary oversight</w:t>
      </w:r>
      <w:r>
        <w:rPr>
          <w:rFonts w:cs="Times New Roman"/>
          <w:noProof/>
          <w:szCs w:val="24"/>
        </w:rPr>
        <w:t xml:space="preserve"> of all governance branches, also at the level of the parliamentary committees.</w:t>
      </w:r>
      <w:r>
        <w:rPr>
          <w:rFonts w:eastAsia="Calibri" w:cs="Times New Roman"/>
          <w:noProof/>
          <w:szCs w:val="24"/>
        </w:rPr>
        <w:t xml:space="preserve"> In particular, the parliament's role in overseeing the government response to the coronavirus pandemic was limited.</w:t>
      </w:r>
      <w:r>
        <w:rPr>
          <w:rFonts w:cs="Times New Roman"/>
          <w:noProof/>
          <w:szCs w:val="24"/>
        </w:rPr>
        <w:t xml:space="preserve"> In 2019, 7 control hearings and 37 consultative hearings were held (compared to 30 in 2018 and 43 in 2017). A uniform and effective system </w:t>
      </w:r>
      <w:r>
        <w:rPr>
          <w:rFonts w:cs="Times New Roman"/>
          <w:noProof/>
          <w:szCs w:val="24"/>
        </w:rPr>
        <w:t xml:space="preserve">for monitoring the implementation of conclusions and recommendations adopted at oversight hearings is yet to be developed. The SAI’s findings continue to be addressed in a limited manner, and there is still no discussion or reporting on the implementation </w:t>
      </w:r>
      <w:r>
        <w:rPr>
          <w:rFonts w:cs="Times New Roman"/>
          <w:noProof/>
          <w:szCs w:val="24"/>
        </w:rPr>
        <w:t>of major policies and legislation.</w:t>
      </w:r>
    </w:p>
    <w:p w:rsidR="003C2144" w:rsidRDefault="00FB7959">
      <w:pPr>
        <w:spacing w:after="120" w:line="240" w:lineRule="auto"/>
        <w:jc w:val="both"/>
        <w:rPr>
          <w:rFonts w:cs="Times New Roman"/>
          <w:noProof/>
          <w:szCs w:val="24"/>
        </w:rPr>
      </w:pPr>
      <w:r>
        <w:rPr>
          <w:rFonts w:cs="Times New Roman"/>
          <w:noProof/>
          <w:szCs w:val="24"/>
        </w:rPr>
        <w:t>Parliament maintained a high level of transparency at administrative level. However, significant efforts are required to improve its communication and cooperation with the public, and in particular to establish a procedur</w:t>
      </w:r>
      <w:r>
        <w:rPr>
          <w:rFonts w:cs="Times New Roman"/>
          <w:noProof/>
          <w:szCs w:val="24"/>
        </w:rPr>
        <w:t>e for addressing citizen’s complaints and petitions. The practice of MPs submitting amendments to the laws circumventing public consultations continued with, among other</w:t>
      </w:r>
      <w:r>
        <w:rPr>
          <w:rFonts w:cs="Times New Roman"/>
          <w:i/>
          <w:noProof/>
          <w:szCs w:val="24"/>
        </w:rPr>
        <w:t>,</w:t>
      </w:r>
      <w:r>
        <w:rPr>
          <w:rFonts w:cs="Times New Roman"/>
          <w:noProof/>
          <w:szCs w:val="24"/>
        </w:rPr>
        <w:t xml:space="preserve"> changes introduced to laws on local self-government, civil servants and state employe</w:t>
      </w:r>
      <w:r>
        <w:rPr>
          <w:rFonts w:cs="Times New Roman"/>
          <w:noProof/>
          <w:szCs w:val="24"/>
        </w:rPr>
        <w:t xml:space="preserve">es, and tax administration. No citizen’s petition was submitted to Parliament during the reporting period. </w:t>
      </w:r>
    </w:p>
    <w:p w:rsidR="003C2144" w:rsidRDefault="00FB7959">
      <w:pPr>
        <w:spacing w:after="120" w:line="240" w:lineRule="auto"/>
        <w:jc w:val="both"/>
        <w:rPr>
          <w:rFonts w:cs="Times New Roman"/>
          <w:noProof/>
          <w:szCs w:val="24"/>
        </w:rPr>
      </w:pPr>
      <w:r>
        <w:rPr>
          <w:rFonts w:cs="Times New Roman"/>
          <w:noProof/>
          <w:szCs w:val="24"/>
        </w:rPr>
        <w:t xml:space="preserve">A new </w:t>
      </w:r>
      <w:r>
        <w:rPr>
          <w:rFonts w:cs="Times New Roman"/>
          <w:b/>
          <w:noProof/>
          <w:szCs w:val="24"/>
        </w:rPr>
        <w:t>code of ethics</w:t>
      </w:r>
      <w:r>
        <w:rPr>
          <w:rFonts w:cs="Times New Roman"/>
          <w:noProof/>
          <w:szCs w:val="24"/>
        </w:rPr>
        <w:t xml:space="preserve"> for MPs was adopted by Parliament in July 2019 with the votes of hitherto ruling majority MPs. No complaints from members of th</w:t>
      </w:r>
      <w:r>
        <w:rPr>
          <w:rFonts w:cs="Times New Roman"/>
          <w:noProof/>
          <w:szCs w:val="24"/>
        </w:rPr>
        <w:t xml:space="preserve">e public, media or interested parties alleging breaches of the </w:t>
      </w:r>
      <w:r>
        <w:rPr>
          <w:rFonts w:cs="Times New Roman"/>
          <w:bCs/>
          <w:noProof/>
          <w:szCs w:val="24"/>
        </w:rPr>
        <w:t xml:space="preserve">code of ethics </w:t>
      </w:r>
      <w:r>
        <w:rPr>
          <w:rFonts w:cs="Times New Roman"/>
          <w:noProof/>
          <w:szCs w:val="24"/>
        </w:rPr>
        <w:t>have been submitted to the human rights committee. Also in July 2019, Parliament amended its rules of procedure, introducing fines for MPs failing to participate and for longer t</w:t>
      </w:r>
      <w:r>
        <w:rPr>
          <w:rFonts w:cs="Times New Roman"/>
          <w:noProof/>
          <w:szCs w:val="24"/>
        </w:rPr>
        <w:t>han 30 days in parliamentary activities. The provisions have not been implemented yet. In January 2020, the parliamentary administrative committee adopted a decision determining the criteria for MPs’ justified absence from parliament's plenary and committe</w:t>
      </w:r>
      <w:r>
        <w:rPr>
          <w:rFonts w:cs="Times New Roman"/>
          <w:noProof/>
          <w:szCs w:val="24"/>
        </w:rPr>
        <w:t>e sittings. The lack of available space in Parliament for both service staff and MPs remains an issue.</w:t>
      </w:r>
    </w:p>
    <w:p w:rsidR="003C2144" w:rsidRDefault="00FB7959">
      <w:pPr>
        <w:spacing w:after="120" w:line="240" w:lineRule="auto"/>
        <w:jc w:val="both"/>
        <w:rPr>
          <w:rFonts w:cs="Times New Roman"/>
          <w:noProof/>
          <w:szCs w:val="24"/>
        </w:rPr>
      </w:pPr>
      <w:r>
        <w:rPr>
          <w:rFonts w:cs="Times New Roman"/>
          <w:noProof/>
          <w:szCs w:val="24"/>
        </w:rPr>
        <w:t>In the reporting period, Parliament did not agree to lift any MPs' immunity; a request to waive the immunity of an MP from the largest opposition allianc</w:t>
      </w:r>
      <w:r>
        <w:rPr>
          <w:rFonts w:cs="Times New Roman"/>
          <w:noProof/>
          <w:szCs w:val="24"/>
        </w:rPr>
        <w:t>e was rejected by Parliament in December 2019. In the same month, MPs of the same alliance were temporarily detained and suspended from parliamentary work for 15 days, after causing an incident in Parliament. Preliminary prosecutorial investigation in this</w:t>
      </w:r>
      <w:r>
        <w:rPr>
          <w:rFonts w:cs="Times New Roman"/>
          <w:noProof/>
          <w:szCs w:val="24"/>
        </w:rPr>
        <w:t xml:space="preserve"> case is ongoing. In September 2019, the Constitutional Court annulled the Criminal Procedure Code provision, which was applied in 2018 to issue detention orders against two MPs without their immunity being previously lifted. In the first instance proceedi</w:t>
      </w:r>
      <w:r>
        <w:rPr>
          <w:rFonts w:cs="Times New Roman"/>
          <w:noProof/>
          <w:szCs w:val="24"/>
        </w:rPr>
        <w:t>ng, in May 2019, two of the leaders of the largest opposition alliance were sentenced to five years in prison each in the ‘coup d’état’ case following the lifting of their immunity. In October 2019, one of the opposition leaders was sentenced to four month</w:t>
      </w:r>
      <w:r>
        <w:rPr>
          <w:rFonts w:cs="Times New Roman"/>
          <w:noProof/>
          <w:szCs w:val="24"/>
        </w:rPr>
        <w:t>s of house arrest for violent behaviour in Parliament. A criminal case involving an opposition MP from the same alliance is currently ongoing in court.</w:t>
      </w:r>
    </w:p>
    <w:p w:rsidR="003C2144" w:rsidRDefault="00FB7959">
      <w:pPr>
        <w:spacing w:after="120" w:line="240" w:lineRule="auto"/>
        <w:jc w:val="both"/>
        <w:rPr>
          <w:rFonts w:cs="Times New Roman"/>
          <w:noProof/>
          <w:szCs w:val="24"/>
        </w:rPr>
      </w:pPr>
      <w:r>
        <w:rPr>
          <w:rFonts w:cs="Times New Roman"/>
          <w:noProof/>
          <w:szCs w:val="24"/>
        </w:rPr>
        <w:t>The number of women MPs increased to 24 (29.63%) from 19 (23.5%) in 2018, but after the 2020 election de</w:t>
      </w:r>
      <w:r>
        <w:rPr>
          <w:rFonts w:cs="Times New Roman"/>
          <w:noProof/>
          <w:szCs w:val="24"/>
        </w:rPr>
        <w:t xml:space="preserve">clined to 18 MPs. Women continue to be underrepresented in high-ranking positions in Parliament as well as in party leadership positions. </w:t>
      </w:r>
    </w:p>
    <w:p w:rsidR="003C2144" w:rsidRDefault="00FB7959">
      <w:pPr>
        <w:spacing w:after="120" w:line="240" w:lineRule="auto"/>
        <w:jc w:val="both"/>
        <w:rPr>
          <w:rFonts w:cs="Times New Roman"/>
          <w:noProof/>
          <w:szCs w:val="24"/>
        </w:rPr>
      </w:pPr>
      <w:r>
        <w:rPr>
          <w:rFonts w:cs="Times New Roman"/>
          <w:noProof/>
          <w:szCs w:val="24"/>
        </w:rPr>
        <w:t>The Women’s Political Network, composed of women MPs from 16 political parties, presented amendments aimed at strengt</w:t>
      </w:r>
      <w:r>
        <w:rPr>
          <w:rFonts w:cs="Times New Roman"/>
          <w:noProof/>
          <w:szCs w:val="24"/>
        </w:rPr>
        <w:t>hening women’s political participation and economic empowerment and now in line with their proposal, the new law on financing of political entities and electoral campaigns stipulates that 20% of the budgetary funds for the regular operation of parliamentar</w:t>
      </w:r>
      <w:r>
        <w:rPr>
          <w:rFonts w:cs="Times New Roman"/>
          <w:noProof/>
          <w:szCs w:val="24"/>
        </w:rPr>
        <w:t xml:space="preserve">y parties should be disbursed proportionately to the elected representatives of the underrepresented gender. </w:t>
      </w:r>
    </w:p>
    <w:p w:rsidR="003C2144" w:rsidRDefault="00FB7959">
      <w:pPr>
        <w:spacing w:after="120" w:line="240" w:lineRule="auto"/>
        <w:jc w:val="both"/>
        <w:rPr>
          <w:rFonts w:cs="Times New Roman"/>
          <w:noProof/>
          <w:szCs w:val="24"/>
        </w:rPr>
      </w:pPr>
      <w:r>
        <w:rPr>
          <w:rFonts w:cs="Times New Roman"/>
          <w:noProof/>
          <w:szCs w:val="24"/>
        </w:rPr>
        <w:t xml:space="preserve">Shortcomings in the legal framework regulating </w:t>
      </w:r>
      <w:r>
        <w:rPr>
          <w:rFonts w:cs="Times New Roman"/>
          <w:b/>
          <w:bCs/>
          <w:noProof/>
          <w:szCs w:val="24"/>
        </w:rPr>
        <w:t xml:space="preserve">political parties </w:t>
      </w:r>
      <w:r>
        <w:rPr>
          <w:rFonts w:cs="Times New Roman"/>
          <w:noProof/>
          <w:szCs w:val="24"/>
        </w:rPr>
        <w:t>and their funding, including those identified by OSCE/ODIHR, persist even after t</w:t>
      </w:r>
      <w:r>
        <w:rPr>
          <w:rFonts w:cs="Times New Roman"/>
          <w:noProof/>
          <w:szCs w:val="24"/>
        </w:rPr>
        <w:t>he adoption of the law on financing of political entities and election campaigns in December 2019, and its subsequent amendments in April 2020.</w:t>
      </w:r>
      <w:r>
        <w:rPr>
          <w:rFonts w:eastAsia="Calibri" w:cs="Times New Roman"/>
          <w:noProof/>
          <w:szCs w:val="24"/>
        </w:rPr>
        <w:t xml:space="preserve"> The latter allow for the allocation of social benefits during an election year in cases of war, state of emergen</w:t>
      </w:r>
      <w:r>
        <w:rPr>
          <w:rFonts w:eastAsia="Calibri" w:cs="Times New Roman"/>
          <w:noProof/>
          <w:szCs w:val="24"/>
        </w:rPr>
        <w:t>cy, epidemic or pandemic of communicable diseases.</w:t>
      </w:r>
      <w:r>
        <w:rPr>
          <w:rFonts w:cs="Times New Roman"/>
          <w:noProof/>
          <w:szCs w:val="24"/>
        </w:rPr>
        <w:t xml:space="preserve">  The level of budgetary political party financing is still considerably above the European average. </w:t>
      </w:r>
      <w:r>
        <w:rPr>
          <w:rFonts w:eastAsia="Calibri" w:cs="Times New Roman"/>
          <w:noProof/>
          <w:szCs w:val="24"/>
        </w:rPr>
        <w:t>The increase of the limit for private donations of up to EUR 5,000 for individuals and EUR 20,000 for leg</w:t>
      </w:r>
      <w:r>
        <w:rPr>
          <w:rFonts w:eastAsia="Calibri" w:cs="Times New Roman"/>
          <w:noProof/>
          <w:szCs w:val="24"/>
        </w:rPr>
        <w:t xml:space="preserve">al entities requires a more effective control of political party financing from private sources. </w:t>
      </w:r>
      <w:r>
        <w:rPr>
          <w:rFonts w:cs="Times New Roman"/>
          <w:noProof/>
          <w:szCs w:val="24"/>
        </w:rPr>
        <w:t>The Anti-Corruption Agency and the SAI monitor political party financing with limited results. Parliamentary oversight in the area was hindered by the prosecut</w:t>
      </w:r>
      <w:r>
        <w:rPr>
          <w:rFonts w:cs="Times New Roman"/>
          <w:noProof/>
          <w:szCs w:val="24"/>
        </w:rPr>
        <w:t xml:space="preserve">ion’s refusal to report to the parliamentary anti-corruption committee and attend its special session on the 'envelope affair'. </w:t>
      </w:r>
    </w:p>
    <w:p w:rsidR="003C2144" w:rsidRDefault="00FB7959">
      <w:pPr>
        <w:keepNext/>
        <w:spacing w:after="120" w:line="240" w:lineRule="auto"/>
        <w:jc w:val="both"/>
        <w:rPr>
          <w:rFonts w:cs="Times New Roman"/>
          <w:b/>
          <w:bCs/>
          <w:noProof/>
          <w:szCs w:val="24"/>
        </w:rPr>
      </w:pPr>
      <w:r>
        <w:rPr>
          <w:rFonts w:cs="Times New Roman"/>
          <w:b/>
          <w:bCs/>
          <w:noProof/>
          <w:szCs w:val="24"/>
        </w:rPr>
        <w:t>Governance</w:t>
      </w:r>
    </w:p>
    <w:p w:rsidR="003C2144" w:rsidRDefault="00FB7959">
      <w:pPr>
        <w:keepNext/>
        <w:autoSpaceDE w:val="0"/>
        <w:autoSpaceDN w:val="0"/>
        <w:adjustRightInd w:val="0"/>
        <w:spacing w:after="120" w:line="240" w:lineRule="auto"/>
        <w:jc w:val="both"/>
        <w:rPr>
          <w:rFonts w:cs="Times New Roman"/>
          <w:noProof/>
          <w:szCs w:val="24"/>
        </w:rPr>
      </w:pPr>
      <w:r>
        <w:rPr>
          <w:rFonts w:cs="Times New Roman"/>
          <w:noProof/>
          <w:szCs w:val="24"/>
        </w:rPr>
        <w:t>Montenegro continued to implement its national programme for EU accession. The number of ministers was reduced by tw</w:t>
      </w:r>
      <w:r>
        <w:rPr>
          <w:rFonts w:cs="Times New Roman"/>
          <w:noProof/>
          <w:szCs w:val="24"/>
        </w:rPr>
        <w:t>o to seventeen (including only four women) in November 2019 when the Prime Minister took over the coordination of the Ministry for Sustainable Development and Tourism. This followed the minister’s resignation following the dissemination of a video of const</w:t>
      </w:r>
      <w:r>
        <w:rPr>
          <w:rFonts w:cs="Times New Roman"/>
          <w:noProof/>
          <w:szCs w:val="24"/>
        </w:rPr>
        <w:t>ruction inspectors taking bribes from an investor. In June 2019, the government adopted a decision on the Rule of Law Council, a temporary government body chaired by the Prime Minister and tasked with monitoring the implementation of commitments under chap</w:t>
      </w:r>
      <w:r>
        <w:rPr>
          <w:rFonts w:cs="Times New Roman"/>
          <w:noProof/>
          <w:szCs w:val="24"/>
        </w:rPr>
        <w:t>ters 23 and 24. The decision refines the Council’s composition and rules of procedure. The Council held a session dedicated to the European Commission's rule of law non-paper in December 2019 and in June 2020. In October 2019, the government established th</w:t>
      </w:r>
      <w:r>
        <w:rPr>
          <w:rFonts w:cs="Times New Roman"/>
          <w:noProof/>
          <w:szCs w:val="24"/>
        </w:rPr>
        <w:t xml:space="preserve">e commission for preparing the Montenegrin version of the EU </w:t>
      </w:r>
      <w:r>
        <w:rPr>
          <w:rFonts w:cs="Times New Roman"/>
          <w:i/>
          <w:noProof/>
          <w:szCs w:val="24"/>
        </w:rPr>
        <w:t>acquis</w:t>
      </w:r>
      <w:r>
        <w:rPr>
          <w:rFonts w:cs="Times New Roman"/>
          <w:noProof/>
          <w:szCs w:val="24"/>
        </w:rPr>
        <w:t xml:space="preserv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The government's decision to establish a National Coordination Body for Communicable Diseases to coordinate the national response to the coronavirus pandemic was met with criticism by </w:t>
      </w:r>
      <w:r>
        <w:rPr>
          <w:rFonts w:eastAsia="Calibri" w:cs="Times New Roman"/>
          <w:noProof/>
          <w:szCs w:val="24"/>
        </w:rPr>
        <w:t>civil society organisations, which disputed the constitutionality and legality of its decisions, notably the one on publicly disclosing the identity and addresses of persons in self-isolation.</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 xml:space="preserve">As regards </w:t>
      </w:r>
      <w:r>
        <w:rPr>
          <w:rFonts w:cs="Times New Roman"/>
          <w:b/>
          <w:noProof/>
          <w:szCs w:val="24"/>
        </w:rPr>
        <w:t>central government bodies</w:t>
      </w:r>
      <w:r>
        <w:rPr>
          <w:rFonts w:cs="Times New Roman"/>
          <w:noProof/>
          <w:szCs w:val="24"/>
        </w:rPr>
        <w:t>, the government's Secretar</w:t>
      </w:r>
      <w:r>
        <w:rPr>
          <w:rFonts w:cs="Times New Roman"/>
          <w:noProof/>
          <w:szCs w:val="24"/>
        </w:rPr>
        <w:t>iat General stepped up its efforts to monitor the quality of strategic documents and implementation reports. It provided opinions for their improvement in line with the 2018 regulation on the manner and procedure for drafting, harmonising and monitoring th</w:t>
      </w:r>
      <w:r>
        <w:rPr>
          <w:rFonts w:cs="Times New Roman"/>
          <w:noProof/>
          <w:szCs w:val="24"/>
        </w:rPr>
        <w:t>e implementation of strategy documents and accompanying methodology for policy-making and implementation. Coordination with policy development stakeholders remains to be strengthened further.</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In August 2019, the government published a list of 96 officials,</w:t>
      </w:r>
      <w:r>
        <w:rPr>
          <w:rFonts w:cs="Times New Roman"/>
          <w:noProof/>
          <w:szCs w:val="24"/>
        </w:rPr>
        <w:t xml:space="preserve"> including heads of judiciary and independent institutions, who were granted state-sponsored housing or loans on favourable conditions by the current government, in the absence of clear, transparent and objective criteria for their allocation. It also publ</w:t>
      </w:r>
      <w:r>
        <w:rPr>
          <w:rFonts w:cs="Times New Roman"/>
          <w:noProof/>
          <w:szCs w:val="24"/>
        </w:rPr>
        <w:t xml:space="preserve">ished its justification for such decisions. </w:t>
      </w:r>
      <w:r>
        <w:rPr>
          <w:rFonts w:eastAsia="Calibri" w:cs="Times New Roman"/>
          <w:noProof/>
          <w:szCs w:val="24"/>
        </w:rPr>
        <w:t xml:space="preserve">A second such list was published by a NGO containing information on state-sponsored housing and loans granted during the previous mandate of the government. </w:t>
      </w:r>
      <w:r>
        <w:rPr>
          <w:rFonts w:cs="Times New Roman"/>
          <w:noProof/>
          <w:szCs w:val="24"/>
        </w:rPr>
        <w:t>Following the publication of the information and the re</w:t>
      </w:r>
      <w:r>
        <w:rPr>
          <w:rFonts w:cs="Times New Roman"/>
          <w:noProof/>
          <w:szCs w:val="24"/>
        </w:rPr>
        <w:t xml:space="preserve">commendation of the Anti-Corruption Agency Council, the government formed a working group to reconsider its housing policy. </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The government has continued to share information on the EU accession process in line with its public information strategy, carryin</w:t>
      </w:r>
      <w:r>
        <w:rPr>
          <w:rFonts w:cs="Times New Roman"/>
          <w:noProof/>
          <w:szCs w:val="24"/>
        </w:rPr>
        <w:t xml:space="preserve">g out a range of activities in several Montenegrin towns. In July, the government established a temporary body for the implementation of the public information strategy. Implementation of the 2018-2020 Open Government Partnership Initiative action plan is </w:t>
      </w:r>
      <w:r>
        <w:rPr>
          <w:rFonts w:cs="Times New Roman"/>
          <w:noProof/>
          <w:szCs w:val="24"/>
        </w:rPr>
        <w:t xml:space="preserve">under way. </w:t>
      </w:r>
    </w:p>
    <w:p w:rsidR="003C2144" w:rsidRDefault="00FB7959">
      <w:pPr>
        <w:spacing w:after="120" w:line="240" w:lineRule="auto"/>
        <w:jc w:val="both"/>
        <w:rPr>
          <w:rFonts w:cs="Times New Roman"/>
          <w:noProof/>
          <w:szCs w:val="24"/>
        </w:rPr>
      </w:pPr>
      <w:r>
        <w:rPr>
          <w:rFonts w:cs="Times New Roman"/>
          <w:noProof/>
          <w:szCs w:val="24"/>
        </w:rPr>
        <w:t>In December 2019, Parliament enacted the law on electronic governance as well as amendments to the law on electronic identification and signatures. The government regularly produces analysis of the state of electronic services in Montenegro, pr</w:t>
      </w:r>
      <w:r>
        <w:rPr>
          <w:rFonts w:cs="Times New Roman"/>
          <w:noProof/>
          <w:szCs w:val="24"/>
        </w:rPr>
        <w:t>oposing concrete measures for their improvement. Through an online e-petition platform established in April 2018, five public petitions were submitted, none of which was accepted. Following a series of grassroots protests in October against the constructio</w:t>
      </w:r>
      <w:r>
        <w:rPr>
          <w:rFonts w:cs="Times New Roman"/>
          <w:noProof/>
          <w:szCs w:val="24"/>
        </w:rPr>
        <w:t>n of hydropower plants, t</w:t>
      </w:r>
      <w:r>
        <w:rPr>
          <w:rFonts w:cs="Times New Roman"/>
          <w:iCs/>
          <w:noProof/>
          <w:szCs w:val="24"/>
        </w:rPr>
        <w:t xml:space="preserve">he government initiated negotiations on the amicable termination of contracts for constructing seven small hydropower plants in four northern municipalities. Contrary to the law on state administration, the government continues to </w:t>
      </w:r>
      <w:r>
        <w:rPr>
          <w:rFonts w:cs="Times New Roman"/>
          <w:iCs/>
          <w:noProof/>
          <w:szCs w:val="24"/>
        </w:rPr>
        <w:t>adopt a number of laws affecting citizens’ rights without ensuring proper public inclusiveness and participation. P</w:t>
      </w:r>
      <w:r>
        <w:rPr>
          <w:rFonts w:cs="Times New Roman"/>
          <w:noProof/>
          <w:szCs w:val="24"/>
        </w:rPr>
        <w:t xml:space="preserve">ublic consultations in the legislative and policymaking process still lack the genuine and systematic inclusion of relevant stakeholders. </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On</w:t>
      </w:r>
      <w:r>
        <w:rPr>
          <w:rFonts w:cs="Times New Roman"/>
          <w:b/>
          <w:noProof/>
          <w:szCs w:val="24"/>
        </w:rPr>
        <w:t xml:space="preserve"> local self-government</w:t>
      </w:r>
      <w:r>
        <w:rPr>
          <w:rFonts w:cs="Times New Roman"/>
          <w:noProof/>
          <w:szCs w:val="24"/>
        </w:rPr>
        <w:t>, in May 2019, Parliament enacted amendments to the laws on local self-government and on municipal police as well as accompanying secondary legislation. These provide that recruitment to local self-governments should be conducted in l</w:t>
      </w:r>
      <w:r>
        <w:rPr>
          <w:rFonts w:cs="Times New Roman"/>
          <w:noProof/>
          <w:szCs w:val="24"/>
        </w:rPr>
        <w:t xml:space="preserve">ine with the national system of merit-based recruitment and use the system for electronic testing </w:t>
      </w:r>
      <w:r>
        <w:rPr>
          <w:rFonts w:eastAsia="Times New Roman" w:cs="Times New Roman"/>
          <w:iCs/>
          <w:noProof/>
          <w:szCs w:val="24"/>
          <w:lang w:eastAsia="en-GB"/>
        </w:rPr>
        <w:t>for the professional exam to work in the public administration</w:t>
      </w:r>
      <w:r>
        <w:rPr>
          <w:rFonts w:cs="Times New Roman"/>
          <w:noProof/>
          <w:szCs w:val="24"/>
        </w:rPr>
        <w:t xml:space="preserve">. </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 xml:space="preserve">Implementation of the law on local self-government delivered initial positive effects in the field of local government's financing. This increased municipalities' revenues from both personal income tax and from the equalisation fund transfers. The law was </w:t>
      </w:r>
      <w:r>
        <w:rPr>
          <w:rFonts w:cs="Times New Roman"/>
          <w:noProof/>
          <w:szCs w:val="24"/>
        </w:rPr>
        <w:t xml:space="preserve">challenged by a parliamentary opposition party before the Constitutional Court. The Constitutional Court rejected the request. The transparency of municipal finances and spending needs to be considerably improved. </w:t>
      </w:r>
    </w:p>
    <w:p w:rsidR="003C2144" w:rsidRDefault="00FB7959">
      <w:pPr>
        <w:autoSpaceDE w:val="0"/>
        <w:autoSpaceDN w:val="0"/>
        <w:adjustRightInd w:val="0"/>
        <w:spacing w:after="120" w:line="240" w:lineRule="auto"/>
        <w:jc w:val="both"/>
        <w:rPr>
          <w:rFonts w:eastAsia="Times New Roman" w:cs="Times New Roman"/>
          <w:iCs/>
          <w:noProof/>
          <w:szCs w:val="24"/>
          <w:lang w:eastAsia="en-GB"/>
        </w:rPr>
      </w:pPr>
      <w:r>
        <w:rPr>
          <w:rFonts w:cs="Times New Roman"/>
          <w:noProof/>
          <w:szCs w:val="24"/>
        </w:rPr>
        <w:t>The mayor of Kotor, a member of the oppos</w:t>
      </w:r>
      <w:r>
        <w:rPr>
          <w:rFonts w:cs="Times New Roman"/>
          <w:noProof/>
          <w:szCs w:val="24"/>
        </w:rPr>
        <w:t>ition, was replaced by a ruling party representative in July, following a rift in the local opposition coalition. In June 2019, the Pljevlja local assembly elected a new mayor following the resignation of the previous one. Women’s political participation r</w:t>
      </w:r>
      <w:r>
        <w:rPr>
          <w:rFonts w:cs="Times New Roman"/>
          <w:noProof/>
          <w:szCs w:val="24"/>
        </w:rPr>
        <w:t>emains low also at local level, with only 1 out of 24 municipalities headed by a woman mayor.</w:t>
      </w:r>
    </w:p>
    <w:p w:rsidR="003C2144" w:rsidRDefault="00FB7959">
      <w:pPr>
        <w:autoSpaceDE w:val="0"/>
        <w:autoSpaceDN w:val="0"/>
        <w:adjustRightInd w:val="0"/>
        <w:spacing w:after="120" w:line="240" w:lineRule="auto"/>
        <w:jc w:val="both"/>
        <w:rPr>
          <w:rFonts w:cs="Times New Roman"/>
          <w:b/>
          <w:noProof/>
          <w:szCs w:val="24"/>
        </w:rPr>
      </w:pPr>
      <w:r>
        <w:rPr>
          <w:rFonts w:cs="Times New Roman"/>
          <w:b/>
          <w:noProof/>
          <w:szCs w:val="24"/>
        </w:rPr>
        <w:t>Civil society</w:t>
      </w:r>
    </w:p>
    <w:tbl>
      <w:tblPr>
        <w:tblStyle w:val="TableGrid311"/>
        <w:tblW w:w="0" w:type="auto"/>
        <w:shd w:val="clear" w:color="auto" w:fill="D9D9D9" w:themeFill="background1" w:themeFillShade="D9"/>
        <w:tblLook w:val="04A0" w:firstRow="1" w:lastRow="0" w:firstColumn="1" w:lastColumn="0" w:noHBand="0" w:noVBand="1"/>
      </w:tblPr>
      <w:tblGrid>
        <w:gridCol w:w="9464"/>
      </w:tblGrid>
      <w:tr w:rsidR="003C2144">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spacing w:after="120" w:line="240" w:lineRule="auto"/>
              <w:jc w:val="both"/>
              <w:rPr>
                <w:rFonts w:cs="Times New Roman"/>
                <w:b/>
                <w:noProof/>
                <w:szCs w:val="24"/>
              </w:rPr>
            </w:pPr>
            <w:r>
              <w:rPr>
                <w:rFonts w:cs="Times New Roman"/>
                <w:noProof/>
                <w:szCs w:val="24"/>
              </w:rPr>
              <w:t xml:space="preserve">The legal, institutional and financial environment under which civil society organisations operate was further improved, in particular the rules on </w:t>
            </w:r>
            <w:r>
              <w:rPr>
                <w:rFonts w:cs="Times New Roman"/>
                <w:noProof/>
                <w:szCs w:val="24"/>
              </w:rPr>
              <w:t>State funding of non-governmental organisations (NGOs). The role of civil society in the design, implementation and monitoring of public policies is recognised and promoted. However, the genuine inclusion of civil society organisations (CSOs) in the policy</w:t>
            </w:r>
            <w:r>
              <w:rPr>
                <w:rFonts w:cs="Times New Roman"/>
                <w:noProof/>
                <w:szCs w:val="24"/>
              </w:rPr>
              <w:t xml:space="preserve">-making process is not sufficiently ensured in practice. An increasingly restrictive approach to public access to information remains a matter of concern. </w:t>
            </w:r>
          </w:p>
        </w:tc>
      </w:tr>
    </w:tbl>
    <w:p w:rsidR="003C2144" w:rsidRDefault="00FB7959">
      <w:pPr>
        <w:spacing w:after="120" w:line="240" w:lineRule="auto"/>
        <w:jc w:val="both"/>
        <w:rPr>
          <w:rFonts w:cs="Times New Roman"/>
          <w:noProof/>
          <w:szCs w:val="24"/>
          <w:lang w:eastAsia="en-GB"/>
        </w:rPr>
      </w:pPr>
      <w:bookmarkStart w:id="25" w:name="_Toc30080557"/>
      <w:bookmarkStart w:id="26" w:name="_Toc30074118"/>
      <w:bookmarkStart w:id="27" w:name="_Toc30073805"/>
      <w:bookmarkStart w:id="28" w:name="_Toc9585289"/>
      <w:r>
        <w:rPr>
          <w:rFonts w:cs="Times New Roman"/>
          <w:noProof/>
          <w:szCs w:val="24"/>
          <w:lang w:eastAsia="en-GB"/>
        </w:rPr>
        <w:t>An empowered civil society is a crucial component of any democratic system and should be recognised</w:t>
      </w:r>
      <w:r>
        <w:rPr>
          <w:rFonts w:cs="Times New Roman"/>
          <w:noProof/>
          <w:szCs w:val="24"/>
          <w:lang w:eastAsia="en-GB"/>
        </w:rPr>
        <w:t xml:space="preserve"> and treated as such by state institutions. </w:t>
      </w:r>
    </w:p>
    <w:p w:rsidR="003C2144" w:rsidRDefault="00FB7959">
      <w:pPr>
        <w:spacing w:after="120" w:line="240" w:lineRule="auto"/>
        <w:jc w:val="both"/>
        <w:rPr>
          <w:rFonts w:cs="Times New Roman"/>
          <w:noProof/>
          <w:szCs w:val="24"/>
        </w:rPr>
      </w:pPr>
      <w:r>
        <w:rPr>
          <w:rFonts w:cs="Times New Roman"/>
          <w:noProof/>
          <w:szCs w:val="24"/>
          <w:lang w:eastAsia="en-GB"/>
        </w:rPr>
        <w:t xml:space="preserve">The overall legal and institutional framework on freedom of expression, of association and assembly is in place. </w:t>
      </w:r>
      <w:r>
        <w:rPr>
          <w:rFonts w:cs="Times New Roman"/>
          <w:noProof/>
          <w:szCs w:val="24"/>
        </w:rPr>
        <w:t>The law on Non-Governmental Organisations, amended in 2017, and its secondary legislation, which d</w:t>
      </w:r>
      <w:r>
        <w:rPr>
          <w:rFonts w:cs="Times New Roman"/>
          <w:noProof/>
          <w:szCs w:val="24"/>
        </w:rPr>
        <w:t>efined standardised and more transparent state funding mechanisms, have started to be implemented. However, the capacity to launch and handle grant schemes still needs to be improved and capacity varies amongst ministries. In April 2020, the Ministry of Pu</w:t>
      </w:r>
      <w:r>
        <w:rPr>
          <w:rFonts w:cs="Times New Roman"/>
          <w:noProof/>
          <w:szCs w:val="24"/>
        </w:rPr>
        <w:t>blic Administration launched public consultations to assess the implementation of the law, and set up a working group where one third of the members are NGO representatives. A law on volunteering has yet to be adopted. Further steps were taken to improve d</w:t>
      </w:r>
      <w:r>
        <w:rPr>
          <w:rFonts w:cs="Times New Roman"/>
          <w:noProof/>
          <w:szCs w:val="24"/>
        </w:rPr>
        <w:t>ialogue on cooperation between public institutions and civil society. The Council for the Development of NGOs, a body consisting of an equal number of state officials and CSO representatives, intensified its work in 2019. However, it still lacks visibility</w:t>
      </w:r>
      <w:r>
        <w:rPr>
          <w:rFonts w:cs="Times New Roman"/>
          <w:noProof/>
          <w:szCs w:val="24"/>
        </w:rPr>
        <w:t xml:space="preserve"> and outreach to local CSOs in more remote areas. The NGO strategy continued to be implemented. A final evaluation of the strategy 2018-2020 is under preparation. The process of drafting a new NGO Strategy for 2021-2023 was launched, with the participation</w:t>
      </w:r>
      <w:r>
        <w:rPr>
          <w:rFonts w:cs="Times New Roman"/>
          <w:noProof/>
          <w:szCs w:val="24"/>
        </w:rPr>
        <w:t xml:space="preserve"> of representatives of the civil society in the relevant working group.  </w:t>
      </w:r>
    </w:p>
    <w:p w:rsidR="003C2144" w:rsidRDefault="00FB7959">
      <w:pPr>
        <w:spacing w:after="120" w:line="240" w:lineRule="auto"/>
        <w:jc w:val="both"/>
        <w:rPr>
          <w:rFonts w:cs="Times New Roman"/>
          <w:noProof/>
          <w:szCs w:val="24"/>
        </w:rPr>
      </w:pPr>
      <w:r>
        <w:rPr>
          <w:rFonts w:cs="Times New Roman"/>
          <w:noProof/>
          <w:szCs w:val="24"/>
        </w:rPr>
        <w:t xml:space="preserve">Civil society continues to be actively involved in the accession process, including in the different working groups on the negotiation chapters. Its role in the accession process is </w:t>
      </w:r>
      <w:r>
        <w:rPr>
          <w:rFonts w:cs="Times New Roman"/>
          <w:noProof/>
          <w:szCs w:val="24"/>
        </w:rPr>
        <w:t>recognised and promoted at political level. However, in many cases, NGOs’ participation in working groups remains a formality; the lack of timely information, inclusion and openness to their recommendations prevents them from influencing the decision-makin</w:t>
      </w:r>
      <w:r>
        <w:rPr>
          <w:rFonts w:cs="Times New Roman"/>
          <w:noProof/>
          <w:szCs w:val="24"/>
        </w:rPr>
        <w:t>g process. In February 2020, the Prime Minister launched a series of consultations with civil society, media and political stakeholders on issues of key importance for Montenegro's accession process. The initiative resumed in May 2020 after being temporari</w:t>
      </w:r>
      <w:r>
        <w:rPr>
          <w:rFonts w:cs="Times New Roman"/>
          <w:noProof/>
          <w:szCs w:val="24"/>
        </w:rPr>
        <w:t xml:space="preserve">ly put on hold in March 2020 due to the coronavirus outbreak. </w:t>
      </w:r>
    </w:p>
    <w:p w:rsidR="003C2144" w:rsidRDefault="00FB7959">
      <w:pPr>
        <w:spacing w:after="120" w:line="240" w:lineRule="auto"/>
        <w:jc w:val="both"/>
        <w:rPr>
          <w:rFonts w:cs="Times New Roman"/>
          <w:noProof/>
          <w:szCs w:val="24"/>
        </w:rPr>
      </w:pPr>
      <w:r>
        <w:rPr>
          <w:rFonts w:cs="Times New Roman"/>
          <w:noProof/>
          <w:szCs w:val="24"/>
        </w:rPr>
        <w:t>The amount of information classified by public institutions and withheld from the public is growing, in practice restricting the access of CSOs and the public to key policy decisions. This conc</w:t>
      </w:r>
      <w:r>
        <w:rPr>
          <w:rFonts w:cs="Times New Roman"/>
          <w:noProof/>
          <w:szCs w:val="24"/>
        </w:rPr>
        <w:t>ern needs to be addressed as a matter of priority, including in reviewing the legal framework, to ensure civil society has genuine oversight in key policy areas. Consultations on the draft law on free access to information were temporarily suspended at the</w:t>
      </w:r>
      <w:r>
        <w:rPr>
          <w:rFonts w:cs="Times New Roman"/>
          <w:noProof/>
          <w:szCs w:val="24"/>
        </w:rPr>
        <w:t xml:space="preserve"> request of civil society during the coronavirus pandemic.</w:t>
      </w:r>
    </w:p>
    <w:p w:rsidR="003C2144" w:rsidRDefault="00FB7959">
      <w:pPr>
        <w:spacing w:after="120" w:line="240" w:lineRule="auto"/>
        <w:jc w:val="both"/>
        <w:rPr>
          <w:rFonts w:cs="Times New Roman"/>
          <w:noProof/>
          <w:szCs w:val="24"/>
        </w:rPr>
      </w:pPr>
      <w:r>
        <w:rPr>
          <w:rFonts w:cs="Times New Roman"/>
          <w:noProof/>
          <w:szCs w:val="24"/>
        </w:rPr>
        <w:t>The 2018 controversial dismissals of prominent NGO representatives from key state institutions and regulatory bodies were deemed unlawful by court decisions issued in the course of 2019. Notwithsta</w:t>
      </w:r>
      <w:r>
        <w:rPr>
          <w:rFonts w:cs="Times New Roman"/>
          <w:noProof/>
          <w:szCs w:val="24"/>
        </w:rPr>
        <w:t xml:space="preserve">nding these court decisions, some of which are final, the NGO representatives’ membership of the concerned bodies has not been restored. </w:t>
      </w:r>
    </w:p>
    <w:p w:rsidR="003C2144" w:rsidRDefault="00FB7959">
      <w:pPr>
        <w:spacing w:after="120" w:line="240" w:lineRule="auto"/>
        <w:jc w:val="both"/>
        <w:rPr>
          <w:rFonts w:cs="Times New Roman"/>
          <w:noProof/>
          <w:szCs w:val="24"/>
        </w:rPr>
      </w:pPr>
      <w:r>
        <w:rPr>
          <w:rFonts w:cs="Times New Roman"/>
          <w:noProof/>
          <w:szCs w:val="24"/>
        </w:rPr>
        <w:t>The rules for public funding of CSOs secure a minimum of 0.5 % of the state budget to be allocated to civil society. I</w:t>
      </w:r>
      <w:r>
        <w:rPr>
          <w:rFonts w:cs="Times New Roman"/>
          <w:noProof/>
          <w:szCs w:val="24"/>
        </w:rPr>
        <w:t xml:space="preserve">n 2019, this budget amounted to EUR 3.7 million (compared with EUR 4 million in 2020). While the overall process has become more transparent in recent years with the recruitment of external assessors, concerns over the evaluation process persist. </w:t>
      </w:r>
    </w:p>
    <w:p w:rsidR="003C2144" w:rsidRDefault="00FB7959">
      <w:pPr>
        <w:spacing w:after="120" w:line="240" w:lineRule="auto"/>
        <w:jc w:val="both"/>
        <w:rPr>
          <w:rFonts w:cs="Times New Roman"/>
          <w:noProof/>
          <w:szCs w:val="24"/>
        </w:rPr>
      </w:pPr>
      <w:r>
        <w:rPr>
          <w:rFonts w:cs="Times New Roman"/>
          <w:noProof/>
          <w:szCs w:val="24"/>
        </w:rPr>
        <w:t>The tran</w:t>
      </w:r>
      <w:r>
        <w:rPr>
          <w:rFonts w:cs="Times New Roman"/>
          <w:noProof/>
          <w:szCs w:val="24"/>
        </w:rPr>
        <w:t>sparency of state funding has improved with the establishment of an online database of CSO projects that have received state funds since 2009.</w:t>
      </w:r>
    </w:p>
    <w:p w:rsidR="003C2144" w:rsidRDefault="00FB7959">
      <w:pPr>
        <w:spacing w:after="120" w:line="240" w:lineRule="auto"/>
        <w:jc w:val="both"/>
        <w:rPr>
          <w:rFonts w:eastAsia="Times New Roman" w:cs="Times New Roman"/>
          <w:iCs/>
          <w:noProof/>
          <w:szCs w:val="24"/>
          <w:lang w:eastAsia="en-GB"/>
        </w:rPr>
      </w:pPr>
      <w:r>
        <w:rPr>
          <w:rFonts w:cs="Times New Roman"/>
          <w:noProof/>
          <w:szCs w:val="24"/>
        </w:rPr>
        <w:t xml:space="preserve">CSOs can also access funds at local level under the law on local self-governments, but the majority of municipalities lack transparent procedures. </w:t>
      </w:r>
      <w:bookmarkEnd w:id="25"/>
      <w:bookmarkEnd w:id="26"/>
      <w:bookmarkEnd w:id="27"/>
      <w:bookmarkEnd w:id="28"/>
    </w:p>
    <w:p w:rsidR="003C2144" w:rsidRDefault="00FB7959">
      <w:pPr>
        <w:pStyle w:val="Heading2"/>
        <w:spacing w:before="0" w:line="240" w:lineRule="auto"/>
        <w:rPr>
          <w:rFonts w:cs="Times New Roman"/>
          <w:noProof/>
          <w:szCs w:val="24"/>
        </w:rPr>
      </w:pPr>
      <w:bookmarkStart w:id="29" w:name="_Toc52744925"/>
      <w:r>
        <w:rPr>
          <w:rFonts w:cs="Times New Roman"/>
          <w:noProof/>
          <w:szCs w:val="24"/>
        </w:rPr>
        <w:t>2.1.2.</w:t>
      </w:r>
      <w:r>
        <w:rPr>
          <w:rFonts w:cs="Times New Roman"/>
          <w:noProof/>
          <w:szCs w:val="24"/>
        </w:rPr>
        <w:tab/>
        <w:t>Public administration reform</w:t>
      </w:r>
      <w:bookmarkEnd w:id="29"/>
      <w:r>
        <w:rPr>
          <w:rFonts w:cs="Times New Roman"/>
          <w:noProof/>
          <w:szCs w:val="24"/>
        </w:rPr>
        <w:t xml:space="preserve">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noProof/>
          <w:szCs w:val="24"/>
          <w:lang w:val="en-IE" w:bidi="en-US"/>
        </w:rPr>
      </w:pPr>
      <w:r>
        <w:rPr>
          <w:rFonts w:eastAsia="Times New Roman" w:cs="Times New Roman"/>
          <w:noProof/>
          <w:szCs w:val="24"/>
          <w:lang w:val="en-IE" w:bidi="en-US"/>
        </w:rPr>
        <w:t xml:space="preserve">Montenegro is </w:t>
      </w:r>
      <w:r>
        <w:rPr>
          <w:rFonts w:eastAsia="Times New Roman" w:cs="Times New Roman"/>
          <w:b/>
          <w:noProof/>
          <w:szCs w:val="24"/>
          <w:lang w:val="en-IE" w:bidi="en-US"/>
        </w:rPr>
        <w:t>moderately prepared</w:t>
      </w:r>
      <w:r>
        <w:rPr>
          <w:rFonts w:eastAsia="Times New Roman" w:cs="Times New Roman"/>
          <w:noProof/>
          <w:szCs w:val="24"/>
          <w:lang w:val="en-IE" w:bidi="en-US"/>
        </w:rPr>
        <w:t xml:space="preserve"> on the reform of its public administr</w:t>
      </w:r>
      <w:r>
        <w:rPr>
          <w:rFonts w:eastAsia="Times New Roman" w:cs="Times New Roman"/>
          <w:noProof/>
          <w:szCs w:val="24"/>
          <w:lang w:val="en-IE" w:bidi="en-US"/>
        </w:rPr>
        <w:t xml:space="preserve">ation. Overall, </w:t>
      </w:r>
      <w:r>
        <w:rPr>
          <w:rFonts w:eastAsia="Times New Roman" w:cs="Times New Roman"/>
          <w:b/>
          <w:noProof/>
          <w:szCs w:val="24"/>
          <w:lang w:val="en-IE" w:bidi="en-US"/>
        </w:rPr>
        <w:t>some progress</w:t>
      </w:r>
      <w:r>
        <w:rPr>
          <w:rFonts w:eastAsia="Times New Roman" w:cs="Times New Roman"/>
          <w:noProof/>
          <w:szCs w:val="24"/>
          <w:lang w:val="en-IE" w:bidi="en-US"/>
        </w:rPr>
        <w:t xml:space="preserve"> was made as one of last year’s recommendations was addressed (the start of implementation of the law on civil servants. In addition, the medium-term policy</w:t>
      </w:r>
      <w:r>
        <w:rPr>
          <w:rFonts w:eastAsia="Times New Roman" w:cs="Times New Roman"/>
          <w:noProof/>
          <w:szCs w:val="24"/>
          <w:lang w:val="en-IE" w:bidi="en-US"/>
        </w:rPr>
        <w:softHyphen/>
        <w:t xml:space="preserve"> planning framework, merit-based recruitment, human resource managemen</w:t>
      </w:r>
      <w:r>
        <w:rPr>
          <w:rFonts w:eastAsia="Times New Roman" w:cs="Times New Roman"/>
          <w:noProof/>
          <w:szCs w:val="24"/>
          <w:lang w:val="en-IE" w:bidi="en-US"/>
        </w:rPr>
        <w:t>t and rationalising the organisation of the state administration continued to advance well. While strong political will is still needed to effectively address de-politicisation of the public service, ensure the optimisation of the state administration, and</w:t>
      </w:r>
      <w:r>
        <w:rPr>
          <w:rFonts w:eastAsia="Times New Roman" w:cs="Times New Roman"/>
          <w:noProof/>
          <w:szCs w:val="24"/>
          <w:lang w:val="en-IE" w:bidi="en-US"/>
        </w:rPr>
        <w:t xml:space="preserve"> effective implementation of managerial accountability, including the delegation of decision-making. Two of the Commission’s recommendations from 2019 remain valid.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noProof/>
          <w:szCs w:val="24"/>
          <w:lang w:val="en-IE" w:bidi="en-US"/>
        </w:rPr>
      </w:pPr>
      <w:r>
        <w:rPr>
          <w:rFonts w:eastAsia="Times New Roman" w:cs="Times New Roman"/>
          <w:noProof/>
          <w:szCs w:val="24"/>
          <w:lang w:val="en-IE" w:bidi="en-US"/>
        </w:rPr>
        <w:t>In the coming year, Montenegro should in particular:</w:t>
      </w:r>
    </w:p>
    <w:p w:rsidR="003C2144" w:rsidRDefault="00FB795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val="en-IE" w:bidi="en-US"/>
        </w:rPr>
      </w:pPr>
      <w:r>
        <w:rPr>
          <w:rFonts w:ascii="Times New Roman" w:eastAsia="Times New Roman" w:hAnsi="Times New Roman" w:cs="Times New Roman"/>
          <w:noProof/>
          <w:sz w:val="24"/>
          <w:szCs w:val="24"/>
          <w:lang w:val="en-IE" w:bidi="en-US"/>
        </w:rPr>
        <w:t>draft and adopt new Public Administra</w:t>
      </w:r>
      <w:r>
        <w:rPr>
          <w:rFonts w:ascii="Times New Roman" w:eastAsia="Times New Roman" w:hAnsi="Times New Roman" w:cs="Times New Roman"/>
          <w:noProof/>
          <w:sz w:val="24"/>
          <w:szCs w:val="24"/>
          <w:lang w:val="en-IE" w:bidi="en-US"/>
        </w:rPr>
        <w:t>tive Reform (PAR) and Public Financial Management (PFM</w:t>
      </w:r>
      <w:r>
        <w:rPr>
          <w:rFonts w:ascii="Times New Roman" w:eastAsia="Times New Roman" w:hAnsi="Times New Roman" w:cs="Times New Roman"/>
          <w:noProof/>
          <w:sz w:val="24"/>
          <w:szCs w:val="24"/>
          <w:lang w:bidi="en-US"/>
        </w:rPr>
        <w:t>)</w:t>
      </w:r>
      <w:r>
        <w:rPr>
          <w:rFonts w:ascii="Times New Roman" w:eastAsia="Times New Roman" w:hAnsi="Times New Roman" w:cs="Times New Roman"/>
          <w:noProof/>
          <w:sz w:val="24"/>
          <w:szCs w:val="24"/>
          <w:lang w:val="en-IE" w:bidi="en-US"/>
        </w:rPr>
        <w:t xml:space="preserve"> strategies with realistic objectives, based on the results of the evaluation of the previous strategy, and assessment and the 2019 PEFA, respectively;</w:t>
      </w:r>
    </w:p>
    <w:p w:rsidR="003C2144" w:rsidRDefault="00FB795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val="en-IE" w:bidi="en-US"/>
        </w:rPr>
      </w:pPr>
      <w:r>
        <w:rPr>
          <w:rFonts w:ascii="Times New Roman" w:eastAsia="Times New Roman" w:hAnsi="Times New Roman" w:cs="Times New Roman"/>
          <w:noProof/>
          <w:sz w:val="24"/>
          <w:szCs w:val="24"/>
          <w:lang w:val="en-IE" w:bidi="en-US"/>
        </w:rPr>
        <w:t xml:space="preserve">continue with optimisation of the public </w:t>
      </w:r>
      <w:r>
        <w:rPr>
          <w:rFonts w:ascii="Times New Roman" w:eastAsia="Times New Roman" w:hAnsi="Times New Roman" w:cs="Times New Roman"/>
          <w:noProof/>
          <w:sz w:val="24"/>
          <w:szCs w:val="24"/>
          <w:lang w:val="en-IE" w:bidi="en-US"/>
        </w:rPr>
        <w:t>administration through effective implementation of the plan;</w:t>
      </w:r>
    </w:p>
    <w:p w:rsidR="003C2144" w:rsidRDefault="00FB795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val="en-IE" w:bidi="en-US"/>
        </w:rPr>
      </w:pPr>
      <w:r>
        <w:rPr>
          <w:rFonts w:ascii="Times New Roman" w:eastAsia="Times New Roman" w:hAnsi="Times New Roman" w:cs="Times New Roman"/>
          <w:noProof/>
          <w:sz w:val="24"/>
          <w:szCs w:val="24"/>
          <w:lang w:val="en-IE" w:bidi="en-US"/>
        </w:rPr>
        <w:t>improve citizens’ access to public information by finalising the Law on access to information in line with the SIGMA principles of public administration.</w:t>
      </w:r>
    </w:p>
    <w:p w:rsidR="003C2144" w:rsidRDefault="00FB7959">
      <w:pPr>
        <w:spacing w:after="120" w:line="240" w:lineRule="auto"/>
        <w:jc w:val="both"/>
        <w:rPr>
          <w:rFonts w:eastAsia="Times New Roman" w:cs="Times New Roman"/>
          <w:noProof/>
          <w:szCs w:val="24"/>
          <w:u w:val="single"/>
          <w:lang w:eastAsia="en-GB"/>
        </w:rPr>
      </w:pPr>
      <w:r>
        <w:rPr>
          <w:rFonts w:eastAsia="Times New Roman" w:cs="Times New Roman"/>
          <w:noProof/>
          <w:szCs w:val="24"/>
          <w:u w:val="single"/>
          <w:lang w:eastAsia="en-GB"/>
        </w:rPr>
        <w:t>Public administration reform</w:t>
      </w:r>
    </w:p>
    <w:p w:rsidR="003C2144" w:rsidRDefault="00FB7959">
      <w:pPr>
        <w:spacing w:after="120" w:line="240" w:lineRule="auto"/>
        <w:jc w:val="both"/>
        <w:rPr>
          <w:rFonts w:eastAsia="Times New Roman" w:cs="Times New Roman"/>
          <w:noProof/>
          <w:szCs w:val="24"/>
          <w:lang w:eastAsia="en-GB"/>
        </w:rPr>
      </w:pPr>
      <w:r>
        <w:rPr>
          <w:rFonts w:cs="Times New Roman"/>
          <w:noProof/>
          <w:szCs w:val="24"/>
        </w:rPr>
        <w:t>The 2018 ann</w:t>
      </w:r>
      <w:r>
        <w:rPr>
          <w:rFonts w:cs="Times New Roman"/>
          <w:noProof/>
          <w:szCs w:val="24"/>
        </w:rPr>
        <w:t>ual report of the</w:t>
      </w:r>
      <w:r>
        <w:rPr>
          <w:rFonts w:eastAsia="Times New Roman" w:cs="Times New Roman"/>
          <w:noProof/>
          <w:szCs w:val="24"/>
          <w:lang w:eastAsia="en-GB"/>
        </w:rPr>
        <w:t xml:space="preserve"> </w:t>
      </w:r>
      <w:r>
        <w:rPr>
          <w:rFonts w:cs="Times New Roman"/>
          <w:b/>
          <w:noProof/>
          <w:szCs w:val="24"/>
        </w:rPr>
        <w:t>2016-2020 public administration reform</w:t>
      </w:r>
      <w:r>
        <w:rPr>
          <w:rFonts w:cs="Times New Roman"/>
          <w:noProof/>
          <w:szCs w:val="24"/>
        </w:rPr>
        <w:t xml:space="preserve"> (PAR) strategy was adopted in May 2019 in line with the standards set down in the decree and methodology on strategic planning. Civil society continues to actively participate in monitoring governmen</w:t>
      </w:r>
      <w:r>
        <w:rPr>
          <w:rFonts w:cs="Times New Roman"/>
          <w:noProof/>
          <w:szCs w:val="24"/>
        </w:rPr>
        <w:t xml:space="preserve">t reforms, and they and other stakeholders have been invited to submit initial proposals towards the drafting of the </w:t>
      </w:r>
      <w:r>
        <w:rPr>
          <w:rFonts w:eastAsia="Calibri" w:cs="Times New Roman"/>
          <w:noProof/>
          <w:szCs w:val="24"/>
        </w:rPr>
        <w:t>planned 2021-2025 Strategy for Public Administration Reform by 1 May</w:t>
      </w:r>
      <w:r>
        <w:rPr>
          <w:rFonts w:cs="Times New Roman"/>
          <w:noProof/>
          <w:szCs w:val="24"/>
        </w:rPr>
        <w:t xml:space="preserve">. </w:t>
      </w:r>
      <w:r>
        <w:rPr>
          <w:rFonts w:cs="Times New Roman"/>
          <w:b/>
          <w:noProof/>
          <w:szCs w:val="24"/>
        </w:rPr>
        <w:t>Political support</w:t>
      </w:r>
      <w:r>
        <w:rPr>
          <w:rFonts w:cs="Times New Roman"/>
          <w:noProof/>
          <w:szCs w:val="24"/>
        </w:rPr>
        <w:t xml:space="preserve"> for the reforms is ensured by the work of the PAR C</w:t>
      </w:r>
      <w:r>
        <w:rPr>
          <w:rFonts w:cs="Times New Roman"/>
          <w:noProof/>
          <w:szCs w:val="24"/>
        </w:rPr>
        <w:t xml:space="preserve">ouncil, which held two sessions during the reporting period. As regards their </w:t>
      </w:r>
      <w:r>
        <w:rPr>
          <w:rFonts w:cs="Times New Roman"/>
          <w:b/>
          <w:noProof/>
          <w:szCs w:val="24"/>
        </w:rPr>
        <w:t>financial sustainability</w:t>
      </w:r>
      <w:r>
        <w:rPr>
          <w:rFonts w:cs="Times New Roman"/>
          <w:noProof/>
          <w:szCs w:val="24"/>
        </w:rPr>
        <w:t xml:space="preserve">, the reforms remain dependent on donor funding. </w:t>
      </w:r>
    </w:p>
    <w:p w:rsidR="003C2144" w:rsidRDefault="00FB7959">
      <w:pPr>
        <w:spacing w:after="120" w:line="240" w:lineRule="auto"/>
        <w:jc w:val="both"/>
        <w:rPr>
          <w:rFonts w:eastAsia="Times New Roman" w:cs="Times New Roman"/>
          <w:noProof/>
          <w:szCs w:val="24"/>
          <w:u w:val="single"/>
          <w:lang w:eastAsia="en-GB"/>
        </w:rPr>
      </w:pPr>
      <w:r>
        <w:rPr>
          <w:rFonts w:eastAsia="Times New Roman" w:cs="Times New Roman"/>
          <w:noProof/>
          <w:szCs w:val="24"/>
          <w:u w:val="single"/>
          <w:lang w:eastAsia="en-GB"/>
        </w:rPr>
        <w:t>Medium-term policy planning and reporting system</w:t>
      </w:r>
    </w:p>
    <w:p w:rsidR="003C2144" w:rsidRDefault="00FB7959">
      <w:pPr>
        <w:spacing w:after="120" w:line="240" w:lineRule="auto"/>
        <w:jc w:val="both"/>
        <w:rPr>
          <w:rFonts w:cs="Times New Roman"/>
          <w:noProof/>
          <w:szCs w:val="24"/>
        </w:rPr>
      </w:pPr>
      <w:r>
        <w:rPr>
          <w:rFonts w:cs="Times New Roman"/>
          <w:noProof/>
          <w:szCs w:val="24"/>
        </w:rPr>
        <w:t>Montenegro’s medium-term</w:t>
      </w:r>
      <w:r>
        <w:rPr>
          <w:rFonts w:cs="Times New Roman"/>
          <w:b/>
          <w:noProof/>
          <w:szCs w:val="24"/>
        </w:rPr>
        <w:t xml:space="preserve"> policy planning and reporting </w:t>
      </w:r>
      <w:r>
        <w:rPr>
          <w:rFonts w:cs="Times New Roman"/>
          <w:b/>
          <w:noProof/>
          <w:szCs w:val="24"/>
        </w:rPr>
        <w:t>system</w:t>
      </w:r>
      <w:r>
        <w:rPr>
          <w:rFonts w:cs="Times New Roman"/>
          <w:noProof/>
          <w:szCs w:val="24"/>
        </w:rPr>
        <w:t xml:space="preserve"> was further strengthened through the implementation of the decree on the method and procedure for drafting, harmonising and monitoring the implementation of strategic documents. In particular, the network for strategic planning and training for rele</w:t>
      </w:r>
      <w:r>
        <w:rPr>
          <w:rFonts w:cs="Times New Roman"/>
          <w:noProof/>
          <w:szCs w:val="24"/>
        </w:rPr>
        <w:t>vant staff in ministries was expanded. The General Secretariat of the government has an active role in monitoring implementation of the decree and ensuring quality control by issuing opinions on draft strategic documents, which accompany the texts when the</w:t>
      </w:r>
      <w:r>
        <w:rPr>
          <w:rFonts w:cs="Times New Roman"/>
          <w:noProof/>
          <w:szCs w:val="24"/>
        </w:rPr>
        <w:t>y are presented to the government for adoption. The methodology also aims to rationalise such documents and has led to a reduction in their number.</w:t>
      </w:r>
    </w:p>
    <w:p w:rsidR="003C2144" w:rsidRDefault="00FB7959">
      <w:pPr>
        <w:spacing w:after="120" w:line="240" w:lineRule="auto"/>
        <w:jc w:val="both"/>
        <w:rPr>
          <w:rFonts w:cs="Times New Roman"/>
          <w:noProof/>
          <w:szCs w:val="24"/>
        </w:rPr>
      </w:pPr>
      <w:r>
        <w:rPr>
          <w:rFonts w:cs="Times New Roman"/>
          <w:noProof/>
          <w:szCs w:val="24"/>
        </w:rPr>
        <w:t xml:space="preserve">The </w:t>
      </w:r>
      <w:r>
        <w:rPr>
          <w:rFonts w:cs="Times New Roman"/>
          <w:b/>
          <w:noProof/>
          <w:szCs w:val="24"/>
        </w:rPr>
        <w:t>medium-term fiscal plan</w:t>
      </w:r>
      <w:r>
        <w:rPr>
          <w:rFonts w:cs="Times New Roman"/>
          <w:noProof/>
          <w:szCs w:val="24"/>
        </w:rPr>
        <w:t xml:space="preserve"> is yet to be linked to policy planning. However, the General Secretariat of the </w:t>
      </w:r>
      <w:r>
        <w:rPr>
          <w:rFonts w:cs="Times New Roman"/>
          <w:noProof/>
          <w:szCs w:val="24"/>
        </w:rPr>
        <w:t>government initiated the introduction of mid-term planning system at the level of ministries in line with the new methodology. As a pilot project, the Ministries of Economy, Sustainable Development and Tourism, and Agriculture and Rural Development also ad</w:t>
      </w:r>
      <w:r>
        <w:rPr>
          <w:rFonts w:cs="Times New Roman"/>
          <w:noProof/>
          <w:szCs w:val="24"/>
        </w:rPr>
        <w:t>opted mid-term work programmes, covering 2019-2021 for the first time. In April 2020, the government adopted the first reports on implementation of mid-term work programme of ministries for 2019.</w:t>
      </w:r>
    </w:p>
    <w:p w:rsidR="003C2144" w:rsidRDefault="00FB7959">
      <w:pPr>
        <w:spacing w:after="120" w:line="240" w:lineRule="auto"/>
        <w:jc w:val="both"/>
        <w:rPr>
          <w:rFonts w:eastAsia="Times New Roman" w:cs="Times New Roman"/>
          <w:noProof/>
          <w:szCs w:val="24"/>
          <w:u w:val="single"/>
          <w:lang w:eastAsia="en-GB"/>
        </w:rPr>
      </w:pPr>
      <w:r>
        <w:rPr>
          <w:rFonts w:eastAsia="Times New Roman" w:cs="Times New Roman"/>
          <w:noProof/>
          <w:szCs w:val="24"/>
          <w:u w:val="single"/>
          <w:lang w:eastAsia="en-GB"/>
        </w:rPr>
        <w:t>Public financial management</w:t>
      </w:r>
    </w:p>
    <w:p w:rsidR="003C2144" w:rsidRDefault="00FB7959">
      <w:pPr>
        <w:autoSpaceDE w:val="0"/>
        <w:autoSpaceDN w:val="0"/>
        <w:adjustRightInd w:val="0"/>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The ongoing implementation of the 2016-2020 </w:t>
      </w:r>
      <w:r>
        <w:rPr>
          <w:rFonts w:eastAsia="Times New Roman" w:cs="Times New Roman"/>
          <w:b/>
          <w:noProof/>
          <w:szCs w:val="24"/>
          <w:lang w:eastAsia="en-GB"/>
        </w:rPr>
        <w:t xml:space="preserve">Public Financial Management (PFM) </w:t>
      </w:r>
      <w:r>
        <w:rPr>
          <w:rFonts w:eastAsia="Times New Roman" w:cs="Times New Roman"/>
          <w:noProof/>
          <w:szCs w:val="24"/>
          <w:lang w:eastAsia="en-GB"/>
        </w:rPr>
        <w:t xml:space="preserve">reform programme addresses some key weaknesses of the PFM system. The programme includes bringing the legal and regulatory framework into line with the EU </w:t>
      </w:r>
      <w:r>
        <w:rPr>
          <w:rFonts w:eastAsia="Times New Roman" w:cs="Times New Roman"/>
          <w:i/>
          <w:noProof/>
          <w:szCs w:val="24"/>
          <w:lang w:eastAsia="en-GB"/>
        </w:rPr>
        <w:t>acquis</w:t>
      </w:r>
      <w:r>
        <w:rPr>
          <w:rFonts w:eastAsia="Times New Roman" w:cs="Times New Roman"/>
          <w:noProof/>
          <w:szCs w:val="24"/>
          <w:lang w:eastAsia="en-GB"/>
        </w:rPr>
        <w:t xml:space="preserve"> and updating the existing IT system for the management of the whole budget cycle. However, several key reforms are not included or were removed from the programme since adoption. They include alignment with the ESA 2010, accrual accounting, improvement of</w:t>
      </w:r>
      <w:r>
        <w:rPr>
          <w:rFonts w:eastAsia="Times New Roman" w:cs="Times New Roman"/>
          <w:noProof/>
          <w:szCs w:val="24"/>
          <w:lang w:eastAsia="en-GB"/>
        </w:rPr>
        <w:t xml:space="preserve"> reporting on budget execution, commitment management, cash flow planning and arrears management. Specific action plans on these are pending. The pace of PFM reform implementation increased in 2019 with the implementation of several important activities, i</w:t>
      </w:r>
      <w:r>
        <w:rPr>
          <w:rFonts w:eastAsia="Times New Roman" w:cs="Times New Roman"/>
          <w:noProof/>
          <w:szCs w:val="24"/>
          <w:lang w:eastAsia="en-GB"/>
        </w:rPr>
        <w:t xml:space="preserve">ncluding the preparation of a mid-term budgetary framework, programme budgeting and capital budgeting. </w:t>
      </w:r>
    </w:p>
    <w:p w:rsidR="003C2144" w:rsidRDefault="00FB7959">
      <w:pPr>
        <w:autoSpaceDE w:val="0"/>
        <w:autoSpaceDN w:val="0"/>
        <w:adjustRightInd w:val="0"/>
        <w:spacing w:after="120" w:line="240" w:lineRule="auto"/>
        <w:jc w:val="both"/>
        <w:rPr>
          <w:rFonts w:eastAsia="Times New Roman" w:cs="Times New Roman"/>
          <w:noProof/>
          <w:szCs w:val="24"/>
          <w:lang w:eastAsia="en-GB"/>
        </w:rPr>
      </w:pPr>
      <w:r>
        <w:rPr>
          <w:rFonts w:eastAsia="Times New Roman" w:cs="Times New Roman"/>
          <w:noProof/>
          <w:szCs w:val="24"/>
          <w:lang w:eastAsia="en-GB"/>
        </w:rPr>
        <w:t>The Public Expenditure and Financial Accountability (PEFA) assessment was implemented in 2019. It was quite positive but also identified several areas t</w:t>
      </w:r>
      <w:r>
        <w:rPr>
          <w:rFonts w:eastAsia="Times New Roman" w:cs="Times New Roman"/>
          <w:noProof/>
          <w:szCs w:val="24"/>
          <w:lang w:eastAsia="en-GB"/>
        </w:rPr>
        <w:t xml:space="preserve">hat will need to be addressed in the next PFM strategy. The public sector accounting law was adopted in November 2019; implementation of which is planned to start in 2022, after the adoption of the necessary secondary legislation. </w:t>
      </w:r>
    </w:p>
    <w:p w:rsidR="003C2144" w:rsidRDefault="00FB7959">
      <w:pPr>
        <w:autoSpaceDE w:val="0"/>
        <w:autoSpaceDN w:val="0"/>
        <w:adjustRightInd w:val="0"/>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w:t>
      </w:r>
      <w:r>
        <w:rPr>
          <w:rFonts w:eastAsia="Times New Roman" w:cs="Times New Roman"/>
          <w:b/>
          <w:noProof/>
          <w:szCs w:val="24"/>
          <w:lang w:eastAsia="en-GB"/>
        </w:rPr>
        <w:t>budget transparency</w:t>
      </w:r>
      <w:r>
        <w:rPr>
          <w:rFonts w:eastAsia="Times New Roman" w:cs="Times New Roman"/>
          <w:noProof/>
          <w:szCs w:val="24"/>
          <w:lang w:eastAsia="en-GB"/>
        </w:rPr>
        <w:t xml:space="preserve">, </w:t>
      </w:r>
      <w:r>
        <w:rPr>
          <w:rFonts w:eastAsia="Times New Roman" w:cs="Times New Roman"/>
          <w:noProof/>
          <w:szCs w:val="24"/>
          <w:lang w:eastAsia="en-GB"/>
        </w:rPr>
        <w:t>the government continues to systematically publish the budget proposal and the adopted budget, as well as budget execution reports. However, there is no mechanism to ensure the quality, comprehensiveness and readability of published data. Civil society sho</w:t>
      </w:r>
      <w:r>
        <w:rPr>
          <w:rFonts w:eastAsia="Times New Roman" w:cs="Times New Roman"/>
          <w:noProof/>
          <w:szCs w:val="24"/>
          <w:lang w:eastAsia="en-GB"/>
        </w:rPr>
        <w:t xml:space="preserve">uld be more systematically involved in monitoring the implementation of the PFM reform programme. </w:t>
      </w:r>
    </w:p>
    <w:p w:rsidR="003C2144" w:rsidRDefault="00FB7959">
      <w:pPr>
        <w:spacing w:after="120" w:line="240" w:lineRule="auto"/>
        <w:jc w:val="both"/>
        <w:rPr>
          <w:rFonts w:eastAsia="Times New Roman" w:cs="Times New Roman"/>
          <w:noProof/>
          <w:szCs w:val="24"/>
          <w:u w:val="single"/>
          <w:lang w:eastAsia="en-GB"/>
        </w:rPr>
      </w:pPr>
      <w:r>
        <w:rPr>
          <w:rFonts w:eastAsia="Times New Roman" w:cs="Times New Roman"/>
          <w:noProof/>
          <w:szCs w:val="24"/>
          <w:u w:val="single"/>
          <w:lang w:eastAsia="en-GB"/>
        </w:rPr>
        <w:t>Public service and human resources management</w:t>
      </w:r>
    </w:p>
    <w:p w:rsidR="003C2144" w:rsidRDefault="00FB7959">
      <w:pPr>
        <w:spacing w:after="120" w:line="240" w:lineRule="auto"/>
        <w:jc w:val="both"/>
        <w:rPr>
          <w:rFonts w:eastAsia="Times New Roman" w:cs="Times New Roman"/>
          <w:iCs/>
          <w:noProof/>
          <w:szCs w:val="24"/>
          <w:lang w:eastAsia="en-GB"/>
        </w:rPr>
      </w:pPr>
      <w:r>
        <w:rPr>
          <w:rFonts w:eastAsia="Times New Roman" w:cs="Times New Roman"/>
          <w:iCs/>
          <w:noProof/>
          <w:szCs w:val="24"/>
          <w:lang w:eastAsia="en-GB"/>
        </w:rPr>
        <w:t>Women are well represented at the higher levels of the Montenegrin civil service, in the areas of PAR and to so</w:t>
      </w:r>
      <w:r>
        <w:rPr>
          <w:rFonts w:eastAsia="Times New Roman" w:cs="Times New Roman"/>
          <w:iCs/>
          <w:noProof/>
          <w:szCs w:val="24"/>
          <w:lang w:eastAsia="en-GB"/>
        </w:rPr>
        <w:t>me extent PFM. The Minister of Public Administration is a woman. Many of the directors-general and directors in the ministry, the head of the Human Resource Management Authority (HRMA), the General Secretary and both  deputies, and the head of the CFCU are</w:t>
      </w:r>
      <w:r>
        <w:rPr>
          <w:rFonts w:eastAsia="Times New Roman" w:cs="Times New Roman"/>
          <w:iCs/>
          <w:noProof/>
          <w:szCs w:val="24"/>
          <w:lang w:eastAsia="en-GB"/>
        </w:rPr>
        <w:t xml:space="preserve"> women. </w:t>
      </w:r>
    </w:p>
    <w:p w:rsidR="003C2144" w:rsidRDefault="00FB7959">
      <w:pPr>
        <w:spacing w:after="120" w:line="240" w:lineRule="auto"/>
        <w:jc w:val="both"/>
        <w:rPr>
          <w:rFonts w:eastAsia="Times New Roman" w:cs="Times New Roman"/>
          <w:iCs/>
          <w:noProof/>
          <w:szCs w:val="24"/>
          <w:lang w:eastAsia="en-GB"/>
        </w:rPr>
      </w:pPr>
      <w:r>
        <w:rPr>
          <w:rFonts w:eastAsia="Times New Roman" w:cs="Times New Roman"/>
          <w:iCs/>
          <w:noProof/>
          <w:szCs w:val="24"/>
          <w:lang w:eastAsia="en-GB"/>
        </w:rPr>
        <w:t>The adoption of several implementing legislative acts over the reporting period enabled the full implementation of the</w:t>
      </w:r>
      <w:r>
        <w:rPr>
          <w:rFonts w:eastAsia="Times New Roman" w:cs="Times New Roman"/>
          <w:b/>
          <w:iCs/>
          <w:noProof/>
          <w:szCs w:val="24"/>
          <w:lang w:eastAsia="en-GB"/>
        </w:rPr>
        <w:t xml:space="preserve"> </w:t>
      </w:r>
      <w:r>
        <w:rPr>
          <w:rFonts w:eastAsia="Times New Roman" w:cs="Times New Roman"/>
          <w:iCs/>
          <w:noProof/>
          <w:szCs w:val="24"/>
          <w:lang w:eastAsia="en-GB"/>
        </w:rPr>
        <w:t>law on civil servants and state employees. The 2020 human resource plan for the national public administration bodies and the Pr</w:t>
      </w:r>
      <w:r>
        <w:rPr>
          <w:rFonts w:eastAsia="Times New Roman" w:cs="Times New Roman"/>
          <w:iCs/>
          <w:noProof/>
          <w:szCs w:val="24"/>
          <w:lang w:eastAsia="en-GB"/>
        </w:rPr>
        <w:t>ime Minister’s office was adopted in February 2020. A competency framework was established to ensure adequate recruitment procedures for senior civil service positions. An electronic testing system was introduced for the professional entry exam for working</w:t>
      </w:r>
      <w:r>
        <w:rPr>
          <w:rFonts w:eastAsia="Times New Roman" w:cs="Times New Roman"/>
          <w:iCs/>
          <w:noProof/>
          <w:szCs w:val="24"/>
          <w:lang w:eastAsia="en-GB"/>
        </w:rPr>
        <w:t xml:space="preserve"> in the public administration, including at local level.</w:t>
      </w:r>
    </w:p>
    <w:p w:rsidR="003C2144" w:rsidRDefault="00FB7959">
      <w:pPr>
        <w:spacing w:after="120" w:line="240" w:lineRule="auto"/>
        <w:jc w:val="both"/>
        <w:rPr>
          <w:rFonts w:eastAsia="Times New Roman" w:cs="Times New Roman"/>
          <w:iCs/>
          <w:noProof/>
          <w:szCs w:val="24"/>
          <w:lang w:eastAsia="en-GB"/>
        </w:rPr>
      </w:pPr>
      <w:r>
        <w:rPr>
          <w:rFonts w:eastAsia="Times New Roman" w:cs="Times New Roman"/>
          <w:iCs/>
          <w:noProof/>
          <w:szCs w:val="24"/>
          <w:lang w:eastAsia="en-GB"/>
        </w:rPr>
        <w:t>Regarding implementation of the 2018-2020 Public Administration Optimisation Plan, the national authorities reported that the number of employees in public administration declined by 105 at local lev</w:t>
      </w:r>
      <w:r>
        <w:rPr>
          <w:rFonts w:eastAsia="Times New Roman" w:cs="Times New Roman"/>
          <w:iCs/>
          <w:noProof/>
          <w:szCs w:val="24"/>
          <w:lang w:eastAsia="en-GB"/>
        </w:rPr>
        <w:t>el and increased by 49 at central level during the reporting period. In May 2019, the law on salaries of public sector employees was amended, giving a legal basis for consensual termination of employment in the public administration. In October, the govern</w:t>
      </w:r>
      <w:r>
        <w:rPr>
          <w:rFonts w:eastAsia="Times New Roman" w:cs="Times New Roman"/>
          <w:iCs/>
          <w:noProof/>
          <w:szCs w:val="24"/>
          <w:lang w:eastAsia="en-GB"/>
        </w:rPr>
        <w:t>ment modified the decision on severance pay in the event of consensual termination of employment of public sector employees, offering attractive terms for those that sought it, as a means to encourage people to leave the administration. So far, 1,579 publi</w:t>
      </w:r>
      <w:r>
        <w:rPr>
          <w:rFonts w:eastAsia="Times New Roman" w:cs="Times New Roman"/>
          <w:iCs/>
          <w:noProof/>
          <w:szCs w:val="24"/>
          <w:lang w:eastAsia="en-GB"/>
        </w:rPr>
        <w:t xml:space="preserve">c employees have applied for severance payment at central level and 322 at local level. To date 282 severance payments have been approved at central level and 128 at local level. </w:t>
      </w:r>
    </w:p>
    <w:p w:rsidR="003C2144" w:rsidRDefault="00FB7959">
      <w:pPr>
        <w:spacing w:after="120" w:line="240" w:lineRule="auto"/>
        <w:jc w:val="both"/>
        <w:rPr>
          <w:rFonts w:eastAsia="Times New Roman" w:cs="Times New Roman"/>
          <w:iCs/>
          <w:noProof/>
          <w:szCs w:val="24"/>
          <w:lang w:eastAsia="en-GB"/>
        </w:rPr>
      </w:pPr>
      <w:r>
        <w:rPr>
          <w:rFonts w:eastAsia="Times New Roman" w:cs="Times New Roman"/>
          <w:iCs/>
          <w:noProof/>
          <w:szCs w:val="24"/>
          <w:lang w:eastAsia="en-GB"/>
        </w:rPr>
        <w:t>Salary scales are publicly available, while public sector salaries remain mo</w:t>
      </w:r>
      <w:r>
        <w:rPr>
          <w:rFonts w:eastAsia="Times New Roman" w:cs="Times New Roman"/>
          <w:iCs/>
          <w:noProof/>
          <w:szCs w:val="24"/>
          <w:lang w:eastAsia="en-GB"/>
        </w:rPr>
        <w:t xml:space="preserve">dest. Montenegro still needs to introduce an adequate and attractive </w:t>
      </w:r>
      <w:r>
        <w:rPr>
          <w:rFonts w:eastAsia="Times New Roman" w:cs="Times New Roman"/>
          <w:b/>
          <w:iCs/>
          <w:noProof/>
          <w:szCs w:val="24"/>
          <w:lang w:eastAsia="en-GB"/>
        </w:rPr>
        <w:t>remuneration system</w:t>
      </w:r>
      <w:r>
        <w:rPr>
          <w:rFonts w:eastAsia="Times New Roman" w:cs="Times New Roman"/>
          <w:iCs/>
          <w:noProof/>
          <w:szCs w:val="24"/>
          <w:lang w:eastAsia="en-GB"/>
        </w:rPr>
        <w:t xml:space="preserve"> for civil servants and state employees, based on clear, fair and transparent criteria. The HRMA continues to have responsibility for the </w:t>
      </w:r>
      <w:r>
        <w:rPr>
          <w:rFonts w:eastAsia="Times New Roman" w:cs="Times New Roman"/>
          <w:b/>
          <w:iCs/>
          <w:noProof/>
          <w:szCs w:val="24"/>
          <w:lang w:eastAsia="en-GB"/>
        </w:rPr>
        <w:t>professional development</w:t>
      </w:r>
      <w:r>
        <w:rPr>
          <w:rFonts w:eastAsia="Times New Roman" w:cs="Times New Roman"/>
          <w:iCs/>
          <w:noProof/>
          <w:szCs w:val="24"/>
          <w:lang w:eastAsia="en-GB"/>
        </w:rPr>
        <w:t xml:space="preserve"> of ci</w:t>
      </w:r>
      <w:r>
        <w:rPr>
          <w:rFonts w:eastAsia="Times New Roman" w:cs="Times New Roman"/>
          <w:iCs/>
          <w:noProof/>
          <w:szCs w:val="24"/>
          <w:lang w:eastAsia="en-GB"/>
        </w:rPr>
        <w:t xml:space="preserve">vil servants and state employees by providing necessary training. It is also responsible for nationally accredited training in human resources, strategic planning, ethics and integrity. </w:t>
      </w:r>
    </w:p>
    <w:p w:rsidR="003C2144" w:rsidRDefault="00FB7959">
      <w:pPr>
        <w:spacing w:after="120" w:line="240" w:lineRule="auto"/>
        <w:jc w:val="both"/>
        <w:rPr>
          <w:rFonts w:eastAsia="Times New Roman" w:cs="Times New Roman"/>
          <w:iCs/>
          <w:noProof/>
          <w:szCs w:val="24"/>
          <w:u w:val="single"/>
          <w:lang w:eastAsia="en-GB"/>
        </w:rPr>
      </w:pPr>
      <w:r>
        <w:rPr>
          <w:rFonts w:eastAsia="Times New Roman" w:cs="Times New Roman"/>
          <w:iCs/>
          <w:noProof/>
          <w:szCs w:val="24"/>
          <w:u w:val="single"/>
          <w:lang w:eastAsia="en-GB"/>
        </w:rPr>
        <w:t>Accountability of the administration</w:t>
      </w:r>
    </w:p>
    <w:p w:rsidR="003C2144" w:rsidRDefault="00FB7959">
      <w:pPr>
        <w:spacing w:after="120" w:line="240" w:lineRule="auto"/>
        <w:jc w:val="both"/>
        <w:rPr>
          <w:rFonts w:eastAsia="Times New Roman" w:cs="Times New Roman"/>
          <w:iCs/>
          <w:noProof/>
          <w:szCs w:val="24"/>
          <w:lang w:eastAsia="en-GB"/>
        </w:rPr>
      </w:pPr>
      <w:r>
        <w:rPr>
          <w:rFonts w:eastAsia="Times New Roman" w:cs="Times New Roman"/>
          <w:iCs/>
          <w:noProof/>
          <w:szCs w:val="24"/>
          <w:lang w:eastAsia="en-GB"/>
        </w:rPr>
        <w:t>The report on</w:t>
      </w:r>
      <w:r>
        <w:rPr>
          <w:rFonts w:eastAsia="Times New Roman" w:cs="Times New Roman"/>
          <w:b/>
          <w:iCs/>
          <w:noProof/>
          <w:szCs w:val="24"/>
          <w:lang w:eastAsia="en-GB"/>
        </w:rPr>
        <w:t xml:space="preserve"> administrative pro</w:t>
      </w:r>
      <w:r>
        <w:rPr>
          <w:rFonts w:eastAsia="Times New Roman" w:cs="Times New Roman"/>
          <w:b/>
          <w:iCs/>
          <w:noProof/>
          <w:szCs w:val="24"/>
          <w:lang w:eastAsia="en-GB"/>
        </w:rPr>
        <w:t>ceedings</w:t>
      </w:r>
      <w:r>
        <w:rPr>
          <w:rFonts w:eastAsia="Times New Roman" w:cs="Times New Roman"/>
          <w:iCs/>
          <w:noProof/>
          <w:szCs w:val="24"/>
          <w:lang w:eastAsia="en-GB"/>
        </w:rPr>
        <w:t xml:space="preserve"> for July 2017-December 2018 was drafted using the new national methodology. It covers administrative proceedings at local level for the first time. It shows that 98% of disputes at central level and 91% at local level were settled within the deadl</w:t>
      </w:r>
      <w:r>
        <w:rPr>
          <w:rFonts w:eastAsia="Times New Roman" w:cs="Times New Roman"/>
          <w:iCs/>
          <w:noProof/>
          <w:szCs w:val="24"/>
          <w:lang w:eastAsia="en-GB"/>
        </w:rPr>
        <w:t xml:space="preserve">ine. The </w:t>
      </w:r>
      <w:r>
        <w:rPr>
          <w:rFonts w:cs="Times New Roman"/>
          <w:noProof/>
          <w:szCs w:val="24"/>
        </w:rPr>
        <w:t>implementing legislation</w:t>
      </w:r>
      <w:r>
        <w:rPr>
          <w:rFonts w:eastAsia="Times New Roman" w:cs="Times New Roman"/>
          <w:iCs/>
          <w:noProof/>
          <w:szCs w:val="24"/>
          <w:lang w:eastAsia="en-GB"/>
        </w:rPr>
        <w:t xml:space="preserve"> necessary to implement of the law on general administrative procedure was adopted. Following an analysis of the legislative framework on </w:t>
      </w:r>
      <w:r>
        <w:rPr>
          <w:rFonts w:eastAsia="Times New Roman" w:cs="Times New Roman"/>
          <w:b/>
          <w:iCs/>
          <w:noProof/>
          <w:szCs w:val="24"/>
          <w:lang w:eastAsia="en-GB"/>
        </w:rPr>
        <w:t>free access to information</w:t>
      </w:r>
      <w:r>
        <w:rPr>
          <w:rFonts w:eastAsia="Times New Roman" w:cs="Times New Roman"/>
          <w:iCs/>
          <w:noProof/>
          <w:szCs w:val="24"/>
          <w:lang w:eastAsia="en-GB"/>
        </w:rPr>
        <w:t>, work on a new law was started, for which the public consu</w:t>
      </w:r>
      <w:r>
        <w:rPr>
          <w:rFonts w:eastAsia="Times New Roman" w:cs="Times New Roman"/>
          <w:iCs/>
          <w:noProof/>
          <w:szCs w:val="24"/>
          <w:lang w:eastAsia="en-GB"/>
        </w:rPr>
        <w:t>ltation was put on hold during the COVID-19 pandemic period.</w:t>
      </w:r>
    </w:p>
    <w:p w:rsidR="003C2144" w:rsidRDefault="00FB7959">
      <w:pPr>
        <w:keepNext/>
        <w:spacing w:after="120" w:line="240" w:lineRule="auto"/>
        <w:jc w:val="both"/>
        <w:rPr>
          <w:rFonts w:eastAsia="Times New Roman" w:cs="Times New Roman"/>
          <w:iCs/>
          <w:noProof/>
          <w:szCs w:val="24"/>
          <w:u w:val="single"/>
          <w:lang w:eastAsia="en-GB"/>
        </w:rPr>
      </w:pPr>
      <w:r>
        <w:rPr>
          <w:rFonts w:eastAsia="Times New Roman" w:cs="Times New Roman"/>
          <w:noProof/>
          <w:szCs w:val="24"/>
          <w:u w:val="single"/>
          <w:lang w:eastAsia="en-GB"/>
        </w:rPr>
        <w:t>Service delivery to citizens and businesses</w:t>
      </w:r>
    </w:p>
    <w:p w:rsidR="003C2144" w:rsidRDefault="00FB7959">
      <w:pPr>
        <w:keepNext/>
        <w:spacing w:after="120" w:line="240" w:lineRule="auto"/>
        <w:jc w:val="both"/>
        <w:rPr>
          <w:rFonts w:eastAsia="Times New Roman" w:cs="Times New Roman"/>
          <w:iCs/>
          <w:noProof/>
          <w:szCs w:val="24"/>
          <w:lang w:eastAsia="en-GB"/>
        </w:rPr>
      </w:pPr>
      <w:r>
        <w:rPr>
          <w:rFonts w:cs="Times New Roman"/>
          <w:noProof/>
          <w:szCs w:val="24"/>
        </w:rPr>
        <w:t>Montenegro adopted a</w:t>
      </w:r>
      <w:r>
        <w:rPr>
          <w:rFonts w:cs="Times New Roman"/>
          <w:b/>
          <w:noProof/>
          <w:szCs w:val="24"/>
        </w:rPr>
        <w:t xml:space="preserve"> national interoperability framework</w:t>
      </w:r>
      <w:r>
        <w:rPr>
          <w:rFonts w:cs="Times New Roman"/>
          <w:noProof/>
          <w:szCs w:val="24"/>
        </w:rPr>
        <w:t xml:space="preserve"> in line with the European interoperability framework. Eleven institutions have already been connected to the single information system for electronic data interchange. A law on electronic government and amendments to the law on electronic identification a</w:t>
      </w:r>
      <w:r>
        <w:rPr>
          <w:rFonts w:cs="Times New Roman"/>
          <w:noProof/>
          <w:szCs w:val="24"/>
        </w:rPr>
        <w:t>nd electronic signature were also adopted during the reporting period</w:t>
      </w:r>
      <w:bookmarkStart w:id="30" w:name="_Toc9328484"/>
      <w:bookmarkStart w:id="31" w:name="_Toc9331917"/>
      <w:bookmarkStart w:id="32" w:name="_Toc9430009"/>
      <w:bookmarkStart w:id="33" w:name="_Toc29803509"/>
      <w:r>
        <w:rPr>
          <w:rFonts w:eastAsia="Times New Roman" w:cs="Times New Roman"/>
          <w:iCs/>
          <w:noProof/>
          <w:szCs w:val="24"/>
          <w:lang w:eastAsia="en-GB"/>
        </w:rPr>
        <w:t>.</w:t>
      </w:r>
    </w:p>
    <w:p w:rsidR="003C2144" w:rsidRDefault="00FB7959">
      <w:pPr>
        <w:pStyle w:val="Heading2"/>
        <w:spacing w:before="0" w:line="240" w:lineRule="auto"/>
        <w:rPr>
          <w:rFonts w:eastAsia="Times New Roman" w:cs="Times New Roman"/>
          <w:noProof/>
          <w:szCs w:val="24"/>
        </w:rPr>
      </w:pPr>
      <w:bookmarkStart w:id="34" w:name="_Toc30073806"/>
      <w:bookmarkStart w:id="35" w:name="_Toc30074119"/>
      <w:bookmarkStart w:id="36" w:name="_Toc30080558"/>
      <w:bookmarkStart w:id="37" w:name="_Toc52744926"/>
      <w:bookmarkEnd w:id="30"/>
      <w:bookmarkEnd w:id="31"/>
      <w:bookmarkEnd w:id="32"/>
      <w:bookmarkEnd w:id="33"/>
      <w:r>
        <w:rPr>
          <w:rFonts w:eastAsia="Times New Roman" w:cs="Times New Roman"/>
          <w:noProof/>
          <w:szCs w:val="24"/>
        </w:rPr>
        <w:t>2.2</w:t>
      </w:r>
      <w:r>
        <w:rPr>
          <w:rFonts w:eastAsia="Times New Roman" w:cs="Times New Roman"/>
          <w:noProof/>
          <w:szCs w:val="24"/>
        </w:rPr>
        <w:tab/>
        <w:t>Rule of law and fundamental rights</w:t>
      </w:r>
      <w:bookmarkEnd w:id="34"/>
      <w:bookmarkEnd w:id="35"/>
      <w:bookmarkEnd w:id="36"/>
      <w:bookmarkEnd w:id="37"/>
      <w:r>
        <w:rPr>
          <w:rFonts w:eastAsia="Times New Roman" w:cs="Times New Roman"/>
          <w:noProof/>
          <w:szCs w:val="24"/>
        </w:rPr>
        <w:t xml:space="preserve"> </w:t>
      </w:r>
    </w:p>
    <w:p w:rsidR="003C2144" w:rsidRDefault="00FB7959">
      <w:pPr>
        <w:pStyle w:val="Heading2"/>
        <w:spacing w:before="0" w:line="240" w:lineRule="auto"/>
        <w:rPr>
          <w:rFonts w:cs="Times New Roman"/>
          <w:noProof/>
          <w:szCs w:val="24"/>
        </w:rPr>
      </w:pPr>
      <w:bookmarkStart w:id="38" w:name="_Toc30080559"/>
      <w:bookmarkStart w:id="39" w:name="_Toc52744927"/>
      <w:r>
        <w:rPr>
          <w:rFonts w:cs="Times New Roman"/>
          <w:noProof/>
          <w:szCs w:val="24"/>
        </w:rPr>
        <w:t>2.2.1.</w:t>
      </w:r>
      <w:r>
        <w:rPr>
          <w:rFonts w:cs="Times New Roman"/>
          <w:noProof/>
          <w:szCs w:val="24"/>
        </w:rPr>
        <w:tab/>
        <w:t>Chapter 23: Judiciary and fundamental rights</w:t>
      </w:r>
      <w:bookmarkEnd w:id="38"/>
      <w:bookmarkEnd w:id="39"/>
    </w:p>
    <w:p w:rsidR="003C2144" w:rsidRDefault="00FB7959">
      <w:pPr>
        <w:spacing w:after="120" w:line="240" w:lineRule="auto"/>
        <w:jc w:val="both"/>
        <w:rPr>
          <w:rFonts w:cs="Times New Roman"/>
          <w:i/>
          <w:noProof/>
          <w:szCs w:val="24"/>
          <w:lang w:eastAsia="zh-TW"/>
        </w:rPr>
      </w:pPr>
      <w:r>
        <w:rPr>
          <w:rFonts w:cs="Times New Roman"/>
          <w:i/>
          <w:iCs/>
          <w:noProof/>
          <w:szCs w:val="24"/>
          <w:lang w:eastAsia="zh-TW"/>
        </w:rPr>
        <w:t>The EU's founding values include the rule of law and respect for human rights. An effective (</w:t>
      </w:r>
      <w:r>
        <w:rPr>
          <w:rFonts w:cs="Times New Roman"/>
          <w:i/>
          <w:iCs/>
          <w:noProof/>
          <w:szCs w:val="24"/>
          <w:lang w:eastAsia="zh-TW"/>
        </w:rPr>
        <w:t>independent, quality and efficient) judicial system and an effective fight against corruption are of paramount importance, as is respect of fundamental rights in law and in practice.</w:t>
      </w:r>
    </w:p>
    <w:tbl>
      <w:tblPr>
        <w:tblStyle w:val="TableGrid21"/>
        <w:tblW w:w="0" w:type="auto"/>
        <w:shd w:val="clear" w:color="auto" w:fill="D9D9D9" w:themeFill="background1" w:themeFillShade="D9"/>
        <w:tblLook w:val="04A0" w:firstRow="1" w:lastRow="0" w:firstColumn="1" w:lastColumn="0" w:noHBand="0" w:noVBand="1"/>
      </w:tblPr>
      <w:tblGrid>
        <w:gridCol w:w="9464"/>
      </w:tblGrid>
      <w:tr w:rsidR="003C2144">
        <w:trPr>
          <w:trHeight w:val="83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tbl>
            <w:tblPr>
              <w:tblW w:w="0" w:type="auto"/>
              <w:tblLook w:val="04A0" w:firstRow="1" w:lastRow="0" w:firstColumn="1" w:lastColumn="0" w:noHBand="0" w:noVBand="1"/>
            </w:tblPr>
            <w:tblGrid>
              <w:gridCol w:w="9248"/>
            </w:tblGrid>
            <w:tr w:rsidR="003C2144">
              <w:trPr>
                <w:trHeight w:val="666"/>
              </w:trPr>
              <w:tc>
                <w:tcPr>
                  <w:tcW w:w="0" w:type="auto"/>
                  <w:tcBorders>
                    <w:top w:val="nil"/>
                    <w:left w:val="nil"/>
                    <w:bottom w:val="nil"/>
                    <w:right w:val="nil"/>
                  </w:tcBorders>
                  <w:hideMark/>
                </w:tcPr>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Montenegro remains </w:t>
                  </w:r>
                  <w:r>
                    <w:rPr>
                      <w:rFonts w:eastAsia="Calibri" w:cs="Times New Roman"/>
                      <w:b/>
                      <w:noProof/>
                      <w:szCs w:val="24"/>
                    </w:rPr>
                    <w:t>moderately prepared</w:t>
                  </w:r>
                  <w:r>
                    <w:rPr>
                      <w:rFonts w:eastAsia="Calibri" w:cs="Times New Roman"/>
                      <w:noProof/>
                      <w:szCs w:val="24"/>
                    </w:rPr>
                    <w:t xml:space="preserve"> to apply the EU </w:t>
                  </w:r>
                  <w:r>
                    <w:rPr>
                      <w:rFonts w:eastAsia="Calibri" w:cs="Times New Roman"/>
                      <w:i/>
                      <w:noProof/>
                      <w:szCs w:val="24"/>
                    </w:rPr>
                    <w:t>acquis</w:t>
                  </w:r>
                  <w:r>
                    <w:rPr>
                      <w:rFonts w:eastAsia="Calibri" w:cs="Times New Roman"/>
                      <w:noProof/>
                      <w:szCs w:val="24"/>
                    </w:rPr>
                    <w:t xml:space="preserve"> and the Eur</w:t>
                  </w:r>
                  <w:r>
                    <w:rPr>
                      <w:rFonts w:eastAsia="Calibri" w:cs="Times New Roman"/>
                      <w:noProof/>
                      <w:szCs w:val="24"/>
                    </w:rPr>
                    <w:t xml:space="preserve">opean standards in this area and has made </w:t>
                  </w:r>
                  <w:r>
                    <w:rPr>
                      <w:rFonts w:eastAsia="Calibri" w:cs="Times New Roman"/>
                      <w:b/>
                      <w:noProof/>
                      <w:szCs w:val="24"/>
                    </w:rPr>
                    <w:t xml:space="preserve">limited progress </w:t>
                  </w:r>
                  <w:r>
                    <w:rPr>
                      <w:rFonts w:eastAsia="Calibri" w:cs="Times New Roman"/>
                      <w:noProof/>
                      <w:szCs w:val="24"/>
                    </w:rPr>
                    <w:t>overall. Last year’s recommendations regarding the judiciary have only been partially met. Challenges remain, in particular with regard to the independence, professionalism, efficiency and accounta</w:t>
                  </w:r>
                  <w:r>
                    <w:rPr>
                      <w:rFonts w:eastAsia="Calibri" w:cs="Times New Roman"/>
                      <w:noProof/>
                      <w:szCs w:val="24"/>
                    </w:rPr>
                    <w:t>bility of the judiciary. It is essential that Montenegro does not reverse earlier achievements in the judicial reform. Corruption remains an issue of concern and Montenegro needs to take more proactive steps to ensure maximum integrity, impartiality and ac</w:t>
                  </w:r>
                  <w:r>
                    <w:rPr>
                      <w:rFonts w:eastAsia="Calibri" w:cs="Times New Roman"/>
                      <w:noProof/>
                      <w:szCs w:val="24"/>
                    </w:rPr>
                    <w:t>countability of the Anti-Corruption Agency. On fundamental rights, Montenegro has achieved some progress. While most legislative and institutional frameworks are now in place, further efforts are still needed to ensure the effective application and protect</w:t>
                  </w:r>
                  <w:r>
                    <w:rPr>
                      <w:rFonts w:eastAsia="Calibri" w:cs="Times New Roman"/>
                      <w:noProof/>
                      <w:szCs w:val="24"/>
                    </w:rPr>
                    <w:t xml:space="preserve">ion of human rights and alignment with EU </w:t>
                  </w:r>
                  <w:r>
                    <w:rPr>
                      <w:rFonts w:eastAsia="Calibri" w:cs="Times New Roman"/>
                      <w:i/>
                      <w:noProof/>
                      <w:szCs w:val="24"/>
                    </w:rPr>
                    <w:t>acquis</w:t>
                  </w:r>
                  <w:r>
                    <w:rPr>
                      <w:rFonts w:eastAsia="Calibri" w:cs="Times New Roman"/>
                      <w:noProof/>
                      <w:szCs w:val="24"/>
                    </w:rPr>
                    <w:t xml:space="preserve">. Freedom of expression remains a matter of serious concern. No progress was made in implementing last year's recommendations. </w:t>
                  </w:r>
                </w:p>
              </w:tc>
            </w:tr>
          </w:tbl>
          <w:p w:rsidR="003C2144" w:rsidRDefault="003C2144">
            <w:pPr>
              <w:spacing w:after="120" w:line="240" w:lineRule="auto"/>
              <w:jc w:val="both"/>
              <w:rPr>
                <w:noProof/>
                <w:szCs w:val="24"/>
              </w:rPr>
            </w:pPr>
          </w:p>
        </w:tc>
      </w:tr>
    </w:tbl>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continues to implement a detailed action plan, which was adopted </w:t>
      </w:r>
      <w:r>
        <w:rPr>
          <w:rFonts w:eastAsia="Calibri" w:cs="Times New Roman"/>
          <w:noProof/>
          <w:szCs w:val="24"/>
        </w:rPr>
        <w:t>in 2013 prior to the opening of the accession negotiations on the chapter and subsequently updated in February 2015.</w:t>
      </w:r>
    </w:p>
    <w:p w:rsidR="003C2144" w:rsidRDefault="00FB7959">
      <w:pPr>
        <w:keepNext/>
        <w:keepLines/>
        <w:spacing w:after="120" w:line="240" w:lineRule="auto"/>
        <w:jc w:val="both"/>
        <w:rPr>
          <w:rFonts w:eastAsia="Calibri" w:cs="Times New Roman"/>
          <w:b/>
          <w:noProof/>
          <w:szCs w:val="24"/>
        </w:rPr>
      </w:pPr>
      <w:r>
        <w:rPr>
          <w:rFonts w:eastAsia="Calibri" w:cs="Times New Roman"/>
          <w:b/>
          <w:noProof/>
          <w:szCs w:val="24"/>
        </w:rPr>
        <w:t>Functioning of the judiciary</w:t>
      </w:r>
    </w:p>
    <w:tbl>
      <w:tblPr>
        <w:tblStyle w:val="TableGrid21"/>
        <w:tblW w:w="0" w:type="auto"/>
        <w:shd w:val="clear" w:color="auto" w:fill="D9D9D9" w:themeFill="background1" w:themeFillShade="D9"/>
        <w:tblLook w:val="04A0" w:firstRow="1" w:lastRow="0" w:firstColumn="1" w:lastColumn="0" w:noHBand="0" w:noVBand="1"/>
      </w:tblPr>
      <w:tblGrid>
        <w:gridCol w:w="9242"/>
      </w:tblGrid>
      <w:tr w:rsidR="003C2144">
        <w:trPr>
          <w:trHeight w:val="5086"/>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2144" w:rsidRDefault="00FB7959">
            <w:pPr>
              <w:keepNext/>
              <w:keepLines/>
              <w:spacing w:after="120" w:line="240" w:lineRule="auto"/>
              <w:jc w:val="both"/>
              <w:rPr>
                <w:noProof/>
                <w:szCs w:val="24"/>
              </w:rPr>
            </w:pPr>
            <w:r>
              <w:rPr>
                <w:noProof/>
                <w:szCs w:val="24"/>
              </w:rPr>
              <w:t xml:space="preserve">Montenegro’s judicial system is </w:t>
            </w:r>
            <w:r>
              <w:rPr>
                <w:b/>
                <w:noProof/>
                <w:szCs w:val="24"/>
              </w:rPr>
              <w:t>moderately prepared</w:t>
            </w:r>
            <w:r>
              <w:rPr>
                <w:noProof/>
                <w:szCs w:val="24"/>
              </w:rPr>
              <w:t xml:space="preserve">, with </w:t>
            </w:r>
            <w:r>
              <w:rPr>
                <w:b/>
                <w:noProof/>
                <w:szCs w:val="24"/>
              </w:rPr>
              <w:t>limited progress</w:t>
            </w:r>
            <w:r>
              <w:rPr>
                <w:noProof/>
                <w:szCs w:val="24"/>
              </w:rPr>
              <w:t xml:space="preserve"> overall in this area. Last year’s r</w:t>
            </w:r>
            <w:r>
              <w:rPr>
                <w:noProof/>
                <w:szCs w:val="24"/>
              </w:rPr>
              <w:t>ecommendations have been met only partially through the continuous implementation of the ICT strategy for the judiciary. In addition, Montenegro continues to make efforts towards the development and promotion of alternative dispute settlement. However, the</w:t>
            </w:r>
            <w:r>
              <w:rPr>
                <w:noProof/>
                <w:szCs w:val="24"/>
              </w:rPr>
              <w:t xml:space="preserve"> results of the reforms, in particular the track record on judicial accountability remain limited. The results achieved regarding the independence and professionalism of the judiciary need to be further consolidated. Human, financial and infrastructure man</w:t>
            </w:r>
            <w:r>
              <w:rPr>
                <w:noProof/>
                <w:szCs w:val="24"/>
              </w:rPr>
              <w:t xml:space="preserve">agement has not improved. </w:t>
            </w:r>
          </w:p>
          <w:p w:rsidR="003C2144" w:rsidRDefault="00FB7959">
            <w:pPr>
              <w:keepNext/>
              <w:keepLines/>
              <w:spacing w:after="120" w:line="240" w:lineRule="auto"/>
              <w:jc w:val="both"/>
              <w:rPr>
                <w:noProof/>
                <w:szCs w:val="24"/>
              </w:rPr>
            </w:pPr>
            <w:r>
              <w:rPr>
                <w:noProof/>
                <w:szCs w:val="24"/>
              </w:rPr>
              <w:t xml:space="preserve">In the coming year, Montenegro should in particular:  </w:t>
            </w:r>
          </w:p>
          <w:p w:rsidR="003C2144" w:rsidRDefault="00FB7959">
            <w:pPr>
              <w:keepNext/>
              <w:keepLines/>
              <w:numPr>
                <w:ilvl w:val="0"/>
                <w:numId w:val="3"/>
              </w:numPr>
              <w:spacing w:after="120" w:line="240" w:lineRule="auto"/>
              <w:jc w:val="both"/>
              <w:rPr>
                <w:noProof/>
                <w:szCs w:val="24"/>
              </w:rPr>
            </w:pPr>
            <w:r>
              <w:rPr>
                <w:noProof/>
                <w:szCs w:val="24"/>
              </w:rPr>
              <w:t>ensure the effective independence and professionalism of judiciary by full and unambiguous implementation of relevant constitutional and legal provisions, in line with GRECO recommendations, in particular to effectively limit the appointment of courts’ pre</w:t>
            </w:r>
            <w:r>
              <w:rPr>
                <w:noProof/>
                <w:szCs w:val="24"/>
              </w:rPr>
              <w:t xml:space="preserve">sidents to maximum two terms and take measures to strengthen the independence of the judiciary, including by abolishing the </w:t>
            </w:r>
            <w:r>
              <w:rPr>
                <w:i/>
                <w:noProof/>
                <w:szCs w:val="24"/>
              </w:rPr>
              <w:t>ex officio</w:t>
            </w:r>
            <w:r>
              <w:rPr>
                <w:noProof/>
                <w:szCs w:val="24"/>
              </w:rPr>
              <w:t xml:space="preserve"> participation of the Minister of Justice; in the Judicial Council;</w:t>
            </w:r>
          </w:p>
          <w:p w:rsidR="003C2144" w:rsidRDefault="00FB7959">
            <w:pPr>
              <w:keepNext/>
              <w:keepLines/>
              <w:numPr>
                <w:ilvl w:val="0"/>
                <w:numId w:val="3"/>
              </w:numPr>
              <w:spacing w:after="120" w:line="240" w:lineRule="auto"/>
              <w:jc w:val="both"/>
              <w:rPr>
                <w:noProof/>
                <w:szCs w:val="24"/>
              </w:rPr>
            </w:pPr>
            <w:r>
              <w:rPr>
                <w:noProof/>
                <w:szCs w:val="24"/>
              </w:rPr>
              <w:t>review the disciplinary and ethical framework for judg</w:t>
            </w:r>
            <w:r>
              <w:rPr>
                <w:noProof/>
                <w:szCs w:val="24"/>
              </w:rPr>
              <w:t xml:space="preserve">es and prosecutors to strengthen its objectivity, proportionality and effectiveness, and ensure it effective implementation; </w:t>
            </w:r>
          </w:p>
          <w:p w:rsidR="003C2144" w:rsidRDefault="00FB7959">
            <w:pPr>
              <w:keepNext/>
              <w:keepLines/>
              <w:numPr>
                <w:ilvl w:val="0"/>
                <w:numId w:val="3"/>
              </w:numPr>
              <w:spacing w:after="120" w:line="240" w:lineRule="auto"/>
              <w:jc w:val="both"/>
              <w:rPr>
                <w:noProof/>
                <w:szCs w:val="24"/>
              </w:rPr>
            </w:pPr>
            <w:r>
              <w:rPr>
                <w:noProof/>
                <w:szCs w:val="24"/>
              </w:rPr>
              <w:t>prepare and adopt a new strategy for rationalisation of the judicial network, which would lay down the next concrete steps leading</w:t>
            </w:r>
            <w:r>
              <w:rPr>
                <w:noProof/>
                <w:szCs w:val="24"/>
              </w:rPr>
              <w:t xml:space="preserve"> to closure of unviable small courts.</w:t>
            </w:r>
          </w:p>
        </w:tc>
      </w:tr>
    </w:tbl>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Strategic documents</w:t>
      </w:r>
    </w:p>
    <w:p w:rsidR="003C2144" w:rsidRDefault="00FB7959">
      <w:pPr>
        <w:spacing w:after="120" w:line="240" w:lineRule="auto"/>
        <w:jc w:val="both"/>
        <w:rPr>
          <w:rFonts w:eastAsia="Calibri" w:cs="Times New Roman"/>
          <w:noProof/>
          <w:szCs w:val="24"/>
        </w:rPr>
      </w:pPr>
      <w:r>
        <w:rPr>
          <w:rFonts w:eastAsia="Calibri" w:cs="Times New Roman"/>
          <w:noProof/>
          <w:szCs w:val="24"/>
        </w:rPr>
        <w:t>In September 2019, the government adopted the 2019-2022 judicial reform strategy and the accompanying 2019-2020 action plan, including an analysis of the effects of the preceding strategy, which ho</w:t>
      </w:r>
      <w:r>
        <w:rPr>
          <w:rFonts w:eastAsia="Calibri" w:cs="Times New Roman"/>
          <w:noProof/>
          <w:szCs w:val="24"/>
        </w:rPr>
        <w:t xml:space="preserve">wever remained a factual analysis of activities without any impact assessment. In October 2019, a Council for monitoring the strategy implementation was established, composed of the main judicial institutions and of the professional associations of judges </w:t>
      </w:r>
      <w:r>
        <w:rPr>
          <w:rFonts w:eastAsia="Calibri" w:cs="Times New Roman"/>
          <w:noProof/>
          <w:szCs w:val="24"/>
        </w:rPr>
        <w:t xml:space="preserve">and prosecutors. CSOs have not been invited to participate in the Council’s work. There are no notable delays in the implementation. </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Management bodies</w:t>
      </w:r>
    </w:p>
    <w:p w:rsidR="003C2144" w:rsidRDefault="00FB7959">
      <w:pPr>
        <w:spacing w:after="120" w:line="240" w:lineRule="auto"/>
        <w:jc w:val="both"/>
        <w:rPr>
          <w:rFonts w:eastAsia="Calibri" w:cs="Times New Roman"/>
          <w:noProof/>
          <w:szCs w:val="24"/>
        </w:rPr>
      </w:pPr>
      <w:r>
        <w:rPr>
          <w:rFonts w:eastAsia="Calibri" w:cs="Times New Roman"/>
          <w:noProof/>
          <w:szCs w:val="24"/>
        </w:rPr>
        <w:t>The Judicial and Prosecutorial Councils remain the principal bodies managing the judicial system and the</w:t>
      </w:r>
      <w:r>
        <w:rPr>
          <w:rFonts w:eastAsia="Calibri" w:cs="Times New Roman"/>
          <w:noProof/>
          <w:szCs w:val="24"/>
        </w:rPr>
        <w:t xml:space="preserve"> careers of judges and prosecutors. Their composition and appointment procedures are broadly in line with European standards. However, according to the Council of Europe Group of States against Corruption (GRECO), outstanding issues remain with regard to s</w:t>
      </w:r>
      <w:r>
        <w:rPr>
          <w:rFonts w:eastAsia="Calibri" w:cs="Times New Roman"/>
          <w:noProof/>
          <w:szCs w:val="24"/>
        </w:rPr>
        <w:t>trengthening the Judicial Council’s independence against undue political influence, for instance the ex-officio participation of minister of justice. The anti-deadlock mechanism introduced by the 2018 amendments to the law on the Judicial Council continues</w:t>
      </w:r>
      <w:r>
        <w:rPr>
          <w:rFonts w:eastAsia="Calibri" w:cs="Times New Roman"/>
          <w:noProof/>
          <w:szCs w:val="24"/>
        </w:rPr>
        <w:t xml:space="preserve"> to apply, allowing for extension of the non-judicial members’ mandate until new ones are elected. Following the resignation of the President of the Judicial Council in December 2019, the Council continued to operate in incomplete composition. In July 2020</w:t>
      </w:r>
      <w:r>
        <w:rPr>
          <w:rFonts w:eastAsia="Calibri" w:cs="Times New Roman"/>
          <w:noProof/>
          <w:szCs w:val="24"/>
        </w:rPr>
        <w:t xml:space="preserve">, after publication of a new call for candidates in January 2020, Parliament again failed to secure sufficient majority for any of the candidates for the four non-judicial members of the Judicial Council. </w:t>
      </w:r>
    </w:p>
    <w:p w:rsidR="003C2144" w:rsidRDefault="00FB7959">
      <w:pPr>
        <w:spacing w:after="120" w:line="240" w:lineRule="auto"/>
        <w:jc w:val="both"/>
        <w:rPr>
          <w:rFonts w:eastAsia="Calibri" w:cs="Times New Roman"/>
          <w:noProof/>
          <w:szCs w:val="24"/>
        </w:rPr>
      </w:pPr>
      <w:r>
        <w:rPr>
          <w:rFonts w:eastAsia="Calibri" w:cs="Times New Roman"/>
          <w:noProof/>
          <w:szCs w:val="24"/>
        </w:rPr>
        <w:t>The mandate of the Supreme State Prosecutor expire</w:t>
      </w:r>
      <w:r>
        <w:rPr>
          <w:rFonts w:eastAsia="Calibri" w:cs="Times New Roman"/>
          <w:noProof/>
          <w:szCs w:val="24"/>
        </w:rPr>
        <w:t>d in October 2019 and his successor has yet to be appointed. After the first unsuccessful call for candidates, the Prosecutorial Council appointed the outgoing Supreme State Prosecutor in an acting capacity. In the second call proceedings, Parliament did n</w:t>
      </w:r>
      <w:r>
        <w:rPr>
          <w:rFonts w:eastAsia="Calibri" w:cs="Times New Roman"/>
          <w:noProof/>
          <w:szCs w:val="24"/>
        </w:rPr>
        <w:t>ot secure the qualified majority to elect the candidate proposed by the Prosecutorial Council. The Prosecutorial Council has not yet completed the appointment procedure for 11 heads of state prosecution offices, initiated in 2019. In June 2020, the Prosecu</w:t>
      </w:r>
      <w:r>
        <w:rPr>
          <w:rFonts w:eastAsia="Calibri" w:cs="Times New Roman"/>
          <w:noProof/>
          <w:szCs w:val="24"/>
        </w:rPr>
        <w:t>torial Council confirmed the Chief Special Prosecutor unanimously for a second mandate.</w:t>
      </w:r>
    </w:p>
    <w:p w:rsidR="003C2144" w:rsidRDefault="00FB7959">
      <w:pPr>
        <w:spacing w:after="120" w:line="240" w:lineRule="auto"/>
        <w:jc w:val="both"/>
        <w:rPr>
          <w:rFonts w:eastAsia="Calibri" w:cs="Times New Roman"/>
          <w:noProof/>
          <w:szCs w:val="24"/>
        </w:rPr>
      </w:pPr>
      <w:r>
        <w:rPr>
          <w:rFonts w:eastAsia="Calibri" w:cs="Times New Roman"/>
          <w:noProof/>
          <w:szCs w:val="24"/>
        </w:rPr>
        <w:t>The 2020 budget of the Judicial Council increased by 20% to EUR 1.65 million from the EUR 1.37 million allocated in 2019. The 2020 budget of the Prosecutorial Council r</w:t>
      </w:r>
      <w:r>
        <w:rPr>
          <w:rFonts w:eastAsia="Calibri" w:cs="Times New Roman"/>
          <w:noProof/>
          <w:szCs w:val="24"/>
        </w:rPr>
        <w:t>ose by 16% to EUR 670,000 (2019: EUR 561,000). The operational capacity of both Councils secretariats continues to improve, but need further strengthening. Also, both Councils still need to assume budgetary and financial management functions at central lev</w:t>
      </w:r>
      <w:r>
        <w:rPr>
          <w:rFonts w:eastAsia="Calibri" w:cs="Times New Roman"/>
          <w:noProof/>
          <w:szCs w:val="24"/>
        </w:rPr>
        <w:t>el as well as at court and prosecution office level. Technical preparations are to be finalised to gradually transfer budgetary planning and execution to courts and prosecution offices in the course of 2020, while the Ministry of Finance is yet to recognis</w:t>
      </w:r>
      <w:r>
        <w:rPr>
          <w:rFonts w:eastAsia="Calibri" w:cs="Times New Roman"/>
          <w:noProof/>
          <w:szCs w:val="24"/>
        </w:rPr>
        <w:t>e them as budgetary units. The two Councils need to step up efforts to improve the transparency of their work, particularly by publishing fully reasoned decisions on promotions, appointments, and disciplinary cases. Concerns also remain over the profession</w:t>
      </w:r>
      <w:r>
        <w:rPr>
          <w:rFonts w:eastAsia="Calibri" w:cs="Times New Roman"/>
          <w:noProof/>
          <w:szCs w:val="24"/>
        </w:rPr>
        <w:t>al capacity of members of both Councils, in particular those of the Judicial Council, as well as their commitment and the time devoted to the performance of their functions.</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Independence and impartiality</w:t>
      </w:r>
    </w:p>
    <w:p w:rsidR="003C2144" w:rsidRDefault="00FB7959">
      <w:pPr>
        <w:spacing w:after="120" w:line="240" w:lineRule="auto"/>
        <w:jc w:val="both"/>
        <w:rPr>
          <w:rFonts w:eastAsia="Calibri" w:cs="Times New Roman"/>
          <w:noProof/>
          <w:szCs w:val="24"/>
        </w:rPr>
      </w:pPr>
      <w:r>
        <w:rPr>
          <w:rFonts w:eastAsia="Calibri" w:cs="Times New Roman"/>
          <w:noProof/>
          <w:szCs w:val="24"/>
        </w:rPr>
        <w:t>The legal framework guaranteeing judicial independen</w:t>
      </w:r>
      <w:r>
        <w:rPr>
          <w:rFonts w:eastAsia="Calibri" w:cs="Times New Roman"/>
          <w:noProof/>
          <w:szCs w:val="24"/>
        </w:rPr>
        <w:t>ce is in place but the judiciary and the prosecution continue to be perceived as vulnerable to political interference. Reports that the government granted some members of the judiciary and prosecution, including senior members, state</w:t>
      </w:r>
      <w:r>
        <w:rPr>
          <w:rFonts w:eastAsia="Calibri" w:cs="Times New Roman"/>
          <w:noProof/>
          <w:szCs w:val="24"/>
        </w:rPr>
        <w:noBreakHyphen/>
        <w:t>sponsored apartments o</w:t>
      </w:r>
      <w:r>
        <w:rPr>
          <w:rFonts w:eastAsia="Calibri" w:cs="Times New Roman"/>
          <w:noProof/>
          <w:szCs w:val="24"/>
        </w:rPr>
        <w:t xml:space="preserve">r loans on favourable conditions raises additional questions in this respect. </w:t>
      </w:r>
      <w:r>
        <w:rPr>
          <w:rFonts w:cs="Times New Roman"/>
          <w:noProof/>
          <w:szCs w:val="24"/>
        </w:rPr>
        <w:t>The decision of the Judicial Council to re-appoint seven court presidents, including the President of the Supreme Court, for at least a third term raises serious concerns over th</w:t>
      </w:r>
      <w:r>
        <w:rPr>
          <w:rFonts w:cs="Times New Roman"/>
          <w:noProof/>
          <w:szCs w:val="24"/>
        </w:rPr>
        <w:t>e Judicial Council’s interpretation of the letter and the spirit of the  Constitutional and legal framework, which limits those appointments to maximum two terms in order to prevent an over</w:t>
      </w:r>
      <w:r>
        <w:rPr>
          <w:rFonts w:cs="Times New Roman"/>
          <w:noProof/>
          <w:szCs w:val="24"/>
        </w:rPr>
        <w:noBreakHyphen/>
        <w:t>concentration of powers within the judiciary. It is also not in li</w:t>
      </w:r>
      <w:r>
        <w:rPr>
          <w:rFonts w:cs="Times New Roman"/>
          <w:noProof/>
          <w:szCs w:val="24"/>
        </w:rPr>
        <w:t>ne with the recommendations of the GRECO on the independence of the judiciary, which Montenegro is expected to comply with. In June 2020, Deputy Prime Minister and Minister of Justice, following a meeting of the Rule of Law Council, issued a public stateme</w:t>
      </w:r>
      <w:r>
        <w:rPr>
          <w:rFonts w:cs="Times New Roman"/>
          <w:noProof/>
          <w:szCs w:val="24"/>
        </w:rPr>
        <w:t xml:space="preserve">nt suggesting to courts’ presidents appointed beyond a second term to resign. </w:t>
      </w:r>
      <w:r>
        <w:rPr>
          <w:rFonts w:eastAsia="Calibri" w:cs="Times New Roman"/>
          <w:noProof/>
          <w:szCs w:val="24"/>
        </w:rPr>
        <w:t xml:space="preserve">Allegations of corruption in the Supreme State Prosecutor’s office and reported unauthorised interference in the work of the Special State Prosecution require an independent and </w:t>
      </w:r>
      <w:r>
        <w:rPr>
          <w:rFonts w:eastAsia="Calibri" w:cs="Times New Roman"/>
          <w:noProof/>
          <w:szCs w:val="24"/>
        </w:rPr>
        <w:t>effective institutional response. In April 2020, as part of the saving measures introduced due to COVID-19 pandemic, the Government decided to reduce for the months of May and June by 50% the salaries of functionaries and civil servants in the highest remu</w:t>
      </w:r>
      <w:r>
        <w:rPr>
          <w:rFonts w:eastAsia="Calibri" w:cs="Times New Roman"/>
          <w:noProof/>
          <w:szCs w:val="24"/>
        </w:rPr>
        <w:t>neration groups, among which are over 200 judges and prosecutors. Decisive political commitment is needed to guarantee the full independence of the judiciary.</w:t>
      </w:r>
    </w:p>
    <w:p w:rsidR="003C2144" w:rsidRDefault="00FB7959">
      <w:pPr>
        <w:spacing w:after="120" w:line="240" w:lineRule="auto"/>
        <w:jc w:val="both"/>
        <w:rPr>
          <w:rFonts w:eastAsia="Calibri" w:cs="Times New Roman"/>
          <w:noProof/>
          <w:szCs w:val="24"/>
        </w:rPr>
      </w:pPr>
      <w:r>
        <w:rPr>
          <w:rFonts w:eastAsia="Calibri" w:cs="Times New Roman"/>
          <w:noProof/>
          <w:szCs w:val="24"/>
        </w:rPr>
        <w:t>In January 2020, the Constitutional Court, after unsuccessful election of a new president, electe</w:t>
      </w:r>
      <w:r>
        <w:rPr>
          <w:rFonts w:eastAsia="Calibri" w:cs="Times New Roman"/>
          <w:noProof/>
          <w:szCs w:val="24"/>
        </w:rPr>
        <w:t>d its former President as a ‘presiding judge’ in the interim, even though such a category is not provided for by the legal framework. The procedure for appointing the new Constitutional Court president needs to be conducted without further delay.</w:t>
      </w:r>
    </w:p>
    <w:p w:rsidR="003C2144" w:rsidRDefault="00FB7959">
      <w:pPr>
        <w:spacing w:after="120" w:line="240" w:lineRule="auto"/>
        <w:jc w:val="both"/>
        <w:rPr>
          <w:rFonts w:eastAsia="Calibri" w:cs="Times New Roman"/>
          <w:noProof/>
          <w:szCs w:val="24"/>
        </w:rPr>
      </w:pPr>
      <w:r>
        <w:rPr>
          <w:rFonts w:eastAsia="Calibri" w:cs="Times New Roman"/>
          <w:noProof/>
          <w:szCs w:val="24"/>
        </w:rPr>
        <w:t>The rando</w:t>
      </w:r>
      <w:r>
        <w:rPr>
          <w:rFonts w:eastAsia="Calibri" w:cs="Times New Roman"/>
          <w:noProof/>
          <w:szCs w:val="24"/>
        </w:rPr>
        <w:t>m allocation of cases is ensured by the law on courts, and implemented automatically through the judicial information system PRIS. There are certain limitations on the random allocation of cases in very small courts, while PRIS has not been introduced in m</w:t>
      </w:r>
      <w:r>
        <w:rPr>
          <w:rFonts w:eastAsia="Calibri" w:cs="Times New Roman"/>
          <w:noProof/>
          <w:szCs w:val="24"/>
        </w:rPr>
        <w:t xml:space="preserve">isdemeanour courts. In the absence of clear criteria, the practice of reallocating large numbers of cases between courts to reduce backlogs is continued (1451 cases in 2019), putting at risk the right to a lawful judge. </w:t>
      </w:r>
    </w:p>
    <w:p w:rsidR="003C2144" w:rsidRDefault="00FB7959">
      <w:pPr>
        <w:spacing w:after="120" w:line="240" w:lineRule="auto"/>
        <w:jc w:val="both"/>
        <w:rPr>
          <w:rFonts w:eastAsia="Calibri" w:cs="Times New Roman"/>
          <w:noProof/>
          <w:szCs w:val="24"/>
        </w:rPr>
      </w:pPr>
      <w:r>
        <w:rPr>
          <w:rFonts w:eastAsia="Calibri" w:cs="Times New Roman"/>
          <w:noProof/>
          <w:szCs w:val="24"/>
        </w:rPr>
        <w:t>In December 2019, the government ad</w:t>
      </w:r>
      <w:r>
        <w:rPr>
          <w:rFonts w:eastAsia="Calibri" w:cs="Times New Roman"/>
          <w:noProof/>
          <w:szCs w:val="24"/>
        </w:rPr>
        <w:t>opted amendments to the law on courts and the law on the State Prosecutor’s Office in order to harmonise both laws with the 2018 law on judicial cooperation in criminal matters; both are pending enactment in Parliament.</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One presidential pardon was granted </w:t>
      </w:r>
      <w:r>
        <w:rPr>
          <w:rFonts w:eastAsia="Calibri" w:cs="Times New Roman"/>
          <w:noProof/>
          <w:szCs w:val="24"/>
        </w:rPr>
        <w:t>in 2019 (there was one in 2018 and one in 2017). In June 2020, the Parliament passed a Law on Amnesty to reduce the prison sentences of some inmates by 5-15%, in order to reduce the prison overcrowding in the context of COVID-19 outbreak. While those servi</w:t>
      </w:r>
      <w:r>
        <w:rPr>
          <w:rFonts w:eastAsia="Calibri" w:cs="Times New Roman"/>
          <w:noProof/>
          <w:szCs w:val="24"/>
        </w:rPr>
        <w:t>ng sentences for some of the most serious crimes, including war crimes, aggravated murder, terrorism and trafficking in human beings, corruption and offences against sexual freedom, will not be entitled to amnesty, the latter can apply to organised crime -</w:t>
      </w:r>
      <w:r>
        <w:rPr>
          <w:rFonts w:eastAsia="Calibri" w:cs="Times New Roman"/>
          <w:noProof/>
          <w:szCs w:val="24"/>
        </w:rPr>
        <w:t xml:space="preserve"> related offences .  </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 xml:space="preserve">Accountability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Track records on the enforcement of the codes of ethics and disciplinary accountability for judges and prosecutors remain poor. In 2019, one </w:t>
      </w:r>
      <w:r>
        <w:rPr>
          <w:rFonts w:eastAsia="Calibri" w:cs="Times New Roman"/>
          <w:b/>
          <w:noProof/>
          <w:szCs w:val="24"/>
        </w:rPr>
        <w:t>disciplinary proceeding</w:t>
      </w:r>
      <w:r>
        <w:rPr>
          <w:rFonts w:eastAsia="Calibri" w:cs="Times New Roman"/>
          <w:noProof/>
          <w:szCs w:val="24"/>
        </w:rPr>
        <w:t xml:space="preserve"> was launched and completed before the Judicial Counci</w:t>
      </w:r>
      <w:r>
        <w:rPr>
          <w:rFonts w:eastAsia="Calibri" w:cs="Times New Roman"/>
          <w:noProof/>
          <w:szCs w:val="24"/>
        </w:rPr>
        <w:t>l disciplinary commission (2018: one proceeding initiated). This established a violation, which resulted in a 20% salary for 3 months. There were no new disciplinary proceedings against prosecutors (2018: four cases in total). During the same period, there</w:t>
      </w:r>
      <w:r>
        <w:rPr>
          <w:rFonts w:eastAsia="Calibri" w:cs="Times New Roman"/>
          <w:noProof/>
          <w:szCs w:val="24"/>
        </w:rPr>
        <w:t xml:space="preserve"> were 14 reports of alleged violation of the </w:t>
      </w:r>
      <w:r>
        <w:rPr>
          <w:rFonts w:eastAsia="Calibri" w:cs="Times New Roman"/>
          <w:b/>
          <w:noProof/>
          <w:szCs w:val="24"/>
        </w:rPr>
        <w:t>code of ethics</w:t>
      </w:r>
      <w:r>
        <w:rPr>
          <w:rFonts w:eastAsia="Calibri" w:cs="Times New Roman"/>
          <w:noProof/>
          <w:szCs w:val="24"/>
        </w:rPr>
        <w:t xml:space="preserve"> for judges; 12 were completed and in two cases, violations were established by the ethical commission (2018: 15 cases in total, violation established in one case). In one of these two cases the Judicial Council overturned the decision on violation upon a </w:t>
      </w:r>
      <w:r>
        <w:rPr>
          <w:rFonts w:eastAsia="Calibri" w:cs="Times New Roman"/>
          <w:noProof/>
          <w:szCs w:val="24"/>
        </w:rPr>
        <w:t>complaint submitted by the judge. Of 12 cases of alleged violation of code of ethics for prosecutors violation was established in 3 cases (2018: 4 cases in total, no violation established). In the first half of 2020, there were two reports of alleged viola</w:t>
      </w:r>
      <w:r>
        <w:rPr>
          <w:rFonts w:eastAsia="Calibri" w:cs="Times New Roman"/>
          <w:noProof/>
          <w:szCs w:val="24"/>
        </w:rPr>
        <w:t xml:space="preserve">tion of the code of ethics for judges and two reports of alleged violation of the code of ethics for prosecutors. Disciplinary proceedings were instituted against one judge.  </w:t>
      </w:r>
    </w:p>
    <w:p w:rsidR="003C2144" w:rsidRDefault="00FB7959">
      <w:pPr>
        <w:spacing w:after="120" w:line="240" w:lineRule="auto"/>
        <w:jc w:val="both"/>
        <w:rPr>
          <w:rFonts w:eastAsia="Calibri" w:cs="Times New Roman"/>
          <w:noProof/>
          <w:szCs w:val="24"/>
        </w:rPr>
      </w:pPr>
      <w:r>
        <w:rPr>
          <w:rFonts w:eastAsia="Calibri" w:cs="Times New Roman"/>
          <w:noProof/>
          <w:szCs w:val="24"/>
        </w:rPr>
        <w:t>The system for detecting breaches of integrity rules needs to be made more effec</w:t>
      </w:r>
      <w:r>
        <w:rPr>
          <w:rFonts w:eastAsia="Calibri" w:cs="Times New Roman"/>
          <w:noProof/>
          <w:szCs w:val="24"/>
        </w:rPr>
        <w:t>tive by ensuring due follow-up of all cases that give grounds for disciplinary responsibility. The objectivity, proportionality and effectiveness of the disciplinary framework for judges have yet to be strengthened. The approach to handling cases in both C</w:t>
      </w:r>
      <w:r>
        <w:rPr>
          <w:rFonts w:eastAsia="Calibri" w:cs="Times New Roman"/>
          <w:noProof/>
          <w:szCs w:val="24"/>
        </w:rPr>
        <w:t>ommissions overseeing the enforcement of the codes of ethics is still inconsistent. A legal remedy against decisions of the ethical Commissions of both Councils has yet to be introduced by the law. The relevant decisions of the Prosecutorial and Judicial C</w:t>
      </w:r>
      <w:r>
        <w:rPr>
          <w:rFonts w:eastAsia="Calibri" w:cs="Times New Roman"/>
          <w:noProof/>
          <w:szCs w:val="24"/>
        </w:rPr>
        <w:t>ouncils are insufficiently motivated and case-law has yet to be developed. Although the counselling function of the ethical commissions has been strengthened within the judiciary and prosecution service, ethics and professional conduct in the judiciary and</w:t>
      </w:r>
      <w:r>
        <w:rPr>
          <w:rFonts w:eastAsia="Calibri" w:cs="Times New Roman"/>
          <w:noProof/>
          <w:szCs w:val="24"/>
        </w:rPr>
        <w:t xml:space="preserve"> information on existing complaints mechanisms need to be promoted further.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2019, the Ministry of Justice's regular judicial inspection found irregularities in a misdemeanour court’s register-keeping and archiving system, while no irregularities were </w:t>
      </w:r>
      <w:r>
        <w:rPr>
          <w:rFonts w:eastAsia="Calibri" w:cs="Times New Roman"/>
          <w:noProof/>
          <w:szCs w:val="24"/>
        </w:rPr>
        <w:t>established in the prosecutors’ offices. The ministry’s capacity to conduct judicial inspections remains limited, with only two judicial inspectors working on supervision of courts, prosecution offices, notaries and public bailiffs. The judicial inspection</w:t>
      </w:r>
      <w:r>
        <w:rPr>
          <w:rFonts w:eastAsia="Calibri" w:cs="Times New Roman"/>
          <w:noProof/>
          <w:szCs w:val="24"/>
        </w:rPr>
        <w:t xml:space="preserve"> system needs to be enforced effectively, including through more thorough and unannounced inspections.</w:t>
      </w:r>
    </w:p>
    <w:p w:rsidR="003C2144" w:rsidRDefault="00FB7959">
      <w:pPr>
        <w:spacing w:after="120" w:line="240" w:lineRule="auto"/>
        <w:jc w:val="both"/>
        <w:rPr>
          <w:rFonts w:eastAsia="Calibri" w:cs="Times New Roman"/>
          <w:noProof/>
          <w:szCs w:val="24"/>
        </w:rPr>
      </w:pPr>
      <w:r>
        <w:rPr>
          <w:rFonts w:eastAsia="Calibri" w:cs="Times New Roman"/>
          <w:noProof/>
          <w:szCs w:val="24"/>
        </w:rPr>
        <w:t>In March 2019 amendments to the law on public bailiffs were adopted which introduced an obligation for bailiffs to submit asset declarations to the Anti-</w:t>
      </w:r>
      <w:r>
        <w:rPr>
          <w:rFonts w:eastAsia="Calibri" w:cs="Times New Roman"/>
          <w:noProof/>
          <w:szCs w:val="24"/>
        </w:rPr>
        <w:t>Corruption Agency. In December 2019, the revised code of ethics for public bailiffs was adopted and the new commission for ethical conduct of public bailiffs formed. The Ministry of Justice and the Public Bailiffs' Chamber started joint inspections of 18 b</w:t>
      </w:r>
      <w:r>
        <w:rPr>
          <w:rFonts w:eastAsia="Calibri" w:cs="Times New Roman"/>
          <w:noProof/>
          <w:szCs w:val="24"/>
        </w:rPr>
        <w:t>ailiffs' offices. In total, six irregularities were found in three offices. In 2019, four disciplinary proceedings were initiated against public bailiffs, and one further so far in 2020 In two cases, disciplinary liability was established and fines imposed</w:t>
      </w:r>
      <w:r>
        <w:rPr>
          <w:rFonts w:eastAsia="Calibri" w:cs="Times New Roman"/>
          <w:noProof/>
          <w:szCs w:val="24"/>
        </w:rPr>
        <w:t xml:space="preserve"> accordingly. In another case, a public bailiff was temporarily suspended until the end of criminal proceedings against him. Additional steps are needed to promote professional and ethical standards among bailiffs, including appropriate training.</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Professio</w:t>
      </w:r>
      <w:r>
        <w:rPr>
          <w:rFonts w:eastAsia="Calibri" w:cs="Times New Roman"/>
          <w:noProof/>
          <w:szCs w:val="24"/>
          <w:u w:val="single"/>
        </w:rPr>
        <w:t>nalism and competence</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has continued organising single nationwide competitions for judges and prosecutors. In 2019, </w:t>
      </w:r>
      <w:r>
        <w:rPr>
          <w:rFonts w:eastAsia="Times New Roman" w:cs="Times New Roman"/>
          <w:noProof/>
          <w:szCs w:val="24"/>
        </w:rPr>
        <w:t>9 judges were promoted to higher-level judicial positions and 2 prosecutors were elected to higher-instance prosecution offices. A</w:t>
      </w:r>
      <w:r>
        <w:rPr>
          <w:rFonts w:eastAsia="Calibri" w:cs="Times New Roman"/>
          <w:noProof/>
          <w:szCs w:val="24"/>
        </w:rPr>
        <w:t xml:space="preserve">llegations of conflict of interest against some members of the Judicial Council regarding certain candidates in the 2019 competition, the manner in which the interviews with candidates were conducted; and integrity violations by candidates during the 2020 </w:t>
      </w:r>
      <w:r>
        <w:rPr>
          <w:rFonts w:eastAsia="Calibri" w:cs="Times New Roman"/>
          <w:noProof/>
          <w:szCs w:val="24"/>
        </w:rPr>
        <w:t xml:space="preserve">competition, point to outstanding challenges in transparent and merit-based recruitment of judges, professionalism of the Judicial Council’s commission for testing; and technical preconditions for organisation of testing. </w:t>
      </w:r>
    </w:p>
    <w:p w:rsidR="003C2144" w:rsidRDefault="00FB7959">
      <w:pPr>
        <w:spacing w:after="120" w:line="240" w:lineRule="auto"/>
        <w:jc w:val="both"/>
        <w:rPr>
          <w:rFonts w:eastAsia="Calibri" w:cs="Times New Roman"/>
          <w:noProof/>
          <w:szCs w:val="24"/>
          <w:highlight w:val="yellow"/>
        </w:rPr>
      </w:pPr>
      <w:r>
        <w:rPr>
          <w:rFonts w:eastAsia="Calibri" w:cs="Times New Roman"/>
          <w:noProof/>
          <w:szCs w:val="24"/>
        </w:rPr>
        <w:t>Both Councils now conduct regular</w:t>
      </w:r>
      <w:r>
        <w:rPr>
          <w:rFonts w:eastAsia="Calibri" w:cs="Times New Roman"/>
          <w:noProof/>
          <w:szCs w:val="24"/>
        </w:rPr>
        <w:t xml:space="preserve"> assessment of judges and prosecutors under the new system of regular professional assessment. In 2019, 55 judges and 53 prosecutors were evaluated under the regular assessment procedure. The fact that all evaluated prosecutors received excellent grade rai</w:t>
      </w:r>
      <w:r>
        <w:rPr>
          <w:rFonts w:eastAsia="Calibri" w:cs="Times New Roman"/>
          <w:noProof/>
          <w:szCs w:val="24"/>
        </w:rPr>
        <w:t>ses questions over the objectivity and the overall purpose of the evaluation process. Assessment needs to be more thorough, in line with the assessment criteria revised in 2017.</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Quality of justice</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2019-2020 action plan accompanying the judicial reform </w:t>
      </w:r>
      <w:r>
        <w:rPr>
          <w:rFonts w:eastAsia="Calibri" w:cs="Times New Roman"/>
          <w:noProof/>
          <w:szCs w:val="24"/>
        </w:rPr>
        <w:t>strategy encompasses measures for implementing the Judicial Training Centre strategy. In 2020, the Judicial Training Centre was allocated a budget of EUR 615,593 (2019: EUR 619,000) which remains below the statutory minimum. The autonomous and self-sustain</w:t>
      </w:r>
      <w:r>
        <w:rPr>
          <w:rFonts w:eastAsia="Calibri" w:cs="Times New Roman"/>
          <w:noProof/>
          <w:szCs w:val="24"/>
        </w:rPr>
        <w:t>able functioning of the Centre is therefore yet to be guaranteed. However, the Centre’s state budget funding is currently sufficient since a large part of its activities continue to be financially supported by the EU and other international donors.</w:t>
      </w:r>
      <w:r>
        <w:rPr>
          <w:rFonts w:eastAsia="Calibri" w:cs="Times New Roman"/>
          <w:iCs/>
          <w:noProof/>
          <w:szCs w:val="24"/>
        </w:rPr>
        <w:t xml:space="preserve"> Its sec</w:t>
      </w:r>
      <w:r>
        <w:rPr>
          <w:rFonts w:eastAsia="Calibri" w:cs="Times New Roman"/>
          <w:iCs/>
          <w:noProof/>
          <w:szCs w:val="24"/>
        </w:rPr>
        <w:t>retariat still employs 14 of the 19 planned posts, while the number of its implemented activities is steadily increasing.</w:t>
      </w:r>
      <w:r>
        <w:rPr>
          <w:rFonts w:eastAsia="Calibri" w:cs="Times New Roman"/>
          <w:noProof/>
          <w:szCs w:val="24"/>
        </w:rPr>
        <w:t xml:space="preserve"> The training activities of the Centre were interrupted during the period of COVID-19 restrictions. The Centre's managerial, strategic </w:t>
      </w:r>
      <w:r>
        <w:rPr>
          <w:rFonts w:eastAsia="Calibri" w:cs="Times New Roman"/>
          <w:noProof/>
          <w:szCs w:val="24"/>
        </w:rPr>
        <w:t xml:space="preserve">planning and administrative capacity needs to further improve, especially following the changes in its management in December 2019. Its regular cooperation and communication with the Judicial and Prosecutorial Councils is yet to be established, especially </w:t>
      </w:r>
      <w:r>
        <w:rPr>
          <w:rFonts w:eastAsia="Calibri" w:cs="Times New Roman"/>
          <w:noProof/>
          <w:szCs w:val="24"/>
        </w:rPr>
        <w:t>over the organisation of initial training cycles. The role of the Centre’s Programming Council has to be substantially improved as regards training needs assessment and evaluation. The Centre participates as an observer in the activities offered by the Eur</w:t>
      </w:r>
      <w:r>
        <w:rPr>
          <w:rFonts w:eastAsia="Calibri" w:cs="Times New Roman"/>
          <w:noProof/>
          <w:szCs w:val="24"/>
        </w:rPr>
        <w:t xml:space="preserve">opean Judicial Training Network (EJTN) but is not proactively benefiting from the expertise within the network. </w:t>
      </w:r>
    </w:p>
    <w:p w:rsidR="003C2144" w:rsidRDefault="00FB7959">
      <w:pPr>
        <w:spacing w:after="120" w:line="240" w:lineRule="auto"/>
        <w:jc w:val="both"/>
        <w:rPr>
          <w:rFonts w:eastAsia="Calibri" w:cs="Times New Roman"/>
          <w:noProof/>
          <w:szCs w:val="24"/>
        </w:rPr>
      </w:pPr>
      <w:r>
        <w:rPr>
          <w:rFonts w:eastAsia="Calibri" w:cs="Times New Roman"/>
          <w:noProof/>
          <w:szCs w:val="24"/>
        </w:rPr>
        <w:t>Activities in the judiciary continued to harmonise jurisprudence, including with the case-law of the European Court of Human Rights. However, c</w:t>
      </w:r>
      <w:r>
        <w:rPr>
          <w:rFonts w:eastAsia="Calibri" w:cs="Times New Roman"/>
          <w:noProof/>
          <w:szCs w:val="24"/>
        </w:rPr>
        <w:t>oncerns remain over institutional disputes and divergent understanding and interpretation of human rights standards between the Supreme Court and Constitutional Court, putting at risk legal certainty and the right to a final judgement and effective legal r</w:t>
      </w:r>
      <w:r>
        <w:rPr>
          <w:rFonts w:eastAsia="Calibri" w:cs="Times New Roman"/>
          <w:noProof/>
          <w:szCs w:val="24"/>
        </w:rPr>
        <w:t xml:space="preserve">emedy. </w:t>
      </w:r>
    </w:p>
    <w:p w:rsidR="003C2144" w:rsidRDefault="00FB7959">
      <w:pPr>
        <w:spacing w:after="120" w:line="240" w:lineRule="auto"/>
        <w:jc w:val="both"/>
        <w:rPr>
          <w:rFonts w:eastAsia="Calibri" w:cs="Times New Roman"/>
          <w:noProof/>
          <w:szCs w:val="24"/>
        </w:rPr>
      </w:pPr>
      <w:r>
        <w:rPr>
          <w:rFonts w:eastAsia="Calibri" w:cs="Times New Roman"/>
          <w:noProof/>
          <w:szCs w:val="24"/>
        </w:rPr>
        <w:t>No progress was made in the full implementation of instructions for collecting statistical data in compliance with the guidelines of the European Commission for the Efficiency of Justice (CEPEJ). Issues also remained regarding the reliability and a</w:t>
      </w:r>
      <w:r>
        <w:rPr>
          <w:rFonts w:eastAsia="Calibri" w:cs="Times New Roman"/>
          <w:noProof/>
          <w:szCs w:val="24"/>
        </w:rPr>
        <w:t xml:space="preserve">vailability of statistical data for the judiciary in the absence of an advanced case management system. Data on the total length of proceedings is still not available. </w:t>
      </w:r>
      <w:r>
        <w:rPr>
          <w:rFonts w:eastAsia="Calibri" w:cs="Times New Roman"/>
          <w:iCs/>
          <w:noProof/>
          <w:szCs w:val="24"/>
        </w:rPr>
        <w:t xml:space="preserve">Statistical information on the performance of the judicial system is not systematically </w:t>
      </w:r>
      <w:r>
        <w:rPr>
          <w:rFonts w:eastAsia="Calibri" w:cs="Times New Roman"/>
          <w:iCs/>
          <w:noProof/>
          <w:szCs w:val="24"/>
        </w:rPr>
        <w:t xml:space="preserve">analysed, nor used for management and policy-making purposes. </w:t>
      </w:r>
    </w:p>
    <w:p w:rsidR="003C2144" w:rsidRDefault="00FB7959">
      <w:pPr>
        <w:spacing w:after="120" w:line="240" w:lineRule="auto"/>
        <w:jc w:val="both"/>
        <w:rPr>
          <w:rFonts w:eastAsia="Calibri" w:cs="Times New Roman"/>
          <w:iCs/>
          <w:noProof/>
          <w:szCs w:val="24"/>
        </w:rPr>
      </w:pPr>
      <w:r>
        <w:rPr>
          <w:rFonts w:eastAsia="Calibri" w:cs="Times New Roman"/>
          <w:iCs/>
          <w:noProof/>
          <w:szCs w:val="24"/>
        </w:rPr>
        <w:t>In September 2019, the government adopted an updated 2016-2020 action plan for implementation of the ICT strategy for the judiciary, with some adjustments of the target dates due to certain del</w:t>
      </w:r>
      <w:r>
        <w:rPr>
          <w:rFonts w:eastAsia="Calibri" w:cs="Times New Roman"/>
          <w:iCs/>
          <w:noProof/>
          <w:szCs w:val="24"/>
        </w:rPr>
        <w:t xml:space="preserve">ays in the implementation and a detailed budget breakdown. The new ICT sub-system for courts was procured in June 2019. Until the new system is put in place, the current judicial information system, PRIS, is used by all courts for case monitoring, certain </w:t>
      </w:r>
      <w:r>
        <w:rPr>
          <w:rFonts w:eastAsia="Calibri" w:cs="Times New Roman"/>
          <w:iCs/>
          <w:noProof/>
          <w:szCs w:val="24"/>
        </w:rPr>
        <w:t xml:space="preserve">aspects of case management and interaction with parties. The system still has security loopholes and does not operate consistently outside Podgorica, while the prosecution's information system is not yet sufficiently advanced. </w:t>
      </w:r>
    </w:p>
    <w:p w:rsidR="003C2144" w:rsidRDefault="00FB7959">
      <w:pPr>
        <w:spacing w:after="120" w:line="240" w:lineRule="auto"/>
        <w:jc w:val="both"/>
        <w:rPr>
          <w:rFonts w:eastAsia="Calibri" w:cs="Times New Roman"/>
          <w:iCs/>
          <w:noProof/>
          <w:szCs w:val="24"/>
        </w:rPr>
      </w:pPr>
      <w:r>
        <w:rPr>
          <w:rFonts w:eastAsia="Calibri" w:cs="Times New Roman"/>
          <w:iCs/>
          <w:noProof/>
          <w:szCs w:val="24"/>
        </w:rPr>
        <w:t>The 2020 budget for the judi</w:t>
      </w:r>
      <w:r>
        <w:rPr>
          <w:rFonts w:eastAsia="Calibri" w:cs="Times New Roman"/>
          <w:iCs/>
          <w:noProof/>
          <w:szCs w:val="24"/>
        </w:rPr>
        <w:t>ciary is EUR 39.1 million, similar to 2019. Montenegro has 51 judges (58% of whom are women) and 17 prosecutors (over 65% of whom are women) per 100,000 inhabitants, far above the European average of 21 judges and 11 prosecutors (source: CEPEJ), as well as</w:t>
      </w:r>
      <w:r>
        <w:rPr>
          <w:rFonts w:eastAsia="Calibri" w:cs="Times New Roman"/>
          <w:iCs/>
          <w:noProof/>
          <w:szCs w:val="24"/>
        </w:rPr>
        <w:t xml:space="preserve"> three times as many judicial staff per inhabitants as the European average. Montenegro stands out in comparison to the region with regard to much lower collection of court fees.  </w:t>
      </w:r>
    </w:p>
    <w:p w:rsidR="003C2144" w:rsidRDefault="00FB7959">
      <w:pPr>
        <w:spacing w:after="120" w:line="240" w:lineRule="auto"/>
        <w:jc w:val="both"/>
        <w:rPr>
          <w:rFonts w:eastAsia="Calibri" w:cs="Times New Roman"/>
          <w:iCs/>
          <w:noProof/>
          <w:szCs w:val="24"/>
        </w:rPr>
      </w:pPr>
      <w:r>
        <w:rPr>
          <w:rFonts w:eastAsia="Calibri" w:cs="Times New Roman"/>
          <w:iCs/>
          <w:noProof/>
          <w:szCs w:val="24"/>
        </w:rPr>
        <w:t xml:space="preserve">A positive trend continued in </w:t>
      </w:r>
      <w:r>
        <w:rPr>
          <w:rFonts w:eastAsia="Calibri" w:cs="Times New Roman"/>
          <w:b/>
          <w:iCs/>
          <w:noProof/>
          <w:szCs w:val="24"/>
        </w:rPr>
        <w:t>alternative dispute resolution</w:t>
      </w:r>
      <w:r>
        <w:rPr>
          <w:rFonts w:eastAsia="Calibri" w:cs="Times New Roman"/>
          <w:iCs/>
          <w:noProof/>
          <w:szCs w:val="24"/>
        </w:rPr>
        <w:t>, with Monteneg</w:t>
      </w:r>
      <w:r>
        <w:rPr>
          <w:rFonts w:eastAsia="Calibri" w:cs="Times New Roman"/>
          <w:iCs/>
          <w:noProof/>
          <w:szCs w:val="24"/>
        </w:rPr>
        <w:t xml:space="preserve">ro undertaking a number of measures to strengthen and promote its use. The law on alternative dispute resolution was adopted by the government in November 2019; it provides, among other things, for compulsory recourse to alternative dispute resolution for </w:t>
      </w:r>
      <w:r>
        <w:rPr>
          <w:rFonts w:eastAsia="Calibri" w:cs="Times New Roman"/>
          <w:iCs/>
          <w:noProof/>
          <w:szCs w:val="24"/>
        </w:rPr>
        <w:t xml:space="preserve">certain types of cases. The law is yet to be enacted </w:t>
      </w:r>
      <w:r>
        <w:rPr>
          <w:rFonts w:eastAsia="Calibri" w:cs="Times New Roman"/>
          <w:noProof/>
          <w:szCs w:val="24"/>
        </w:rPr>
        <w:t>by Parliament</w:t>
      </w:r>
      <w:r>
        <w:rPr>
          <w:rFonts w:eastAsia="Calibri" w:cs="Times New Roman"/>
          <w:iCs/>
          <w:noProof/>
          <w:szCs w:val="24"/>
        </w:rPr>
        <w:t>. In 2019, 917 cases were referred to the Centre for Mediation (2018: 629 in total)</w:t>
      </w:r>
      <w:r>
        <w:rPr>
          <w:rFonts w:eastAsia="Times New Roman" w:cs="Times New Roman"/>
          <w:noProof/>
          <w:szCs w:val="24"/>
        </w:rPr>
        <w:t xml:space="preserve">, and 403 cases were settled through mediation (2018: 107). </w:t>
      </w:r>
      <w:r>
        <w:rPr>
          <w:rFonts w:eastAsia="Calibri" w:cs="Times New Roman"/>
          <w:iCs/>
          <w:noProof/>
          <w:szCs w:val="24"/>
        </w:rPr>
        <w:t xml:space="preserve">During the same period, 2,743 cases (2018: </w:t>
      </w:r>
      <w:r>
        <w:rPr>
          <w:rFonts w:eastAsia="Calibri" w:cs="Times New Roman"/>
          <w:noProof/>
          <w:szCs w:val="24"/>
        </w:rPr>
        <w:t>3,45</w:t>
      </w:r>
      <w:r>
        <w:rPr>
          <w:rFonts w:eastAsia="Calibri" w:cs="Times New Roman"/>
          <w:noProof/>
          <w:szCs w:val="24"/>
        </w:rPr>
        <w:t>0</w:t>
      </w:r>
      <w:r>
        <w:rPr>
          <w:rFonts w:eastAsia="Calibri" w:cs="Times New Roman"/>
          <w:iCs/>
          <w:noProof/>
          <w:szCs w:val="24"/>
        </w:rPr>
        <w:t xml:space="preserve">) were submitted to the Agency for Peaceful Settlement of Labour Disputes, of which </w:t>
      </w:r>
      <w:r>
        <w:rPr>
          <w:rFonts w:eastAsia="Times New Roman" w:cs="Times New Roman"/>
          <w:noProof/>
          <w:szCs w:val="24"/>
        </w:rPr>
        <w:t xml:space="preserve">1,258 </w:t>
      </w:r>
      <w:r>
        <w:rPr>
          <w:rFonts w:eastAsia="Calibri" w:cs="Times New Roman"/>
          <w:iCs/>
          <w:noProof/>
          <w:szCs w:val="24"/>
        </w:rPr>
        <w:t xml:space="preserve">were resolved (2018: 3,041). However, this method has yet to be used systematically in order to maximise its overall impact.  </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Efficiency</w:t>
      </w:r>
    </w:p>
    <w:p w:rsidR="003C2144" w:rsidRDefault="00FB7959">
      <w:pPr>
        <w:spacing w:after="120" w:line="240" w:lineRule="auto"/>
        <w:jc w:val="both"/>
        <w:rPr>
          <w:rFonts w:eastAsia="Calibri" w:cs="Times New Roman"/>
          <w:noProof/>
          <w:szCs w:val="24"/>
        </w:rPr>
      </w:pPr>
      <w:r>
        <w:rPr>
          <w:rFonts w:eastAsia="Calibri" w:cs="Times New Roman"/>
          <w:noProof/>
          <w:szCs w:val="24"/>
        </w:rPr>
        <w:t>In 2019, 131,956 cases were</w:t>
      </w:r>
      <w:r>
        <w:rPr>
          <w:rFonts w:eastAsia="Calibri" w:cs="Times New Roman"/>
          <w:noProof/>
          <w:szCs w:val="24"/>
        </w:rPr>
        <w:t xml:space="preserve"> pending before Montenegrin courts, 92 of which were new cases (6.9 % less than in 2018). Some 92,305 cases were resolved (5.5 % less than in 2018), while the overall case backlog fell by 2 % to 38,190. Montenegro continued to take concrete measures to red</w:t>
      </w:r>
      <w:r>
        <w:rPr>
          <w:rFonts w:eastAsia="Calibri" w:cs="Times New Roman"/>
          <w:noProof/>
          <w:szCs w:val="24"/>
        </w:rPr>
        <w:t>uce the backlog of old cases, which were given priority status. The number of cases older than 3 years fell by 5.5 % to 2,912. The disposition time, i.e. the average time from filing to decision, was 143 days in basis court cases (2018: 142 days) and 116 f</w:t>
      </w:r>
      <w:r>
        <w:rPr>
          <w:rFonts w:eastAsia="Calibri" w:cs="Times New Roman"/>
          <w:noProof/>
          <w:szCs w:val="24"/>
        </w:rPr>
        <w:t xml:space="preserve">or commercial cases (2018: 107 days). Disposition time before the Administrative Court (534 days) is a cause for concern.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April 2019, amendments to the Law on enforcement and securing of claims were adopted, aiming to align with the EU </w:t>
      </w:r>
      <w:r>
        <w:rPr>
          <w:rFonts w:eastAsia="Calibri" w:cs="Times New Roman"/>
          <w:i/>
          <w:noProof/>
          <w:szCs w:val="24"/>
        </w:rPr>
        <w:t>acquis</w:t>
      </w:r>
      <w:r>
        <w:rPr>
          <w:rFonts w:eastAsia="Calibri" w:cs="Times New Roman"/>
          <w:noProof/>
          <w:szCs w:val="24"/>
        </w:rPr>
        <w:t xml:space="preserve"> and address some challenges in the practice of enforcement proceedings.</w:t>
      </w:r>
    </w:p>
    <w:p w:rsidR="003C2144" w:rsidRDefault="00FB7959">
      <w:pPr>
        <w:spacing w:after="120" w:line="240" w:lineRule="auto"/>
        <w:jc w:val="both"/>
        <w:rPr>
          <w:rFonts w:eastAsia="Calibri" w:cs="Times New Roman"/>
          <w:noProof/>
          <w:szCs w:val="24"/>
        </w:rPr>
      </w:pPr>
      <w:r>
        <w:rPr>
          <w:rFonts w:eastAsia="Calibri" w:cs="Times New Roman"/>
          <w:noProof/>
          <w:szCs w:val="24"/>
        </w:rPr>
        <w:t>As regards enforcement, the clearance and recovery rates are increasing, and the backlog of enforcement cases before the courts has been reduced from 150,000 in 2016 to just around 2,</w:t>
      </w:r>
      <w:r>
        <w:rPr>
          <w:rFonts w:eastAsia="Calibri" w:cs="Times New Roman"/>
          <w:noProof/>
          <w:szCs w:val="24"/>
        </w:rPr>
        <w:t>500 at the end of 2019. In 2019, 61,127 cases were filed to bailiffs' offices, with 40,019 cases pending at the end the year. The centralised case management system for bailiffs continues to be used consistently, guaranteeing data reliability. The enforcem</w:t>
      </w:r>
      <w:r>
        <w:rPr>
          <w:rFonts w:eastAsia="Calibri" w:cs="Times New Roman"/>
          <w:noProof/>
          <w:szCs w:val="24"/>
        </w:rPr>
        <w:t xml:space="preserve">ent of court decisions remains a challenge. </w:t>
      </w:r>
    </w:p>
    <w:p w:rsidR="003C2144" w:rsidRDefault="00FB7959">
      <w:pPr>
        <w:spacing w:after="120" w:line="240" w:lineRule="auto"/>
        <w:jc w:val="both"/>
        <w:rPr>
          <w:rFonts w:eastAsia="Calibri" w:cs="Times New Roman"/>
          <w:noProof/>
          <w:szCs w:val="24"/>
          <w:highlight w:val="yellow"/>
        </w:rPr>
      </w:pPr>
      <w:r>
        <w:rPr>
          <w:rFonts w:eastAsia="Calibri" w:cs="Times New Roman"/>
          <w:noProof/>
          <w:szCs w:val="24"/>
        </w:rPr>
        <w:t xml:space="preserve">In 2019, the Constitutional Court of Montenegro received 2,320 cases (2018: 2,291), while it resolved 1,436 cases (2018: 1,203). The trend of backlog increase continues in 2020.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2017-2019 mid-term strategy </w:t>
      </w:r>
      <w:r>
        <w:rPr>
          <w:rFonts w:eastAsia="Calibri" w:cs="Times New Roman"/>
          <w:noProof/>
          <w:szCs w:val="24"/>
        </w:rPr>
        <w:t xml:space="preserve">for the rationalisation of the courts network does not envisage any tangible and concrete rationalisation measures. With the 2019-2020 action plan accompanying the judicial reform strategy, the government committed itself to prepare an underlying analysis </w:t>
      </w:r>
      <w:r>
        <w:rPr>
          <w:rFonts w:eastAsia="Calibri" w:cs="Times New Roman"/>
          <w:noProof/>
          <w:szCs w:val="24"/>
        </w:rPr>
        <w:t xml:space="preserve">for rationalisation of the judicial network which is underway and should be finalised in autumn. Reform in this area should draw on the available data, conclusions from undertaken studies and cost-benefit analyses, while ensuring better overall management </w:t>
      </w:r>
      <w:r>
        <w:rPr>
          <w:rFonts w:eastAsia="Calibri" w:cs="Times New Roman"/>
          <w:noProof/>
          <w:szCs w:val="24"/>
        </w:rPr>
        <w:t xml:space="preserve">of human resources and judicial infrastructure, and should ultimately lead to optimisation of the judicial network and closing down of small unviable courts.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u w:val="single"/>
        </w:rPr>
        <w:t xml:space="preserve">Domestic handling of war crimes cases </w:t>
      </w:r>
    </w:p>
    <w:p w:rsidR="003C2144" w:rsidRDefault="00FB7959">
      <w:pPr>
        <w:autoSpaceDE w:val="0"/>
        <w:autoSpaceDN w:val="0"/>
        <w:adjustRightInd w:val="0"/>
        <w:spacing w:after="120" w:line="240" w:lineRule="auto"/>
        <w:jc w:val="both"/>
        <w:rPr>
          <w:rFonts w:eastAsia="Calibri" w:cs="Times New Roman"/>
          <w:iCs/>
          <w:noProof/>
          <w:szCs w:val="24"/>
        </w:rPr>
      </w:pPr>
      <w:r>
        <w:rPr>
          <w:rFonts w:eastAsia="Calibri" w:cs="Times New Roman"/>
          <w:iCs/>
          <w:noProof/>
          <w:szCs w:val="24"/>
        </w:rPr>
        <w:t>Implementation of the war crimes prosecution strategy is o</w:t>
      </w:r>
      <w:r>
        <w:rPr>
          <w:rFonts w:eastAsia="Calibri" w:cs="Times New Roman"/>
          <w:iCs/>
          <w:noProof/>
          <w:szCs w:val="24"/>
        </w:rPr>
        <w:t>ngoing. In June 2019, a first</w:t>
      </w:r>
      <w:r>
        <w:rPr>
          <w:rFonts w:eastAsia="Calibri" w:cs="Times New Roman"/>
          <w:iCs/>
          <w:noProof/>
          <w:szCs w:val="24"/>
        </w:rPr>
        <w:noBreakHyphen/>
        <w:t>instance court reached a decision sentencing a defendant to 14 years of imprisonment for crimes against the civilian population in Kosovo</w:t>
      </w:r>
      <w:r>
        <w:rPr>
          <w:rStyle w:val="FootnoteReference"/>
          <w:rFonts w:eastAsia="Calibri" w:cs="Times New Roman"/>
          <w:iCs/>
          <w:noProof/>
          <w:szCs w:val="24"/>
        </w:rPr>
        <w:footnoteReference w:customMarkFollows="1" w:id="1"/>
        <w:sym w:font="Symbol" w:char="F02A"/>
      </w:r>
      <w:r>
        <w:rPr>
          <w:rFonts w:eastAsia="Calibri" w:cs="Times New Roman"/>
          <w:iCs/>
          <w:noProof/>
          <w:szCs w:val="24"/>
        </w:rPr>
        <w:t>. The sentence was upheld by a second-instance court decision in November 2019. While th</w:t>
      </w:r>
      <w:r>
        <w:rPr>
          <w:rFonts w:eastAsia="Calibri" w:cs="Times New Roman"/>
          <w:iCs/>
          <w:noProof/>
          <w:szCs w:val="24"/>
        </w:rPr>
        <w:t>e decision is final, proceedings on the defendant’s motion for protection of legality are currently ongoing. Within the jurisdiction of the Special Prosecutor's Office (SPO), four cases remain in the preliminary phase of investigation concerning war crimes</w:t>
      </w:r>
      <w:r>
        <w:rPr>
          <w:rFonts w:eastAsia="Calibri" w:cs="Times New Roman"/>
          <w:iCs/>
          <w:noProof/>
          <w:szCs w:val="24"/>
        </w:rPr>
        <w:t xml:space="preserve"> committed on the territories of Bosnia and Herzegovina, and Croatia. Following the signature of a memorandum of understanding with the International Residual Mechanism for Criminal Tribunals (IRMCT) in early 2019, guidelines for cooperation have been prep</w:t>
      </w:r>
      <w:r>
        <w:rPr>
          <w:rFonts w:eastAsia="Calibri" w:cs="Times New Roman"/>
          <w:iCs/>
          <w:noProof/>
          <w:szCs w:val="24"/>
        </w:rPr>
        <w:t>ared on the exchange of information and evidence with IRMCT. The Montenegrin Supreme State Prosecution has signed regional cooperation agreements on war crimes cases with Croatia (2006), Serbia (2007) and Bosnia and Herzegovina (2014). In 2019 and first ha</w:t>
      </w:r>
      <w:r>
        <w:rPr>
          <w:rFonts w:eastAsia="Calibri" w:cs="Times New Roman"/>
          <w:iCs/>
          <w:noProof/>
          <w:szCs w:val="24"/>
        </w:rPr>
        <w:t>lf of 2020, Montenegro acted upon seven letters rogatory from Bosnia and Herzegovina, three letters rogatory from Croatia and one from the Kosovo Specialist’s Prosecutor’s Office. Activities are also ongoing on re-examination of old cases with a view to se</w:t>
      </w:r>
      <w:r>
        <w:rPr>
          <w:rFonts w:eastAsia="Calibri" w:cs="Times New Roman"/>
          <w:iCs/>
          <w:noProof/>
          <w:szCs w:val="24"/>
        </w:rPr>
        <w:t xml:space="preserve">curing revision of the final judgements. The prosecution regularly participates in regional operational meetings. </w:t>
      </w:r>
    </w:p>
    <w:p w:rsidR="003C2144" w:rsidRDefault="00FB7959">
      <w:pPr>
        <w:autoSpaceDE w:val="0"/>
        <w:autoSpaceDN w:val="0"/>
        <w:adjustRightInd w:val="0"/>
        <w:spacing w:after="120" w:line="240" w:lineRule="auto"/>
        <w:jc w:val="both"/>
        <w:rPr>
          <w:rFonts w:eastAsia="Calibri" w:cs="Times New Roman"/>
          <w:iCs/>
          <w:noProof/>
          <w:szCs w:val="24"/>
        </w:rPr>
      </w:pPr>
      <w:r>
        <w:rPr>
          <w:rFonts w:eastAsia="Calibri" w:cs="Times New Roman"/>
          <w:iCs/>
          <w:noProof/>
          <w:szCs w:val="24"/>
        </w:rPr>
        <w:t>It is important to ensure that victims of war crimes have equal access to justice, in line with European and international standards, and tha</w:t>
      </w:r>
      <w:r>
        <w:rPr>
          <w:rFonts w:eastAsia="Calibri" w:cs="Times New Roman"/>
          <w:iCs/>
          <w:noProof/>
          <w:szCs w:val="24"/>
        </w:rPr>
        <w:t>t compensation is in line with the country's commitments. In 2019, there were 19 claims for compensation pending before the basic court of Podgorica: 17 for damages incurred due to the reduction of general life activity, fear and mental suffering, and 2 fo</w:t>
      </w:r>
      <w:r>
        <w:rPr>
          <w:rFonts w:eastAsia="Calibri" w:cs="Times New Roman"/>
          <w:iCs/>
          <w:noProof/>
          <w:szCs w:val="24"/>
        </w:rPr>
        <w:t>r damages incurred due to unlawful deprivation of liberty. All these claims are given priority by the court. By June 2020, four claims for compensation were partially upheld, awarding non-pecuniary damages in the amounts between EUR 4,500 and EUR 6,000.</w:t>
      </w:r>
    </w:p>
    <w:p w:rsidR="003C2144" w:rsidRDefault="00FB7959">
      <w:pPr>
        <w:autoSpaceDE w:val="0"/>
        <w:autoSpaceDN w:val="0"/>
        <w:adjustRightInd w:val="0"/>
        <w:spacing w:after="120" w:line="240" w:lineRule="auto"/>
        <w:jc w:val="both"/>
        <w:rPr>
          <w:rFonts w:eastAsia="Calibri" w:cs="Times New Roman"/>
          <w:iCs/>
          <w:noProof/>
          <w:szCs w:val="24"/>
        </w:rPr>
      </w:pPr>
      <w:r>
        <w:rPr>
          <w:rFonts w:eastAsia="Calibri" w:cs="Times New Roman"/>
          <w:iCs/>
          <w:noProof/>
          <w:szCs w:val="24"/>
        </w:rPr>
        <w:t xml:space="preserve">A </w:t>
      </w:r>
      <w:r>
        <w:rPr>
          <w:rFonts w:eastAsia="Calibri" w:cs="Times New Roman"/>
          <w:iCs/>
          <w:noProof/>
          <w:szCs w:val="24"/>
        </w:rPr>
        <w:t xml:space="preserve">proactive approach needs to be applied, in order to effectively investigate, prosecute, try and punish war crimes in line with international standards. The judicial decisions reached in the past contained legal mistakes and shortcomings in the application </w:t>
      </w:r>
      <w:r>
        <w:rPr>
          <w:rFonts w:eastAsia="Calibri" w:cs="Times New Roman"/>
          <w:iCs/>
          <w:noProof/>
          <w:szCs w:val="24"/>
        </w:rPr>
        <w:t>of international humanitarian law. Charges of command responsibility, co-perpetration and aiding and abetting have so far not been brought.</w:t>
      </w:r>
      <w:r>
        <w:rPr>
          <w:rFonts w:eastAsia="Calibri" w:cs="Times New Roman"/>
          <w:noProof/>
          <w:szCs w:val="24"/>
        </w:rPr>
        <w:t xml:space="preserve"> </w:t>
      </w:r>
    </w:p>
    <w:p w:rsidR="003C2144" w:rsidRDefault="00FB7959">
      <w:pPr>
        <w:spacing w:after="120" w:line="240" w:lineRule="auto"/>
        <w:jc w:val="both"/>
        <w:rPr>
          <w:rFonts w:eastAsia="Calibri" w:cs="Times New Roman"/>
          <w:b/>
          <w:bCs/>
          <w:noProof/>
          <w:szCs w:val="24"/>
        </w:rPr>
      </w:pPr>
      <w:r>
        <w:rPr>
          <w:rFonts w:eastAsia="Calibri" w:cs="Times New Roman"/>
          <w:b/>
          <w:bCs/>
          <w:noProof/>
          <w:szCs w:val="24"/>
        </w:rPr>
        <w:t>Fight against corruption</w:t>
      </w:r>
    </w:p>
    <w:tbl>
      <w:tblPr>
        <w:tblW w:w="0" w:type="auto"/>
        <w:shd w:val="clear" w:color="auto" w:fill="D9D9D9" w:themeFill="background1" w:themeFillShade="D9"/>
        <w:tblLook w:val="04A0" w:firstRow="1" w:lastRow="0" w:firstColumn="1" w:lastColumn="0" w:noHBand="0" w:noVBand="1"/>
      </w:tblPr>
      <w:tblGrid>
        <w:gridCol w:w="9464"/>
      </w:tblGrid>
      <w:tr w:rsidR="003C2144">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spacing w:after="120" w:line="240" w:lineRule="auto"/>
              <w:jc w:val="both"/>
              <w:rPr>
                <w:rFonts w:eastAsia="Calibri" w:cs="Times New Roman"/>
                <w:noProof/>
                <w:szCs w:val="24"/>
              </w:rPr>
            </w:pPr>
            <w:r>
              <w:rPr>
                <w:rFonts w:eastAsia="Calibri" w:cs="Times New Roman"/>
                <w:bCs/>
                <w:noProof/>
                <w:szCs w:val="24"/>
              </w:rPr>
              <w:t xml:space="preserve">Montenegro has achieved </w:t>
            </w:r>
            <w:r>
              <w:rPr>
                <w:rFonts w:eastAsia="Calibri" w:cs="Times New Roman"/>
                <w:b/>
                <w:bCs/>
                <w:noProof/>
                <w:szCs w:val="24"/>
              </w:rPr>
              <w:t>some level of preparation</w:t>
            </w:r>
            <w:r>
              <w:rPr>
                <w:rFonts w:eastAsia="Calibri" w:cs="Times New Roman"/>
                <w:bCs/>
                <w:noProof/>
                <w:szCs w:val="24"/>
              </w:rPr>
              <w:t xml:space="preserve">. It made </w:t>
            </w:r>
            <w:r>
              <w:rPr>
                <w:rFonts w:eastAsia="Calibri" w:cs="Times New Roman"/>
                <w:b/>
                <w:bCs/>
                <w:noProof/>
                <w:szCs w:val="24"/>
              </w:rPr>
              <w:t>limited progress</w:t>
            </w:r>
            <w:r>
              <w:rPr>
                <w:rFonts w:eastAsia="Calibri" w:cs="Times New Roman"/>
                <w:bCs/>
                <w:noProof/>
                <w:szCs w:val="24"/>
              </w:rPr>
              <w:t xml:space="preserve"> in the fight a</w:t>
            </w:r>
            <w:r>
              <w:rPr>
                <w:rFonts w:eastAsia="Calibri" w:cs="Times New Roman"/>
                <w:bCs/>
                <w:noProof/>
                <w:szCs w:val="24"/>
              </w:rPr>
              <w:t xml:space="preserve">gainst corruption, with last year’s recommendations partially met with regard to track record on repression and prevention of corruption and a new institutional framework for Asset Recovery Office (ARO). </w:t>
            </w:r>
            <w:r>
              <w:rPr>
                <w:rFonts w:eastAsia="Calibri" w:cs="Times New Roman"/>
                <w:noProof/>
                <w:szCs w:val="24"/>
              </w:rPr>
              <w:t>The Anti-Corruption Agency (ACA) continued to be str</w:t>
            </w:r>
            <w:r>
              <w:rPr>
                <w:rFonts w:eastAsia="Calibri" w:cs="Times New Roman"/>
                <w:noProof/>
                <w:szCs w:val="24"/>
              </w:rPr>
              <w:t>engthened through capacity building activities and technical assistance. However, challenges related to its independence, priority-setting, selective approach and quality of its decisions remained. The Agency is yet to demonstrate a proactive approach in a</w:t>
            </w:r>
            <w:r>
              <w:rPr>
                <w:rFonts w:eastAsia="Calibri" w:cs="Times New Roman"/>
                <w:noProof/>
                <w:szCs w:val="24"/>
              </w:rPr>
              <w:t>ll areas falling under its mandate, including on the protection of whistle</w:t>
            </w:r>
            <w:r>
              <w:rPr>
                <w:rFonts w:eastAsia="Calibri" w:cs="Times New Roman"/>
                <w:noProof/>
                <w:szCs w:val="24"/>
              </w:rPr>
              <w:noBreakHyphen/>
              <w:t>blowers, the control of financing of political parties and electoral campaign, and oversight of lobbying. Track record on seizure and confiscation of criminal assets needs to be fur</w:t>
            </w:r>
            <w:r>
              <w:rPr>
                <w:rFonts w:eastAsia="Calibri" w:cs="Times New Roman"/>
                <w:noProof/>
                <w:szCs w:val="24"/>
              </w:rPr>
              <w:t>ther improved. Corruption remains prevalent in many areas. T</w:t>
            </w:r>
            <w:r>
              <w:rPr>
                <w:rFonts w:eastAsia="Calibri" w:cs="Times New Roman"/>
                <w:bCs/>
                <w:noProof/>
                <w:szCs w:val="24"/>
                <w:lang w:eastAsia="en-GB"/>
              </w:rPr>
              <w:t>here is a need for strong political will to effectively address this issue of concern, as well as a robust criminal justice response to high-level corruption.</w:t>
            </w:r>
          </w:p>
          <w:p w:rsidR="003C2144" w:rsidRDefault="00FB7959">
            <w:pPr>
              <w:spacing w:after="120" w:line="240" w:lineRule="auto"/>
              <w:jc w:val="both"/>
              <w:rPr>
                <w:rFonts w:eastAsia="Calibri" w:cs="Times New Roman"/>
                <w:bCs/>
                <w:noProof/>
                <w:szCs w:val="24"/>
              </w:rPr>
            </w:pPr>
            <w:r>
              <w:rPr>
                <w:rFonts w:eastAsia="Calibri" w:cs="Times New Roman"/>
                <w:bCs/>
                <w:noProof/>
                <w:szCs w:val="24"/>
              </w:rPr>
              <w:t xml:space="preserve">In the coming year Montenegro should in particular: </w:t>
            </w:r>
          </w:p>
          <w:p w:rsidR="003C2144" w:rsidRDefault="00FB7959">
            <w:pPr>
              <w:numPr>
                <w:ilvl w:val="0"/>
                <w:numId w:val="1"/>
              </w:numPr>
              <w:spacing w:after="120" w:line="240" w:lineRule="auto"/>
              <w:jc w:val="both"/>
              <w:rPr>
                <w:rFonts w:cs="Times New Roman"/>
                <w:bCs/>
                <w:noProof/>
                <w:szCs w:val="24"/>
              </w:rPr>
            </w:pPr>
            <w:r>
              <w:rPr>
                <w:rFonts w:cs="Times New Roman"/>
                <w:bCs/>
                <w:noProof/>
                <w:szCs w:val="24"/>
              </w:rPr>
              <w:t xml:space="preserve">ensure the maximum integrity, impartiality and accountability of the ACA and remedy the shortcomings in its decision making, which were established by domestic courts; </w:t>
            </w:r>
          </w:p>
          <w:p w:rsidR="003C2144" w:rsidRDefault="00FB7959">
            <w:pPr>
              <w:numPr>
                <w:ilvl w:val="0"/>
                <w:numId w:val="1"/>
              </w:numPr>
              <w:spacing w:after="120" w:line="240" w:lineRule="auto"/>
              <w:jc w:val="both"/>
              <w:rPr>
                <w:rFonts w:cs="Times New Roman"/>
                <w:bCs/>
                <w:noProof/>
                <w:szCs w:val="24"/>
              </w:rPr>
            </w:pPr>
            <w:r>
              <w:rPr>
                <w:rFonts w:cs="Times New Roman"/>
                <w:bCs/>
                <w:noProof/>
                <w:szCs w:val="24"/>
              </w:rPr>
              <w:t xml:space="preserve">improve track records on repression and prevention of corruption, including by imposing effective sanctions and </w:t>
            </w:r>
            <w:r>
              <w:rPr>
                <w:rFonts w:cs="Times New Roman"/>
                <w:iCs/>
                <w:noProof/>
                <w:szCs w:val="24"/>
                <w:lang w:bidi="en-US"/>
              </w:rPr>
              <w:t>take concrete measures to limit the use of plea bargains to exceptional cases, in order to improve the transparency and the credibility of the j</w:t>
            </w:r>
            <w:r>
              <w:rPr>
                <w:rFonts w:cs="Times New Roman"/>
                <w:iCs/>
                <w:noProof/>
                <w:szCs w:val="24"/>
                <w:lang w:bidi="en-US"/>
              </w:rPr>
              <w:t xml:space="preserve">udicial response to </w:t>
            </w:r>
            <w:r>
              <w:rPr>
                <w:rFonts w:cs="Times New Roman"/>
                <w:noProof/>
                <w:szCs w:val="24"/>
              </w:rPr>
              <w:t xml:space="preserve"> corruption through a more deterrent and consistent sanctioning </w:t>
            </w:r>
            <w:r>
              <w:rPr>
                <w:rFonts w:cs="Times New Roman"/>
                <w:bCs/>
                <w:noProof/>
                <w:szCs w:val="24"/>
              </w:rPr>
              <w:t>policy;</w:t>
            </w:r>
          </w:p>
          <w:p w:rsidR="003C2144" w:rsidRDefault="00FB7959">
            <w:pPr>
              <w:numPr>
                <w:ilvl w:val="0"/>
                <w:numId w:val="1"/>
              </w:numPr>
              <w:spacing w:after="120" w:line="240" w:lineRule="auto"/>
              <w:jc w:val="both"/>
              <w:rPr>
                <w:rFonts w:cs="Times New Roman"/>
                <w:b/>
                <w:bCs/>
                <w:noProof/>
                <w:szCs w:val="24"/>
              </w:rPr>
            </w:pPr>
            <w:r>
              <w:rPr>
                <w:rFonts w:cs="Times New Roman"/>
                <w:bCs/>
                <w:noProof/>
                <w:szCs w:val="24"/>
              </w:rPr>
              <w:t xml:space="preserve">review the legal approach towards financial investigations, and asset recovery, to align it with international standards and with modern EU practices; establish an </w:t>
            </w:r>
            <w:r>
              <w:rPr>
                <w:rFonts w:cs="Times New Roman"/>
                <w:bCs/>
                <w:noProof/>
                <w:szCs w:val="24"/>
              </w:rPr>
              <w:t>integrated approach between all the bodies involved and provide them with the necessary legal and operational tools to</w:t>
            </w:r>
            <w:r>
              <w:rPr>
                <w:rFonts w:cs="Times New Roman"/>
                <w:noProof/>
                <w:szCs w:val="24"/>
              </w:rPr>
              <w:t xml:space="preserve"> create the conditions for establishing a sustainable track record in this area.</w:t>
            </w:r>
          </w:p>
        </w:tc>
      </w:tr>
    </w:tbl>
    <w:p w:rsidR="003C2144" w:rsidRDefault="00FB7959">
      <w:pPr>
        <w:spacing w:after="120" w:line="240" w:lineRule="auto"/>
        <w:rPr>
          <w:rFonts w:eastAsia="Calibri" w:cs="Times New Roman"/>
          <w:noProof/>
          <w:szCs w:val="24"/>
          <w:u w:val="single"/>
        </w:rPr>
      </w:pPr>
      <w:r>
        <w:rPr>
          <w:rFonts w:eastAsia="Calibri" w:cs="Times New Roman"/>
          <w:noProof/>
          <w:szCs w:val="24"/>
          <w:u w:val="single"/>
        </w:rPr>
        <w:t>Track record</w:t>
      </w:r>
      <w:r>
        <w:rPr>
          <w:rFonts w:eastAsia="Calibri" w:cs="Times New Roman"/>
          <w:noProof/>
          <w:szCs w:val="24"/>
        </w:rPr>
        <w:t xml:space="preserve"> </w:t>
      </w:r>
    </w:p>
    <w:p w:rsidR="003C2144" w:rsidRDefault="00FB7959">
      <w:pPr>
        <w:spacing w:after="120" w:line="240" w:lineRule="auto"/>
        <w:jc w:val="both"/>
        <w:rPr>
          <w:rFonts w:eastAsia="Calibri" w:cs="Times New Roman"/>
          <w:noProof/>
          <w:szCs w:val="24"/>
        </w:rPr>
      </w:pPr>
      <w:r>
        <w:rPr>
          <w:rFonts w:eastAsia="Calibri" w:cs="Times New Roman"/>
          <w:noProof/>
          <w:szCs w:val="24"/>
        </w:rPr>
        <w:t>A track record of investigations, prosecut</w:t>
      </w:r>
      <w:r>
        <w:rPr>
          <w:rFonts w:eastAsia="Calibri" w:cs="Times New Roman"/>
          <w:noProof/>
          <w:szCs w:val="24"/>
        </w:rPr>
        <w:t>ions and final convictions in cases of high-level corruption has been established but remains to be further consolidated.</w:t>
      </w:r>
    </w:p>
    <w:p w:rsidR="003C2144" w:rsidRDefault="00FB7959">
      <w:pPr>
        <w:spacing w:after="120" w:line="240" w:lineRule="auto"/>
        <w:jc w:val="both"/>
        <w:rPr>
          <w:rFonts w:eastAsia="Calibri" w:cs="Times New Roman"/>
          <w:noProof/>
          <w:szCs w:val="24"/>
        </w:rPr>
      </w:pPr>
      <w:r>
        <w:rPr>
          <w:rFonts w:eastAsia="Calibri" w:cs="Times New Roman"/>
          <w:noProof/>
          <w:szCs w:val="24"/>
        </w:rPr>
        <w:t>In 2019 the Special Public Prosecutor's Office opened investigations into high-level corruption related criminal offences in 6 cases a</w:t>
      </w:r>
      <w:r>
        <w:rPr>
          <w:rFonts w:eastAsia="Calibri" w:cs="Times New Roman"/>
          <w:noProof/>
          <w:szCs w:val="24"/>
        </w:rPr>
        <w:t>gainst 15 individuals, including majority owner of a commercial bank and the bank’s CEO (the ‘Atlas bank affair’), director of a public company and municipality functionaries; and 1 legal entity. Further 4 investigations were opened in the first half of 20</w:t>
      </w:r>
      <w:r>
        <w:rPr>
          <w:rFonts w:eastAsia="Calibri" w:cs="Times New Roman"/>
          <w:noProof/>
          <w:szCs w:val="24"/>
        </w:rPr>
        <w:t>20. In 2019, 5 indictments (2018: 12 cases) were lodged for the criminal offence of high-level corruption against 38 individuals and 3 legal entities and the financial investigations have been launched in 4 cases against 29 individuals in high-level corrup</w:t>
      </w:r>
      <w:r>
        <w:rPr>
          <w:rFonts w:eastAsia="Calibri" w:cs="Times New Roman"/>
          <w:noProof/>
          <w:szCs w:val="24"/>
        </w:rPr>
        <w:t>tion cases. In the ‘envelope affair’ case the prosecution indicted the former mayor of Podgorica and current adviser of the President of Montenegro for money laundering. No further indictments were lodged in the first half of 2020. In July 2020, Interpol c</w:t>
      </w:r>
      <w:r>
        <w:rPr>
          <w:rFonts w:eastAsia="Calibri" w:cs="Times New Roman"/>
          <w:noProof/>
          <w:szCs w:val="24"/>
        </w:rPr>
        <w:t>ancelled the red notice warrant for the fugitive businessperson under investigation in the ‘Atlas bank’ and ‘envelope’ cases. Four final and enforceable judgements (2018: 4) were issued for high-level corruption in 2019 and one further against 3 individual</w:t>
      </w:r>
      <w:r>
        <w:rPr>
          <w:rFonts w:eastAsia="Calibri" w:cs="Times New Roman"/>
          <w:noProof/>
          <w:szCs w:val="24"/>
        </w:rPr>
        <w:t xml:space="preserve">s by mid-June 2020. No final judgements were issued against public officials. </w:t>
      </w:r>
    </w:p>
    <w:p w:rsidR="003C2144" w:rsidRDefault="00FB7959">
      <w:pPr>
        <w:spacing w:after="120" w:line="240" w:lineRule="auto"/>
        <w:jc w:val="both"/>
        <w:rPr>
          <w:rFonts w:eastAsia="Calibri" w:cs="Times New Roman"/>
          <w:noProof/>
          <w:szCs w:val="24"/>
        </w:rPr>
      </w:pPr>
      <w:r>
        <w:rPr>
          <w:rFonts w:eastAsia="Calibri" w:cs="Times New Roman"/>
          <w:noProof/>
          <w:szCs w:val="24"/>
        </w:rPr>
        <w:t>Montenegro sent an official request to Serbia in April 2019 for the extradition of the former President of the State Union of Serbia and Montenegro, who was convicted of high-le</w:t>
      </w:r>
      <w:r>
        <w:rPr>
          <w:rFonts w:eastAsia="Calibri" w:cs="Times New Roman"/>
          <w:noProof/>
          <w:szCs w:val="24"/>
        </w:rPr>
        <w:t>vel corruption. The request is still pending with the Serbian authorities.</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track record on the </w:t>
      </w:r>
      <w:r>
        <w:rPr>
          <w:rFonts w:eastAsia="Calibri" w:cs="Times New Roman"/>
          <w:b/>
          <w:noProof/>
          <w:szCs w:val="24"/>
        </w:rPr>
        <w:t>confiscation</w:t>
      </w:r>
      <w:r>
        <w:rPr>
          <w:rFonts w:eastAsia="Calibri" w:cs="Times New Roman"/>
          <w:noProof/>
          <w:szCs w:val="24"/>
        </w:rPr>
        <w:t xml:space="preserve"> </w:t>
      </w:r>
      <w:r>
        <w:rPr>
          <w:rFonts w:eastAsia="Calibri" w:cs="Times New Roman"/>
          <w:b/>
          <w:noProof/>
          <w:szCs w:val="24"/>
        </w:rPr>
        <w:t>of assets</w:t>
      </w:r>
      <w:r>
        <w:rPr>
          <w:rFonts w:eastAsia="Calibri" w:cs="Times New Roman"/>
          <w:noProof/>
          <w:szCs w:val="24"/>
        </w:rPr>
        <w:t xml:space="preserve"> still needs to be improved. In 2019</w:t>
      </w:r>
      <w:r>
        <w:rPr>
          <w:rFonts w:cs="Times New Roman"/>
          <w:noProof/>
          <w:szCs w:val="24"/>
        </w:rPr>
        <w:t xml:space="preserve"> </w:t>
      </w:r>
      <w:r>
        <w:rPr>
          <w:rFonts w:eastAsia="Calibri" w:cs="Times New Roman"/>
          <w:noProof/>
          <w:szCs w:val="24"/>
        </w:rPr>
        <w:t>the High Court in Podgorica ordered the temporary confiscation of assets with a total value of EUR</w:t>
      </w:r>
      <w:r>
        <w:rPr>
          <w:rFonts w:eastAsia="Calibri" w:cs="Times New Roman"/>
          <w:noProof/>
          <w:szCs w:val="24"/>
        </w:rPr>
        <w:t xml:space="preserve"> 3,477,880 in three cases. One residential unit of 193m</w:t>
      </w:r>
      <w:r>
        <w:rPr>
          <w:rFonts w:eastAsia="Calibri" w:cs="Times New Roman"/>
          <w:noProof/>
          <w:szCs w:val="24"/>
          <w:vertAlign w:val="superscript"/>
        </w:rPr>
        <w:t>2</w:t>
      </w:r>
      <w:r>
        <w:rPr>
          <w:rFonts w:eastAsia="Calibri" w:cs="Times New Roman"/>
          <w:noProof/>
          <w:szCs w:val="24"/>
        </w:rPr>
        <w:t xml:space="preserve"> was permanently confiscated in February 2020.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has made some progress in establishing a </w:t>
      </w:r>
      <w:r>
        <w:rPr>
          <w:rFonts w:eastAsia="Calibri" w:cs="Times New Roman"/>
          <w:b/>
          <w:noProof/>
          <w:szCs w:val="24"/>
        </w:rPr>
        <w:t xml:space="preserve">track record </w:t>
      </w:r>
      <w:r>
        <w:rPr>
          <w:rFonts w:eastAsia="Calibri" w:cs="Times New Roman"/>
          <w:noProof/>
          <w:szCs w:val="24"/>
        </w:rPr>
        <w:t>on the prevention of corruption. In 2019, the Anti-Corruption Agency (ACA) instituted 3</w:t>
      </w:r>
      <w:r>
        <w:rPr>
          <w:rFonts w:eastAsia="Calibri" w:cs="Times New Roman"/>
          <w:noProof/>
          <w:szCs w:val="24"/>
        </w:rPr>
        <w:t>87 proceedings before the misdemeanour courts (380 for alleged violation of the law on prevention of corruption and 7 for alleged violation of the law on financing of political entities and electoral campaigns). A total of 371 proceedings were completed, i</w:t>
      </w:r>
      <w:r>
        <w:rPr>
          <w:rFonts w:eastAsia="Calibri" w:cs="Times New Roman"/>
          <w:noProof/>
          <w:szCs w:val="24"/>
        </w:rPr>
        <w:t>ncluding those from previous years, in 90 % of them fines were imposed. These amounted to EUR 75,380 for violation of the law on prevention of corruption, and EUR 19,900 for violating provisions of the law on financing of political entities and electoral c</w:t>
      </w:r>
      <w:r>
        <w:rPr>
          <w:rFonts w:eastAsia="Calibri" w:cs="Times New Roman"/>
          <w:noProof/>
          <w:szCs w:val="24"/>
        </w:rPr>
        <w:t>ampaigns. The ACA further issued 40 direct misdemeanour orders, 35 for violation of the law on prevention of corruption and 5 for violation of the law on financing of political entities and electoral campaigns (2019: 19) imposing fines in the amount of EUR</w:t>
      </w:r>
      <w:r>
        <w:rPr>
          <w:rFonts w:eastAsia="Calibri" w:cs="Times New Roman"/>
          <w:noProof/>
          <w:szCs w:val="24"/>
        </w:rPr>
        <w:t xml:space="preserve"> 21,997. In 13 cases the ACA requested seizure of material gain before the competent courts, resulting in seizures in 7 cases with a total amount of EUR 22,966. </w:t>
      </w:r>
    </w:p>
    <w:p w:rsidR="003C2144" w:rsidRDefault="00FB7959">
      <w:pPr>
        <w:spacing w:after="120" w:line="240" w:lineRule="auto"/>
        <w:jc w:val="both"/>
        <w:rPr>
          <w:rFonts w:eastAsia="Calibri" w:cs="Times New Roman"/>
          <w:noProof/>
          <w:szCs w:val="24"/>
        </w:rPr>
      </w:pPr>
      <w:r>
        <w:rPr>
          <w:rFonts w:eastAsia="Calibri" w:cs="Times New Roman"/>
          <w:noProof/>
          <w:szCs w:val="24"/>
        </w:rPr>
        <w:t>Based on the 158 opinions (2018: 185) and 72 decisions (2018: 60) issued by the Agency in 2019</w:t>
      </w:r>
      <w:r>
        <w:rPr>
          <w:rFonts w:eastAsia="Calibri" w:cs="Times New Roman"/>
          <w:noProof/>
          <w:szCs w:val="24"/>
        </w:rPr>
        <w:t xml:space="preserve"> on </w:t>
      </w:r>
      <w:r>
        <w:rPr>
          <w:rFonts w:eastAsia="Calibri" w:cs="Times New Roman"/>
          <w:b/>
          <w:noProof/>
          <w:szCs w:val="24"/>
        </w:rPr>
        <w:t>incompatibility of functions and conflict of interests</w:t>
      </w:r>
      <w:r>
        <w:rPr>
          <w:rFonts w:eastAsia="Calibri" w:cs="Times New Roman"/>
          <w:noProof/>
          <w:szCs w:val="24"/>
        </w:rPr>
        <w:t>, 57 public officials (2019: 77) resigned from their office and from 59 functions and 4 were dismissed. In August 2020, the Administrative Court annulled the decision of the Agency that found no con</w:t>
      </w:r>
      <w:r>
        <w:rPr>
          <w:rFonts w:eastAsia="Calibri" w:cs="Times New Roman"/>
          <w:noProof/>
          <w:szCs w:val="24"/>
        </w:rPr>
        <w:t xml:space="preserve">flict of interest in the former Prime Minister, now President, signing in October 2016 a decision on awarding concession for construction of a small hydropower plant to the company owned by his son.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2019, 8,149 </w:t>
      </w:r>
      <w:r>
        <w:rPr>
          <w:rFonts w:eastAsia="Calibri" w:cs="Times New Roman"/>
          <w:b/>
          <w:noProof/>
          <w:szCs w:val="24"/>
        </w:rPr>
        <w:t>income and asset declarations</w:t>
      </w:r>
      <w:r>
        <w:rPr>
          <w:rFonts w:eastAsia="Calibri" w:cs="Times New Roman"/>
          <w:noProof/>
          <w:szCs w:val="24"/>
        </w:rPr>
        <w:t xml:space="preserve"> were submit</w:t>
      </w:r>
      <w:r>
        <w:rPr>
          <w:rFonts w:eastAsia="Calibri" w:cs="Times New Roman"/>
          <w:noProof/>
          <w:szCs w:val="24"/>
        </w:rPr>
        <w:t>ted to the Agency (2018: 8,004). The optional consent for accessing banks accounts for the purpose of verifying the data submitted in the declarations decreased in 2019 from 60% to 57% of public officials and from 69% to 65% of civil servants. The ACA veri</w:t>
      </w:r>
      <w:r>
        <w:rPr>
          <w:rFonts w:eastAsia="Calibri" w:cs="Times New Roman"/>
          <w:noProof/>
          <w:szCs w:val="24"/>
        </w:rPr>
        <w:t>fied 911 such reports, slightly exceeding its annual plan. It initiated 119 administrative proceedings, and established violations and irregularities in 54 decisions. Sanctions were imposed in 17 cases, 15 in the form of a warning, 1 as dismissal, and 1 in</w:t>
      </w:r>
      <w:r>
        <w:rPr>
          <w:rFonts w:eastAsia="Calibri" w:cs="Times New Roman"/>
          <w:noProof/>
          <w:szCs w:val="24"/>
        </w:rPr>
        <w:t xml:space="preserve"> the form of a salary deduction.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Agency investigated 31 cases of inexplicable wealth in 2019 but found no irregularities. The ACA carried out planned control and verification of 839 public officials, 20 of them high-ranking officials. In this regard, </w:t>
      </w:r>
      <w:r>
        <w:rPr>
          <w:rFonts w:eastAsia="Calibri" w:cs="Times New Roman"/>
          <w:noProof/>
          <w:szCs w:val="24"/>
        </w:rPr>
        <w:t xml:space="preserve">7 misdemeanour orders were issued totalling EUR 2,252.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ACA continued to monitor the overall compliance of relevant entities in meeting the legal obligations on the </w:t>
      </w:r>
      <w:r>
        <w:rPr>
          <w:rFonts w:eastAsia="Calibri" w:cs="Times New Roman"/>
          <w:b/>
          <w:bCs/>
          <w:noProof/>
          <w:szCs w:val="24"/>
        </w:rPr>
        <w:t>funding of political parties and electoral campaigns</w:t>
      </w:r>
      <w:r>
        <w:rPr>
          <w:rFonts w:eastAsia="Calibri" w:cs="Times New Roman"/>
          <w:noProof/>
          <w:szCs w:val="24"/>
        </w:rPr>
        <w:t>. In May 2019 the Agency published its report on the March 2019 local elections in Tuzi municipality. While it initiated one misdemeanour proceeding against one political party for overspending, it found no major irregularities and no abuse of public resou</w:t>
      </w:r>
      <w:r>
        <w:rPr>
          <w:rFonts w:eastAsia="Calibri" w:cs="Times New Roman"/>
          <w:noProof/>
          <w:szCs w:val="24"/>
        </w:rPr>
        <w:t>rces for electoral campaign purposes. Forty-eight political parties (out of 59) submitted annual financial reports, while 44 submitted decisions regarding amounts of membership fees for 2019. All reports submitted were published on the Agency’s website. Th</w:t>
      </w:r>
      <w:r>
        <w:rPr>
          <w:rFonts w:eastAsia="Calibri" w:cs="Times New Roman"/>
          <w:noProof/>
          <w:szCs w:val="24"/>
        </w:rPr>
        <w:t>e ACA instituted 5 misdemeanour proceedings for failure to submit the annual financial reports. In 2019, the Agency verified 6 reports from the biggest political parties and performed further 41 verifications of compliance with the law. In early 2020 the A</w:t>
      </w:r>
      <w:r>
        <w:rPr>
          <w:rFonts w:eastAsia="Calibri" w:cs="Times New Roman"/>
          <w:noProof/>
          <w:szCs w:val="24"/>
        </w:rPr>
        <w:t>CA started with preparations of its activities related to the August 2020 Parliamentary and local elections. In the run-up to the elections, ACA performed its monitoring activities. It initiated i.a. verifications of some 700 donors to political campaigns.</w:t>
      </w:r>
      <w:r>
        <w:rPr>
          <w:rFonts w:eastAsia="Calibri" w:cs="Times New Roman"/>
          <w:noProof/>
          <w:szCs w:val="24"/>
        </w:rPr>
        <w:t xml:space="preserve"> It further initiated over 400 proceedings concerning abuse of public resources for electoral campaigns purposes and instituted 25 misdemeanour proceedings. The ACA did not impose any direct sanctions with respect to expenditures reports submitted by the c</w:t>
      </w:r>
      <w:r>
        <w:rPr>
          <w:rFonts w:eastAsia="Calibri" w:cs="Times New Roman"/>
          <w:noProof/>
          <w:szCs w:val="24"/>
        </w:rPr>
        <w:t xml:space="preserve">ontestants or published any conclusions, despite the fact that these did not correspond to ACA findings. </w:t>
      </w:r>
    </w:p>
    <w:p w:rsidR="003C2144" w:rsidRDefault="00FB7959">
      <w:pPr>
        <w:spacing w:after="120" w:line="240" w:lineRule="auto"/>
        <w:jc w:val="both"/>
        <w:rPr>
          <w:rFonts w:eastAsia="Calibri" w:cs="Times New Roman"/>
          <w:i/>
          <w:noProof/>
          <w:szCs w:val="24"/>
        </w:rPr>
      </w:pPr>
      <w:r>
        <w:rPr>
          <w:rFonts w:eastAsia="Calibri" w:cs="Times New Roman"/>
          <w:noProof/>
          <w:szCs w:val="24"/>
        </w:rPr>
        <w:t>The State Audit Institution published positive audit reports on annual financial statements from 2018 for 18 political entities, 6 conditional reports</w:t>
      </w:r>
      <w:r>
        <w:rPr>
          <w:rFonts w:eastAsia="Calibri" w:cs="Times New Roman"/>
          <w:noProof/>
          <w:szCs w:val="24"/>
        </w:rPr>
        <w:t xml:space="preserve"> and one negative report, whilst regularity audits resulted in 3 positive, 10 negative and 12 conditional reports.</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the context of the 'envelope affair', the ACA published the decision on the misdemeanour order of EUR20,000 against the ruling party and a request for payment of EUR47,000 to the state budget in December 2019, 10 months after it was issued.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2019, 3 </w:t>
      </w:r>
      <w:r>
        <w:rPr>
          <w:rFonts w:eastAsia="Calibri" w:cs="Times New Roman"/>
          <w:noProof/>
          <w:szCs w:val="24"/>
        </w:rPr>
        <w:t xml:space="preserve">requests for </w:t>
      </w:r>
      <w:r>
        <w:rPr>
          <w:rFonts w:eastAsia="Calibri" w:cs="Times New Roman"/>
          <w:b/>
          <w:noProof/>
          <w:szCs w:val="24"/>
        </w:rPr>
        <w:t>whistle-blower</w:t>
      </w:r>
      <w:r>
        <w:rPr>
          <w:rFonts w:eastAsia="Calibri" w:cs="Times New Roman"/>
          <w:noProof/>
          <w:szCs w:val="24"/>
        </w:rPr>
        <w:t xml:space="preserve"> protection were submitted to the ACA (2018: 1). So far, ACA issued a negative decision in one of these cases, the other two are still under examination. The Agency further received 110 reports on threats to public interest (same</w:t>
      </w:r>
      <w:r>
        <w:rPr>
          <w:rFonts w:eastAsia="Calibri" w:cs="Times New Roman"/>
          <w:noProof/>
          <w:szCs w:val="24"/>
        </w:rPr>
        <w:t xml:space="preserve"> number as in 2018). In 49 completed examinations of these reports, it identified a threat to public interest in 9 with respect to 9 of them. The Agency further initiated 3 </w:t>
      </w:r>
      <w:r>
        <w:rPr>
          <w:rFonts w:eastAsia="Calibri" w:cs="Times New Roman"/>
          <w:i/>
          <w:noProof/>
          <w:szCs w:val="24"/>
        </w:rPr>
        <w:t>ex officio</w:t>
      </w:r>
      <w:r>
        <w:rPr>
          <w:rFonts w:eastAsia="Calibri" w:cs="Times New Roman"/>
          <w:noProof/>
          <w:szCs w:val="24"/>
        </w:rPr>
        <w:t xml:space="preserve"> proceedings (still ongoing) for determining the existence of a threat to</w:t>
      </w:r>
      <w:r>
        <w:rPr>
          <w:rFonts w:eastAsia="Calibri" w:cs="Times New Roman"/>
          <w:noProof/>
          <w:szCs w:val="24"/>
        </w:rPr>
        <w:t xml:space="preserve"> the public interest and continued working on the 4 it initiated in 2018.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ACA continued to provide support to public bodies concerning </w:t>
      </w:r>
      <w:r>
        <w:rPr>
          <w:rFonts w:eastAsia="Calibri" w:cs="Times New Roman"/>
          <w:b/>
          <w:noProof/>
          <w:szCs w:val="24"/>
        </w:rPr>
        <w:t>integrity plans</w:t>
      </w:r>
      <w:r>
        <w:rPr>
          <w:rFonts w:eastAsia="Calibri" w:cs="Times New Roman"/>
          <w:noProof/>
          <w:szCs w:val="24"/>
        </w:rPr>
        <w:t>. In 2019, 671 reports on implementation of the integrity plans were submitted to the Agency. The pra</w:t>
      </w:r>
      <w:r>
        <w:rPr>
          <w:rFonts w:eastAsia="Calibri" w:cs="Times New Roman"/>
          <w:noProof/>
          <w:szCs w:val="24"/>
        </w:rPr>
        <w:t xml:space="preserve">ctical impact of integrity plans has yet to be assessed. </w:t>
      </w:r>
    </w:p>
    <w:p w:rsidR="003C2144" w:rsidRDefault="00FB7959">
      <w:pPr>
        <w:widowControl w:val="0"/>
        <w:spacing w:after="120" w:line="240" w:lineRule="auto"/>
        <w:jc w:val="both"/>
        <w:rPr>
          <w:rFonts w:eastAsia="Calibri" w:cs="Times New Roman"/>
          <w:noProof/>
          <w:szCs w:val="24"/>
        </w:rPr>
      </w:pPr>
      <w:r>
        <w:rPr>
          <w:rFonts w:eastAsia="Calibri" w:cs="Times New Roman"/>
          <w:noProof/>
          <w:szCs w:val="24"/>
        </w:rPr>
        <w:t xml:space="preserve">No new </w:t>
      </w:r>
      <w:r>
        <w:rPr>
          <w:rFonts w:eastAsia="Calibri" w:cs="Times New Roman"/>
          <w:b/>
          <w:noProof/>
          <w:szCs w:val="24"/>
        </w:rPr>
        <w:t>lobbying certificates</w:t>
      </w:r>
      <w:r>
        <w:rPr>
          <w:rFonts w:eastAsia="Calibri" w:cs="Times New Roman"/>
          <w:noProof/>
          <w:szCs w:val="24"/>
        </w:rPr>
        <w:t xml:space="preserve"> were issued in 2019 (since 2014: 14). Six lobbyists and one legal entity remain registered with the Agency. Following-up and sanctioning breaches of the law remain a cha</w:t>
      </w:r>
      <w:r>
        <w:rPr>
          <w:rFonts w:eastAsia="Calibri" w:cs="Times New Roman"/>
          <w:noProof/>
          <w:szCs w:val="24"/>
        </w:rPr>
        <w:t xml:space="preserve">llenge. Low numbers continue to suggest that lobbying activities are being carried out outside the legal framework. In 2019, the ACA prepared an analysis of the legal framework in this area. </w:t>
      </w:r>
    </w:p>
    <w:p w:rsidR="003C2144" w:rsidRDefault="00FB7959">
      <w:pPr>
        <w:widowControl w:val="0"/>
        <w:spacing w:after="120" w:line="240" w:lineRule="auto"/>
        <w:jc w:val="both"/>
        <w:rPr>
          <w:rFonts w:eastAsia="Calibri" w:cs="Times New Roman"/>
          <w:noProof/>
          <w:szCs w:val="24"/>
        </w:rPr>
      </w:pPr>
      <w:r>
        <w:rPr>
          <w:rFonts w:eastAsia="Calibri" w:cs="Times New Roman"/>
          <w:noProof/>
          <w:szCs w:val="24"/>
        </w:rPr>
        <w:t>Apart from Police and Customs, there were no cases demonstrating</w:t>
      </w:r>
      <w:r>
        <w:rPr>
          <w:rFonts w:eastAsia="Calibri" w:cs="Times New Roman"/>
          <w:noProof/>
          <w:szCs w:val="24"/>
        </w:rPr>
        <w:t xml:space="preserve"> the implementation of </w:t>
      </w:r>
      <w:r>
        <w:rPr>
          <w:rFonts w:eastAsia="Calibri" w:cs="Times New Roman"/>
          <w:b/>
          <w:noProof/>
          <w:szCs w:val="24"/>
        </w:rPr>
        <w:t>codes of ethics</w:t>
      </w:r>
      <w:r>
        <w:rPr>
          <w:rFonts w:eastAsia="Calibri" w:cs="Times New Roman"/>
          <w:noProof/>
          <w:szCs w:val="24"/>
        </w:rPr>
        <w:t xml:space="preserve"> for members of the legislative and executive authorities. In July 2019, Parliament adopted a revised code of ethics for its members, introducing a requirement of ad-hoc disclosure when a conflict emerges between the p</w:t>
      </w:r>
      <w:r>
        <w:rPr>
          <w:rFonts w:eastAsia="Calibri" w:cs="Times New Roman"/>
          <w:noProof/>
          <w:szCs w:val="24"/>
        </w:rPr>
        <w:t xml:space="preserve">rivate interest of an MP and a matter under consideration in the parliamentary procedure.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Since its establishment, the ACA submitted to the line ministers 17 non-binding legal opinions on draft legislative acts in the area of its competence. Its opinions </w:t>
      </w:r>
      <w:r>
        <w:rPr>
          <w:rFonts w:eastAsia="Calibri" w:cs="Times New Roman"/>
          <w:noProof/>
          <w:szCs w:val="24"/>
        </w:rPr>
        <w:t xml:space="preserve">were taken into account for 4 legislative acts, 4 legislative processes are currently ongoing, and in in eight cases, the ACA recommendations were not reflected in the final version of a legislative act. In 2019, the ACA provided its opinion on the law on </w:t>
      </w:r>
      <w:r>
        <w:rPr>
          <w:rFonts w:eastAsia="Calibri" w:cs="Times New Roman"/>
          <w:noProof/>
          <w:szCs w:val="24"/>
        </w:rPr>
        <w:t>financing of political entities and electoral campaigns and the law on prevention of corruption.</w:t>
      </w:r>
    </w:p>
    <w:p w:rsidR="003C2144" w:rsidRDefault="00FB7959">
      <w:pPr>
        <w:spacing w:after="120" w:line="240" w:lineRule="auto"/>
        <w:jc w:val="both"/>
        <w:rPr>
          <w:rFonts w:eastAsia="Calibri" w:cs="Times New Roman"/>
          <w:iCs/>
          <w:noProof/>
          <w:szCs w:val="24"/>
          <w:u w:val="single"/>
        </w:rPr>
      </w:pPr>
      <w:r>
        <w:rPr>
          <w:rFonts w:eastAsia="Calibri" w:cs="Times New Roman"/>
          <w:iCs/>
          <w:noProof/>
          <w:szCs w:val="24"/>
          <w:u w:val="single"/>
        </w:rPr>
        <w:t xml:space="preserve">Institutional framework </w:t>
      </w:r>
    </w:p>
    <w:p w:rsidR="003C2144" w:rsidRDefault="00FB7959">
      <w:pPr>
        <w:spacing w:after="120" w:line="240" w:lineRule="auto"/>
        <w:jc w:val="both"/>
        <w:rPr>
          <w:rFonts w:eastAsia="Calibri" w:cs="Times New Roman"/>
          <w:i/>
          <w:iCs/>
          <w:noProof/>
          <w:szCs w:val="24"/>
        </w:rPr>
      </w:pPr>
      <w:r>
        <w:rPr>
          <w:rFonts w:eastAsia="Calibri" w:cs="Times New Roman"/>
          <w:i/>
          <w:iCs/>
          <w:noProof/>
          <w:szCs w:val="24"/>
        </w:rPr>
        <w:t>Prevention of corruption</w:t>
      </w:r>
    </w:p>
    <w:p w:rsidR="003C2144" w:rsidRDefault="00FB7959">
      <w:pPr>
        <w:spacing w:after="120" w:line="240" w:lineRule="auto"/>
        <w:jc w:val="both"/>
        <w:rPr>
          <w:rFonts w:eastAsia="Calibri" w:cs="Times New Roman"/>
          <w:noProof/>
          <w:szCs w:val="24"/>
        </w:rPr>
      </w:pPr>
      <w:r>
        <w:rPr>
          <w:rFonts w:eastAsia="Calibri" w:cs="Times New Roman"/>
          <w:noProof/>
          <w:szCs w:val="24"/>
        </w:rPr>
        <w:t>In July 2019, Parliament appointed the new Council of the</w:t>
      </w:r>
      <w:r>
        <w:rPr>
          <w:rFonts w:eastAsia="Calibri" w:cs="Times New Roman"/>
          <w:b/>
          <w:noProof/>
          <w:szCs w:val="24"/>
        </w:rPr>
        <w:t xml:space="preserve"> </w:t>
      </w:r>
      <w:r>
        <w:rPr>
          <w:rFonts w:eastAsia="Calibri" w:cs="Times New Roman"/>
          <w:noProof/>
          <w:szCs w:val="24"/>
        </w:rPr>
        <w:t>ACA. The Council has five members, of which two are</w:t>
      </w:r>
      <w:r>
        <w:rPr>
          <w:rFonts w:eastAsia="Calibri" w:cs="Times New Roman"/>
          <w:noProof/>
          <w:szCs w:val="24"/>
        </w:rPr>
        <w:t xml:space="preserve"> from civil society. A number of opposition and NGO representatives contested the legal interpretation of the law on prevention of corruption applied for the call, notably the requirement to pass the state exam for employment in the national administration</w:t>
      </w:r>
      <w:r>
        <w:rPr>
          <w:rFonts w:eastAsia="Calibri" w:cs="Times New Roman"/>
          <w:noProof/>
          <w:szCs w:val="24"/>
        </w:rPr>
        <w:t>, as specified by the law on state employees and civil servants.</w:t>
      </w:r>
    </w:p>
    <w:p w:rsidR="003C2144" w:rsidRDefault="00FB7959">
      <w:pPr>
        <w:spacing w:after="120" w:line="240" w:lineRule="auto"/>
        <w:jc w:val="both"/>
        <w:rPr>
          <w:rFonts w:eastAsia="Calibri" w:cs="Times New Roman"/>
          <w:noProof/>
          <w:szCs w:val="24"/>
        </w:rPr>
      </w:pPr>
      <w:r>
        <w:rPr>
          <w:rFonts w:eastAsia="Calibri" w:cs="Times New Roman"/>
          <w:noProof/>
          <w:szCs w:val="24"/>
        </w:rPr>
        <w:t>Currently, 54 people are employed out of the 60 planned posts. The capacity of the ACA continued to be strengthened through capacity-building activities and technical assistance. There were f</w:t>
      </w:r>
      <w:r>
        <w:rPr>
          <w:rFonts w:eastAsia="Calibri" w:cs="Times New Roman"/>
          <w:noProof/>
          <w:szCs w:val="24"/>
        </w:rPr>
        <w:t>urther improvements to the IT system. The ACA now has real-time access to relevant databases. All data since the Agency began operating (1 January 2016) have been incorporated into its information system. The ACA continued measures on communication and awa</w:t>
      </w:r>
      <w:r>
        <w:rPr>
          <w:rFonts w:eastAsia="Calibri" w:cs="Times New Roman"/>
          <w:noProof/>
          <w:szCs w:val="24"/>
        </w:rPr>
        <w:t xml:space="preserve">reness-raising. </w:t>
      </w:r>
    </w:p>
    <w:p w:rsidR="003C2144" w:rsidRDefault="00FB7959">
      <w:pPr>
        <w:spacing w:after="120" w:line="240" w:lineRule="auto"/>
        <w:jc w:val="both"/>
        <w:rPr>
          <w:rFonts w:eastAsia="Calibri" w:cs="Times New Roman"/>
          <w:noProof/>
          <w:szCs w:val="24"/>
        </w:rPr>
      </w:pPr>
      <w:r>
        <w:rPr>
          <w:rFonts w:eastAsia="Calibri" w:cs="Times New Roman"/>
          <w:noProof/>
          <w:szCs w:val="24"/>
        </w:rPr>
        <w:t>Despite the measures taken and the more proactive work of the new ACA Council, challenges remain: the Agency and its staff must ensure maximum transparency, integrity, impartiality, independence, an unselective approach, and uniform and fu</w:t>
      </w:r>
      <w:r>
        <w:rPr>
          <w:rFonts w:eastAsia="Calibri" w:cs="Times New Roman"/>
          <w:noProof/>
          <w:szCs w:val="24"/>
        </w:rPr>
        <w:t xml:space="preserve">ll application of relevant laws. </w:t>
      </w:r>
      <w:r>
        <w:rPr>
          <w:rFonts w:eastAsia="Calibri" w:cs="Times New Roman"/>
          <w:iCs/>
          <w:noProof/>
          <w:szCs w:val="24"/>
        </w:rPr>
        <w:t>In December 2019, Parliament appointed the ACA’s director as chair of the Council of the Agency for personal data protection and free access to information.</w:t>
      </w:r>
      <w:r>
        <w:rPr>
          <w:rFonts w:eastAsia="Calibri" w:cs="Times New Roman"/>
          <w:noProof/>
          <w:szCs w:val="24"/>
        </w:rPr>
        <w:t xml:space="preserve"> After three unsuccessful calls, the new ACA director was selected </w:t>
      </w:r>
      <w:r>
        <w:rPr>
          <w:rFonts w:eastAsia="Calibri" w:cs="Times New Roman"/>
          <w:noProof/>
          <w:szCs w:val="24"/>
        </w:rPr>
        <w:t xml:space="preserve">in July 2020 by the ACA Council.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overall impact of anti-corruption measures in </w:t>
      </w:r>
      <w:r>
        <w:rPr>
          <w:rFonts w:eastAsia="Calibri" w:cs="Times New Roman"/>
          <w:b/>
          <w:noProof/>
          <w:szCs w:val="24"/>
        </w:rPr>
        <w:t>particularly vulnerable areas</w:t>
      </w:r>
      <w:r>
        <w:rPr>
          <w:rFonts w:eastAsia="Calibri" w:cs="Times New Roman"/>
          <w:noProof/>
          <w:szCs w:val="24"/>
        </w:rPr>
        <w:t xml:space="preserve"> (local self-government, spatial planning, public procurement, privatisation, healthcare and education) still has yet to be demonstrated by tan</w:t>
      </w:r>
      <w:r>
        <w:rPr>
          <w:rFonts w:eastAsia="Calibri" w:cs="Times New Roman"/>
          <w:noProof/>
          <w:szCs w:val="24"/>
        </w:rPr>
        <w:t>gible results. Regarding public procurement, the amendments to the law on public procurement enacted in December 2019 provide a legal basis for full implementation of an electronic public procurement system. This should improve the transparency of public p</w:t>
      </w:r>
      <w:r>
        <w:rPr>
          <w:rFonts w:eastAsia="Calibri" w:cs="Times New Roman"/>
          <w:noProof/>
          <w:szCs w:val="24"/>
        </w:rPr>
        <w:t>rocurement procedures and help to reduce corruption risks.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i/>
          <w:iCs/>
          <w:noProof/>
          <w:szCs w:val="24"/>
        </w:rPr>
        <w:t xml:space="preserve">Law enforcement </w:t>
      </w:r>
    </w:p>
    <w:p w:rsidR="003C2144" w:rsidRDefault="00FB7959">
      <w:pPr>
        <w:spacing w:after="120" w:line="240" w:lineRule="auto"/>
        <w:jc w:val="both"/>
        <w:rPr>
          <w:rFonts w:eastAsia="Calibri" w:cs="Times New Roman"/>
          <w:noProof/>
          <w:szCs w:val="24"/>
        </w:rPr>
      </w:pPr>
      <w:r>
        <w:rPr>
          <w:rFonts w:eastAsia="Calibri" w:cs="Times New Roman"/>
          <w:noProof/>
          <w:szCs w:val="24"/>
        </w:rPr>
        <w:t>The institutional and operational capacity of prosecutors, judges and police to fight corruption should be further improved, particularly through specialised and long-term training. Financial investigations still need to be launched systematically in paral</w:t>
      </w:r>
      <w:r>
        <w:rPr>
          <w:rFonts w:eastAsia="Calibri" w:cs="Times New Roman"/>
          <w:noProof/>
          <w:szCs w:val="24"/>
        </w:rPr>
        <w:t>lel with criminal investigations to discover the financial structures behind criminal offences. The initial track record of cases reaching prosecution from the police and other state institutions needs to be improved and consolidated. Political influence s</w:t>
      </w:r>
      <w:r>
        <w:rPr>
          <w:rFonts w:eastAsia="Calibri" w:cs="Times New Roman"/>
          <w:noProof/>
          <w:szCs w:val="24"/>
        </w:rPr>
        <w:t xml:space="preserve">hould not be exerted on law enforcement and judicial officials by members of the executive and the legislative branch.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The Special Prosecutor’s Office (SPO) has now 50 employees, including 13 Special Prosecutors and 34 civil servants. The poor office co</w:t>
      </w:r>
      <w:r>
        <w:rPr>
          <w:rFonts w:eastAsia="Calibri" w:cs="Times New Roman"/>
          <w:noProof/>
          <w:szCs w:val="24"/>
        </w:rPr>
        <w:t xml:space="preserve">nditions of the SPO remain a matter of concern.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u w:val="single"/>
        </w:rPr>
        <w:t xml:space="preserve">Legal framework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Montenegro is party to all international anti-corruption conventions, including the UN Convention against Corruption. The </w:t>
      </w:r>
      <w:r>
        <w:rPr>
          <w:rFonts w:eastAsia="Calibri" w:cs="Times New Roman"/>
          <w:b/>
          <w:noProof/>
          <w:szCs w:val="24"/>
        </w:rPr>
        <w:t>legal framework and secondary legislation on anti</w:t>
      </w:r>
      <w:r>
        <w:rPr>
          <w:rFonts w:eastAsia="Calibri" w:cs="Times New Roman"/>
          <w:b/>
          <w:noProof/>
          <w:szCs w:val="24"/>
        </w:rPr>
        <w:noBreakHyphen/>
        <w:t xml:space="preserve">corruption are in </w:t>
      </w:r>
      <w:r>
        <w:rPr>
          <w:rFonts w:eastAsia="Calibri" w:cs="Times New Roman"/>
          <w:b/>
          <w:noProof/>
          <w:szCs w:val="24"/>
        </w:rPr>
        <w:t>place</w:t>
      </w:r>
      <w:r>
        <w:rPr>
          <w:rFonts w:eastAsia="Calibri" w:cs="Times New Roman"/>
          <w:noProof/>
          <w:szCs w:val="24"/>
        </w:rPr>
        <w:t>. Passive and active corruption are both punishable under the Criminal Code.</w:t>
      </w:r>
      <w:r>
        <w:rPr>
          <w:rFonts w:eastAsia="Calibri" w:cs="Times New Roman"/>
          <w:b/>
          <w:noProof/>
          <w:szCs w:val="24"/>
        </w:rPr>
        <w:t xml:space="preserve"> </w:t>
      </w:r>
      <w:r>
        <w:rPr>
          <w:rFonts w:eastAsia="Calibri" w:cs="Times New Roman"/>
          <w:noProof/>
          <w:szCs w:val="24"/>
        </w:rPr>
        <w:t xml:space="preserve">Montenegro is encouraged to make illicit enrichment a criminal offence.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The Council of Europe Group of States against Corruption (GRECO) concluded that out of 11 recommendat</w:t>
      </w:r>
      <w:r>
        <w:rPr>
          <w:rFonts w:eastAsia="Calibri" w:cs="Times New Roman"/>
          <w:noProof/>
          <w:szCs w:val="24"/>
        </w:rPr>
        <w:t xml:space="preserve">ions on the ethics and integrity of MPs, judges and prosecutors, 8 are considered to be satisfactorily implemented and 1 partially implemented. Two recommendations (both concerning the judiciary) have not been implemented.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The new law on </w:t>
      </w:r>
      <w:r>
        <w:rPr>
          <w:rFonts w:eastAsia="Calibri" w:cs="Times New Roman"/>
          <w:b/>
          <w:noProof/>
          <w:szCs w:val="24"/>
        </w:rPr>
        <w:t>financing of po</w:t>
      </w:r>
      <w:r>
        <w:rPr>
          <w:rFonts w:eastAsia="Calibri" w:cs="Times New Roman"/>
          <w:b/>
          <w:noProof/>
          <w:szCs w:val="24"/>
        </w:rPr>
        <w:t>litical entities and election campaigns,</w:t>
      </w:r>
      <w:r>
        <w:rPr>
          <w:rFonts w:eastAsia="Calibri" w:cs="Times New Roman"/>
          <w:noProof/>
          <w:szCs w:val="24"/>
        </w:rPr>
        <w:t xml:space="preserve"> enacted by Parliament in December 2019 only partially addressed the OSCE/ODIHR recommendations. In April 2020, the Parliament enacted an amendment to this law, providing for allocation of social benefits from the bu</w:t>
      </w:r>
      <w:r>
        <w:rPr>
          <w:rFonts w:eastAsia="Calibri" w:cs="Times New Roman"/>
          <w:noProof/>
          <w:szCs w:val="24"/>
        </w:rPr>
        <w:t>dgetary reserve in an election year, in case of a war, state of emergency, epidemic of pandemic of communicable diseases. Despite some improvements, the current legal framework still has legal gaps and conflicting provisions and does not provide for effect</w:t>
      </w:r>
      <w:r>
        <w:rPr>
          <w:rFonts w:eastAsia="Calibri" w:cs="Times New Roman"/>
          <w:noProof/>
          <w:szCs w:val="24"/>
        </w:rPr>
        <w:t xml:space="preserve">ive safeguards and sanctions against circumvention, which limits the effectiveness of oversight. All shortcomings in the existing </w:t>
      </w:r>
      <w:r>
        <w:rPr>
          <w:rFonts w:eastAsia="Calibri" w:cs="Times New Roman"/>
          <w:b/>
          <w:noProof/>
          <w:szCs w:val="24"/>
        </w:rPr>
        <w:t>legal framework on political parties' financing</w:t>
      </w:r>
      <w:r>
        <w:rPr>
          <w:rFonts w:eastAsia="Calibri" w:cs="Times New Roman"/>
          <w:noProof/>
          <w:szCs w:val="24"/>
        </w:rPr>
        <w:t>, including those identified by ODIHR, need to be addressed</w:t>
      </w:r>
      <w:r>
        <w:rPr>
          <w:rFonts w:eastAsia="Times New Roman" w:cs="Times New Roman"/>
          <w:noProof/>
          <w:szCs w:val="24"/>
        </w:rPr>
        <w:t xml:space="preserve">. </w:t>
      </w:r>
    </w:p>
    <w:p w:rsidR="003C2144" w:rsidRDefault="00FB7959">
      <w:pPr>
        <w:spacing w:after="120" w:line="240" w:lineRule="auto"/>
        <w:jc w:val="both"/>
        <w:rPr>
          <w:rFonts w:eastAsia="Calibri" w:cs="Times New Roman"/>
          <w:iCs/>
          <w:noProof/>
          <w:szCs w:val="24"/>
        </w:rPr>
      </w:pPr>
      <w:r>
        <w:rPr>
          <w:rFonts w:eastAsia="Calibri" w:cs="Times New Roman"/>
          <w:iCs/>
          <w:noProof/>
          <w:szCs w:val="24"/>
        </w:rPr>
        <w:t>The implementatio</w:t>
      </w:r>
      <w:r>
        <w:rPr>
          <w:rFonts w:eastAsia="Calibri" w:cs="Times New Roman"/>
          <w:iCs/>
          <w:noProof/>
          <w:szCs w:val="24"/>
        </w:rPr>
        <w:t xml:space="preserve">n of the current </w:t>
      </w:r>
      <w:r>
        <w:rPr>
          <w:rFonts w:eastAsia="Calibri" w:cs="Times New Roman"/>
          <w:b/>
          <w:iCs/>
          <w:noProof/>
          <w:szCs w:val="24"/>
        </w:rPr>
        <w:t>law on free access to information</w:t>
      </w:r>
      <w:r>
        <w:rPr>
          <w:rFonts w:eastAsia="Calibri" w:cs="Times New Roman"/>
          <w:iCs/>
          <w:noProof/>
          <w:szCs w:val="24"/>
        </w:rPr>
        <w:t xml:space="preserve"> has not helped to increase the accountability and transparency of the public service. In 2019 the total number of requests for free access to information was 5,409 (2018: 6,080) and 3,531 complaints were f</w:t>
      </w:r>
      <w:r>
        <w:rPr>
          <w:rFonts w:eastAsia="Calibri" w:cs="Times New Roman"/>
          <w:iCs/>
          <w:noProof/>
          <w:szCs w:val="24"/>
        </w:rPr>
        <w:t>iled (2018: 3,248). The process of revising the law started in spring 2019, but has been put on hold due to the COVID-19 outbreak. Montenegro needs to ensure the compliance of both the legal framework and its practice with international and European standa</w:t>
      </w:r>
      <w:r>
        <w:rPr>
          <w:rFonts w:eastAsia="Calibri" w:cs="Times New Roman"/>
          <w:iCs/>
          <w:noProof/>
          <w:szCs w:val="24"/>
        </w:rPr>
        <w:t xml:space="preserve">rds in this area.  </w:t>
      </w:r>
    </w:p>
    <w:p w:rsidR="003C2144" w:rsidRDefault="00FB7959">
      <w:pPr>
        <w:spacing w:after="120" w:line="240" w:lineRule="auto"/>
        <w:jc w:val="both"/>
        <w:rPr>
          <w:rFonts w:cs="Times New Roman"/>
          <w:b/>
          <w:noProof/>
          <w:szCs w:val="24"/>
        </w:rPr>
      </w:pPr>
      <w:r>
        <w:rPr>
          <w:rFonts w:cs="Times New Roman"/>
          <w:b/>
          <w:noProof/>
          <w:szCs w:val="24"/>
        </w:rPr>
        <w:t xml:space="preserve">Fundamental rights </w:t>
      </w: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464"/>
      </w:tblGrid>
      <w:tr w:rsidR="003C2144">
        <w:trPr>
          <w:trHeight w:val="425"/>
        </w:trPr>
        <w:tc>
          <w:tcPr>
            <w:tcW w:w="9464" w:type="dxa"/>
            <w:shd w:val="clear" w:color="auto" w:fill="D9D9D9" w:themeFill="background1" w:themeFillShade="D9"/>
          </w:tcPr>
          <w:p w:rsidR="003C2144" w:rsidRDefault="00FB7959">
            <w:pPr>
              <w:widowControl w:val="0"/>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The legislative and institutional framework in the area of fundamental rights is now largely in place. In July 2020, the law on life partnership of same-sex couples was enacted by Parliament, making Montenegro the fi</w:t>
            </w:r>
            <w:r>
              <w:rPr>
                <w:rFonts w:cs="Times New Roman"/>
                <w:noProof/>
                <w:szCs w:val="24"/>
                <w:lang w:bidi="en-US"/>
              </w:rPr>
              <w:t>rst country in the region to regulate the status of same-sex couples. The capacity of human rights institutions and of the Ministry of Human and Minority Rights has been reinforced, and trust in the Ombudsperson’s office and the quality of its work is incr</w:t>
            </w:r>
            <w:r>
              <w:rPr>
                <w:rFonts w:cs="Times New Roman"/>
                <w:noProof/>
                <w:szCs w:val="24"/>
                <w:lang w:bidi="en-US"/>
              </w:rPr>
              <w:t>easing. Decisions of the Constitutional Court further align with European and international standards. However, important challenges remain in ensuring that national legislation on human rights is effectively implemented. The reports of excessive use of fo</w:t>
            </w:r>
            <w:r>
              <w:rPr>
                <w:rFonts w:cs="Times New Roman"/>
                <w:noProof/>
                <w:szCs w:val="24"/>
                <w:lang w:bidi="en-US"/>
              </w:rPr>
              <w:t xml:space="preserve">rce by the police and allegations of torture call for swift and effective investigations. Ethnically and religiously motivated attacks in the context of the August 2020 elections are a matter of serious concern. Further efforts are necessary to mainstream </w:t>
            </w:r>
            <w:r>
              <w:rPr>
                <w:rFonts w:cs="Times New Roman"/>
                <w:noProof/>
                <w:szCs w:val="24"/>
                <w:lang w:bidi="en-US"/>
              </w:rPr>
              <w:t>human rights across all areas of work, public policies and sectors. Vulnerable groups, including Roma and Egyptians, and persons with disabilities continue to experience multiple types of discrimination and difficulty in enforcing their rights in administr</w:t>
            </w:r>
            <w:r>
              <w:rPr>
                <w:rFonts w:cs="Times New Roman"/>
                <w:noProof/>
                <w:szCs w:val="24"/>
                <w:lang w:bidi="en-US"/>
              </w:rPr>
              <w:t>ative and judicial proceedings. Women in Montenegro continue to experience inequality in accessing employment, economic opportunities, and a clear wage gap remains in the country. Gender-based violence and violence against children remain issues of serious</w:t>
            </w:r>
            <w:r>
              <w:rPr>
                <w:rFonts w:cs="Times New Roman"/>
                <w:noProof/>
                <w:szCs w:val="24"/>
                <w:lang w:bidi="en-US"/>
              </w:rPr>
              <w:t xml:space="preserve"> concern. While there has been progress with regard to the rights of lesbian, gay, bisexual, transgender and intersex (LGBTI), there continue to be incidents, hate speech and homophobic expressions against this community.  </w:t>
            </w:r>
          </w:p>
          <w:p w:rsidR="003C2144" w:rsidRDefault="00FB7959">
            <w:pPr>
              <w:widowControl w:val="0"/>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 xml:space="preserve">In the coming year, Montenegro </w:t>
            </w:r>
            <w:r>
              <w:rPr>
                <w:rFonts w:cs="Times New Roman"/>
                <w:noProof/>
                <w:szCs w:val="24"/>
                <w:lang w:bidi="en-US"/>
              </w:rPr>
              <w:t>should in particular:</w:t>
            </w:r>
          </w:p>
          <w:p w:rsidR="003C2144" w:rsidRDefault="00FB7959">
            <w:pPr>
              <w:widowControl w:val="0"/>
              <w:numPr>
                <w:ilvl w:val="0"/>
                <w:numId w:val="2"/>
              </w:numPr>
              <w:shd w:val="clear" w:color="auto" w:fill="D9D9D9" w:themeFill="background1" w:themeFillShade="D9"/>
              <w:spacing w:after="120" w:line="240" w:lineRule="auto"/>
              <w:jc w:val="both"/>
              <w:rPr>
                <w:rFonts w:eastAsia="Calibri" w:cs="Times New Roman"/>
                <w:noProof/>
                <w:szCs w:val="24"/>
              </w:rPr>
            </w:pPr>
            <w:r>
              <w:rPr>
                <w:rFonts w:cs="Times New Roman"/>
                <w:noProof/>
                <w:szCs w:val="24"/>
                <w:lang w:bidi="en-US"/>
              </w:rPr>
              <w:t>ensure a better and more systematic access to justice, complaint systems and free legal aid for victims of human rights violations and victims of crime, and vulnerable groups, such as persons with disabilities; minorities, including R</w:t>
            </w:r>
            <w:r>
              <w:rPr>
                <w:rFonts w:cs="Times New Roman"/>
                <w:noProof/>
                <w:szCs w:val="24"/>
                <w:lang w:bidi="en-US"/>
              </w:rPr>
              <w:t>oma and Egyptians; and women and children victims of violence;</w:t>
            </w:r>
          </w:p>
          <w:p w:rsidR="003C2144" w:rsidRDefault="00FB7959">
            <w:pPr>
              <w:widowControl w:val="0"/>
              <w:numPr>
                <w:ilvl w:val="0"/>
                <w:numId w:val="2"/>
              </w:numPr>
              <w:shd w:val="clear" w:color="auto" w:fill="D9D9D9" w:themeFill="background1" w:themeFillShade="D9"/>
              <w:spacing w:after="120" w:line="240" w:lineRule="auto"/>
              <w:jc w:val="both"/>
              <w:rPr>
                <w:rFonts w:eastAsia="Calibri" w:cs="Times New Roman"/>
                <w:noProof/>
                <w:szCs w:val="24"/>
              </w:rPr>
            </w:pPr>
            <w:r>
              <w:rPr>
                <w:rFonts w:cs="Times New Roman"/>
                <w:noProof/>
                <w:szCs w:val="24"/>
                <w:lang w:bidi="en-US"/>
              </w:rPr>
              <w:t>provide for swift, effective and independent investigations into allegations of excessive use of force, torture and ill-treatment by the police, hate crimes and ethnically and religiously motiv</w:t>
            </w:r>
            <w:r>
              <w:rPr>
                <w:rFonts w:cs="Times New Roman"/>
                <w:noProof/>
                <w:szCs w:val="24"/>
                <w:lang w:bidi="en-US"/>
              </w:rPr>
              <w:t>ed attacks in accordance with ECtHR case law;</w:t>
            </w:r>
          </w:p>
          <w:p w:rsidR="003C2144" w:rsidRDefault="00FB7959">
            <w:pPr>
              <w:widowControl w:val="0"/>
              <w:numPr>
                <w:ilvl w:val="0"/>
                <w:numId w:val="2"/>
              </w:numPr>
              <w:shd w:val="clear" w:color="auto" w:fill="D9D9D9" w:themeFill="background1" w:themeFillShade="D9"/>
              <w:spacing w:after="120" w:line="240" w:lineRule="auto"/>
              <w:jc w:val="both"/>
              <w:rPr>
                <w:rFonts w:eastAsia="Calibri" w:cs="Times New Roman"/>
                <w:noProof/>
                <w:szCs w:val="24"/>
              </w:rPr>
            </w:pPr>
            <w:r>
              <w:rPr>
                <w:rFonts w:cs="Times New Roman"/>
                <w:noProof/>
                <w:szCs w:val="24"/>
                <w:lang w:bidi="en-US"/>
              </w:rPr>
              <w:t>ensure a genuine dialogue on the Law on freedom of religion or beliefs and that the Law and its implementation fully address the respective Venice Commission’s recommendations.</w:t>
            </w:r>
          </w:p>
        </w:tc>
      </w:tr>
    </w:tbl>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As regards </w:t>
      </w:r>
      <w:r>
        <w:rPr>
          <w:rFonts w:eastAsia="Calibri" w:cs="Times New Roman"/>
          <w:b/>
          <w:bCs/>
          <w:noProof/>
          <w:szCs w:val="24"/>
        </w:rPr>
        <w:t>international human r</w:t>
      </w:r>
      <w:r>
        <w:rPr>
          <w:rFonts w:eastAsia="Calibri" w:cs="Times New Roman"/>
          <w:b/>
          <w:bCs/>
          <w:noProof/>
          <w:szCs w:val="24"/>
        </w:rPr>
        <w:t>ights instruments</w:t>
      </w:r>
      <w:r>
        <w:rPr>
          <w:rFonts w:eastAsia="Calibri" w:cs="Times New Roman"/>
          <w:noProof/>
          <w:szCs w:val="24"/>
        </w:rPr>
        <w:t>, no new ratifications took place in 2019. Montenegro has not yet ratified the International Convention on the Protection of the Rights of All Migrant Workers and Members of Their Families (ICRMW) signed in October 2006 and the Protocol of 2014 to the 1930</w:t>
      </w:r>
      <w:r>
        <w:rPr>
          <w:rFonts w:eastAsia="Calibri" w:cs="Times New Roman"/>
          <w:noProof/>
          <w:szCs w:val="24"/>
        </w:rPr>
        <w:t xml:space="preserve"> Forced Labour Convention. Montenegro continued its dialogue with international human rights organisations and monitoring bodies, the United Nations and the Council of Europe. In 2019, the Ministry of Foreign Affairs developed a database to track the imple</w:t>
      </w:r>
      <w:r>
        <w:rPr>
          <w:rFonts w:eastAsia="Calibri" w:cs="Times New Roman"/>
          <w:noProof/>
          <w:szCs w:val="24"/>
        </w:rPr>
        <w:t>mentation of obligations and recommendations from international human right mechanisms. In March 2019, the Advisory Committee on the Framework Convention for the Protection of National Minorities adopted its Third Opinion on Montenegro. In June 2019, Monte</w:t>
      </w:r>
      <w:r>
        <w:rPr>
          <w:rFonts w:eastAsia="Calibri" w:cs="Times New Roman"/>
          <w:noProof/>
          <w:szCs w:val="24"/>
        </w:rPr>
        <w:t>negro reported on the implementation of the 2017 recommendations of the UN Committee on the Elimination of Discrimination against Women (CEDAW).  In April 2020, the UN Special Rapporteur on trafficking in persons, especially women and children published he</w:t>
      </w:r>
      <w:r>
        <w:rPr>
          <w:rFonts w:eastAsia="Calibri" w:cs="Times New Roman"/>
          <w:noProof/>
          <w:szCs w:val="24"/>
        </w:rPr>
        <w:t xml:space="preserve">r report on her 2019 visit to Montenegro. In April 2020, Montenegro reported on the implementation of recommendations of the UN Committee on Elimination of Racial Discrimination (CERD).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continues to ensure a good level of cooperation with the </w:t>
      </w:r>
      <w:r>
        <w:rPr>
          <w:rFonts w:eastAsia="Calibri" w:cs="Times New Roman"/>
          <w:b/>
          <w:noProof/>
          <w:szCs w:val="24"/>
        </w:rPr>
        <w:t>E</w:t>
      </w:r>
      <w:r>
        <w:rPr>
          <w:rFonts w:eastAsia="Calibri" w:cs="Times New Roman"/>
          <w:b/>
          <w:noProof/>
          <w:szCs w:val="24"/>
        </w:rPr>
        <w:t>uropean Court of Human Rights (ECtHR)</w:t>
      </w:r>
      <w:r>
        <w:rPr>
          <w:rFonts w:eastAsia="Calibri" w:cs="Times New Roman"/>
          <w:noProof/>
          <w:szCs w:val="24"/>
        </w:rPr>
        <w:t>. In 2019, 427 new applications against Montenegro were allocated to a judicial formation of the Council of Europe and 98 applications were pending before the Court at the end of the year. In 2019 and first half of 2020</w:t>
      </w:r>
      <w:r>
        <w:rPr>
          <w:rFonts w:eastAsia="Calibri" w:cs="Times New Roman"/>
          <w:noProof/>
          <w:szCs w:val="24"/>
        </w:rPr>
        <w:t>, the ECtHR found violations of the European Convention on Human Rights in eight cases with respect to inhuman treatment during detention, unlawful detention, unjustified duration of detention, duration of court proceedings, right to private and family lif</w:t>
      </w:r>
      <w:r>
        <w:rPr>
          <w:rFonts w:eastAsia="Calibri" w:cs="Times New Roman"/>
          <w:noProof/>
          <w:szCs w:val="24"/>
        </w:rPr>
        <w:t xml:space="preserve">e; and right to property. No issues with respect to execution of ECtHR judgement are reported and none of the cases against Montenegro is under enhanced supervision of execution by the Committee of Ministers.   </w:t>
      </w:r>
    </w:p>
    <w:p w:rsidR="003C2144" w:rsidRDefault="00FB7959">
      <w:pPr>
        <w:spacing w:after="120" w:line="240" w:lineRule="auto"/>
        <w:jc w:val="both"/>
        <w:rPr>
          <w:rFonts w:eastAsia="Calibri" w:cs="Times New Roman"/>
          <w:noProof/>
          <w:szCs w:val="24"/>
        </w:rPr>
      </w:pPr>
      <w:r>
        <w:rPr>
          <w:rFonts w:eastAsia="Calibri" w:cs="Times New Roman"/>
          <w:noProof/>
          <w:szCs w:val="24"/>
        </w:rPr>
        <w:t>Montenegro is not yet observer to the Fundam</w:t>
      </w:r>
      <w:r>
        <w:rPr>
          <w:rFonts w:eastAsia="Calibri" w:cs="Times New Roman"/>
          <w:noProof/>
          <w:szCs w:val="24"/>
        </w:rPr>
        <w:t xml:space="preserve">ental Rights Agency.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As regards the </w:t>
      </w:r>
      <w:r>
        <w:rPr>
          <w:rFonts w:eastAsia="Calibri" w:cs="Times New Roman"/>
          <w:b/>
          <w:iCs/>
          <w:noProof/>
          <w:szCs w:val="24"/>
          <w:shd w:val="clear" w:color="auto" w:fill="FFFFFF"/>
          <w:lang w:bidi="en-US"/>
        </w:rPr>
        <w:t>promotion and enforcement of human rights</w:t>
      </w:r>
      <w:r>
        <w:rPr>
          <w:rFonts w:eastAsia="Calibri" w:cs="Times New Roman"/>
          <w:i/>
          <w:iCs/>
          <w:noProof/>
          <w:szCs w:val="24"/>
          <w:shd w:val="clear" w:color="auto" w:fill="FFFFFF"/>
          <w:lang w:bidi="en-US"/>
        </w:rPr>
        <w:t>,</w:t>
      </w:r>
      <w:r>
        <w:rPr>
          <w:rFonts w:eastAsia="Calibri" w:cs="Times New Roman"/>
          <w:noProof/>
          <w:szCs w:val="24"/>
        </w:rPr>
        <w:t xml:space="preserve"> the Ministry of Human and Minority Rights (MHMR) continued to strengthen its administrative capacity though the creation of new positions and internal training programmes but t</w:t>
      </w:r>
      <w:r>
        <w:rPr>
          <w:rFonts w:eastAsia="Calibri" w:cs="Times New Roman"/>
          <w:noProof/>
          <w:szCs w:val="24"/>
        </w:rPr>
        <w:t xml:space="preserve">he MHMR’s overall capacity remains weak. CSOs are regularly consulted on legislative initiatives. However, cooperation between institutions and CSOs need to be further enhanced, including at the local level.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Calibri" w:cs="Times New Roman"/>
          <w:noProof/>
          <w:szCs w:val="24"/>
        </w:rPr>
        <w:t>The quality of the Constitutional Court's dec</w:t>
      </w:r>
      <w:r>
        <w:rPr>
          <w:rFonts w:eastAsia="Calibri" w:cs="Times New Roman"/>
          <w:noProof/>
          <w:szCs w:val="24"/>
        </w:rPr>
        <w:t>isions continues to improve in</w:t>
      </w:r>
      <w:r>
        <w:rPr>
          <w:rFonts w:eastAsia="Times New Roman" w:cs="Times New Roman"/>
          <w:noProof/>
          <w:szCs w:val="24"/>
        </w:rPr>
        <w:t xml:space="preserve"> terms of application of human rights standards and ECtHR case law. However, the fact that regular courts do not always follow its decisions raises concerns. Public institutions’ overall awareness of human rights standards sli</w:t>
      </w:r>
      <w:r>
        <w:rPr>
          <w:rFonts w:eastAsia="Times New Roman" w:cs="Times New Roman"/>
          <w:noProof/>
          <w:szCs w:val="24"/>
        </w:rPr>
        <w:t xml:space="preserve">ghtly improved in 2019. Human rights education is not yet sufficiently provided to public administration officials, law enforcement authorities and legal professionals. Sensitisation to human rights issues across social sectors needs to be increased.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Calibri" w:cs="Times New Roman"/>
          <w:noProof/>
          <w:szCs w:val="24"/>
        </w:rPr>
        <w:t xml:space="preserve">The </w:t>
      </w:r>
      <w:r>
        <w:rPr>
          <w:rFonts w:eastAsia="Calibri" w:cs="Times New Roman"/>
          <w:noProof/>
          <w:szCs w:val="24"/>
        </w:rPr>
        <w:t xml:space="preserve">regulatory and institutional framework for the functioning of the Ombudsperson, accredited with a B-status by the Global Alliance for National Human Rights Institutions (GANHRI), is in place. </w:t>
      </w:r>
      <w:r>
        <w:rPr>
          <w:rFonts w:eastAsia="Times New Roman" w:cs="Times New Roman"/>
          <w:noProof/>
          <w:szCs w:val="24"/>
        </w:rPr>
        <w:t>Despite a persistent lack of staff and relatively limited resour</w:t>
      </w:r>
      <w:r>
        <w:rPr>
          <w:rFonts w:eastAsia="Times New Roman" w:cs="Times New Roman"/>
          <w:noProof/>
          <w:szCs w:val="24"/>
        </w:rPr>
        <w:t>ces (budget of EUR 695,322 in 2019, and of EUR 725,227 in 2020), the Ombudsperson’s Office continues to have good visibility, outreach and productivity. In December 2019, Parliament confirmed, with wide political support, the appointment of a new Ombudsper</w:t>
      </w:r>
      <w:r>
        <w:rPr>
          <w:rFonts w:eastAsia="Times New Roman" w:cs="Times New Roman"/>
          <w:noProof/>
          <w:szCs w:val="24"/>
        </w:rPr>
        <w:t>son. Staff training activities and initiatives to promote the human rights of the most vulnerable groups, particularly children, continued, along with cooperation with the UNHCR to uphold protection of the human rights of migrants and asylum seekers. The n</w:t>
      </w:r>
      <w:r>
        <w:rPr>
          <w:rFonts w:eastAsia="Times New Roman" w:cs="Times New Roman"/>
          <w:noProof/>
          <w:szCs w:val="24"/>
        </w:rPr>
        <w:t>ational electronic database for the management of complaints was improved. Cooperation with the media and the civil society remains good overall, but additional efforts are required to further increase trust between stakeholders. In 2019, the Office receiv</w:t>
      </w:r>
      <w:r>
        <w:rPr>
          <w:rFonts w:eastAsia="Times New Roman" w:cs="Times New Roman"/>
          <w:noProof/>
          <w:szCs w:val="24"/>
        </w:rPr>
        <w:t xml:space="preserve">ed 840 complaints (2018: 889). The preliminary figures for 2020 suggest an overall increase of complaints.   </w:t>
      </w:r>
    </w:p>
    <w:p w:rsidR="003C2144" w:rsidRDefault="00FB7959">
      <w:pPr>
        <w:autoSpaceDE w:val="0"/>
        <w:autoSpaceDN w:val="0"/>
        <w:adjustRightInd w:val="0"/>
        <w:spacing w:after="120" w:line="240" w:lineRule="auto"/>
        <w:jc w:val="both"/>
        <w:rPr>
          <w:rFonts w:eastAsia="MS Mincho" w:cs="Times New Roman"/>
          <w:noProof/>
          <w:szCs w:val="24"/>
        </w:rPr>
      </w:pPr>
      <w:r>
        <w:rPr>
          <w:rFonts w:eastAsia="Calibri" w:cs="Times New Roman"/>
          <w:noProof/>
          <w:szCs w:val="24"/>
        </w:rPr>
        <w:t xml:space="preserve">As regards the </w:t>
      </w:r>
      <w:r>
        <w:rPr>
          <w:rFonts w:eastAsia="Calibri" w:cs="Times New Roman"/>
          <w:b/>
          <w:noProof/>
          <w:szCs w:val="24"/>
        </w:rPr>
        <w:t>prevention of torture and ill-treatment</w:t>
      </w:r>
      <w:r>
        <w:rPr>
          <w:rFonts w:eastAsia="Calibri" w:cs="Times New Roman"/>
          <w:noProof/>
          <w:szCs w:val="24"/>
        </w:rPr>
        <w:t xml:space="preserve">, the regulatory framework has been partly consolidated with the adoption of a set of </w:t>
      </w:r>
      <w:r>
        <w:rPr>
          <w:rFonts w:eastAsia="Calibri" w:cs="Times New Roman"/>
          <w:noProof/>
          <w:szCs w:val="24"/>
        </w:rPr>
        <w:t>implementing rules in 2019 and early 2020. A working group has been formed to prepare the amendments to the Criminal Code with regard to crimes of torture and other forms of ill-treatment. These amendments will need to address the 2018 UN Universal Periodi</w:t>
      </w:r>
      <w:r>
        <w:rPr>
          <w:rFonts w:eastAsia="Calibri" w:cs="Times New Roman"/>
          <w:noProof/>
          <w:szCs w:val="24"/>
        </w:rPr>
        <w:t>c Review recommendation to explicitly prohibit the statute of limitations for such crimes, increase sanctions, as well as exclude the possibility of</w:t>
      </w:r>
      <w:r>
        <w:rPr>
          <w:rFonts w:eastAsia="MS Mincho" w:cs="Times New Roman"/>
          <w:noProof/>
          <w:szCs w:val="24"/>
        </w:rPr>
        <w:t xml:space="preserve"> granting amnesty and pardon to public officials accused or convicted of such crimes.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Some additional measur</w:t>
      </w:r>
      <w:r>
        <w:rPr>
          <w:rFonts w:eastAsia="Calibri" w:cs="Times New Roman"/>
          <w:noProof/>
          <w:szCs w:val="24"/>
        </w:rPr>
        <w:t xml:space="preserve">es have been taken to strengthen the effectiveness of investigations and judicial response to cases of torture and ill-treatment that however remains challenging overall.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The serious allegations of police torture of three individuals during their detentio</w:t>
      </w:r>
      <w:r>
        <w:rPr>
          <w:rFonts w:eastAsia="Calibri" w:cs="Times New Roman"/>
          <w:noProof/>
          <w:szCs w:val="24"/>
        </w:rPr>
        <w:t>n in May 2020, the excessive, unjustified and unauthorised use of force by law enforcement, communal police and private security agencies during the June 2020 events in Budva in the context of change of power in the municipality, as well as all other repor</w:t>
      </w:r>
      <w:r>
        <w:rPr>
          <w:rFonts w:eastAsia="Calibri" w:cs="Times New Roman"/>
          <w:noProof/>
          <w:szCs w:val="24"/>
        </w:rPr>
        <w:t xml:space="preserve">ts about excessive use of force by the police need to be duly investigated by the competent national authorities.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Calibri" w:cs="Times New Roman"/>
          <w:noProof/>
          <w:szCs w:val="24"/>
        </w:rPr>
        <w:t xml:space="preserve">The </w:t>
      </w:r>
      <w:r>
        <w:rPr>
          <w:rFonts w:eastAsia="Times New Roman" w:cs="Times New Roman"/>
          <w:noProof/>
          <w:szCs w:val="24"/>
        </w:rPr>
        <w:t>operational capacity and visibility of the National Preventive Mechanism (NPM) were reinforced in 2019 with the provision of additional</w:t>
      </w:r>
      <w:r>
        <w:rPr>
          <w:rFonts w:eastAsia="Times New Roman" w:cs="Times New Roman"/>
          <w:noProof/>
          <w:szCs w:val="24"/>
        </w:rPr>
        <w:t xml:space="preserve"> funds for promotional activities, research and monitoring. The NPM mission carried out 24 control visits to assess the conditions of detention. Further surveys on the treatment of migrants and asylum seekers were also conducted in 2019.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Concerning the </w:t>
      </w:r>
      <w:r>
        <w:rPr>
          <w:rFonts w:eastAsia="Times New Roman" w:cs="Times New Roman"/>
          <w:b/>
          <w:noProof/>
          <w:szCs w:val="24"/>
        </w:rPr>
        <w:t>pr</w:t>
      </w:r>
      <w:r>
        <w:rPr>
          <w:rFonts w:eastAsia="Times New Roman" w:cs="Times New Roman"/>
          <w:b/>
          <w:noProof/>
          <w:szCs w:val="24"/>
        </w:rPr>
        <w:t>ison system and conditions</w:t>
      </w:r>
      <w:r>
        <w:rPr>
          <w:rFonts w:eastAsia="Times New Roman" w:cs="Times New Roman"/>
          <w:noProof/>
          <w:szCs w:val="24"/>
        </w:rPr>
        <w:t>, the limited capacities of detention facilities and continued over-use of pre-trial detention for low-risks defendants and less serious crimes remain a concern. Additional measures were taken to address the recommendations of the</w:t>
      </w:r>
      <w:r>
        <w:rPr>
          <w:rFonts w:eastAsia="Times New Roman" w:cs="Times New Roman"/>
          <w:noProof/>
          <w:szCs w:val="24"/>
        </w:rPr>
        <w:t xml:space="preserve"> European Committee for the Prevention of Torture and Inhuman or Degrading Treatment or Punishment (CPT). </w:t>
      </w:r>
      <w:r>
        <w:rPr>
          <w:rFonts w:eastAsia="Calibri" w:cs="Times New Roman"/>
          <w:noProof/>
          <w:szCs w:val="24"/>
        </w:rPr>
        <w:t xml:space="preserve">An ethics committee was established for monitoring compliance with the provisions of the new code of ethics for civil servants and state employees of </w:t>
      </w:r>
      <w:r>
        <w:rPr>
          <w:rFonts w:eastAsia="Calibri" w:cs="Times New Roman"/>
          <w:noProof/>
          <w:szCs w:val="24"/>
        </w:rPr>
        <w:t xml:space="preserve">the Institute for the Execution of Criminal Sanctions. Safeguards for persons deprived of their liberty are however not sufficient and serious discrepancies remain between regulatory standards and practice. </w:t>
      </w:r>
      <w:r>
        <w:rPr>
          <w:rFonts w:eastAsia="Times New Roman" w:cs="Times New Roman"/>
          <w:noProof/>
          <w:szCs w:val="24"/>
        </w:rPr>
        <w:t>Some improvements were made to nutrition and heal</w:t>
      </w:r>
      <w:r>
        <w:rPr>
          <w:rFonts w:eastAsia="Times New Roman" w:cs="Times New Roman"/>
          <w:noProof/>
          <w:szCs w:val="24"/>
        </w:rPr>
        <w:t xml:space="preserve">th-care services, family visits, staffing and the working environment. However, the material conditions of detention remain poor and serious challenges in this respect have been further exposed in the context of the COVID-19 pandemic. </w:t>
      </w:r>
      <w:r>
        <w:rPr>
          <w:rFonts w:eastAsia="Calibri" w:cs="Times New Roman"/>
          <w:noProof/>
          <w:szCs w:val="24"/>
        </w:rPr>
        <w:t>In June 2020, the Par</w:t>
      </w:r>
      <w:r>
        <w:rPr>
          <w:rFonts w:eastAsia="Calibri" w:cs="Times New Roman"/>
          <w:noProof/>
          <w:szCs w:val="24"/>
        </w:rPr>
        <w:t xml:space="preserve">liament passed a Law on Amnesty to reduce the prison sentences of some inmates by 5-15%, in order to reduce the prison overcrowding in the context of COVID-19 outbreak. </w:t>
      </w:r>
      <w:r>
        <w:rPr>
          <w:rFonts w:eastAsia="Times New Roman" w:cs="Times New Roman"/>
          <w:noProof/>
          <w:szCs w:val="24"/>
        </w:rPr>
        <w:t>Prison extensions and additional penitentiary building plans, including a prison hospit</w:t>
      </w:r>
      <w:r>
        <w:rPr>
          <w:rFonts w:eastAsia="Times New Roman" w:cs="Times New Roman"/>
          <w:noProof/>
          <w:szCs w:val="24"/>
        </w:rPr>
        <w:t>al, are currently under preparation. Construction of a protective prison wall has started around the facility for short-term sentences in order to provide for better security is underway. The EU-funded technical assistance for the construction of a new pri</w:t>
      </w:r>
      <w:r>
        <w:rPr>
          <w:rFonts w:eastAsia="Times New Roman" w:cs="Times New Roman"/>
          <w:noProof/>
          <w:szCs w:val="24"/>
        </w:rPr>
        <w:t>son facility in Mojkovac started in November 2019. Cooperation with civil society continued regarding prisoners with special needs, prevention of recidivism and social reintegration and personal/professional development. Progress made in rehabilitation and</w:t>
      </w:r>
      <w:r>
        <w:rPr>
          <w:rFonts w:eastAsia="Times New Roman" w:cs="Times New Roman"/>
          <w:noProof/>
          <w:szCs w:val="24"/>
        </w:rPr>
        <w:t xml:space="preserve"> resocialisation of (former) detainees should be sustained. Full accessibility for persons with disabilities in prison is yet to be addressed. </w:t>
      </w:r>
      <w:r>
        <w:rPr>
          <w:rFonts w:eastAsia="Calibri" w:cs="Times New Roman"/>
          <w:noProof/>
          <w:szCs w:val="24"/>
        </w:rPr>
        <w:t xml:space="preserve"> </w:t>
      </w:r>
    </w:p>
    <w:p w:rsidR="003C2144" w:rsidRDefault="00FB7959">
      <w:pPr>
        <w:spacing w:after="120" w:line="240" w:lineRule="auto"/>
        <w:jc w:val="both"/>
        <w:rPr>
          <w:rFonts w:eastAsia="Times New Roman" w:cs="Times New Roman"/>
          <w:b/>
          <w:noProof/>
          <w:szCs w:val="24"/>
        </w:rPr>
      </w:pPr>
      <w:r>
        <w:rPr>
          <w:rFonts w:eastAsia="Times New Roman" w:cs="Times New Roman"/>
          <w:noProof/>
          <w:szCs w:val="24"/>
        </w:rPr>
        <w:t xml:space="preserve">On </w:t>
      </w:r>
      <w:r>
        <w:rPr>
          <w:rFonts w:eastAsia="Times New Roman" w:cs="Times New Roman"/>
          <w:b/>
          <w:noProof/>
          <w:szCs w:val="24"/>
        </w:rPr>
        <w:t>protection of personal data</w:t>
      </w:r>
      <w:r>
        <w:rPr>
          <w:rFonts w:eastAsia="Times New Roman" w:cs="Times New Roman"/>
          <w:noProof/>
          <w:szCs w:val="24"/>
        </w:rPr>
        <w:t xml:space="preserve">, major challenges remain in consolidating the legal and institutional </w:t>
      </w:r>
      <w:r>
        <w:rPr>
          <w:rFonts w:eastAsia="Times New Roman" w:cs="Times New Roman"/>
          <w:noProof/>
          <w:szCs w:val="24"/>
        </w:rPr>
        <w:t>frameworks, including internal control mechanisms and supervision of the processing of and access to personal information. Montenegro has not yet signed or ratified the</w:t>
      </w:r>
      <w:r>
        <w:rPr>
          <w:rFonts w:eastAsia="Times New Roman" w:cs="Times New Roman"/>
          <w:i/>
          <w:noProof/>
          <w:szCs w:val="24"/>
        </w:rPr>
        <w:t xml:space="preserve"> </w:t>
      </w:r>
      <w:r>
        <w:rPr>
          <w:rFonts w:eastAsia="Times New Roman" w:cs="Times New Roman"/>
          <w:noProof/>
          <w:szCs w:val="24"/>
        </w:rPr>
        <w:t xml:space="preserve">2018 Protocol amending the Convention for the Protection of Individuals with regard to </w:t>
      </w:r>
      <w:r>
        <w:rPr>
          <w:rFonts w:eastAsia="Times New Roman" w:cs="Times New Roman"/>
          <w:noProof/>
          <w:szCs w:val="24"/>
        </w:rPr>
        <w:t>Automatic Processing of Personal Data. A new law on protection of personal data is in preparation with the aim of aligning it with the 2016 EU General Data Protection Regulation and the Directive on the processing of personal data for authorities responsib</w:t>
      </w:r>
      <w:r>
        <w:rPr>
          <w:rFonts w:eastAsia="Times New Roman" w:cs="Times New Roman"/>
          <w:noProof/>
          <w:szCs w:val="24"/>
        </w:rPr>
        <w:t>le for preventing, investigating, detecting and prosecuting crimes</w:t>
      </w:r>
      <w:r>
        <w:rPr>
          <w:rFonts w:cs="Times New Roman"/>
          <w:noProof/>
          <w:szCs w:val="24"/>
        </w:rPr>
        <w:t>.</w:t>
      </w:r>
      <w:r>
        <w:rPr>
          <w:rFonts w:eastAsia="Times New Roman" w:cs="Times New Roman"/>
          <w:noProof/>
          <w:szCs w:val="24"/>
        </w:rPr>
        <w:t xml:space="preserve"> Activities to increase the capacity of the Agency for Personal Data Protection and Free Access to Information have continued but its overall capacity remains limited. The number of data pr</w:t>
      </w:r>
      <w:r>
        <w:rPr>
          <w:rFonts w:eastAsia="Times New Roman" w:cs="Times New Roman"/>
          <w:noProof/>
          <w:szCs w:val="24"/>
        </w:rPr>
        <w:t>otection cases brought to court remains low, while complaints lodged with the Agency have increased. The level of capacity and awareness of rights and obligations is generally low among the different state bodies, members of the public and the private sect</w:t>
      </w:r>
      <w:r>
        <w:rPr>
          <w:rFonts w:eastAsia="Times New Roman" w:cs="Times New Roman"/>
          <w:noProof/>
          <w:szCs w:val="24"/>
        </w:rPr>
        <w:t>or. The COVID-19 crisis further exposed these challenges, with authorities struggling with finding the right balance between protection of health and respecting the confidentiality of personal health data and the right to private life of citizens. A list o</w:t>
      </w:r>
      <w:r>
        <w:rPr>
          <w:rFonts w:eastAsia="Times New Roman" w:cs="Times New Roman"/>
          <w:noProof/>
          <w:szCs w:val="24"/>
        </w:rPr>
        <w:t xml:space="preserve">f all persons subject to measure of self-isolation was published upon decision of the National Coordination Body and positive opinion of the Agency for Personal Data Protection. In July 2020, the Constitutional Court declared the respective decision to be </w:t>
      </w:r>
      <w:r>
        <w:rPr>
          <w:rFonts w:eastAsia="Times New Roman" w:cs="Times New Roman"/>
          <w:noProof/>
          <w:szCs w:val="24"/>
        </w:rPr>
        <w:t>in violation of the Constitutional right to privacy and annulled it. The list was subsequently used by a private individual to create a mobile application allowing users to locate those in self-isolation. In April 2020, a list of more than 60 persons infec</w:t>
      </w:r>
      <w:r>
        <w:rPr>
          <w:rFonts w:eastAsia="Times New Roman" w:cs="Times New Roman"/>
          <w:noProof/>
          <w:szCs w:val="24"/>
        </w:rPr>
        <w:t>ted with the virus, containing their names, birth data and ID numbers, was leaked. In May 2020, an indictment has been lodged in this case against one defendant.</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In the area of </w:t>
      </w:r>
      <w:r>
        <w:rPr>
          <w:rFonts w:eastAsia="Times New Roman" w:cs="Times New Roman"/>
          <w:b/>
          <w:noProof/>
          <w:szCs w:val="24"/>
        </w:rPr>
        <w:t>freedom of thought, conscience and religion</w:t>
      </w:r>
      <w:r>
        <w:rPr>
          <w:rFonts w:eastAsia="Times New Roman" w:cs="Times New Roman"/>
          <w:noProof/>
          <w:szCs w:val="24"/>
        </w:rPr>
        <w:t>, in December 2019 Parliament enacte</w:t>
      </w:r>
      <w:r>
        <w:rPr>
          <w:rFonts w:eastAsia="Times New Roman" w:cs="Times New Roman"/>
          <w:noProof/>
          <w:szCs w:val="24"/>
        </w:rPr>
        <w:t>d the law on the freedom of religion or belief in order to regulate, among other things, the legal status of religious communities, their property and property rights over religious sites. The law declares state property rights over religious buildings and</w:t>
      </w:r>
      <w:r>
        <w:rPr>
          <w:rFonts w:eastAsia="Times New Roman" w:cs="Times New Roman"/>
          <w:noProof/>
          <w:szCs w:val="24"/>
        </w:rPr>
        <w:t xml:space="preserve"> land built or obtained from state revenues, or which were owned by the state until 1 December 1918 and for which there is no evidence of ownership by the religious community. Its adoption was marred by tensions and an incident in Parliament, which led to </w:t>
      </w:r>
      <w:r>
        <w:rPr>
          <w:rFonts w:eastAsia="Times New Roman" w:cs="Times New Roman"/>
          <w:noProof/>
          <w:szCs w:val="24"/>
        </w:rPr>
        <w:t>the arrest of opposition MPs. Large scale religious rallies in support of the Serbian Orthodox Church (SOC) and protests followed, but were discontinued due to COVID-19 crisis. Further tensions arose in May and June 2020 between the SOC and its believers a</w:t>
      </w:r>
      <w:r>
        <w:rPr>
          <w:rFonts w:eastAsia="Times New Roman" w:cs="Times New Roman"/>
          <w:noProof/>
          <w:szCs w:val="24"/>
        </w:rPr>
        <w:t>nd the authorities following arrests and detentions of the Church’s bishop and its priests for disobeying the COVID-19 preventive measures. In February 2020, the government initiated a dialogue between legal experts and the SOC, which considers itself heav</w:t>
      </w:r>
      <w:r>
        <w:rPr>
          <w:rFonts w:eastAsia="Times New Roman" w:cs="Times New Roman"/>
          <w:noProof/>
          <w:szCs w:val="24"/>
        </w:rPr>
        <w:t>ily impacted by the law. In June 2020, the Government announced publicly that it had offered to the Church to suspend the application of the law until the law is reviewed by the Constitutional Court, provided that the COS submits a motion to the Montenegro</w:t>
      </w:r>
      <w:r>
        <w:rPr>
          <w:rFonts w:eastAsia="Times New Roman" w:cs="Times New Roman"/>
          <w:noProof/>
          <w:szCs w:val="24"/>
        </w:rPr>
        <w:t xml:space="preserve"> Constitutional Court. The proposal was rejected by the SOC. The dialogue with all religious groups and relevant stakeholders needs to continue in line with relevant international and European human rights standards, including the recommendations of the Ve</w:t>
      </w:r>
      <w:r>
        <w:rPr>
          <w:rFonts w:eastAsia="Times New Roman" w:cs="Times New Roman"/>
          <w:noProof/>
          <w:szCs w:val="24"/>
        </w:rPr>
        <w:t>nice Commission opinion on the law of June 2019. The religiously motivated attacks in the context of August 2020 elections are a matter of serious concern,</w:t>
      </w:r>
    </w:p>
    <w:p w:rsidR="003C2144" w:rsidRDefault="00FB7959">
      <w:pPr>
        <w:autoSpaceDE w:val="0"/>
        <w:autoSpaceDN w:val="0"/>
        <w:adjustRightInd w:val="0"/>
        <w:spacing w:after="120" w:line="240" w:lineRule="auto"/>
        <w:jc w:val="both"/>
        <w:rPr>
          <w:rFonts w:eastAsia="Times New Roman" w:cs="Times New Roman"/>
          <w:noProof/>
          <w:szCs w:val="24"/>
        </w:rPr>
      </w:pPr>
      <w:r>
        <w:rPr>
          <w:rFonts w:cs="Times New Roman"/>
          <w:b/>
          <w:noProof/>
          <w:szCs w:val="24"/>
        </w:rPr>
        <w:t>Freedom of expression</w:t>
      </w:r>
    </w:p>
    <w:tbl>
      <w:tblPr>
        <w:tblW w:w="0" w:type="auto"/>
        <w:shd w:val="clear" w:color="auto" w:fill="D9D9D9" w:themeFill="background1" w:themeFillShade="D9"/>
        <w:tblLook w:val="04A0" w:firstRow="1" w:lastRow="0" w:firstColumn="1" w:lastColumn="0" w:noHBand="0" w:noVBand="1"/>
      </w:tblPr>
      <w:tblGrid>
        <w:gridCol w:w="9242"/>
      </w:tblGrid>
      <w:tr w:rsidR="003C2144">
        <w:tc>
          <w:tcPr>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rsidR="003C2144" w:rsidRDefault="00FB7959">
            <w:pPr>
              <w:spacing w:after="120" w:line="240" w:lineRule="auto"/>
              <w:jc w:val="both"/>
              <w:rPr>
                <w:rFonts w:cs="Times New Roman"/>
                <w:noProof/>
                <w:szCs w:val="24"/>
                <w:lang w:bidi="en-US"/>
              </w:rPr>
            </w:pPr>
            <w:r>
              <w:rPr>
                <w:rFonts w:cs="Times New Roman"/>
                <w:noProof/>
                <w:szCs w:val="24"/>
                <w:lang w:bidi="en-US"/>
              </w:rPr>
              <w:t xml:space="preserve">Montenegro has achieved </w:t>
            </w:r>
            <w:r>
              <w:rPr>
                <w:rFonts w:cs="Times New Roman"/>
                <w:b/>
                <w:noProof/>
                <w:szCs w:val="24"/>
                <w:lang w:bidi="en-US"/>
              </w:rPr>
              <w:t>some</w:t>
            </w:r>
            <w:r>
              <w:rPr>
                <w:rFonts w:cs="Times New Roman"/>
                <w:noProof/>
                <w:szCs w:val="24"/>
                <w:lang w:bidi="en-US"/>
              </w:rPr>
              <w:t xml:space="preserve"> </w:t>
            </w:r>
            <w:r>
              <w:rPr>
                <w:rFonts w:cs="Times New Roman"/>
                <w:b/>
                <w:noProof/>
                <w:szCs w:val="24"/>
                <w:lang w:bidi="en-US"/>
              </w:rPr>
              <w:t>level of preparation</w:t>
            </w:r>
            <w:r>
              <w:rPr>
                <w:rFonts w:cs="Times New Roman"/>
                <w:noProof/>
                <w:szCs w:val="24"/>
                <w:lang w:bidi="en-US"/>
              </w:rPr>
              <w:t xml:space="preserve"> in this area. During the rep</w:t>
            </w:r>
            <w:r>
              <w:rPr>
                <w:rFonts w:cs="Times New Roman"/>
                <w:noProof/>
                <w:szCs w:val="24"/>
                <w:lang w:bidi="en-US"/>
              </w:rPr>
              <w:t xml:space="preserve">orting period Montenegro made </w:t>
            </w:r>
            <w:r>
              <w:rPr>
                <w:rFonts w:cs="Times New Roman"/>
                <w:b/>
                <w:noProof/>
                <w:szCs w:val="24"/>
                <w:lang w:bidi="en-US"/>
              </w:rPr>
              <w:t>no progress</w:t>
            </w:r>
            <w:r>
              <w:rPr>
                <w:rFonts w:cs="Times New Roman"/>
                <w:noProof/>
                <w:szCs w:val="24"/>
                <w:lang w:bidi="en-US"/>
              </w:rPr>
              <w:t xml:space="preserve"> on freedom of expression overall. Although there has been progress on the media legislation, this has been overshadowed by arrests and proceedings against editors of on-line portals and citizens for content they po</w:t>
            </w:r>
            <w:r>
              <w:rPr>
                <w:rFonts w:cs="Times New Roman"/>
                <w:noProof/>
                <w:szCs w:val="24"/>
                <w:lang w:bidi="en-US"/>
              </w:rPr>
              <w:t xml:space="preserve">sted or shared on-line in the course of 2020. The authorities have invested efforts in the new legal framework for media and inclusive additional consultations with the stakeholders. In July 2020, Parliament enacted the new law on media and the new law on </w:t>
            </w:r>
            <w:r>
              <w:rPr>
                <w:rFonts w:cs="Times New Roman"/>
                <w:noProof/>
                <w:szCs w:val="24"/>
                <w:lang w:bidi="en-US"/>
              </w:rPr>
              <w:t>public broadcaster RTCG. Some of the last-minute changes to the two laws will need to be reviewed together with the upcoming Law on audio-visual media, which is under preparation; and in the light of European standards. Important old cases of attacks remai</w:t>
            </w:r>
            <w:r>
              <w:rPr>
                <w:rFonts w:cs="Times New Roman"/>
                <w:noProof/>
                <w:szCs w:val="24"/>
                <w:lang w:bidi="en-US"/>
              </w:rPr>
              <w:t xml:space="preserve">n unresolved, including the 2004 murder of the editor-in-chief of daily newspaper, </w:t>
            </w:r>
            <w:r>
              <w:rPr>
                <w:rFonts w:cs="Times New Roman"/>
                <w:i/>
                <w:noProof/>
                <w:szCs w:val="24"/>
                <w:lang w:bidi="en-US"/>
              </w:rPr>
              <w:t>Dan</w:t>
            </w:r>
            <w:r>
              <w:rPr>
                <w:rFonts w:cs="Times New Roman"/>
                <w:noProof/>
                <w:szCs w:val="24"/>
                <w:lang w:bidi="en-US"/>
              </w:rPr>
              <w:t xml:space="preserve">, and the 2018 shooting of an investigative journalist. </w:t>
            </w:r>
            <w:r>
              <w:rPr>
                <w:rFonts w:cs="Times New Roman"/>
                <w:noProof/>
                <w:szCs w:val="24"/>
              </w:rPr>
              <w:t xml:space="preserve">The Parliament appointed a new Council of the </w:t>
            </w:r>
            <w:r>
              <w:rPr>
                <w:rFonts w:cs="Times New Roman"/>
                <w:noProof/>
                <w:szCs w:val="24"/>
                <w:lang w:bidi="en-US"/>
              </w:rPr>
              <w:t>national public broadcaster (RTCG), but concerns remain about RTCG’s</w:t>
            </w:r>
            <w:r>
              <w:rPr>
                <w:rFonts w:cs="Times New Roman"/>
                <w:noProof/>
                <w:szCs w:val="24"/>
                <w:lang w:bidi="en-US"/>
              </w:rPr>
              <w:t xml:space="preserve"> editorial independence and professional standards. </w:t>
            </w:r>
            <w:r>
              <w:rPr>
                <w:rFonts w:cs="Times New Roman"/>
                <w:noProof/>
                <w:szCs w:val="24"/>
              </w:rPr>
              <w:t xml:space="preserve">Several court rulings in 2019 found that members of the RTCG Council and management were unlawfully dismissed in 2018. </w:t>
            </w:r>
            <w:r>
              <w:rPr>
                <w:rFonts w:cs="Times New Roman"/>
                <w:noProof/>
                <w:szCs w:val="24"/>
                <w:lang w:bidi="en-US"/>
              </w:rPr>
              <w:t>The media scene continues to be highly polarised and self</w:t>
            </w:r>
            <w:r>
              <w:rPr>
                <w:rFonts w:cs="Times New Roman"/>
                <w:noProof/>
                <w:szCs w:val="24"/>
                <w:lang w:bidi="en-US"/>
              </w:rPr>
              <w:noBreakHyphen/>
              <w:t>regulatory mechanisms remai</w:t>
            </w:r>
            <w:r>
              <w:rPr>
                <w:rFonts w:cs="Times New Roman"/>
                <w:noProof/>
                <w:szCs w:val="24"/>
                <w:lang w:bidi="en-US"/>
              </w:rPr>
              <w:t xml:space="preserve">n weak. </w:t>
            </w:r>
            <w:r>
              <w:rPr>
                <w:rFonts w:cs="Times New Roman"/>
                <w:noProof/>
                <w:szCs w:val="24"/>
              </w:rPr>
              <w:t xml:space="preserve">The growing volume of region-wide disinformation further polarised the society in the aftermath of the adoption of the Law on freedom of religion and during the electoral campaign. </w:t>
            </w:r>
            <w:r>
              <w:rPr>
                <w:rFonts w:cs="Times New Roman"/>
                <w:noProof/>
                <w:szCs w:val="24"/>
                <w:lang w:bidi="en-US"/>
              </w:rPr>
              <w:t>The authorities, including the judiciary need to be better prepared</w:t>
            </w:r>
            <w:r>
              <w:rPr>
                <w:rFonts w:cs="Times New Roman"/>
                <w:noProof/>
                <w:szCs w:val="24"/>
                <w:lang w:bidi="en-US"/>
              </w:rPr>
              <w:t xml:space="preserve"> to apply the ECtHR case law on freedom of expression. </w:t>
            </w:r>
          </w:p>
          <w:p w:rsidR="003C2144" w:rsidRDefault="00FB7959">
            <w:pPr>
              <w:spacing w:after="120" w:line="240" w:lineRule="auto"/>
              <w:jc w:val="both"/>
              <w:rPr>
                <w:rFonts w:cs="Times New Roman"/>
                <w:noProof/>
                <w:szCs w:val="24"/>
              </w:rPr>
            </w:pPr>
            <w:r>
              <w:rPr>
                <w:rFonts w:cs="Times New Roman"/>
                <w:noProof/>
                <w:szCs w:val="24"/>
                <w:lang w:bidi="en-US"/>
              </w:rPr>
              <w:t>In addressing the shortcomings, Montenegro should in particular:</w:t>
            </w:r>
          </w:p>
          <w:p w:rsidR="003C2144" w:rsidRDefault="00FB7959">
            <w:pPr>
              <w:numPr>
                <w:ilvl w:val="0"/>
                <w:numId w:val="2"/>
              </w:numPr>
              <w:spacing w:after="120" w:line="240" w:lineRule="auto"/>
              <w:jc w:val="both"/>
              <w:rPr>
                <w:rFonts w:cs="Times New Roman"/>
                <w:noProof/>
                <w:szCs w:val="24"/>
              </w:rPr>
            </w:pPr>
            <w:r>
              <w:rPr>
                <w:rFonts w:cs="Times New Roman"/>
                <w:noProof/>
                <w:szCs w:val="24"/>
                <w:lang w:bidi="en-US"/>
              </w:rPr>
              <w:t>investigate cases of attacks against journalists as a matter of priority;</w:t>
            </w:r>
          </w:p>
          <w:p w:rsidR="003C2144" w:rsidRDefault="00FB7959">
            <w:pPr>
              <w:numPr>
                <w:ilvl w:val="0"/>
                <w:numId w:val="2"/>
              </w:numPr>
              <w:spacing w:after="120" w:line="240" w:lineRule="auto"/>
              <w:jc w:val="both"/>
              <w:rPr>
                <w:rFonts w:cs="Times New Roman"/>
                <w:noProof/>
                <w:szCs w:val="24"/>
              </w:rPr>
            </w:pPr>
            <w:r>
              <w:rPr>
                <w:rFonts w:cs="Times New Roman"/>
                <w:noProof/>
                <w:szCs w:val="24"/>
              </w:rPr>
              <w:t>ensure that any individual measures taken to limit the effect</w:t>
            </w:r>
            <w:r>
              <w:rPr>
                <w:rFonts w:cs="Times New Roman"/>
                <w:noProof/>
                <w:szCs w:val="24"/>
              </w:rPr>
              <w:t>s of disinformation and on-line harassment or hate speech do not limit disproportionately freedom of expression and the media;</w:t>
            </w:r>
          </w:p>
          <w:p w:rsidR="003C2144" w:rsidRDefault="00FB7959">
            <w:pPr>
              <w:numPr>
                <w:ilvl w:val="0"/>
                <w:numId w:val="2"/>
              </w:numPr>
              <w:spacing w:after="120" w:line="240" w:lineRule="auto"/>
              <w:jc w:val="both"/>
              <w:rPr>
                <w:rFonts w:cs="Times New Roman"/>
                <w:noProof/>
                <w:szCs w:val="24"/>
                <w:lang w:bidi="en-US"/>
              </w:rPr>
            </w:pPr>
            <w:r>
              <w:rPr>
                <w:rFonts w:cs="Times New Roman"/>
                <w:noProof/>
                <w:szCs w:val="24"/>
                <w:lang w:bidi="en-US"/>
              </w:rPr>
              <w:t xml:space="preserve">complete the revision of the legal framework in the area of media and provide for unambiguous application of the new legislation </w:t>
            </w:r>
            <w:r>
              <w:rPr>
                <w:rFonts w:cs="Times New Roman"/>
                <w:noProof/>
                <w:szCs w:val="24"/>
                <w:lang w:bidi="en-US"/>
              </w:rPr>
              <w:t>in accordance with international and European standards.</w:t>
            </w:r>
          </w:p>
        </w:tc>
      </w:tr>
    </w:tbl>
    <w:p w:rsidR="003C2144" w:rsidRDefault="00FB7959">
      <w:pPr>
        <w:spacing w:after="120" w:line="240" w:lineRule="auto"/>
        <w:jc w:val="both"/>
        <w:rPr>
          <w:rFonts w:cs="Times New Roman"/>
          <w:noProof/>
          <w:szCs w:val="24"/>
          <w:u w:val="single"/>
        </w:rPr>
      </w:pPr>
      <w:r>
        <w:rPr>
          <w:rFonts w:cs="Times New Roman"/>
          <w:noProof/>
          <w:szCs w:val="24"/>
          <w:u w:val="single"/>
        </w:rPr>
        <w:t>Intimidation of journalists</w:t>
      </w:r>
    </w:p>
    <w:p w:rsidR="003C2144" w:rsidRDefault="00FB7959">
      <w:pPr>
        <w:spacing w:after="120" w:line="240" w:lineRule="auto"/>
        <w:jc w:val="both"/>
        <w:rPr>
          <w:rFonts w:cs="Times New Roman"/>
          <w:noProof/>
          <w:szCs w:val="24"/>
          <w:lang w:bidi="en-US"/>
        </w:rPr>
      </w:pPr>
      <w:r>
        <w:rPr>
          <w:rFonts w:cs="Times New Roman"/>
          <w:noProof/>
          <w:szCs w:val="24"/>
          <w:lang w:bidi="en-US"/>
        </w:rPr>
        <w:t xml:space="preserve">Progress in addressing violence against journalists and media is still very limited. Important old cases, including the 2004 murder of the editor-in-chief of the daily newspaper, </w:t>
      </w:r>
      <w:r>
        <w:rPr>
          <w:rFonts w:cs="Times New Roman"/>
          <w:i/>
          <w:noProof/>
          <w:szCs w:val="24"/>
          <w:lang w:bidi="en-US"/>
        </w:rPr>
        <w:t>Dan</w:t>
      </w:r>
      <w:r>
        <w:rPr>
          <w:rFonts w:cs="Times New Roman"/>
          <w:noProof/>
          <w:szCs w:val="24"/>
          <w:lang w:bidi="en-US"/>
        </w:rPr>
        <w:t>, and the 2018 shooting of an investigative journalist,</w:t>
      </w:r>
      <w:r>
        <w:rPr>
          <w:rFonts w:cs="Times New Roman"/>
          <w:b/>
          <w:noProof/>
          <w:szCs w:val="24"/>
          <w:lang w:bidi="en-US"/>
        </w:rPr>
        <w:t xml:space="preserve"> </w:t>
      </w:r>
      <w:r>
        <w:rPr>
          <w:rFonts w:cs="Times New Roman"/>
          <w:noProof/>
          <w:szCs w:val="24"/>
          <w:lang w:bidi="en-US"/>
        </w:rPr>
        <w:t>remaining unsolved</w:t>
      </w:r>
      <w:r>
        <w:rPr>
          <w:rFonts w:cs="Times New Roman"/>
          <w:noProof/>
          <w:szCs w:val="24"/>
          <w:lang w:bidi="en-US"/>
        </w:rPr>
        <w:t>. Four attacks were registered by the authorities in 2019</w:t>
      </w:r>
      <w:r>
        <w:rPr>
          <w:rFonts w:cs="Times New Roman"/>
          <w:noProof/>
          <w:szCs w:val="24"/>
        </w:rPr>
        <w:t>.</w:t>
      </w:r>
      <w:r>
        <w:rPr>
          <w:rFonts w:cs="Times New Roman"/>
          <w:noProof/>
          <w:szCs w:val="24"/>
          <w:lang w:bidi="en-US"/>
        </w:rPr>
        <w:t xml:space="preserve"> In 3 of those cases, indictments were lodged. Protection was offered to 2 journalists. Further cyber-attacks against media outlets were reported. The government continued to issue strong statements</w:t>
      </w:r>
      <w:r>
        <w:rPr>
          <w:rFonts w:cs="Times New Roman"/>
          <w:noProof/>
          <w:szCs w:val="24"/>
          <w:lang w:bidi="en-US"/>
        </w:rPr>
        <w:t xml:space="preserve"> in support of investigations into cases of violence against journalists and media property. In spite of initial results in the investigation into the May 2018 serious attack on investigative journalist Olivera Lakic, its perpetrator and mastermind have ye</w:t>
      </w:r>
      <w:r>
        <w:rPr>
          <w:rFonts w:cs="Times New Roman"/>
          <w:noProof/>
          <w:szCs w:val="24"/>
          <w:lang w:bidi="en-US"/>
        </w:rPr>
        <w:t xml:space="preserve">t to be brought to justice. No notable progress was made in solving older cases, including the 2004 murder of the editor-in-chief of </w:t>
      </w:r>
      <w:r>
        <w:rPr>
          <w:rFonts w:cs="Times New Roman"/>
          <w:i/>
          <w:noProof/>
          <w:szCs w:val="24"/>
          <w:lang w:bidi="en-US"/>
        </w:rPr>
        <w:t>DAN</w:t>
      </w:r>
      <w:r>
        <w:rPr>
          <w:rFonts w:cs="Times New Roman"/>
          <w:noProof/>
          <w:szCs w:val="24"/>
          <w:lang w:bidi="en-US"/>
        </w:rPr>
        <w:t>. In April 2020, the Police, however, shed light on four cases of attacks on media property from 2011 and 2014, when fiv</w:t>
      </w:r>
      <w:r>
        <w:rPr>
          <w:rFonts w:cs="Times New Roman"/>
          <w:noProof/>
          <w:szCs w:val="24"/>
          <w:lang w:bidi="en-US"/>
        </w:rPr>
        <w:t xml:space="preserve">e vehicles were damaged and destroyed. Two persons – minors at the time of the attacks – suspected of direct involvement in the attacks are being prosecuted under the law applicable to minors. Indictment of the leader of the criminal group suspected to be </w:t>
      </w:r>
      <w:r>
        <w:rPr>
          <w:rFonts w:cs="Times New Roman"/>
          <w:noProof/>
          <w:szCs w:val="24"/>
          <w:lang w:bidi="en-US"/>
        </w:rPr>
        <w:t xml:space="preserve">the mastermind behind these attacks has been dismissed and he was released from detention. Montenegro’s Police Directorate will be the first in the region to receive capacity building on safety of journalists under an EU-funded project.  </w:t>
      </w:r>
    </w:p>
    <w:p w:rsidR="003C2144" w:rsidRDefault="00FB7959">
      <w:pPr>
        <w:spacing w:after="120" w:line="240" w:lineRule="auto"/>
        <w:jc w:val="both"/>
        <w:rPr>
          <w:rFonts w:cs="Times New Roman"/>
          <w:noProof/>
          <w:szCs w:val="24"/>
          <w:lang w:bidi="en-US"/>
        </w:rPr>
      </w:pPr>
      <w:r>
        <w:rPr>
          <w:rFonts w:cs="Times New Roman"/>
          <w:noProof/>
          <w:szCs w:val="24"/>
          <w:lang w:bidi="en-US"/>
        </w:rPr>
        <w:t xml:space="preserve">After a </w:t>
      </w:r>
      <w:r>
        <w:rPr>
          <w:rFonts w:cs="Times New Roman"/>
          <w:noProof/>
          <w:szCs w:val="24"/>
          <w:lang w:bidi="en-US"/>
        </w:rPr>
        <w:t xml:space="preserve">second-instance court annulled the verdict in the case of a journalist convicted on charges of setting up a criminal organisation and drug trafficking, which had raised concerns about journalists’ ability to perform their duties professionally and without </w:t>
      </w:r>
      <w:r>
        <w:rPr>
          <w:rFonts w:cs="Times New Roman"/>
          <w:noProof/>
          <w:szCs w:val="24"/>
          <w:lang w:bidi="en-US"/>
        </w:rPr>
        <w:t>fear of legal repercussions, the renewed proceedings are currently ongoing. Although brief, the January 2020 detentions of editors of on-line portals for the alleged offence of causing panic and disorder, as a measure to fight disinformation, have the pote</w:t>
      </w:r>
      <w:r>
        <w:rPr>
          <w:rFonts w:cs="Times New Roman"/>
          <w:noProof/>
          <w:szCs w:val="24"/>
          <w:lang w:bidi="en-US"/>
        </w:rPr>
        <w:t>ntial to set a dangerous precedent and encourage self</w:t>
      </w:r>
      <w:r>
        <w:rPr>
          <w:rFonts w:cs="Times New Roman"/>
          <w:noProof/>
          <w:szCs w:val="24"/>
          <w:lang w:bidi="en-US"/>
        </w:rPr>
        <w:noBreakHyphen/>
        <w:t>censorship. So, too, do the subsequent repressive measures, arrest and criminal proceedings against members of the public for their social media posts, including in the context of the COVID-19 crisis. T</w:t>
      </w:r>
      <w:r>
        <w:rPr>
          <w:rFonts w:cs="Times New Roman"/>
          <w:noProof/>
          <w:szCs w:val="24"/>
          <w:lang w:bidi="en-US"/>
        </w:rPr>
        <w:t>here have been reports of undue pressure on journalists to disclose their sources from law</w:t>
      </w:r>
      <w:r>
        <w:rPr>
          <w:rFonts w:cs="Times New Roman"/>
          <w:noProof/>
          <w:szCs w:val="24"/>
          <w:lang w:bidi="en-US"/>
        </w:rPr>
        <w:noBreakHyphen/>
        <w:t>enforcement officials. Harassment of journalists, including use of physical force, was further reported in the course of 2020. In the run-up to the August 2020 elect</w:t>
      </w:r>
      <w:r>
        <w:rPr>
          <w:rFonts w:cs="Times New Roman"/>
          <w:noProof/>
          <w:szCs w:val="24"/>
          <w:lang w:bidi="en-US"/>
        </w:rPr>
        <w:t xml:space="preserve">ions, anonymous harassment of government-critical journalists intensified via a dedicated website. </w:t>
      </w:r>
    </w:p>
    <w:p w:rsidR="003C2144" w:rsidRDefault="00FB7959">
      <w:pPr>
        <w:spacing w:after="120" w:line="240" w:lineRule="auto"/>
        <w:jc w:val="both"/>
        <w:rPr>
          <w:rFonts w:cs="Times New Roman"/>
          <w:noProof/>
          <w:szCs w:val="24"/>
          <w:lang w:bidi="en-US"/>
        </w:rPr>
      </w:pPr>
      <w:r>
        <w:rPr>
          <w:rFonts w:cs="Times New Roman"/>
          <w:noProof/>
          <w:szCs w:val="24"/>
          <w:lang w:bidi="en-US"/>
        </w:rPr>
        <w:t>The ad hoc commission for monitoring violence against media has produced six reports since September 2016 on both recent and old cases, identifying a number</w:t>
      </w:r>
      <w:r>
        <w:rPr>
          <w:rFonts w:cs="Times New Roman"/>
          <w:noProof/>
          <w:szCs w:val="24"/>
          <w:lang w:bidi="en-US"/>
        </w:rPr>
        <w:t xml:space="preserve"> of shortcomings including delays in investigations. The commission has been given access to documents with un-redacted names, but difficulties in obtaining timely and complete information from the authorities persist. Its recommendations are yet to be ful</w:t>
      </w:r>
      <w:r>
        <w:rPr>
          <w:rFonts w:cs="Times New Roman"/>
          <w:noProof/>
          <w:szCs w:val="24"/>
          <w:lang w:bidi="en-US"/>
        </w:rPr>
        <w:t xml:space="preserve">ly implemented. While its mandate has been extended until September 2020, its funding for 2020 has been temporary suspended due to the COVID-19 crisis. Further efforts are needed to prosecute the cases effectively and without delay, not least to avoid the </w:t>
      </w:r>
      <w:r>
        <w:rPr>
          <w:rFonts w:cs="Times New Roman"/>
          <w:noProof/>
          <w:szCs w:val="24"/>
          <w:lang w:bidi="en-US"/>
        </w:rPr>
        <w:t>application of the statute of limitations. Authorities are expected to demonstrate zero tolerance for threats or attacks against the media, and should refrain from making statements that are not conducive to freedom of expression.</w:t>
      </w:r>
    </w:p>
    <w:p w:rsidR="003C2144" w:rsidRDefault="00FB7959">
      <w:pPr>
        <w:spacing w:after="120" w:line="240" w:lineRule="auto"/>
        <w:jc w:val="both"/>
        <w:rPr>
          <w:rFonts w:cs="Times New Roman"/>
          <w:noProof/>
          <w:szCs w:val="24"/>
          <w:lang w:bidi="en-US"/>
        </w:rPr>
      </w:pPr>
      <w:r>
        <w:rPr>
          <w:rFonts w:cs="Times New Roman"/>
          <w:noProof/>
          <w:szCs w:val="24"/>
          <w:lang w:bidi="en-US"/>
        </w:rPr>
        <w:t>The broadly formulated pr</w:t>
      </w:r>
      <w:r>
        <w:rPr>
          <w:rFonts w:cs="Times New Roman"/>
          <w:noProof/>
          <w:szCs w:val="24"/>
          <w:lang w:bidi="en-US"/>
        </w:rPr>
        <w:t xml:space="preserve">ovision on disclosure of journalistic sources in the new Law on media will need to be applied restrictively, limited to exceptional circumstances only, and in accordance with international and European standards and the case-law of the ECtHR.   </w:t>
      </w:r>
    </w:p>
    <w:p w:rsidR="003C2144" w:rsidRDefault="00FB7959">
      <w:pPr>
        <w:spacing w:after="120" w:line="240" w:lineRule="auto"/>
        <w:jc w:val="both"/>
        <w:rPr>
          <w:rFonts w:cs="Times New Roman"/>
          <w:noProof/>
          <w:szCs w:val="24"/>
          <w:u w:val="single"/>
        </w:rPr>
      </w:pPr>
      <w:r>
        <w:rPr>
          <w:rFonts w:cs="Times New Roman"/>
          <w:noProof/>
          <w:szCs w:val="24"/>
          <w:u w:val="single"/>
        </w:rPr>
        <w:t>Legislativ</w:t>
      </w:r>
      <w:r>
        <w:rPr>
          <w:rFonts w:cs="Times New Roman"/>
          <w:noProof/>
          <w:szCs w:val="24"/>
          <w:u w:val="single"/>
        </w:rPr>
        <w:t>e environment</w:t>
      </w:r>
    </w:p>
    <w:p w:rsidR="003C2144" w:rsidRDefault="00FB7959">
      <w:pPr>
        <w:spacing w:after="120" w:line="240" w:lineRule="auto"/>
        <w:jc w:val="both"/>
        <w:rPr>
          <w:rFonts w:cs="Times New Roman"/>
          <w:noProof/>
          <w:szCs w:val="24"/>
          <w:lang w:bidi="en-US"/>
        </w:rPr>
      </w:pPr>
      <w:r>
        <w:rPr>
          <w:rFonts w:cs="Times New Roman"/>
          <w:noProof/>
          <w:szCs w:val="24"/>
          <w:lang w:bidi="en-US"/>
        </w:rPr>
        <w:t>New laws on media and the public broadcaster RTCG were enacted by Parliament in July 2020, while the new law on audio-visual media is under preparation. The first two laws were subject to public consultations, which allowed interested parties</w:t>
      </w:r>
      <w:r>
        <w:rPr>
          <w:rFonts w:cs="Times New Roman"/>
          <w:noProof/>
          <w:szCs w:val="24"/>
          <w:lang w:bidi="en-US"/>
        </w:rPr>
        <w:t xml:space="preserve"> to voice their concerns. Additional dialogue with the media community and CSOs took place in spring 2020. However, some of the last-minute changes to these two laws will need to be reviewed together with the law on audio-visual media to ensure consistency</w:t>
      </w:r>
      <w:r>
        <w:rPr>
          <w:rFonts w:cs="Times New Roman"/>
          <w:noProof/>
          <w:szCs w:val="24"/>
          <w:lang w:bidi="en-US"/>
        </w:rPr>
        <w:t xml:space="preserve"> and full alignment with the EU </w:t>
      </w:r>
      <w:r>
        <w:rPr>
          <w:rFonts w:cs="Times New Roman"/>
          <w:i/>
          <w:noProof/>
          <w:szCs w:val="24"/>
          <w:lang w:bidi="en-US"/>
        </w:rPr>
        <w:t xml:space="preserve">acquis </w:t>
      </w:r>
      <w:r>
        <w:rPr>
          <w:rFonts w:cs="Times New Roman"/>
          <w:noProof/>
          <w:szCs w:val="24"/>
          <w:lang w:bidi="en-US"/>
        </w:rPr>
        <w:t xml:space="preserve">and relevant international standards. </w:t>
      </w:r>
    </w:p>
    <w:p w:rsidR="003C2144" w:rsidRDefault="00FB7959">
      <w:pPr>
        <w:spacing w:after="120" w:line="240" w:lineRule="auto"/>
        <w:jc w:val="both"/>
        <w:rPr>
          <w:rFonts w:cs="Times New Roman"/>
          <w:noProof/>
          <w:szCs w:val="24"/>
          <w:lang w:eastAsia="en-GB"/>
        </w:rPr>
      </w:pPr>
      <w:r>
        <w:rPr>
          <w:rFonts w:cs="Times New Roman"/>
          <w:noProof/>
          <w:szCs w:val="24"/>
          <w:lang w:bidi="en-US"/>
        </w:rPr>
        <w:t xml:space="preserve">In December 2019, Parliament enacted amendments to the </w:t>
      </w:r>
      <w:r>
        <w:rPr>
          <w:rFonts w:eastAsia="Times New Roman" w:cs="Times New Roman"/>
          <w:noProof/>
          <w:szCs w:val="24"/>
        </w:rPr>
        <w:t xml:space="preserve">law on public peace and order which introduce fines for not standing for the national anthem. </w:t>
      </w:r>
      <w:r>
        <w:rPr>
          <w:rFonts w:cs="Times New Roman"/>
          <w:iCs/>
          <w:noProof/>
          <w:szCs w:val="24"/>
          <w:lang w:eastAsia="en-GB"/>
        </w:rPr>
        <w:t>While regulating these issues</w:t>
      </w:r>
      <w:r>
        <w:rPr>
          <w:rFonts w:cs="Times New Roman"/>
          <w:iCs/>
          <w:noProof/>
          <w:szCs w:val="24"/>
          <w:lang w:eastAsia="en-GB"/>
        </w:rPr>
        <w:t xml:space="preserve"> is a national prerogative, it is important to do so in a way that avoids fuelling tensions and antagonism or restricting freedom of expression.</w:t>
      </w:r>
      <w:r>
        <w:rPr>
          <w:rFonts w:cs="Times New Roman"/>
          <w:noProof/>
          <w:szCs w:val="24"/>
          <w:lang w:eastAsia="en-GB"/>
        </w:rPr>
        <w:t xml:space="preserve"> </w:t>
      </w:r>
    </w:p>
    <w:p w:rsidR="003C2144" w:rsidRDefault="00FB7959">
      <w:pPr>
        <w:keepNext/>
        <w:spacing w:after="120" w:line="240" w:lineRule="auto"/>
        <w:jc w:val="both"/>
        <w:rPr>
          <w:rFonts w:cs="Times New Roman"/>
          <w:noProof/>
          <w:szCs w:val="24"/>
          <w:u w:val="single"/>
        </w:rPr>
      </w:pPr>
      <w:r>
        <w:rPr>
          <w:rFonts w:cs="Times New Roman"/>
          <w:noProof/>
          <w:szCs w:val="24"/>
          <w:u w:val="single"/>
        </w:rPr>
        <w:t xml:space="preserve">Implementation of </w:t>
      </w:r>
      <w:r>
        <w:rPr>
          <w:rFonts w:cs="Times New Roman"/>
          <w:noProof/>
          <w:szCs w:val="24"/>
          <w:u w:val="single"/>
          <w:lang w:eastAsia="de-DE" w:bidi="de-DE"/>
        </w:rPr>
        <w:t>legislation/Institutions</w:t>
      </w:r>
    </w:p>
    <w:p w:rsidR="003C2144" w:rsidRDefault="00FB7959">
      <w:pPr>
        <w:keepNext/>
        <w:spacing w:after="120" w:line="240" w:lineRule="auto"/>
        <w:jc w:val="both"/>
        <w:rPr>
          <w:rFonts w:cs="Times New Roman"/>
          <w:noProof/>
          <w:szCs w:val="24"/>
          <w:lang w:eastAsia="de-DE" w:bidi="de-DE"/>
        </w:rPr>
      </w:pPr>
      <w:r>
        <w:rPr>
          <w:rFonts w:cs="Times New Roman"/>
          <w:noProof/>
          <w:szCs w:val="24"/>
          <w:lang w:eastAsia="de-DE" w:bidi="de-DE"/>
        </w:rPr>
        <w:t xml:space="preserve">A code of ethics was adopted in 2002 and revised in 2015, its even </w:t>
      </w:r>
      <w:r>
        <w:rPr>
          <w:rFonts w:cs="Times New Roman"/>
          <w:noProof/>
          <w:szCs w:val="24"/>
          <w:lang w:eastAsia="de-DE" w:bidi="de-DE"/>
        </w:rPr>
        <w:t xml:space="preserve">application across the entire media community remains to be ensured. Self-regulatory bodies continued to reflect the overall polarisation of </w:t>
      </w:r>
      <w:r>
        <w:rPr>
          <w:rFonts w:cs="Times New Roman"/>
          <w:noProof/>
          <w:szCs w:val="24"/>
          <w:lang w:eastAsia="nl-NL" w:bidi="nl-NL"/>
        </w:rPr>
        <w:t xml:space="preserve">the </w:t>
      </w:r>
      <w:r>
        <w:rPr>
          <w:rFonts w:cs="Times New Roman"/>
          <w:noProof/>
          <w:szCs w:val="24"/>
          <w:lang w:eastAsia="de-DE" w:bidi="de-DE"/>
        </w:rPr>
        <w:t xml:space="preserve">media scene in Montenegro. There is still no uniform approach to sanctions, suggesting that ECtHR case-law and </w:t>
      </w:r>
      <w:r>
        <w:rPr>
          <w:rFonts w:cs="Times New Roman"/>
          <w:noProof/>
          <w:szCs w:val="24"/>
          <w:lang w:eastAsia="de-DE" w:bidi="de-DE"/>
        </w:rPr>
        <w:t xml:space="preserve">other standards are not </w:t>
      </w:r>
      <w:r>
        <w:rPr>
          <w:rFonts w:cs="Times New Roman"/>
          <w:noProof/>
          <w:szCs w:val="24"/>
          <w:lang w:bidi="en-US"/>
        </w:rPr>
        <w:t xml:space="preserve">yet </w:t>
      </w:r>
      <w:r>
        <w:rPr>
          <w:rFonts w:cs="Times New Roman"/>
          <w:noProof/>
          <w:szCs w:val="24"/>
          <w:lang w:eastAsia="de-DE" w:bidi="de-DE"/>
        </w:rPr>
        <w:t>sufficiently known by the judiciary. Efforts need to be stepped up to create effective self-regulatory mechanisms, with a view to improving professional standards in media reporting</w:t>
      </w:r>
      <w:r>
        <w:rPr>
          <w:rFonts w:cs="Times New Roman"/>
          <w:noProof/>
          <w:szCs w:val="24"/>
          <w:lang w:bidi="en-US"/>
        </w:rPr>
        <w:t xml:space="preserve">. </w:t>
      </w:r>
      <w:r>
        <w:rPr>
          <w:rFonts w:cs="Times New Roman"/>
          <w:noProof/>
          <w:szCs w:val="24"/>
        </w:rPr>
        <w:t xml:space="preserve">In spring 2019, the Constitutional Court </w:t>
      </w:r>
      <w:r>
        <w:rPr>
          <w:rFonts w:cs="Times New Roman"/>
          <w:noProof/>
          <w:szCs w:val="24"/>
        </w:rPr>
        <w:t>ruled that the blocking of freeware and cross-platform instant messaging services on the October 2016 Election Day was unconstitutional and annulled the provision of the law on electronic communication on which the measure was based.</w:t>
      </w:r>
    </w:p>
    <w:p w:rsidR="003C2144" w:rsidRDefault="00FB7959">
      <w:pPr>
        <w:spacing w:after="120" w:line="240" w:lineRule="auto"/>
        <w:jc w:val="both"/>
        <w:rPr>
          <w:rFonts w:cs="Times New Roman"/>
          <w:noProof/>
          <w:szCs w:val="24"/>
          <w:u w:val="single"/>
        </w:rPr>
      </w:pPr>
      <w:r>
        <w:rPr>
          <w:rFonts w:cs="Times New Roman"/>
          <w:noProof/>
          <w:szCs w:val="24"/>
          <w:u w:val="single"/>
        </w:rPr>
        <w:t>Public service broadca</w:t>
      </w:r>
      <w:r>
        <w:rPr>
          <w:rFonts w:cs="Times New Roman"/>
          <w:noProof/>
          <w:szCs w:val="24"/>
          <w:u w:val="single"/>
        </w:rPr>
        <w:t>ster</w:t>
      </w:r>
      <w:r>
        <w:rPr>
          <w:rFonts w:cs="Times New Roman"/>
          <w:noProof/>
          <w:szCs w:val="24"/>
        </w:rPr>
        <w:t xml:space="preserve"> - </w:t>
      </w:r>
      <w:r>
        <w:rPr>
          <w:rFonts w:cs="Times New Roman"/>
          <w:i/>
          <w:noProof/>
          <w:szCs w:val="24"/>
          <w:lang w:bidi="en-US"/>
        </w:rPr>
        <w:t>Radio Televizija Crne Gore</w:t>
      </w:r>
      <w:r>
        <w:rPr>
          <w:rFonts w:cs="Times New Roman"/>
          <w:b/>
          <w:noProof/>
          <w:szCs w:val="24"/>
          <w:lang w:bidi="en-US"/>
        </w:rPr>
        <w:t xml:space="preserve"> </w:t>
      </w:r>
      <w:r>
        <w:rPr>
          <w:rFonts w:cs="Times New Roman"/>
          <w:noProof/>
          <w:szCs w:val="24"/>
          <w:lang w:bidi="en-US"/>
        </w:rPr>
        <w:t>(Radio Television of Montenegro – RTCG)</w:t>
      </w:r>
    </w:p>
    <w:p w:rsidR="003C2144" w:rsidRDefault="00FB7959">
      <w:pPr>
        <w:spacing w:after="120" w:line="240" w:lineRule="auto"/>
        <w:jc w:val="both"/>
        <w:rPr>
          <w:rFonts w:cs="Times New Roman"/>
          <w:noProof/>
          <w:szCs w:val="24"/>
          <w:lang w:bidi="en-US"/>
        </w:rPr>
      </w:pPr>
      <w:r>
        <w:rPr>
          <w:rFonts w:cs="Times New Roman"/>
          <w:noProof/>
          <w:szCs w:val="24"/>
          <w:lang w:bidi="en-US"/>
        </w:rPr>
        <w:t xml:space="preserve">While all media outlets have an obligation to act in accordance with the highest professional standards, this is particularly important for the public broadcaster. RTCG's transition </w:t>
      </w:r>
      <w:r>
        <w:rPr>
          <w:rFonts w:cs="Times New Roman"/>
          <w:noProof/>
          <w:szCs w:val="24"/>
          <w:lang w:bidi="en-US"/>
        </w:rPr>
        <w:t xml:space="preserve">from a state media organisation to a true public service broadcaster has not been completed yet. Decisions to dismiss RTCG Council members and its management in the course of 2018 </w:t>
      </w:r>
      <w:r>
        <w:rPr>
          <w:rFonts w:cs="Times New Roman"/>
          <w:noProof/>
          <w:szCs w:val="24"/>
        </w:rPr>
        <w:t>raised serious concerns about their representativeness, independence and abi</w:t>
      </w:r>
      <w:r>
        <w:rPr>
          <w:rFonts w:cs="Times New Roman"/>
          <w:noProof/>
          <w:szCs w:val="24"/>
        </w:rPr>
        <w:t xml:space="preserve">lity to operate free of undue influence and political pressure. Several of these dismissals were annulled by domestic courts in 2019. </w:t>
      </w:r>
      <w:r>
        <w:rPr>
          <w:rFonts w:cs="Times New Roman"/>
          <w:noProof/>
          <w:szCs w:val="24"/>
          <w:lang w:bidi="en-US"/>
        </w:rPr>
        <w:t xml:space="preserve">The appointment of its new Council in June 2019, has not succeeded in improving </w:t>
      </w:r>
      <w:r>
        <w:rPr>
          <w:rFonts w:cs="Times New Roman"/>
          <w:noProof/>
          <w:szCs w:val="24"/>
        </w:rPr>
        <w:t xml:space="preserve">RTCG’s </w:t>
      </w:r>
      <w:r>
        <w:rPr>
          <w:rFonts w:cs="Times New Roman"/>
          <w:noProof/>
          <w:szCs w:val="24"/>
          <w:lang w:bidi="en-US"/>
        </w:rPr>
        <w:t>editorial independence and professi</w:t>
      </w:r>
      <w:r>
        <w:rPr>
          <w:rFonts w:cs="Times New Roman"/>
          <w:noProof/>
          <w:szCs w:val="24"/>
          <w:lang w:bidi="en-US"/>
        </w:rPr>
        <w:t>onal standards. In March 2020, two journalists were subject to disciplinary proceedings for criticising on their private social media accounts a controversial documentary produced in-house and aired on RTCG. Although the proceeding did not results in sanct</w:t>
      </w:r>
      <w:r>
        <w:rPr>
          <w:rFonts w:cs="Times New Roman"/>
          <w:noProof/>
          <w:szCs w:val="24"/>
          <w:lang w:bidi="en-US"/>
        </w:rPr>
        <w:t>ions, their initiation is a matter of concern.</w:t>
      </w:r>
      <w:r>
        <w:rPr>
          <w:rFonts w:cs="Times New Roman"/>
          <w:noProof/>
          <w:szCs w:val="24"/>
          <w:highlight w:val="yellow"/>
        </w:rPr>
        <w:t xml:space="preserve"> </w:t>
      </w:r>
    </w:p>
    <w:p w:rsidR="003C2144" w:rsidRDefault="00FB7959">
      <w:pPr>
        <w:spacing w:after="120" w:line="240" w:lineRule="auto"/>
        <w:jc w:val="both"/>
        <w:rPr>
          <w:rFonts w:cs="Times New Roman"/>
          <w:noProof/>
          <w:szCs w:val="24"/>
          <w:highlight w:val="yellow"/>
        </w:rPr>
      </w:pPr>
      <w:r>
        <w:rPr>
          <w:rFonts w:cs="Times New Roman"/>
          <w:noProof/>
          <w:szCs w:val="24"/>
          <w:lang w:bidi="en-US"/>
        </w:rPr>
        <w:t xml:space="preserve">The contract on provision of public services between the government and RTCG was signed in 2018. It requires the government to monitor the implementation of the financial commitments. </w:t>
      </w:r>
      <w:r>
        <w:rPr>
          <w:rFonts w:cs="Times New Roman"/>
          <w:noProof/>
          <w:szCs w:val="24"/>
        </w:rPr>
        <w:t>The new law on the publi</w:t>
      </w:r>
      <w:r>
        <w:rPr>
          <w:rFonts w:cs="Times New Roman"/>
          <w:noProof/>
          <w:szCs w:val="24"/>
        </w:rPr>
        <w:t>c broadcaster abolished the the financing of the public broadcaster through a contract while maintaining the  current State budget allocation 0.3% of GDP for RTCG. Additional revenues will continue to be generated from marketing activities, with limitation</w:t>
      </w:r>
      <w:r>
        <w:rPr>
          <w:rFonts w:cs="Times New Roman"/>
          <w:noProof/>
          <w:szCs w:val="24"/>
        </w:rPr>
        <w:t>s for prime time advertising</w:t>
      </w:r>
    </w:p>
    <w:p w:rsidR="003C2144" w:rsidRDefault="00FB7959">
      <w:pPr>
        <w:spacing w:after="120" w:line="240" w:lineRule="auto"/>
        <w:jc w:val="both"/>
        <w:rPr>
          <w:rFonts w:cs="Times New Roman"/>
          <w:noProof/>
          <w:szCs w:val="24"/>
        </w:rPr>
      </w:pPr>
      <w:r>
        <w:rPr>
          <w:rFonts w:cs="Times New Roman"/>
          <w:noProof/>
          <w:szCs w:val="24"/>
          <w:lang w:bidi="en-US"/>
        </w:rPr>
        <w:t>Even though the collective agreement regulating the work of RTCG employees was signed after 3 years of collective bargaining, RTCG employees still face a number of uncertainties, mostly related to economic conditions. A joint c</w:t>
      </w:r>
      <w:r>
        <w:rPr>
          <w:rFonts w:cs="Times New Roman"/>
          <w:noProof/>
          <w:szCs w:val="24"/>
          <w:lang w:bidi="en-US"/>
        </w:rPr>
        <w:t>ommission should monitor implementation of the agreement and react to potential violations.</w:t>
      </w:r>
      <w:r>
        <w:rPr>
          <w:rFonts w:cs="Times New Roman"/>
          <w:noProof/>
          <w:szCs w:val="24"/>
        </w:rPr>
        <w:t xml:space="preserve"> </w:t>
      </w:r>
    </w:p>
    <w:p w:rsidR="003C2144" w:rsidRDefault="00FB7959">
      <w:pPr>
        <w:spacing w:after="120" w:line="240" w:lineRule="auto"/>
        <w:jc w:val="both"/>
        <w:rPr>
          <w:rFonts w:cs="Times New Roman"/>
          <w:noProof/>
          <w:szCs w:val="24"/>
          <w:lang w:bidi="en-US"/>
        </w:rPr>
      </w:pPr>
      <w:r>
        <w:rPr>
          <w:rFonts w:cs="Times New Roman"/>
          <w:noProof/>
          <w:szCs w:val="24"/>
        </w:rPr>
        <w:t xml:space="preserve">Editorial independence and professional standards need to be restored within RTCG and a legal remedy for </w:t>
      </w:r>
      <w:r>
        <w:rPr>
          <w:rFonts w:cs="Times New Roman"/>
          <w:noProof/>
          <w:szCs w:val="24"/>
          <w:lang w:bidi="en-US"/>
        </w:rPr>
        <w:t>dismissals of its Council Members by Parliament remains to</w:t>
      </w:r>
      <w:r>
        <w:rPr>
          <w:rFonts w:cs="Times New Roman"/>
          <w:noProof/>
          <w:szCs w:val="24"/>
          <w:lang w:bidi="en-US"/>
        </w:rPr>
        <w:t xml:space="preserve"> be provided by a law.</w:t>
      </w:r>
    </w:p>
    <w:p w:rsidR="003C2144" w:rsidRDefault="00FB7959">
      <w:pPr>
        <w:spacing w:after="120" w:line="240" w:lineRule="auto"/>
        <w:jc w:val="both"/>
        <w:rPr>
          <w:rFonts w:cs="Times New Roman"/>
          <w:noProof/>
          <w:szCs w:val="24"/>
          <w:u w:val="single"/>
        </w:rPr>
      </w:pPr>
      <w:r>
        <w:rPr>
          <w:rFonts w:cs="Times New Roman"/>
          <w:noProof/>
          <w:szCs w:val="24"/>
          <w:u w:val="single"/>
        </w:rPr>
        <w:t xml:space="preserve">Economic factors </w:t>
      </w:r>
    </w:p>
    <w:p w:rsidR="003C2144" w:rsidRDefault="00FB7959">
      <w:pPr>
        <w:spacing w:after="120" w:line="240" w:lineRule="auto"/>
        <w:jc w:val="both"/>
        <w:rPr>
          <w:rFonts w:cs="Times New Roman"/>
          <w:noProof/>
          <w:szCs w:val="24"/>
          <w:lang w:bidi="en-US"/>
        </w:rPr>
      </w:pPr>
      <w:r>
        <w:rPr>
          <w:rFonts w:cs="Times New Roman"/>
          <w:noProof/>
          <w:szCs w:val="24"/>
          <w:lang w:bidi="en-US"/>
        </w:rPr>
        <w:t>Despite the large market share of government-critical and pro-opposition media, many media outlets are not financially sustainable. The media advertising market is small and concerns about transparency and discrimin</w:t>
      </w:r>
      <w:r>
        <w:rPr>
          <w:rFonts w:cs="Times New Roman"/>
          <w:noProof/>
          <w:szCs w:val="24"/>
          <w:lang w:bidi="en-US"/>
        </w:rPr>
        <w:t>ation in state advertising activities persist. This situation was further aggravated by the COVID-19 outbreak leading to a significant revenues decline for print, electronic and online media while facing increased costs of production due to the health cris</w:t>
      </w:r>
      <w:r>
        <w:rPr>
          <w:rFonts w:cs="Times New Roman"/>
          <w:noProof/>
          <w:szCs w:val="24"/>
          <w:lang w:bidi="en-US"/>
        </w:rPr>
        <w:t>is. The Ministry of Culture provided for some emergency measures, such as exemption or postponement of financial obligations and distribution of grants in the amount of EUR 310,000, as well as provision of a credit line of up to EUR 600,000 by the Investme</w:t>
      </w:r>
      <w:r>
        <w:rPr>
          <w:rFonts w:cs="Times New Roman"/>
          <w:noProof/>
          <w:szCs w:val="24"/>
          <w:lang w:bidi="en-US"/>
        </w:rPr>
        <w:t>nt and Development Fund. The new Law on Media, introduced a requirement for public sector authorities at both national and local level to submit to the Ministry of Culture all the records of payments made to media outlets for advertising or other contractu</w:t>
      </w:r>
      <w:r>
        <w:rPr>
          <w:rFonts w:cs="Times New Roman"/>
          <w:noProof/>
          <w:szCs w:val="24"/>
          <w:lang w:bidi="en-US"/>
        </w:rPr>
        <w:t>al services, as well as to publish them online. Annual reports on the payments made to the media by the public sector also need to be published by the Ministry of Culture. While these provisions represent a positive development, their transparent and unbia</w:t>
      </w:r>
      <w:r>
        <w:rPr>
          <w:rFonts w:cs="Times New Roman"/>
          <w:noProof/>
          <w:szCs w:val="24"/>
          <w:lang w:bidi="en-US"/>
        </w:rPr>
        <w:t xml:space="preserve">sed implementation remains vital in ensuring that informal pressure on editorial policy is not exerted through the distribution of advertising funds. </w:t>
      </w:r>
    </w:p>
    <w:p w:rsidR="003C2144" w:rsidRDefault="00FB7959">
      <w:pPr>
        <w:spacing w:after="120" w:line="240" w:lineRule="auto"/>
        <w:jc w:val="both"/>
        <w:rPr>
          <w:rFonts w:cs="Times New Roman"/>
          <w:noProof/>
          <w:szCs w:val="24"/>
          <w:u w:val="single"/>
        </w:rPr>
      </w:pPr>
      <w:r>
        <w:rPr>
          <w:rFonts w:cs="Times New Roman"/>
          <w:noProof/>
          <w:szCs w:val="24"/>
          <w:u w:val="single"/>
          <w:lang w:bidi="en-US"/>
        </w:rPr>
        <w:t>Professional organisations and working conditions</w:t>
      </w:r>
    </w:p>
    <w:p w:rsidR="003C2144" w:rsidRDefault="00FB7959">
      <w:pPr>
        <w:spacing w:after="120" w:line="240" w:lineRule="auto"/>
        <w:jc w:val="both"/>
        <w:rPr>
          <w:rFonts w:cs="Times New Roman"/>
          <w:noProof/>
          <w:szCs w:val="24"/>
          <w:lang w:bidi="en-US"/>
        </w:rPr>
      </w:pPr>
      <w:r>
        <w:rPr>
          <w:rFonts w:cs="Times New Roman"/>
          <w:noProof/>
          <w:szCs w:val="24"/>
          <w:lang w:bidi="en-US"/>
        </w:rPr>
        <w:t>The economic situation of journalists remains precariou</w:t>
      </w:r>
      <w:r>
        <w:rPr>
          <w:rFonts w:cs="Times New Roman"/>
          <w:noProof/>
          <w:szCs w:val="24"/>
          <w:lang w:bidi="en-US"/>
        </w:rPr>
        <w:t>s, particularly due to job insecurity and low salaries, putting them at risk of self-censorship</w:t>
      </w:r>
      <w:r>
        <w:rPr>
          <w:rFonts w:cs="Times New Roman"/>
          <w:noProof/>
          <w:szCs w:val="24"/>
        </w:rPr>
        <w:t xml:space="preserve"> </w:t>
      </w:r>
      <w:r>
        <w:rPr>
          <w:rFonts w:cs="Times New Roman"/>
          <w:noProof/>
          <w:szCs w:val="24"/>
          <w:lang w:bidi="en-US"/>
        </w:rPr>
        <w:t xml:space="preserve">and owner interference, and further aggravated due to the COVID-19 outbreak. Journalists are jointly represented in Montenegro’s media trade union. </w:t>
      </w:r>
      <w:r>
        <w:rPr>
          <w:rFonts w:cs="Times New Roman"/>
          <w:noProof/>
          <w:szCs w:val="24"/>
        </w:rPr>
        <w:t>In 2019, aft</w:t>
      </w:r>
      <w:r>
        <w:rPr>
          <w:rFonts w:cs="Times New Roman"/>
          <w:noProof/>
          <w:szCs w:val="24"/>
        </w:rPr>
        <w:t xml:space="preserve">er years of stagnation, the trade union succeeded in obtaining a salary increase for public broadcaster employees. The </w:t>
      </w:r>
      <w:r>
        <w:rPr>
          <w:rFonts w:cs="Times New Roman"/>
          <w:noProof/>
          <w:szCs w:val="24"/>
          <w:lang w:bidi="en-US"/>
        </w:rPr>
        <w:t>two associations that aim to foster and promote professional journalism across the polarised media scene have yet to reach their full mat</w:t>
      </w:r>
      <w:r>
        <w:rPr>
          <w:rFonts w:cs="Times New Roman"/>
          <w:noProof/>
          <w:szCs w:val="24"/>
          <w:lang w:bidi="en-US"/>
        </w:rPr>
        <w:t>urity.</w:t>
      </w:r>
    </w:p>
    <w:p w:rsidR="003C2144" w:rsidRDefault="00FB7959">
      <w:pPr>
        <w:autoSpaceDE w:val="0"/>
        <w:autoSpaceDN w:val="0"/>
        <w:adjustRightInd w:val="0"/>
        <w:spacing w:after="120" w:line="240" w:lineRule="auto"/>
        <w:jc w:val="both"/>
        <w:rPr>
          <w:rFonts w:eastAsia="Times New Roman" w:cs="Times New Roman"/>
          <w:i/>
          <w:noProof/>
          <w:szCs w:val="24"/>
        </w:rPr>
      </w:pPr>
      <w:r>
        <w:rPr>
          <w:rFonts w:eastAsia="Times New Roman" w:cs="Times New Roman"/>
          <w:i/>
          <w:noProof/>
          <w:szCs w:val="24"/>
        </w:rPr>
        <w:t>(See also Chapter 10 – Information society and media)</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b/>
          <w:noProof/>
          <w:szCs w:val="24"/>
        </w:rPr>
        <w:t>Freedom of assembly and association</w:t>
      </w:r>
      <w:r>
        <w:rPr>
          <w:rFonts w:eastAsia="Times New Roman" w:cs="Times New Roman"/>
          <w:noProof/>
          <w:szCs w:val="24"/>
        </w:rPr>
        <w:t xml:space="preserve"> is guaranteed by the Constitution and provided for in law. It has been generally respected. In 2019, several protests and larger scale religious rallies were triggered by the adoption of the law on the freedom of religion or belief. They were conducted in</w:t>
      </w:r>
      <w:r>
        <w:rPr>
          <w:rFonts w:eastAsia="Times New Roman" w:cs="Times New Roman"/>
          <w:noProof/>
          <w:szCs w:val="24"/>
        </w:rPr>
        <w:t xml:space="preserve"> a peaceful atmosphere overall, despite some isolated incidents. They were suspended in line with the public gatherings ban introduced during the COVID-19 outbreak. The ban has been loosened as of mid-May for public gatherings of more than 200 persons, but</w:t>
      </w:r>
      <w:r>
        <w:rPr>
          <w:rFonts w:eastAsia="Times New Roman" w:cs="Times New Roman"/>
          <w:noProof/>
          <w:szCs w:val="24"/>
        </w:rPr>
        <w:t xml:space="preserve"> had to be reintroduced in June, after new COVID-19 cases were reported. Criminal proceedings were instituted against several priests and believer of SOC, including the Metropolitan of Montenegro and Litoral for failing to comply with health regulations in</w:t>
      </w:r>
      <w:r>
        <w:rPr>
          <w:rFonts w:eastAsia="Times New Roman" w:cs="Times New Roman"/>
          <w:noProof/>
          <w:szCs w:val="24"/>
        </w:rPr>
        <w:t xml:space="preserve"> place.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Issues of </w:t>
      </w:r>
      <w:r>
        <w:rPr>
          <w:rFonts w:eastAsia="Times New Roman" w:cs="Times New Roman"/>
          <w:b/>
          <w:noProof/>
          <w:szCs w:val="24"/>
        </w:rPr>
        <w:t>labour and social rights</w:t>
      </w:r>
      <w:r>
        <w:rPr>
          <w:rFonts w:eastAsia="Times New Roman" w:cs="Times New Roman"/>
          <w:noProof/>
          <w:szCs w:val="24"/>
        </w:rPr>
        <w:t xml:space="preserve"> are further covered in </w:t>
      </w:r>
      <w:r>
        <w:rPr>
          <w:rFonts w:eastAsia="Times New Roman" w:cs="Times New Roman"/>
          <w:i/>
          <w:noProof/>
          <w:szCs w:val="24"/>
        </w:rPr>
        <w:t>Chapter 19 – Social policy and employment</w:t>
      </w:r>
      <w:r>
        <w:rPr>
          <w:rFonts w:eastAsia="Times New Roman" w:cs="Times New Roman"/>
          <w:noProof/>
          <w:szCs w:val="24"/>
        </w:rPr>
        <w:t xml:space="preserve">. </w:t>
      </w:r>
    </w:p>
    <w:p w:rsidR="003C2144" w:rsidRDefault="00FB7959">
      <w:pPr>
        <w:autoSpaceDE w:val="0"/>
        <w:autoSpaceDN w:val="0"/>
        <w:adjustRightInd w:val="0"/>
        <w:spacing w:after="120" w:line="240" w:lineRule="auto"/>
        <w:jc w:val="both"/>
        <w:rPr>
          <w:rFonts w:eastAsia="Times New Roman" w:cs="Times New Roman"/>
          <w:b/>
          <w:noProof/>
          <w:szCs w:val="24"/>
        </w:rPr>
      </w:pPr>
      <w:r>
        <w:rPr>
          <w:rFonts w:eastAsia="Calibri" w:cs="Times New Roman"/>
          <w:noProof/>
          <w:szCs w:val="24"/>
        </w:rPr>
        <w:t xml:space="preserve">Regarding </w:t>
      </w:r>
      <w:r>
        <w:rPr>
          <w:rFonts w:eastAsia="Calibri" w:cs="Times New Roman"/>
          <w:b/>
          <w:noProof/>
          <w:szCs w:val="24"/>
        </w:rPr>
        <w:t>property rights</w:t>
      </w:r>
      <w:r>
        <w:rPr>
          <w:rFonts w:eastAsia="Calibri" w:cs="Times New Roman"/>
          <w:noProof/>
          <w:szCs w:val="24"/>
        </w:rPr>
        <w:t>, t</w:t>
      </w:r>
      <w:r>
        <w:rPr>
          <w:rFonts w:eastAsia="Calibri" w:cs="Times New Roman"/>
          <w:bCs/>
          <w:noProof/>
          <w:szCs w:val="24"/>
        </w:rPr>
        <w:t>he</w:t>
      </w:r>
      <w:r>
        <w:rPr>
          <w:rFonts w:eastAsia="Calibri" w:cs="Times New Roman"/>
          <w:noProof/>
          <w:szCs w:val="24"/>
        </w:rPr>
        <w:t xml:space="preserve"> process of restitution of properties expropriated during the communist regime remains slow. Montenegro needs to e</w:t>
      </w:r>
      <w:r>
        <w:rPr>
          <w:rFonts w:eastAsia="Calibri" w:cs="Times New Roman"/>
          <w:noProof/>
          <w:szCs w:val="24"/>
        </w:rPr>
        <w:t xml:space="preserve">nsure the implementation of fair restitution proceedings within a reasonable time. </w:t>
      </w:r>
      <w:r>
        <w:rPr>
          <w:rFonts w:eastAsia="Times New Roman" w:cs="Times New Roman"/>
          <w:noProof/>
          <w:szCs w:val="24"/>
        </w:rPr>
        <w:t>Several cases of alleged violations of Article 1 of Protocol No. 1 (right to property) of the European Convention on Human Rights (ECHR) are pending before the ECtHR. The ne</w:t>
      </w:r>
      <w:r>
        <w:rPr>
          <w:rFonts w:eastAsia="Times New Roman" w:cs="Times New Roman"/>
          <w:noProof/>
          <w:szCs w:val="24"/>
        </w:rPr>
        <w:t>w law on freedom of religion or belief, adopted in December 2019, stipulates that all religious sites that were in state possession before 1 December 1918, when Montenegro lost its statehood, are considered state property unless the church is able to provi</w:t>
      </w:r>
      <w:r>
        <w:rPr>
          <w:rFonts w:eastAsia="Times New Roman" w:cs="Times New Roman"/>
          <w:noProof/>
          <w:szCs w:val="24"/>
        </w:rPr>
        <w:t xml:space="preserve">de evidence of ownership. The procedure to determine property rights over religious sites needs to fully </w:t>
      </w:r>
      <w:r>
        <w:rPr>
          <w:rFonts w:cs="Times New Roman"/>
          <w:noProof/>
          <w:szCs w:val="24"/>
        </w:rPr>
        <w:t>address the relevant recommendations of the Venice Commission and provide clarification on the implementation modalities of the law.</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Regarding </w:t>
      </w:r>
      <w:r>
        <w:rPr>
          <w:rFonts w:eastAsia="Calibri" w:cs="Times New Roman"/>
          <w:b/>
          <w:noProof/>
          <w:szCs w:val="24"/>
        </w:rPr>
        <w:t>non-disc</w:t>
      </w:r>
      <w:r>
        <w:rPr>
          <w:rFonts w:eastAsia="Calibri" w:cs="Times New Roman"/>
          <w:b/>
          <w:noProof/>
          <w:szCs w:val="24"/>
        </w:rPr>
        <w:t>rimination</w:t>
      </w:r>
      <w:r>
        <w:rPr>
          <w:rFonts w:eastAsia="Calibri" w:cs="Times New Roman"/>
          <w:noProof/>
          <w:szCs w:val="24"/>
        </w:rPr>
        <w:t xml:space="preserve">, the number of complaints of discrimination submitted to the Ombudsperson’s Office in 2019 (141), which also has the legal mandate of an equality body, remained at the level of 2018 (146). Trust in the office’s contribution to the fight against </w:t>
      </w:r>
      <w:r>
        <w:rPr>
          <w:rFonts w:eastAsia="Calibri" w:cs="Times New Roman"/>
          <w:noProof/>
          <w:szCs w:val="24"/>
        </w:rPr>
        <w:t>discrimination continues to increase. However, the resources allocated to the office remain insufficient. The Ombudsperson’s task of collecting data on discrimination also remains challenging as not all ministries and state organs adhere to the 2014 rulebo</w:t>
      </w:r>
      <w:r>
        <w:rPr>
          <w:rFonts w:eastAsia="Calibri" w:cs="Times New Roman"/>
          <w:noProof/>
          <w:szCs w:val="24"/>
        </w:rPr>
        <w:t>ok for aggregating data on discrimination cases. Court cases remain rare and no new cases were opened in 2019.</w:t>
      </w:r>
      <w:r>
        <w:rPr>
          <w:rFonts w:cs="Times New Roman"/>
          <w:noProof/>
          <w:szCs w:val="24"/>
          <w:lang w:bidi="en-US"/>
        </w:rPr>
        <w:t xml:space="preserve"> </w:t>
      </w:r>
      <w:r>
        <w:rPr>
          <w:rFonts w:eastAsia="Calibri" w:cs="Times New Roman"/>
          <w:noProof/>
          <w:szCs w:val="24"/>
        </w:rPr>
        <w:t>In December 2019, the Ministry for Human and Minority Rights established a working group for revising the law on prohibition of discrimination to</w:t>
      </w:r>
      <w:r>
        <w:rPr>
          <w:rFonts w:eastAsia="Calibri" w:cs="Times New Roman"/>
          <w:noProof/>
          <w:szCs w:val="24"/>
        </w:rPr>
        <w:t xml:space="preserve"> further align it with EU </w:t>
      </w:r>
      <w:r>
        <w:rPr>
          <w:rFonts w:eastAsia="Calibri" w:cs="Times New Roman"/>
          <w:i/>
          <w:noProof/>
          <w:szCs w:val="24"/>
        </w:rPr>
        <w:t>acquis</w:t>
      </w:r>
      <w:r>
        <w:rPr>
          <w:rFonts w:eastAsia="Calibri" w:cs="Times New Roman"/>
          <w:noProof/>
          <w:szCs w:val="24"/>
        </w:rPr>
        <w:t xml:space="preserve">. The finalisation of the draft which was subject to public consultations has been delayed due to the COVID-19 outbreak.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equality between women and men</w:t>
      </w:r>
      <w:r>
        <w:rPr>
          <w:rFonts w:eastAsia="Calibri" w:cs="Times New Roman"/>
          <w:noProof/>
          <w:szCs w:val="24"/>
        </w:rPr>
        <w:t>,</w:t>
      </w:r>
      <w:r>
        <w:rPr>
          <w:rFonts w:cs="Times New Roman"/>
          <w:noProof/>
          <w:szCs w:val="24"/>
        </w:rPr>
        <w:t xml:space="preserve"> </w:t>
      </w:r>
      <w:r>
        <w:rPr>
          <w:rFonts w:eastAsia="Calibri" w:cs="Times New Roman"/>
          <w:noProof/>
          <w:szCs w:val="24"/>
        </w:rPr>
        <w:t>there was some progress in the reporting period. In 2019, for t</w:t>
      </w:r>
      <w:r>
        <w:rPr>
          <w:rFonts w:eastAsia="Calibri" w:cs="Times New Roman"/>
          <w:noProof/>
          <w:szCs w:val="24"/>
        </w:rPr>
        <w:t>he first time, a Montenegro Gender Equality Report was prepared, based on the methodology of the Gender Equality Index developed by the European Institute for Gender Equality (EIGE) for the European Union and its Member States. Montenegro’s index score was</w:t>
      </w:r>
      <w:r>
        <w:rPr>
          <w:rFonts w:eastAsia="Calibri" w:cs="Times New Roman"/>
          <w:noProof/>
          <w:szCs w:val="24"/>
        </w:rPr>
        <w:t xml:space="preserve"> 55 points, compared to an EU average of 67.4. Women continue to be underrepresented on the labour market, in entrepreneurship, policy-making and politics. In May 2019, the government adopted the report on the implementation of the Beijing Declaration and </w:t>
      </w:r>
      <w:r>
        <w:rPr>
          <w:rFonts w:eastAsia="Calibri" w:cs="Times New Roman"/>
          <w:noProof/>
          <w:szCs w:val="24"/>
        </w:rPr>
        <w:t xml:space="preserve">Platform for Action, and in August 2019 the 2019-2020 action plan for the implementation of United Nations Security Council Resolution 1325, Women, Peace and Security in Montenegro. In December 2019, the Parliament enacted a new Labour Law, meant to bring </w:t>
      </w:r>
      <w:r>
        <w:rPr>
          <w:rFonts w:eastAsia="Calibri" w:cs="Times New Roman"/>
          <w:noProof/>
          <w:szCs w:val="24"/>
        </w:rPr>
        <w:t>national law in line with the EU directives 2006/54/EC on equal opportunities in employment and 92/85/EEC on pregnant workers, although further progress still needs to be made regarding alignment to the latter directive. The legislative framework on gender</w:t>
      </w:r>
      <w:r>
        <w:rPr>
          <w:rFonts w:eastAsia="Calibri" w:cs="Times New Roman"/>
          <w:noProof/>
          <w:szCs w:val="24"/>
        </w:rPr>
        <w:t>-based discrimination has limited impact due to weak implementation of existing measures and insufficient prioritisation of gender equality in the overall state and public accountability mechanisms. Most institutional actors are often unaware of their lega</w:t>
      </w:r>
      <w:r>
        <w:rPr>
          <w:rFonts w:eastAsia="Calibri" w:cs="Times New Roman"/>
          <w:noProof/>
          <w:szCs w:val="24"/>
        </w:rPr>
        <w:t>l obligations for gender mainstreaming or insufficiently trained to implement gender policies. Accountability mechanisms for achieving gender equality need to be strengthened and gender impact assessments must be implemented at all levels in the public adm</w:t>
      </w:r>
      <w:r>
        <w:rPr>
          <w:rFonts w:eastAsia="Calibri" w:cs="Times New Roman"/>
          <w:noProof/>
          <w:szCs w:val="24"/>
        </w:rPr>
        <w:t>inistration. Steps in this direction were taken in 2020 by the Police Directorate and MHMR . The Judicial Training Centre and State Prosecution organised trainings on women's rights and gender equality. Sexual harassment, although prescribed as a special f</w:t>
      </w:r>
      <w:r>
        <w:rPr>
          <w:rFonts w:eastAsia="Calibri" w:cs="Times New Roman"/>
          <w:noProof/>
          <w:szCs w:val="24"/>
        </w:rPr>
        <w:t xml:space="preserve">orm of discrimination, is still not defined as a criminal offence under the law, but Ministry of Justice has formed a working group to reconsider this issue.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2019 saw a persistently high number of reported cases of </w:t>
      </w:r>
      <w:r>
        <w:rPr>
          <w:rFonts w:eastAsia="Times New Roman" w:cs="Times New Roman"/>
          <w:b/>
          <w:noProof/>
          <w:szCs w:val="24"/>
        </w:rPr>
        <w:t>violence against women and domestic viol</w:t>
      </w:r>
      <w:r>
        <w:rPr>
          <w:rFonts w:eastAsia="Times New Roman" w:cs="Times New Roman"/>
          <w:b/>
          <w:noProof/>
          <w:szCs w:val="24"/>
        </w:rPr>
        <w:t>ence</w:t>
      </w:r>
      <w:r>
        <w:rPr>
          <w:rFonts w:eastAsia="Times New Roman" w:cs="Times New Roman"/>
          <w:noProof/>
          <w:szCs w:val="24"/>
        </w:rPr>
        <w:t>, which relate to criminal offences (186 cases, of which courts resolved 106) and domestic violence misdemeanours (1,759 cases, of which courts resolved 382). The electronic database on domestic violence became operational in May 2019, providing the Mi</w:t>
      </w:r>
      <w:r>
        <w:rPr>
          <w:rFonts w:eastAsia="Times New Roman" w:cs="Times New Roman"/>
          <w:noProof/>
          <w:szCs w:val="24"/>
        </w:rPr>
        <w:t>nistry of Labour and Social Welfare, social welfare centres and the Ministry of Interior with an interinstitutional tool for automatic exchanges of information. The Ministry of Labour and Social Welfare has drawn up an analysis of the services to be delive</w:t>
      </w:r>
      <w:r>
        <w:rPr>
          <w:rFonts w:eastAsia="Times New Roman" w:cs="Times New Roman"/>
          <w:noProof/>
          <w:szCs w:val="24"/>
        </w:rPr>
        <w:t>red as a priority to support the victims of violence against women and domestic violence and started issuing licences to several specialised NGOs offering victim support services. However, a sustainable public financing mechanism is still needed to sustain</w:t>
      </w:r>
      <w:r>
        <w:rPr>
          <w:rFonts w:eastAsia="Times New Roman" w:cs="Times New Roman"/>
          <w:noProof/>
          <w:szCs w:val="24"/>
        </w:rPr>
        <w:t xml:space="preserve"> the work of these NGOs, along with the creation of state-owned specialist centres across the country for providing care, support and advice to the victims of violence. In June 2019, the national SOS line for victims of violence was formally launched. Conf</w:t>
      </w:r>
      <w:r>
        <w:rPr>
          <w:rFonts w:eastAsia="Times New Roman" w:cs="Times New Roman"/>
          <w:noProof/>
          <w:szCs w:val="24"/>
        </w:rPr>
        <w:t>inement measures imposed during the COVID-19 outbreak led to a significant increase of cases of domestic violence. The authorities, in cooperation with CSOs, responded with a campaign to raise awareness and provide help to victims, and launched a mobile ph</w:t>
      </w:r>
      <w:r>
        <w:rPr>
          <w:rFonts w:eastAsia="Times New Roman" w:cs="Times New Roman"/>
          <w:noProof/>
          <w:szCs w:val="24"/>
        </w:rPr>
        <w:t>one application through which the victims can contact the national SOS helpline. In early 2020, the Coordinating Board foreseen in the Council of Europe Convention on Preventing and Combating Violence against Women and Domestic Violence (Istanbul Conventio</w:t>
      </w:r>
      <w:r>
        <w:rPr>
          <w:rFonts w:eastAsia="Times New Roman" w:cs="Times New Roman"/>
          <w:noProof/>
          <w:szCs w:val="24"/>
        </w:rPr>
        <w:t>n) adopted an action plan to monitor the implementation of recommendations of the Council of Europe Group of Experts on Action against Violence against Women and Domestic Violence (GREVIO) and other measures to fulfil the obligations under the Istanbul Con</w:t>
      </w:r>
      <w:r>
        <w:rPr>
          <w:rFonts w:eastAsia="Times New Roman" w:cs="Times New Roman"/>
          <w:noProof/>
          <w:szCs w:val="24"/>
        </w:rPr>
        <w:t>vention. Despite authorities’ commitment and concrete measures taken, challenges remain with regard to services’ response to domestic violence cases, access to justice for victims, lack of a systematic approach with regard to physical protection of victims</w:t>
      </w:r>
      <w:r>
        <w:rPr>
          <w:rFonts w:eastAsia="Times New Roman" w:cs="Times New Roman"/>
          <w:noProof/>
          <w:szCs w:val="24"/>
        </w:rPr>
        <w:t xml:space="preserve"> and prosecution of registered cases, as well as overly lenient sanctions.</w:t>
      </w:r>
    </w:p>
    <w:p w:rsidR="003C2144" w:rsidRDefault="00FB7959">
      <w:pPr>
        <w:autoSpaceDE w:val="0"/>
        <w:autoSpaceDN w:val="0"/>
        <w:adjustRightInd w:val="0"/>
        <w:spacing w:after="120" w:line="240" w:lineRule="auto"/>
        <w:jc w:val="both"/>
        <w:rPr>
          <w:rFonts w:eastAsiaTheme="majorEastAsia" w:cs="Times New Roman"/>
          <w:noProof/>
          <w:szCs w:val="24"/>
          <w:lang w:val="bs-Latn-BA"/>
        </w:rPr>
      </w:pPr>
      <w:r>
        <w:rPr>
          <w:rFonts w:eastAsia="Times New Roman" w:cs="Times New Roman"/>
          <w:noProof/>
          <w:szCs w:val="24"/>
        </w:rPr>
        <w:t xml:space="preserve">Concerning the </w:t>
      </w:r>
      <w:r>
        <w:rPr>
          <w:rFonts w:eastAsia="Times New Roman" w:cs="Times New Roman"/>
          <w:b/>
          <w:noProof/>
          <w:szCs w:val="24"/>
        </w:rPr>
        <w:t>rights of the child</w:t>
      </w:r>
      <w:r>
        <w:rPr>
          <w:rFonts w:eastAsia="Times New Roman" w:cs="Times New Roman"/>
          <w:noProof/>
          <w:szCs w:val="24"/>
        </w:rPr>
        <w:t>, in May 2019, the government adopted a new strategy for the exercise of the rights of the child (covering 2019-2023) and its action plan for 2019-</w:t>
      </w:r>
      <w:r>
        <w:rPr>
          <w:rFonts w:eastAsia="Times New Roman" w:cs="Times New Roman"/>
          <w:noProof/>
          <w:szCs w:val="24"/>
        </w:rPr>
        <w:t xml:space="preserve">2020. </w:t>
      </w:r>
      <w:r>
        <w:rPr>
          <w:rFonts w:cs="Times New Roman"/>
          <w:noProof/>
          <w:szCs w:val="24"/>
        </w:rPr>
        <w:t xml:space="preserve">Sufficient resources should be allocated to enable the strategy’s activities to be carried out. </w:t>
      </w:r>
      <w:r>
        <w:rPr>
          <w:rFonts w:eastAsia="Times New Roman" w:cs="Times New Roman"/>
          <w:noProof/>
          <w:szCs w:val="24"/>
        </w:rPr>
        <w:t>The role and mandate of the Council on the Rights of the Child needs to be strengthened so that it can effectively exercise its function as a coordinating</w:t>
      </w:r>
      <w:r>
        <w:rPr>
          <w:rFonts w:eastAsia="Times New Roman" w:cs="Times New Roman"/>
          <w:noProof/>
          <w:szCs w:val="24"/>
        </w:rPr>
        <w:t xml:space="preserve"> mechanism at inter-ministerial level. </w:t>
      </w:r>
      <w:r>
        <w:rPr>
          <w:rFonts w:eastAsiaTheme="majorEastAsia" w:cs="Times New Roman"/>
          <w:noProof/>
          <w:szCs w:val="24"/>
          <w:lang w:val="bs-Latn-BA"/>
        </w:rPr>
        <w:t xml:space="preserve">Guidelines for the health sector response to children and adolescents who are victims of violence, intended to increase detection and reporting, were finalised in November 2019. So far </w:t>
      </w:r>
      <w:r>
        <w:rPr>
          <w:rFonts w:eastAsiaTheme="majorEastAsia" w:cs="Times New Roman"/>
          <w:noProof/>
          <w:szCs w:val="24"/>
        </w:rPr>
        <w:t xml:space="preserve">progress in this area remains limited. </w:t>
      </w:r>
      <w:r>
        <w:rPr>
          <w:rFonts w:eastAsiaTheme="majorEastAsia" w:cs="Times New Roman"/>
          <w:noProof/>
          <w:szCs w:val="24"/>
          <w:lang w:val="bs-Latn-BA"/>
        </w:rPr>
        <w:t xml:space="preserve">Major challenges include insufficient national capacity to implement multi-sectoral and holistic interventions to prevent and address violence against children. </w:t>
      </w:r>
      <w:r>
        <w:rPr>
          <w:rFonts w:eastAsia="Times New Roman" w:cs="Times New Roman"/>
          <w:noProof/>
          <w:szCs w:val="24"/>
          <w:lang w:val="bs-Latn-BA"/>
        </w:rPr>
        <w:t>T</w:t>
      </w:r>
      <w:r>
        <w:rPr>
          <w:rFonts w:eastAsia="Times New Roman" w:cs="Times New Roman"/>
          <w:noProof/>
          <w:szCs w:val="24"/>
        </w:rPr>
        <w:t>he very low numbers of reported cases of sexual violenc</w:t>
      </w:r>
      <w:r>
        <w:rPr>
          <w:rFonts w:eastAsia="Times New Roman" w:cs="Times New Roman"/>
          <w:noProof/>
          <w:szCs w:val="24"/>
        </w:rPr>
        <w:t xml:space="preserve">e against children continue to raise concerns about under-reporting and identification of victims. </w:t>
      </w:r>
      <w:r>
        <w:rPr>
          <w:rFonts w:eastAsiaTheme="majorEastAsia" w:cs="Times New Roman"/>
          <w:noProof/>
          <w:szCs w:val="24"/>
          <w:lang w:val="bs-Latn-BA"/>
        </w:rPr>
        <w:t>Children with disabilities experience barriers in accessing quality health, education, social and child protection services and limited inclusion in society.</w:t>
      </w:r>
      <w:r>
        <w:rPr>
          <w:rFonts w:eastAsia="Times New Roman" w:cs="Times New Roman"/>
          <w:noProof/>
          <w:szCs w:val="24"/>
          <w:lang w:val="bs-Latn-BA"/>
        </w:rPr>
        <w:t>Dedicated campaign on the</w:t>
      </w:r>
      <w:r>
        <w:rPr>
          <w:rFonts w:eastAsia="Times New Roman" w:cs="Times New Roman"/>
          <w:noProof/>
          <w:szCs w:val="24"/>
        </w:rPr>
        <w:t xml:space="preserve"> mental health of children was launched in 2019. The system for licensing CSO service providers in the social protection system has been further developed to provide day-care services for children from families at risk, family outr</w:t>
      </w:r>
      <w:r>
        <w:rPr>
          <w:rFonts w:eastAsia="Times New Roman" w:cs="Times New Roman"/>
          <w:noProof/>
          <w:szCs w:val="24"/>
        </w:rPr>
        <w:t>each workers and an SOS telephone line for children. However, those services are largely project-funded and require more sustainable public financing</w:t>
      </w:r>
      <w:r>
        <w:rPr>
          <w:rFonts w:cs="Times New Roman"/>
          <w:noProof/>
          <w:szCs w:val="24"/>
          <w:lang w:bidi="en-US"/>
        </w:rPr>
        <w:t>. In March 2020, a public awareness-raising campaign against arranged child marriages was launched, in coop</w:t>
      </w:r>
      <w:r>
        <w:rPr>
          <w:rFonts w:cs="Times New Roman"/>
          <w:noProof/>
          <w:szCs w:val="24"/>
          <w:lang w:bidi="en-US"/>
        </w:rPr>
        <w:t xml:space="preserve">eration between the authorities, social services and civil society. </w:t>
      </w:r>
      <w:r>
        <w:rPr>
          <w:rFonts w:eastAsia="Times New Roman" w:cs="Times New Roman"/>
          <w:noProof/>
          <w:szCs w:val="24"/>
        </w:rPr>
        <w:t xml:space="preserve">Further efforts are needed on de-institutionalisation and child-friendly justice; to tackle child marriages and child begging; to improve support to </w:t>
      </w:r>
      <w:r>
        <w:rPr>
          <w:rFonts w:eastAsiaTheme="majorEastAsia" w:cs="Times New Roman"/>
          <w:noProof/>
          <w:szCs w:val="24"/>
          <w:lang w:val="bs-Latn-BA"/>
        </w:rPr>
        <w:t>children with disabilities and their fa</w:t>
      </w:r>
      <w:r>
        <w:rPr>
          <w:rFonts w:eastAsiaTheme="majorEastAsia" w:cs="Times New Roman"/>
          <w:noProof/>
          <w:szCs w:val="24"/>
          <w:lang w:val="bs-Latn-BA"/>
        </w:rPr>
        <w:t>milies; and to address poverty and improve the social inclusion and health status of vulnerable children. Montenegro is encouraged to raise the minimum marriage age to 18 years of age, as recomended by CEDAW and UN Special Rapporteur on Trafficking in Pers</w:t>
      </w:r>
      <w:r>
        <w:rPr>
          <w:rFonts w:eastAsiaTheme="majorEastAsia" w:cs="Times New Roman"/>
          <w:noProof/>
          <w:szCs w:val="24"/>
          <w:lang w:val="bs-Latn-BA"/>
        </w:rPr>
        <w:t xml:space="preserve">ons.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Regarding the </w:t>
      </w:r>
      <w:r>
        <w:rPr>
          <w:rFonts w:eastAsia="Times New Roman" w:cs="Times New Roman"/>
          <w:b/>
          <w:noProof/>
          <w:szCs w:val="24"/>
        </w:rPr>
        <w:t>rights of persons with disabilities</w:t>
      </w:r>
      <w:r>
        <w:rPr>
          <w:rFonts w:eastAsia="Times New Roman" w:cs="Times New Roman"/>
          <w:noProof/>
          <w:szCs w:val="24"/>
        </w:rPr>
        <w:t xml:space="preserve">, in March 2019 the government approved the annual action plan of the strategy for the protection of persons with disabilities from discrimination and for the promotion of equality (covering </w:t>
      </w:r>
      <w:r>
        <w:rPr>
          <w:rFonts w:eastAsia="Times New Roman" w:cs="Times New Roman"/>
          <w:noProof/>
          <w:szCs w:val="24"/>
        </w:rPr>
        <w:t>2017-2021). A dedicated working group has been created to oversee the plan’s implementation. The legal and policy framework has been consolidated, albeit at a slow pace and implementing legislation is yet to be harmonised</w:t>
      </w:r>
      <w:r>
        <w:rPr>
          <w:rFonts w:eastAsia="Calibri" w:cs="Times New Roman"/>
          <w:noProof/>
          <w:szCs w:val="24"/>
        </w:rPr>
        <w:t>.</w:t>
      </w:r>
      <w:r>
        <w:rPr>
          <w:rFonts w:eastAsia="Times New Roman" w:cs="Times New Roman"/>
          <w:noProof/>
          <w:szCs w:val="24"/>
        </w:rPr>
        <w:t xml:space="preserve"> Several </w:t>
      </w:r>
      <w:r>
        <w:rPr>
          <w:rFonts w:eastAsia="Calibri" w:cs="Times New Roman"/>
          <w:noProof/>
          <w:szCs w:val="24"/>
        </w:rPr>
        <w:t>laws are not fully aligne</w:t>
      </w:r>
      <w:r>
        <w:rPr>
          <w:rFonts w:eastAsia="Calibri" w:cs="Times New Roman"/>
          <w:noProof/>
          <w:szCs w:val="24"/>
        </w:rPr>
        <w:t>d with the UN Convention on the Rights of Persons with Disabilities (CRPD) and international standards, including on the definition of disability. An action plan to follow-up on recommendations of the UN Committee on the Rights of Persons with Disabilities</w:t>
      </w:r>
      <w:r>
        <w:rPr>
          <w:rFonts w:eastAsia="Calibri" w:cs="Times New Roman"/>
          <w:noProof/>
          <w:szCs w:val="24"/>
        </w:rPr>
        <w:t xml:space="preserve"> is being under preparation. The 2019 Labour Law includes some relevant provisions to promote the rights of persons with disabilities. A</w:t>
      </w:r>
      <w:r>
        <w:rPr>
          <w:rFonts w:eastAsia="Times New Roman" w:cs="Times New Roman"/>
          <w:noProof/>
          <w:szCs w:val="24"/>
        </w:rPr>
        <w:t>mendments to the law on professional rehabilitation and employment of persons with disabilities are not yet finalised. T</w:t>
      </w:r>
      <w:r>
        <w:rPr>
          <w:rFonts w:eastAsia="Times New Roman" w:cs="Times New Roman"/>
          <w:noProof/>
          <w:szCs w:val="24"/>
        </w:rPr>
        <w:t>his has, among others, delayed validation of the rulebook on the working centres and facilities for employment of persons with intellectual and psychosocial disabilities. The right to exercise sign language is not enshrined in the law and is a factor of di</w:t>
      </w:r>
      <w:r>
        <w:rPr>
          <w:rFonts w:eastAsia="Times New Roman" w:cs="Times New Roman"/>
          <w:noProof/>
          <w:szCs w:val="24"/>
        </w:rPr>
        <w:t>scrimination in terms of accessibility to public</w:t>
      </w:r>
      <w:r>
        <w:rPr>
          <w:rFonts w:eastAsia="Calibri" w:cs="Times New Roman"/>
          <w:noProof/>
          <w:szCs w:val="24"/>
        </w:rPr>
        <w:t xml:space="preserve"> administration and communication. The limited availability of training for sign-language interpreters and trainers in the country is a matter of concern. </w:t>
      </w:r>
      <w:r>
        <w:rPr>
          <w:rFonts w:eastAsia="Times New Roman" w:cs="Times New Roman"/>
          <w:noProof/>
          <w:szCs w:val="24"/>
        </w:rPr>
        <w:t>Concrete steps were taken in 2019 and 2020 to improve</w:t>
      </w:r>
      <w:r>
        <w:rPr>
          <w:rFonts w:eastAsia="Times New Roman" w:cs="Times New Roman"/>
          <w:noProof/>
          <w:szCs w:val="24"/>
        </w:rPr>
        <w:t xml:space="preserve"> access for persons with disabilities to public facilities and institutions, but progress in treatment of socially vulnerable and persons with disabilities is insufficient. The existing legal provisions are yet to be effectively implemented to ensure the s</w:t>
      </w:r>
      <w:r>
        <w:rPr>
          <w:rFonts w:eastAsia="Times New Roman" w:cs="Times New Roman"/>
          <w:noProof/>
          <w:szCs w:val="24"/>
        </w:rPr>
        <w:t>ystematic enforcement of their rights. Mandatory measures to be implemented by public institutions, administrations and local authorities should be strictly monitored in key sectors such as education, transport, employment, medical and supported-living ass</w:t>
      </w:r>
      <w:r>
        <w:rPr>
          <w:rFonts w:eastAsia="Times New Roman" w:cs="Times New Roman"/>
          <w:noProof/>
          <w:szCs w:val="24"/>
        </w:rPr>
        <w:t>istance, health and social protection, justice and legal protection.</w:t>
      </w:r>
      <w:r>
        <w:rPr>
          <w:rFonts w:eastAsia="Calibri" w:cs="Times New Roman"/>
          <w:noProof/>
          <w:szCs w:val="24"/>
        </w:rPr>
        <w:t xml:space="preserve"> </w:t>
      </w:r>
      <w:r>
        <w:rPr>
          <w:rFonts w:eastAsia="Times New Roman" w:cs="Times New Roman"/>
          <w:noProof/>
          <w:szCs w:val="24"/>
        </w:rPr>
        <w:t>Access to polling stations remains a concern. Public awareness of the existing legal and protection frameworks has to be further promoted and actively reinforced. As of 1 January 2020 a n</w:t>
      </w:r>
      <w:r>
        <w:rPr>
          <w:rFonts w:eastAsia="Times New Roman" w:cs="Times New Roman"/>
          <w:noProof/>
          <w:szCs w:val="24"/>
        </w:rPr>
        <w:t>ew law on non-contentious proceedings is in force which has strengthened safeguards with regard to deprivation of legal capacity.</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On the </w:t>
      </w:r>
      <w:r>
        <w:rPr>
          <w:rFonts w:eastAsia="Times New Roman" w:cs="Times New Roman"/>
          <w:b/>
          <w:noProof/>
          <w:szCs w:val="24"/>
        </w:rPr>
        <w:t>rights of lesbian, gay, bisexual, transgender and intersex (LGBTI)</w:t>
      </w:r>
      <w:r>
        <w:rPr>
          <w:rFonts w:eastAsia="Times New Roman" w:cs="Times New Roman"/>
          <w:noProof/>
          <w:szCs w:val="24"/>
        </w:rPr>
        <w:t xml:space="preserve"> </w:t>
      </w:r>
      <w:r>
        <w:rPr>
          <w:rFonts w:eastAsia="Times New Roman" w:cs="Times New Roman"/>
          <w:b/>
          <w:noProof/>
          <w:szCs w:val="24"/>
        </w:rPr>
        <w:t>persons</w:t>
      </w:r>
      <w:r>
        <w:rPr>
          <w:rFonts w:eastAsia="Times New Roman" w:cs="Times New Roman"/>
          <w:noProof/>
          <w:szCs w:val="24"/>
        </w:rPr>
        <w:t>, in March 2019 the government adopted a nati</w:t>
      </w:r>
      <w:r>
        <w:rPr>
          <w:rFonts w:eastAsia="Times New Roman" w:cs="Times New Roman"/>
          <w:noProof/>
          <w:szCs w:val="24"/>
        </w:rPr>
        <w:t>onal strategy for improving the quality of life of LGBTI persons (covering 2019-2023) along with an action plan for 2019. A national team for monitoring implementation of the strategy was formed in August 2019. The Ministry of Human and Minority Rights sig</w:t>
      </w:r>
      <w:r>
        <w:rPr>
          <w:rFonts w:eastAsia="Times New Roman" w:cs="Times New Roman"/>
          <w:noProof/>
          <w:szCs w:val="24"/>
        </w:rPr>
        <w:t>ned a memorandum of understanding with 20 municipalities to fight discrimination based on sexual orientation or gender identity. Capacity-building activities for police officers, prosecutors and social services professionals were delivered in six municipal</w:t>
      </w:r>
      <w:r>
        <w:rPr>
          <w:rFonts w:eastAsia="Times New Roman" w:cs="Times New Roman"/>
          <w:noProof/>
          <w:szCs w:val="24"/>
        </w:rPr>
        <w:t>ities. In April 2019, a Trust Team composed of members of the LGBTI community and the Police Directorate was set up to strengthen dialogue and collaboration. The Ministry of Human and Minority Rights provided grants to help maintain two LGTBI shelters. Aft</w:t>
      </w:r>
      <w:r>
        <w:rPr>
          <w:rFonts w:eastAsia="Times New Roman" w:cs="Times New Roman"/>
          <w:noProof/>
          <w:szCs w:val="24"/>
        </w:rPr>
        <w:t>er two unsuccessful votes in Parliament, the government revised its proposal for the law on life partnership of same sex partners (same-sex partnership law) in December 2019 and the law was enacted by Parliament in July 2020. Montenegro is the first countr</w:t>
      </w:r>
      <w:r>
        <w:rPr>
          <w:rFonts w:eastAsia="Times New Roman" w:cs="Times New Roman"/>
          <w:noProof/>
          <w:szCs w:val="24"/>
        </w:rPr>
        <w:t>y in the region to regulate the status of same-sex couples. Overall, Montenegro should increase the capacity of the judicial system to address hate crimes and hate speech, as well as ensure such cases are duly reported, investigated, prosecuted and adequat</w:t>
      </w:r>
      <w:r>
        <w:rPr>
          <w:rFonts w:eastAsia="Times New Roman" w:cs="Times New Roman"/>
          <w:noProof/>
          <w:szCs w:val="24"/>
        </w:rPr>
        <w:t>ely sanctioned. Overuse of misdemeanour proceedings is reported with respect to potentially more serious cases. More than 100 complaints of discrimination, hate speech and verbal abuse in the media have been lodged in 2019, but only one person was convicte</w:t>
      </w:r>
      <w:r>
        <w:rPr>
          <w:rFonts w:eastAsia="Times New Roman" w:cs="Times New Roman"/>
          <w:noProof/>
          <w:szCs w:val="24"/>
        </w:rPr>
        <w:t>d in the same year for violent LGBTI-phobic behaviour perpetrated in 2017. Awareness about the rights of LGBTI people is increasing. However, LGBTI status and rights continue to be regularly challenged, particularly in the media and social networks, includ</w:t>
      </w:r>
      <w:r>
        <w:rPr>
          <w:rFonts w:eastAsia="Times New Roman" w:cs="Times New Roman"/>
          <w:noProof/>
          <w:szCs w:val="24"/>
        </w:rPr>
        <w:t>ing by some political and religious representatives. In September 2019, the seventh Pride Parade took place in Podgorica without incident. Despite some progress, Montenegro should increase the capacity of institutions to protect against discrimination, wit</w:t>
      </w:r>
      <w:r>
        <w:rPr>
          <w:rFonts w:eastAsia="Times New Roman" w:cs="Times New Roman"/>
          <w:noProof/>
          <w:szCs w:val="24"/>
        </w:rPr>
        <w:t xml:space="preserve">h special emphasis on the judicial system.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In the field of </w:t>
      </w:r>
      <w:r>
        <w:rPr>
          <w:rFonts w:eastAsia="Times New Roman" w:cs="Times New Roman"/>
          <w:b/>
          <w:noProof/>
          <w:szCs w:val="24"/>
        </w:rPr>
        <w:t>procedural rights</w:t>
      </w:r>
      <w:r>
        <w:rPr>
          <w:rFonts w:eastAsia="Times New Roman" w:cs="Times New Roman"/>
          <w:noProof/>
          <w:szCs w:val="24"/>
        </w:rPr>
        <w:t xml:space="preserve">, preparations are ongoing in 2020 to ensure full alignment with the EU </w:t>
      </w:r>
      <w:r>
        <w:rPr>
          <w:rFonts w:eastAsia="Times New Roman" w:cs="Times New Roman"/>
          <w:i/>
          <w:noProof/>
          <w:szCs w:val="24"/>
        </w:rPr>
        <w:t>acquis</w:t>
      </w:r>
      <w:r>
        <w:rPr>
          <w:rFonts w:eastAsia="Times New Roman" w:cs="Times New Roman"/>
          <w:noProof/>
          <w:szCs w:val="24"/>
        </w:rPr>
        <w:t xml:space="preserve"> and European standards, notably on the rights of suspects and accused persons in criminal proceeding</w:t>
      </w:r>
      <w:r>
        <w:rPr>
          <w:rFonts w:eastAsia="Times New Roman" w:cs="Times New Roman"/>
          <w:noProof/>
          <w:szCs w:val="24"/>
        </w:rPr>
        <w:t>s as well as on victims’ rights. The underlying analysis have been prepared to support the working group. The length of judicial proceedings remains an issue, but revision of the legal framework is planned in in order to address this issue. A number of act</w:t>
      </w:r>
      <w:r>
        <w:rPr>
          <w:rFonts w:eastAsia="Times New Roman" w:cs="Times New Roman"/>
          <w:noProof/>
          <w:szCs w:val="24"/>
        </w:rPr>
        <w:t>ivities have taken place in 2019 and 2020 to raise awareness on free legal aid amongst various (vulnerable) groups. More efforts are nevertheless required to ensure access to justice, and additional measures for victims, more particularly for vulnerable gr</w:t>
      </w:r>
      <w:r>
        <w:rPr>
          <w:rFonts w:eastAsia="Times New Roman" w:cs="Times New Roman"/>
          <w:noProof/>
          <w:szCs w:val="24"/>
        </w:rPr>
        <w:t xml:space="preserve">oups and persons in situation of vulnerability. Montenegro is strongly encouraged to abolish the suspension of enforcement of the law on victims’ compensation until the date of EU accession and secure sufficient funds for victims support without delay.   </w:t>
      </w:r>
    </w:p>
    <w:p w:rsidR="003C2144" w:rsidRDefault="00FB7959">
      <w:pPr>
        <w:autoSpaceDE w:val="0"/>
        <w:autoSpaceDN w:val="0"/>
        <w:adjustRightInd w:val="0"/>
        <w:spacing w:after="120" w:line="240" w:lineRule="auto"/>
        <w:jc w:val="both"/>
        <w:rPr>
          <w:rFonts w:eastAsia="Times New Roman" w:cs="Times New Roman"/>
          <w:noProof/>
          <w:szCs w:val="24"/>
        </w:rPr>
      </w:pPr>
      <w:r>
        <w:rPr>
          <w:rFonts w:eastAsia="Times New Roman" w:cs="Times New Roman"/>
          <w:noProof/>
          <w:szCs w:val="24"/>
        </w:rPr>
        <w:t xml:space="preserve">Concerning </w:t>
      </w:r>
      <w:r>
        <w:rPr>
          <w:rFonts w:eastAsia="Times New Roman" w:cs="Times New Roman"/>
          <w:b/>
          <w:noProof/>
          <w:szCs w:val="24"/>
        </w:rPr>
        <w:t>minority rights</w:t>
      </w:r>
      <w:r>
        <w:rPr>
          <w:rFonts w:eastAsia="Times New Roman" w:cs="Times New Roman"/>
          <w:noProof/>
          <w:szCs w:val="24"/>
        </w:rPr>
        <w:t>, in July 2019 the government adopted the 2019-2023 minority policy strategy and an action plan for 2019-2020 with a financial allocation. The</w:t>
      </w:r>
      <w:r>
        <w:rPr>
          <w:rFonts w:eastAsia="Calibri" w:cs="Times New Roman"/>
          <w:noProof/>
          <w:szCs w:val="24"/>
        </w:rPr>
        <w:t xml:space="preserve"> constitutional and </w:t>
      </w:r>
      <w:r>
        <w:rPr>
          <w:rFonts w:eastAsia="Times New Roman" w:cs="Times New Roman"/>
          <w:noProof/>
          <w:szCs w:val="24"/>
        </w:rPr>
        <w:t>legal framework is in place. However, it has yet to be implemented i</w:t>
      </w:r>
      <w:r>
        <w:rPr>
          <w:rFonts w:eastAsia="Times New Roman" w:cs="Times New Roman"/>
          <w:noProof/>
          <w:szCs w:val="24"/>
        </w:rPr>
        <w:t>n practice, including on issues such as the right to proportional representation in public services. While there has been some improvement regarding the Fund for the Protection and Realisation of Minority Rights, the lack of monitoring and evaluation of pr</w:t>
      </w:r>
      <w:r>
        <w:rPr>
          <w:rFonts w:eastAsia="Times New Roman" w:cs="Times New Roman"/>
          <w:noProof/>
          <w:szCs w:val="24"/>
        </w:rPr>
        <w:t xml:space="preserve">ojects receiving funding feeds into a perception that the funding process still lacks transparency. More information on funding needs to be available to the public, including project reports and evaluations, in order to ascertain that the funds were spent </w:t>
      </w:r>
      <w:r>
        <w:rPr>
          <w:rFonts w:eastAsia="Times New Roman" w:cs="Times New Roman"/>
          <w:noProof/>
          <w:szCs w:val="24"/>
        </w:rPr>
        <w:t>efficiently and transparently and that the intercultural dialogue criteria were fulfilled. The legal framework for Minority Councils may need to be reviewed regarding their establishment, legal status and gender balance. Some inter-ethnic incidents were re</w:t>
      </w:r>
      <w:r>
        <w:rPr>
          <w:rFonts w:eastAsia="Times New Roman" w:cs="Times New Roman"/>
          <w:noProof/>
          <w:szCs w:val="24"/>
        </w:rPr>
        <w:t xml:space="preserve">ported in the context of the adoption of law on freedom of religion. Ethnically motivated attacks following the August 2020 elections are a matter of serious concern.       </w:t>
      </w:r>
    </w:p>
    <w:p w:rsidR="003C2144" w:rsidRDefault="00FB7959">
      <w:pPr>
        <w:spacing w:after="120" w:line="240" w:lineRule="auto"/>
        <w:jc w:val="both"/>
        <w:rPr>
          <w:rFonts w:eastAsia="Calibri" w:cs="Times New Roman"/>
          <w:noProof/>
          <w:szCs w:val="24"/>
        </w:rPr>
      </w:pPr>
      <w:r>
        <w:rPr>
          <w:rFonts w:eastAsia="Times New Roman" w:cs="Times New Roman"/>
          <w:noProof/>
          <w:szCs w:val="24"/>
        </w:rPr>
        <w:t>In April 2020, the government adopted the annual action plan for the implementatio</w:t>
      </w:r>
      <w:r>
        <w:rPr>
          <w:rFonts w:eastAsia="Times New Roman" w:cs="Times New Roman"/>
          <w:noProof/>
          <w:szCs w:val="24"/>
        </w:rPr>
        <w:t>n of the strategy for the social inclusion of</w:t>
      </w:r>
      <w:r>
        <w:rPr>
          <w:rFonts w:eastAsia="Times New Roman" w:cs="Times New Roman"/>
          <w:b/>
          <w:noProof/>
          <w:szCs w:val="24"/>
        </w:rPr>
        <w:t xml:space="preserve"> Roma and Egyptians</w:t>
      </w:r>
      <w:r>
        <w:rPr>
          <w:rFonts w:eastAsia="Times New Roman" w:cs="Times New Roman"/>
          <w:noProof/>
          <w:szCs w:val="24"/>
        </w:rPr>
        <w:t xml:space="preserve">. </w:t>
      </w:r>
      <w:r>
        <w:rPr>
          <w:rFonts w:eastAsia="Calibri" w:cs="Times New Roman"/>
          <w:noProof/>
          <w:szCs w:val="24"/>
        </w:rPr>
        <w:t>The budget allocated for implementing the strategy remains insufficient and Roma-responsive budgeting needs to be given greater priority across different sectors. MHMR funding of inclusion p</w:t>
      </w:r>
      <w:r>
        <w:rPr>
          <w:rFonts w:eastAsia="Calibri" w:cs="Times New Roman"/>
          <w:noProof/>
          <w:szCs w:val="24"/>
        </w:rPr>
        <w:t>rojects increased by 60% in 2019 (to EUR 215,000 from EUR 131,000 in 2018). Montenegro signed the Western Balkan Partners Roma Integration declaration in Poznan in July 2019, which contained quantifiable commitments in key priority areas.</w:t>
      </w:r>
      <w:r>
        <w:rPr>
          <w:rFonts w:cs="Times New Roman"/>
          <w:noProof/>
          <w:szCs w:val="24"/>
        </w:rPr>
        <w:t xml:space="preserve"> Efforts to meet t</w:t>
      </w:r>
      <w:r>
        <w:rPr>
          <w:rFonts w:cs="Times New Roman"/>
          <w:noProof/>
          <w:szCs w:val="24"/>
        </w:rPr>
        <w:t>hese commitments need to be stepped up. The Conclusions from the June 2018 Roma Seminar involving all the relevant stakeholders, are yet to be implemented.</w:t>
      </w:r>
      <w:r>
        <w:rPr>
          <w:rFonts w:eastAsia="Calibri" w:cs="Times New Roman"/>
          <w:noProof/>
          <w:szCs w:val="24"/>
        </w:rPr>
        <w:t xml:space="preserve"> </w:t>
      </w:r>
    </w:p>
    <w:p w:rsidR="003C2144" w:rsidRDefault="00FB7959">
      <w:pPr>
        <w:spacing w:after="120" w:line="240" w:lineRule="auto"/>
        <w:jc w:val="both"/>
        <w:rPr>
          <w:rFonts w:eastAsia="Calibri" w:cs="Times New Roman"/>
          <w:noProof/>
          <w:szCs w:val="24"/>
        </w:rPr>
      </w:pPr>
      <w:r>
        <w:rPr>
          <w:rFonts w:eastAsia="Calibri" w:cs="Times New Roman"/>
          <w:noProof/>
          <w:szCs w:val="24"/>
        </w:rPr>
        <w:t>The enrolment rate for Roma primary school pupils slightly increased in 2019/2020 compared to 2018/</w:t>
      </w:r>
      <w:r>
        <w:rPr>
          <w:rFonts w:eastAsia="Calibri" w:cs="Times New Roman"/>
          <w:noProof/>
          <w:szCs w:val="24"/>
        </w:rPr>
        <w:t>2019, compared to the higher birth rate. There is a persistent lack of data on the overall number of Roma children who should be enrolled in the education system, especially in obligatory primary education. In 2019/2020, 1,803 Roma and Egyptian children we</w:t>
      </w:r>
      <w:r>
        <w:rPr>
          <w:rFonts w:eastAsia="Calibri" w:cs="Times New Roman"/>
          <w:noProof/>
          <w:szCs w:val="24"/>
        </w:rPr>
        <w:t>re enrolled in primary schools (1,793 in 2018/2019), only 142 in secondary school and there were 13 high school students. While drop-out rates are moderately decreasing, the overall completion rates remain dramatically low, with only 88 pupils successfully</w:t>
      </w:r>
      <w:r>
        <w:rPr>
          <w:rFonts w:eastAsia="Calibri" w:cs="Times New Roman"/>
          <w:noProof/>
          <w:szCs w:val="24"/>
        </w:rPr>
        <w:t xml:space="preserve"> completing elementary school and only 19 completing secondary school in 2019. Twenty-one Roma mediators have been employed by the Ministry of Education since the beginning of the 2019/2020 school year to help of increase the enrolment rate of Roma and Egy</w:t>
      </w:r>
      <w:r>
        <w:rPr>
          <w:rFonts w:eastAsia="Calibri" w:cs="Times New Roman"/>
          <w:noProof/>
          <w:szCs w:val="24"/>
        </w:rPr>
        <w:t xml:space="preserve">ptian children and reduce the dropout rate. </w:t>
      </w:r>
    </w:p>
    <w:p w:rsidR="003C2144" w:rsidRDefault="00FB7959">
      <w:pPr>
        <w:spacing w:after="120" w:line="240" w:lineRule="auto"/>
        <w:jc w:val="both"/>
        <w:rPr>
          <w:rFonts w:eastAsia="Calibri" w:cs="Times New Roman"/>
          <w:noProof/>
          <w:szCs w:val="24"/>
        </w:rPr>
      </w:pPr>
      <w:r>
        <w:rPr>
          <w:rFonts w:eastAsia="Calibri" w:cs="Times New Roman"/>
          <w:noProof/>
          <w:szCs w:val="24"/>
        </w:rPr>
        <w:t>The number of Roma and Egyptians registered with the National Employment Bureau further decreased from 802 in 2018 to 747 in 2019 and they are by far the most underrepresented national minority group in the publ</w:t>
      </w:r>
      <w:r>
        <w:rPr>
          <w:rFonts w:eastAsia="Calibri" w:cs="Times New Roman"/>
          <w:noProof/>
          <w:szCs w:val="24"/>
        </w:rPr>
        <w:t>ic service. Some targeted measures were implemented, such as the national employment bureau's active employment measures (129 Roma were temporarily employed in 2019), but their sustainability and effectiveness have yet to be ensured. In the area of health,</w:t>
      </w:r>
      <w:r>
        <w:rPr>
          <w:rFonts w:eastAsia="Calibri" w:cs="Times New Roman"/>
          <w:noProof/>
          <w:szCs w:val="24"/>
        </w:rPr>
        <w:t xml:space="preserve"> three Roma health mediators are employed in Podgorica and two in Nikšić and Berane. Their number needs to further increase in order to facilitate access to health services, especially for displaced and internally displaced (I/DP) Roma and Egyptians who fa</w:t>
      </w:r>
      <w:r>
        <w:rPr>
          <w:rFonts w:eastAsia="Calibri" w:cs="Times New Roman"/>
          <w:noProof/>
          <w:szCs w:val="24"/>
        </w:rPr>
        <w:t>ce particular difficulties in exercising their right to health protection.</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Roma and Egyptians, who are mostly internally displaced persons, benefited from housing solutions under the regional housing programme, which is progressing well across Montenegro. </w:t>
      </w:r>
      <w:r>
        <w:rPr>
          <w:rFonts w:eastAsia="Calibri" w:cs="Times New Roman"/>
          <w:noProof/>
          <w:szCs w:val="24"/>
        </w:rPr>
        <w:t>Challenges remain for the housing of domiciled Roma and Egyptians, in particular in light of the July 2019 deadline stipulated by the law on spatial planning and construction for applications for the legalisation of illegal buildings. This cumbersome and e</w:t>
      </w:r>
      <w:r>
        <w:rPr>
          <w:rFonts w:eastAsia="Calibri" w:cs="Times New Roman"/>
          <w:noProof/>
          <w:szCs w:val="24"/>
        </w:rPr>
        <w:t xml:space="preserve">xpensive process has created difficulties for many Roma and Egyptian families. Many of them are unable to apply for legalisation, which could lead to evictions in the future, especially in the coastal area. </w:t>
      </w:r>
    </w:p>
    <w:p w:rsidR="003C2144" w:rsidRDefault="00FB7959">
      <w:pPr>
        <w:autoSpaceDE w:val="0"/>
        <w:autoSpaceDN w:val="0"/>
        <w:adjustRightInd w:val="0"/>
        <w:spacing w:after="120" w:line="240" w:lineRule="auto"/>
        <w:jc w:val="both"/>
        <w:rPr>
          <w:rFonts w:eastAsia="Calibri" w:cs="Times New Roman"/>
          <w:noProof/>
          <w:szCs w:val="24"/>
          <w:lang w:val="en-US"/>
        </w:rPr>
      </w:pPr>
      <w:r>
        <w:rPr>
          <w:rFonts w:eastAsia="Calibri" w:cs="Times New Roman"/>
          <w:noProof/>
          <w:szCs w:val="24"/>
          <w:lang w:eastAsia="en-GB"/>
        </w:rPr>
        <w:t>The preferential treatment offered by the electoral legislation to numerically small national minorities to ensure their political representation has not been extended to Roma and Egyptians. They thus have no representative in the national or local parliam</w:t>
      </w:r>
      <w:r>
        <w:rPr>
          <w:rFonts w:eastAsia="Calibri" w:cs="Times New Roman"/>
          <w:noProof/>
          <w:szCs w:val="24"/>
          <w:lang w:eastAsia="en-GB"/>
        </w:rPr>
        <w:t xml:space="preserve">ents. </w:t>
      </w:r>
      <w:r>
        <w:rPr>
          <w:rFonts w:eastAsia="Calibri" w:cs="Times New Roman"/>
          <w:noProof/>
          <w:szCs w:val="24"/>
        </w:rPr>
        <w:t xml:space="preserve">There is still no systemic solution and institutional response to child begging and early marriages among the </w:t>
      </w:r>
      <w:r>
        <w:rPr>
          <w:rFonts w:eastAsia="Calibri" w:cs="Times New Roman"/>
          <w:noProof/>
          <w:szCs w:val="24"/>
          <w:lang w:eastAsia="en-GB"/>
        </w:rPr>
        <w:t>Roma and Egyptian</w:t>
      </w:r>
      <w:r>
        <w:rPr>
          <w:rFonts w:eastAsia="Calibri" w:cs="Times New Roman"/>
          <w:noProof/>
          <w:szCs w:val="24"/>
        </w:rPr>
        <w:t xml:space="preserve"> communities. The Romani language is not standardised and not taught in schools. During the COVID-19 pandemic, the authorit</w:t>
      </w:r>
      <w:r>
        <w:rPr>
          <w:rFonts w:eastAsia="Calibri" w:cs="Times New Roman"/>
          <w:noProof/>
          <w:szCs w:val="24"/>
        </w:rPr>
        <w:t>ies largely relied on donors and civil society to provide support to the most vulnerable, including the Roma, without assuming a more pro-active coordination role in this respect.</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With regard to </w:t>
      </w:r>
      <w:r>
        <w:rPr>
          <w:rFonts w:eastAsia="Calibri" w:cs="Times New Roman"/>
          <w:b/>
          <w:noProof/>
          <w:szCs w:val="24"/>
        </w:rPr>
        <w:t>displaced and internally displaced people</w:t>
      </w:r>
      <w:r>
        <w:rPr>
          <w:rFonts w:eastAsia="Calibri" w:cs="Times New Roman"/>
          <w:noProof/>
          <w:szCs w:val="24"/>
        </w:rPr>
        <w:t>, there were a total</w:t>
      </w:r>
      <w:r>
        <w:rPr>
          <w:rFonts w:eastAsia="Calibri" w:cs="Times New Roman"/>
          <w:noProof/>
          <w:szCs w:val="24"/>
        </w:rPr>
        <w:t xml:space="preserve"> of 15,247  requests for permanent or temporary residence lodged by June 2020; 15,080 were resolved with 12,376 persons being granted permanent or temporary residence up to 3 years and 167 requests were still pending. Some 291 requests were rejected and 2,</w:t>
      </w:r>
      <w:r>
        <w:rPr>
          <w:rFonts w:eastAsia="Calibri" w:cs="Times New Roman"/>
          <w:noProof/>
          <w:szCs w:val="24"/>
        </w:rPr>
        <w:t>413 temporarily refused due to incomplete or double application.</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statelessness</w:t>
      </w:r>
      <w:r>
        <w:rPr>
          <w:rFonts w:eastAsia="Calibri" w:cs="Times New Roman"/>
          <w:noProof/>
          <w:szCs w:val="24"/>
        </w:rPr>
        <w:t>, since the beginning of the application of the law on foreigners in 2018, 4 travel documents and 2 temporary residence permits have been issued to stateless persons. The proc</w:t>
      </w:r>
      <w:r>
        <w:rPr>
          <w:rFonts w:eastAsia="Calibri" w:cs="Times New Roman"/>
          <w:noProof/>
          <w:szCs w:val="24"/>
        </w:rPr>
        <w:t>edure for determining statelessness is ongoing for 9 persons. Identification of potential cases remains a challenge. However, as of October 2019 a new birth registration practice was developed in several municipalities to address the challenge of birth reg</w:t>
      </w:r>
      <w:r>
        <w:rPr>
          <w:rFonts w:eastAsia="Calibri" w:cs="Times New Roman"/>
          <w:noProof/>
          <w:szCs w:val="24"/>
        </w:rPr>
        <w:t xml:space="preserve">istration of abandoned children or those with mothers lacking identity documents, leading to a number of resolved cases. </w:t>
      </w:r>
    </w:p>
    <w:p w:rsidR="003C2144" w:rsidRDefault="00FB7959">
      <w:pPr>
        <w:spacing w:after="120" w:line="240" w:lineRule="auto"/>
        <w:jc w:val="both"/>
        <w:rPr>
          <w:rStyle w:val="tlid-translation"/>
          <w:rFonts w:cs="Times New Roman"/>
          <w:noProof/>
          <w:szCs w:val="24"/>
        </w:rPr>
      </w:pPr>
      <w:r>
        <w:rPr>
          <w:rFonts w:eastAsia="Calibri" w:cs="Times New Roman"/>
          <w:noProof/>
          <w:szCs w:val="24"/>
        </w:rPr>
        <w:t xml:space="preserve">In the </w:t>
      </w:r>
      <w:r>
        <w:rPr>
          <w:rFonts w:eastAsia="Calibri" w:cs="Times New Roman"/>
          <w:b/>
          <w:noProof/>
          <w:szCs w:val="24"/>
        </w:rPr>
        <w:t>field of citizenship</w:t>
      </w:r>
      <w:r>
        <w:rPr>
          <w:rFonts w:eastAsia="Calibri" w:cs="Times New Roman"/>
          <w:noProof/>
          <w:szCs w:val="24"/>
        </w:rPr>
        <w:t>, Montenegro launched its investors' citizenship scheme in January 2019 and has received 24 applications so</w:t>
      </w:r>
      <w:r>
        <w:rPr>
          <w:rFonts w:eastAsia="Calibri" w:cs="Times New Roman"/>
          <w:noProof/>
          <w:szCs w:val="24"/>
        </w:rPr>
        <w:t xml:space="preserve"> far. Five were rejected after due diligence procedure, while for 5 applications final decisions on citizenship were issued and one passport has been issued so far in 2020 to a citizen of the Russian Federation. To the other applicants and their family mem</w:t>
      </w:r>
      <w:r>
        <w:rPr>
          <w:rFonts w:eastAsia="Calibri" w:cs="Times New Roman"/>
          <w:noProof/>
          <w:szCs w:val="24"/>
        </w:rPr>
        <w:t xml:space="preserve">bers, passports have not been issued yet due to the COVID-19 outbreak and the respective travel ban. The Commission will continue to monitor closely this scheme as it poses migratory risks, as well as </w:t>
      </w:r>
      <w:r>
        <w:rPr>
          <w:rFonts w:eastAsia="Times New Roman" w:cs="Times New Roman"/>
          <w:noProof/>
          <w:szCs w:val="24"/>
          <w:lang w:eastAsia="ar-SA"/>
        </w:rPr>
        <w:t>risks as regards security, money laundering, tax evasio</w:t>
      </w:r>
      <w:r>
        <w:rPr>
          <w:rFonts w:eastAsia="Times New Roman" w:cs="Times New Roman"/>
          <w:noProof/>
          <w:szCs w:val="24"/>
          <w:lang w:eastAsia="ar-SA"/>
        </w:rPr>
        <w:t>n, terrorist financing, corruption and infiltration by organised crime</w:t>
      </w:r>
      <w:r>
        <w:rPr>
          <w:rFonts w:eastAsia="Calibri" w:cs="Times New Roman"/>
          <w:noProof/>
          <w:szCs w:val="24"/>
        </w:rPr>
        <w:t>. As a candidate country, Montenegro should refrain from any measure that could jeopardise the attainment of the EU's objectives, when using its prerogatives to award nationality. In Dec</w:t>
      </w:r>
      <w:r>
        <w:rPr>
          <w:rFonts w:eastAsia="Calibri" w:cs="Times New Roman"/>
          <w:noProof/>
          <w:szCs w:val="24"/>
        </w:rPr>
        <w:t xml:space="preserve">ember 2019, Parliament enacted amendments to the </w:t>
      </w:r>
      <w:r>
        <w:rPr>
          <w:rStyle w:val="tlid-translation"/>
          <w:rFonts w:cs="Times New Roman"/>
          <w:noProof/>
          <w:szCs w:val="24"/>
        </w:rPr>
        <w:t>law on Montenegrin citizenship. These confirm the automatic eligibility for citizenship of the family members of successful applicants to the investor citizenship scheme as well as the eligibility of talente</w:t>
      </w:r>
      <w:r>
        <w:rPr>
          <w:rStyle w:val="tlid-translation"/>
          <w:rFonts w:cs="Times New Roman"/>
          <w:noProof/>
          <w:szCs w:val="24"/>
        </w:rPr>
        <w:t>d athletes and artists of minor age for citizenship.</w:t>
      </w:r>
    </w:p>
    <w:p w:rsidR="003C2144" w:rsidRDefault="00FB7959">
      <w:pPr>
        <w:pStyle w:val="Heading2"/>
        <w:spacing w:before="0" w:line="240" w:lineRule="auto"/>
        <w:rPr>
          <w:rFonts w:cs="Times New Roman"/>
          <w:noProof/>
          <w:szCs w:val="24"/>
        </w:rPr>
      </w:pPr>
      <w:bookmarkStart w:id="40" w:name="_Toc30080560"/>
      <w:bookmarkStart w:id="41" w:name="_Toc52744928"/>
      <w:r>
        <w:rPr>
          <w:rFonts w:cs="Times New Roman"/>
          <w:noProof/>
          <w:szCs w:val="24"/>
        </w:rPr>
        <w:t>2.2.2</w:t>
      </w:r>
      <w:r>
        <w:rPr>
          <w:rFonts w:cs="Times New Roman"/>
          <w:noProof/>
          <w:szCs w:val="24"/>
        </w:rPr>
        <w:tab/>
        <w:t>Chapter 24: Justice, freedom and security</w:t>
      </w:r>
      <w:bookmarkEnd w:id="40"/>
      <w:bookmarkEnd w:id="41"/>
      <w:r>
        <w:rPr>
          <w:rFonts w:cs="Times New Roman"/>
          <w:noProof/>
          <w:szCs w:val="24"/>
        </w:rPr>
        <w:t xml:space="preserve"> </w:t>
      </w:r>
    </w:p>
    <w:p w:rsidR="003C2144" w:rsidRDefault="00FB7959">
      <w:pPr>
        <w:widowControl w:val="0"/>
        <w:spacing w:after="120" w:line="240" w:lineRule="auto"/>
        <w:jc w:val="both"/>
        <w:rPr>
          <w:rFonts w:cs="Times New Roman"/>
          <w:i/>
          <w:iCs/>
          <w:noProof/>
          <w:szCs w:val="24"/>
        </w:rPr>
      </w:pPr>
      <w:r>
        <w:rPr>
          <w:rFonts w:cs="Times New Roman"/>
          <w:i/>
          <w:iCs/>
          <w:noProof/>
          <w:szCs w:val="24"/>
        </w:rPr>
        <w:t xml:space="preserve">The </w:t>
      </w:r>
      <w:r>
        <w:rPr>
          <w:rFonts w:cs="Times New Roman"/>
          <w:i/>
          <w:iCs/>
          <w:noProof/>
          <w:szCs w:val="24"/>
          <w:lang w:eastAsia="fr-FR" w:bidi="fr-FR"/>
        </w:rPr>
        <w:t xml:space="preserve">EU </w:t>
      </w:r>
      <w:r>
        <w:rPr>
          <w:rFonts w:cs="Times New Roman"/>
          <w:i/>
          <w:iCs/>
          <w:noProof/>
          <w:szCs w:val="24"/>
        </w:rPr>
        <w:t xml:space="preserve">has common rules for border control, visas, residence and work permits, external migration and asylum. Schengen cooperation entails lifting border </w:t>
      </w:r>
      <w:r>
        <w:rPr>
          <w:rFonts w:cs="Times New Roman"/>
          <w:i/>
          <w:iCs/>
          <w:noProof/>
          <w:szCs w:val="24"/>
        </w:rPr>
        <w:t xml:space="preserve">controls inside the </w:t>
      </w:r>
      <w:r>
        <w:rPr>
          <w:rFonts w:cs="Times New Roman"/>
          <w:i/>
          <w:iCs/>
          <w:noProof/>
          <w:szCs w:val="24"/>
          <w:lang w:eastAsia="fr-FR" w:bidi="fr-FR"/>
        </w:rPr>
        <w:t xml:space="preserve">EU. </w:t>
      </w:r>
      <w:r>
        <w:rPr>
          <w:rFonts w:cs="Times New Roman"/>
          <w:i/>
          <w:iCs/>
          <w:noProof/>
          <w:szCs w:val="24"/>
        </w:rPr>
        <w:t>EU Member States also cooperate with Montenegro in the fight against organised crime and terrorism, in judicial, police and custom matters and are supported by the EU Justice and Home Affairs Agencies.</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lang w:bidi="en-US"/>
        </w:rPr>
      </w:pPr>
      <w:r>
        <w:rPr>
          <w:rFonts w:eastAsia="Calibri" w:cs="Times New Roman"/>
          <w:noProof/>
          <w:szCs w:val="24"/>
          <w:lang w:bidi="en-US"/>
        </w:rPr>
        <w:t xml:space="preserve">Montenegro is </w:t>
      </w:r>
      <w:r>
        <w:rPr>
          <w:rFonts w:eastAsia="Calibri" w:cs="Times New Roman"/>
          <w:b/>
          <w:noProof/>
          <w:szCs w:val="24"/>
          <w:lang w:bidi="en-US"/>
        </w:rPr>
        <w:t>moderately prepa</w:t>
      </w:r>
      <w:r>
        <w:rPr>
          <w:rFonts w:eastAsia="Calibri" w:cs="Times New Roman"/>
          <w:b/>
          <w:noProof/>
          <w:szCs w:val="24"/>
          <w:lang w:bidi="en-US"/>
        </w:rPr>
        <w:t xml:space="preserve">red </w:t>
      </w:r>
      <w:r>
        <w:rPr>
          <w:rFonts w:eastAsia="Calibri" w:cs="Times New Roman"/>
          <w:noProof/>
          <w:szCs w:val="24"/>
          <w:lang w:bidi="en-US"/>
        </w:rPr>
        <w:t xml:space="preserve">in the area of justice, freedom and security. The legislative and institutional frameworks are now largely in place. </w:t>
      </w:r>
      <w:r>
        <w:rPr>
          <w:rFonts w:eastAsia="Calibri" w:cs="Times New Roman"/>
          <w:b/>
          <w:noProof/>
          <w:szCs w:val="24"/>
          <w:lang w:bidi="en-US"/>
        </w:rPr>
        <w:t>Some progress</w:t>
      </w:r>
      <w:r>
        <w:rPr>
          <w:rFonts w:eastAsia="Calibri" w:cs="Times New Roman"/>
          <w:noProof/>
          <w:szCs w:val="24"/>
          <w:lang w:bidi="en-US"/>
        </w:rPr>
        <w:t xml:space="preserve"> was achieved in addressing last year’s recommendations, in particular as regards adopting standard operating procedures on financial investigations and strengthening the institutional capacity in the area of migration, asylum and border management.</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lang w:bidi="en-US"/>
        </w:rPr>
      </w:pPr>
      <w:r>
        <w:rPr>
          <w:rFonts w:eastAsia="Calibri" w:cs="Times New Roman"/>
          <w:noProof/>
          <w:szCs w:val="24"/>
          <w:lang w:bidi="en-US"/>
        </w:rPr>
        <w:t>In the</w:t>
      </w:r>
      <w:r>
        <w:rPr>
          <w:rFonts w:eastAsia="Calibri" w:cs="Times New Roman"/>
          <w:noProof/>
          <w:szCs w:val="24"/>
          <w:lang w:bidi="en-US"/>
        </w:rPr>
        <w:t xml:space="preserve"> coming year, Montenegro should in particular:</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lang w:bidi="en-US"/>
        </w:rPr>
      </w:pPr>
      <w:r>
        <w:rPr>
          <w:rFonts w:eastAsia="MS Mincho" w:cs="Times New Roman"/>
          <w:iCs/>
          <w:noProof/>
          <w:szCs w:val="24"/>
          <w:lang w:bidi="en-US"/>
        </w:rPr>
        <w:t>review the legal and operational approach towards financial investigations, money laundering, asset recovery</w:t>
      </w:r>
      <w:r>
        <w:rPr>
          <w:rFonts w:eastAsia="Calibri" w:cs="Times New Roman"/>
          <w:noProof/>
          <w:szCs w:val="24"/>
          <w:lang w:bidi="en-US"/>
        </w:rPr>
        <w:t>, to align it with EU and international standards and practices;</w:t>
      </w:r>
      <w:r>
        <w:rPr>
          <w:rFonts w:eastAsia="MS Mincho" w:cs="Times New Roman"/>
          <w:iCs/>
          <w:noProof/>
          <w:szCs w:val="24"/>
          <w:lang w:bidi="en-US"/>
        </w:rPr>
        <w:t xml:space="preserve"> </w:t>
      </w:r>
      <w:r>
        <w:rPr>
          <w:rFonts w:eastAsia="Calibri" w:cs="Times New Roman"/>
          <w:iCs/>
          <w:noProof/>
          <w:szCs w:val="24"/>
          <w:lang w:bidi="en-US"/>
        </w:rPr>
        <w:t xml:space="preserve">establish an integrated approach </w:t>
      </w:r>
      <w:r>
        <w:rPr>
          <w:rFonts w:eastAsia="Calibri" w:cs="Times New Roman"/>
          <w:iCs/>
          <w:noProof/>
          <w:szCs w:val="24"/>
          <w:lang w:bidi="en-US"/>
        </w:rPr>
        <w:t>between all the bodies involved and provide them with the necessary legal and operational tools to create the conditions for establishing a convincing track record in this area;</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lang w:bidi="en-US"/>
        </w:rPr>
      </w:pPr>
      <w:r>
        <w:rPr>
          <w:rFonts w:eastAsia="Calibri" w:cs="Times New Roman"/>
          <w:iCs/>
          <w:noProof/>
          <w:szCs w:val="24"/>
          <w:lang w:bidi="en-US"/>
        </w:rPr>
        <w:t>take concrete measures to limit the use of plea bargains to exceptional cases,</w:t>
      </w:r>
      <w:r>
        <w:rPr>
          <w:rFonts w:eastAsia="Calibri" w:cs="Times New Roman"/>
          <w:iCs/>
          <w:noProof/>
          <w:szCs w:val="24"/>
          <w:lang w:bidi="en-US"/>
        </w:rPr>
        <w:t xml:space="preserve"> in order to enhance the transparency and the credibility of the judicial response to organised crime</w:t>
      </w:r>
      <w:r>
        <w:rPr>
          <w:rFonts w:eastAsia="Calibri" w:cs="Times New Roman"/>
          <w:noProof/>
          <w:szCs w:val="24"/>
          <w:lang w:bidi="en-US"/>
        </w:rPr>
        <w:t xml:space="preserve"> through a more deterrent and consistent sanctioning policy</w:t>
      </w:r>
      <w:r>
        <w:rPr>
          <w:rFonts w:eastAsia="Calibri" w:cs="Times New Roman"/>
          <w:iCs/>
          <w:noProof/>
          <w:szCs w:val="24"/>
          <w:lang w:bidi="en-US"/>
        </w:rPr>
        <w:t>;</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lang w:bidi="en-US"/>
        </w:rPr>
      </w:pPr>
      <w:r>
        <w:rPr>
          <w:rFonts w:eastAsia="Calibri" w:cs="Times New Roman"/>
          <w:noProof/>
          <w:szCs w:val="24"/>
          <w:lang w:bidi="en-US"/>
        </w:rPr>
        <w:t>further strengthen the capacity to deal with mixed migration flows and the integration of refu</w:t>
      </w:r>
      <w:r>
        <w:rPr>
          <w:rFonts w:eastAsia="Calibri" w:cs="Times New Roman"/>
          <w:noProof/>
          <w:szCs w:val="24"/>
          <w:lang w:bidi="en-US"/>
        </w:rPr>
        <w:t xml:space="preserve">gees; continue to increase human and material resources devoted to border management and the migrant registration system. </w:t>
      </w:r>
    </w:p>
    <w:p w:rsidR="003C2144" w:rsidRDefault="00FB7959">
      <w:pPr>
        <w:widowControl w:val="0"/>
        <w:spacing w:after="120" w:line="240" w:lineRule="auto"/>
        <w:jc w:val="both"/>
        <w:rPr>
          <w:rFonts w:eastAsia="MS Mincho" w:cs="Times New Roman"/>
          <w:noProof/>
          <w:szCs w:val="24"/>
          <w:lang w:bidi="en-US"/>
        </w:rPr>
      </w:pPr>
      <w:r>
        <w:rPr>
          <w:rFonts w:eastAsia="MS Mincho" w:cs="Times New Roman"/>
          <w:noProof/>
          <w:szCs w:val="24"/>
          <w:lang w:bidi="en-US"/>
        </w:rPr>
        <w:t xml:space="preserve">Montenegro continues to implement a detailed action plan on justice, freedom and security, which was adopted prior to the opening of </w:t>
      </w:r>
      <w:r>
        <w:rPr>
          <w:rFonts w:eastAsia="MS Mincho" w:cs="Times New Roman"/>
          <w:noProof/>
          <w:szCs w:val="24"/>
          <w:lang w:bidi="en-US"/>
        </w:rPr>
        <w:t>the accession negotiations on this chapter in December 2013.</w:t>
      </w:r>
    </w:p>
    <w:p w:rsidR="003C2144" w:rsidRDefault="00FB7959">
      <w:pPr>
        <w:widowControl w:val="0"/>
        <w:spacing w:after="120" w:line="240" w:lineRule="auto"/>
        <w:jc w:val="both"/>
        <w:rPr>
          <w:rFonts w:eastAsia="MS Mincho" w:cs="Times New Roman"/>
          <w:b/>
          <w:noProof/>
          <w:szCs w:val="24"/>
          <w:lang w:bidi="en-US"/>
        </w:rPr>
      </w:pPr>
      <w:r>
        <w:rPr>
          <w:rFonts w:eastAsia="MS Mincho" w:cs="Times New Roman"/>
          <w:b/>
          <w:noProof/>
          <w:szCs w:val="24"/>
          <w:lang w:bidi="en-US"/>
        </w:rPr>
        <w:t xml:space="preserve">Fight against organised crime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 xml:space="preserve">Montenegro has </w:t>
      </w:r>
      <w:r>
        <w:rPr>
          <w:rFonts w:cs="Times New Roman"/>
          <w:b/>
          <w:noProof/>
          <w:szCs w:val="24"/>
          <w:lang w:bidi="en-US"/>
        </w:rPr>
        <w:t>some level of preparation</w:t>
      </w:r>
      <w:r>
        <w:rPr>
          <w:rFonts w:cs="Times New Roman"/>
          <w:noProof/>
          <w:szCs w:val="24"/>
          <w:lang w:bidi="en-US"/>
        </w:rPr>
        <w:t xml:space="preserve">/is </w:t>
      </w:r>
      <w:r>
        <w:rPr>
          <w:rFonts w:cs="Times New Roman"/>
          <w:b/>
          <w:noProof/>
          <w:szCs w:val="24"/>
          <w:lang w:bidi="en-US"/>
        </w:rPr>
        <w:t>moderately prepared</w:t>
      </w:r>
      <w:r>
        <w:rPr>
          <w:rFonts w:cs="Times New Roman"/>
          <w:noProof/>
          <w:szCs w:val="24"/>
          <w:lang w:bidi="en-US"/>
        </w:rPr>
        <w:t xml:space="preserve"> in the fight against organised crime. </w:t>
      </w:r>
      <w:r>
        <w:rPr>
          <w:rFonts w:cs="Times New Roman"/>
          <w:b/>
          <w:noProof/>
          <w:szCs w:val="24"/>
          <w:lang w:bidi="en-US"/>
        </w:rPr>
        <w:t>Some progress</w:t>
      </w:r>
      <w:r>
        <w:rPr>
          <w:rFonts w:cs="Times New Roman"/>
          <w:noProof/>
          <w:szCs w:val="24"/>
          <w:lang w:bidi="en-US"/>
        </w:rPr>
        <w:t xml:space="preserve"> was made in addressing last year’s recommendatio</w:t>
      </w:r>
      <w:r>
        <w:rPr>
          <w:rFonts w:cs="Times New Roman"/>
          <w:noProof/>
          <w:szCs w:val="24"/>
          <w:lang w:bidi="en-US"/>
        </w:rPr>
        <w:t xml:space="preserve">ns, in particular as regards the creation of a centralised bank account register, a stronger capacity and professionalism of the police and an increased number of on-going proceedings on asset confiscation.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Good progress was achieved in establishing an in</w:t>
      </w:r>
      <w:r>
        <w:rPr>
          <w:rFonts w:cs="Times New Roman"/>
          <w:noProof/>
          <w:szCs w:val="24"/>
          <w:lang w:bidi="en-US"/>
        </w:rPr>
        <w:t>itial track record of investigations in the area of fight against trafficking in human beings and money laundering. Internal organisation and coordination of law-enforcement agencies was further improved, as reflected in the increasing number of investigat</w:t>
      </w:r>
      <w:r>
        <w:rPr>
          <w:rFonts w:cs="Times New Roman"/>
          <w:noProof/>
          <w:szCs w:val="24"/>
          <w:lang w:bidi="en-US"/>
        </w:rPr>
        <w:t xml:space="preserve">ions, arrests and seizures. However, Montenegro needs to address some horizontal systemic deficiencies in its criminal justice system, including the way organised crime cases are handled in the courts.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 xml:space="preserve">In the coming year, Montenegro should in particular: </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 xml:space="preserve">increase the efficiency of criminal investigations by: i. </w:t>
      </w:r>
      <w:r>
        <w:rPr>
          <w:rFonts w:cs="Times New Roman"/>
          <w:iCs/>
          <w:noProof/>
          <w:szCs w:val="24"/>
          <w:lang w:bidi="en-US"/>
        </w:rPr>
        <w:t>improving the access of law-enforcement agencies to key databases and establishing an interoperable system with a single search feature</w:t>
      </w:r>
      <w:r>
        <w:rPr>
          <w:rFonts w:cs="Times New Roman"/>
          <w:noProof/>
          <w:szCs w:val="24"/>
          <w:lang w:bidi="en-US"/>
        </w:rPr>
        <w:t xml:space="preserve">; ii. restoring the full use of special investigations </w:t>
      </w:r>
      <w:r>
        <w:rPr>
          <w:rFonts w:cs="Times New Roman"/>
          <w:noProof/>
          <w:szCs w:val="24"/>
          <w:lang w:bidi="en-US"/>
        </w:rPr>
        <w:t>measures (SIMs), in full respect of constitutional principles; and iii. increasing the number of investigators and experts in key areas such as financial investigations, cybercrime, forensic, SIMs.</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 xml:space="preserve">address the lengthy duration of trials and frequent </w:t>
      </w:r>
      <w:r>
        <w:rPr>
          <w:rFonts w:cs="Times New Roman"/>
          <w:noProof/>
          <w:szCs w:val="24"/>
          <w:lang w:bidi="en-US"/>
        </w:rPr>
        <w:t>adjournments in organised crime cases; ensure a stronger mutual understanding between courts and the prosecution on some key legal concepts such as money laundering and the quality of evidence;</w:t>
      </w:r>
    </w:p>
    <w:p w:rsidR="003C2144" w:rsidRDefault="00FB7959">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lang w:bidi="en-US"/>
        </w:rPr>
      </w:pPr>
      <w:r>
        <w:rPr>
          <w:rFonts w:cs="Times New Roman"/>
          <w:noProof/>
          <w:szCs w:val="24"/>
          <w:lang w:bidi="en-US"/>
        </w:rPr>
        <w:t>enhance the strategic monitoring of the criminal justice syste</w:t>
      </w:r>
      <w:r>
        <w:rPr>
          <w:rFonts w:cs="Times New Roman"/>
          <w:noProof/>
          <w:szCs w:val="24"/>
          <w:lang w:bidi="en-US"/>
        </w:rPr>
        <w:t>m by establishing a centralised database in the area of organised crime and high-level corruption, collected from all relevant authorities, for analysis and policy making purposes.</w:t>
      </w:r>
    </w:p>
    <w:p w:rsidR="003C2144" w:rsidRDefault="00FB7959">
      <w:pPr>
        <w:widowControl w:val="0"/>
        <w:spacing w:after="120" w:line="240" w:lineRule="auto"/>
        <w:jc w:val="both"/>
        <w:rPr>
          <w:rFonts w:cs="Times New Roman"/>
          <w:noProof/>
          <w:szCs w:val="24"/>
          <w:u w:val="single"/>
          <w:lang w:bidi="en-US"/>
        </w:rPr>
      </w:pPr>
      <w:r>
        <w:rPr>
          <w:rFonts w:cs="Times New Roman"/>
          <w:noProof/>
          <w:szCs w:val="24"/>
          <w:u w:val="single"/>
          <w:lang w:bidi="en-US"/>
        </w:rPr>
        <w:t>Institutional set-up and legal alignment</w:t>
      </w:r>
    </w:p>
    <w:p w:rsidR="003C2144" w:rsidRDefault="00FB7959">
      <w:pPr>
        <w:widowControl w:val="0"/>
        <w:spacing w:after="120" w:line="240" w:lineRule="auto"/>
        <w:jc w:val="both"/>
        <w:rPr>
          <w:rFonts w:eastAsia="Times New Roman" w:cs="Times New Roman"/>
          <w:noProof/>
          <w:szCs w:val="24"/>
        </w:rPr>
      </w:pPr>
      <w:r>
        <w:rPr>
          <w:rFonts w:eastAsia="Times New Roman" w:cs="Times New Roman"/>
          <w:noProof/>
          <w:szCs w:val="24"/>
        </w:rPr>
        <w:t xml:space="preserve">The number of police officers was </w:t>
      </w:r>
      <w:r>
        <w:rPr>
          <w:rFonts w:eastAsia="Times New Roman" w:cs="Times New Roman"/>
          <w:noProof/>
          <w:szCs w:val="24"/>
        </w:rPr>
        <w:t>reduced to 4,537, from 5,400 in 2018. The ratio of police officers remains high at 517/100,000 inhabitants (for an EU average of 326/100,000 in 2017 according to Eurostat), but, unlike most EU Member States, Montenegro includes in the police the border gua</w:t>
      </w:r>
      <w:r>
        <w:rPr>
          <w:rFonts w:eastAsia="Times New Roman" w:cs="Times New Roman"/>
          <w:noProof/>
          <w:szCs w:val="24"/>
        </w:rPr>
        <w:t xml:space="preserve">rds (1,321 staff members), non-operational staff such as advisors and officers without police rank. </w:t>
      </w:r>
    </w:p>
    <w:p w:rsidR="003C2144" w:rsidRDefault="00FB7959">
      <w:pPr>
        <w:widowControl w:val="0"/>
        <w:spacing w:after="120" w:line="240" w:lineRule="auto"/>
        <w:jc w:val="both"/>
        <w:rPr>
          <w:rFonts w:cs="Times New Roman"/>
          <w:noProof/>
          <w:szCs w:val="24"/>
          <w:u w:val="single"/>
          <w:lang w:bidi="en-US"/>
        </w:rPr>
      </w:pPr>
      <w:r>
        <w:rPr>
          <w:rFonts w:eastAsia="Times New Roman" w:cs="Times New Roman"/>
          <w:noProof/>
          <w:szCs w:val="24"/>
        </w:rPr>
        <w:t xml:space="preserve">The two key </w:t>
      </w:r>
      <w:r>
        <w:rPr>
          <w:rFonts w:eastAsia="Times New Roman" w:cs="Times New Roman"/>
          <w:b/>
          <w:noProof/>
          <w:szCs w:val="24"/>
        </w:rPr>
        <w:t>institutions</w:t>
      </w:r>
      <w:r>
        <w:rPr>
          <w:rFonts w:eastAsia="Times New Roman" w:cs="Times New Roman"/>
          <w:noProof/>
          <w:szCs w:val="24"/>
        </w:rPr>
        <w:t xml:space="preserve"> in the fight against organised crime, the Special Prosecutor’s Office for organised crime and high</w:t>
      </w:r>
      <w:r>
        <w:rPr>
          <w:rFonts w:eastAsia="Times New Roman" w:cs="Times New Roman"/>
          <w:noProof/>
          <w:szCs w:val="24"/>
        </w:rPr>
        <w:noBreakHyphen/>
        <w:t xml:space="preserve">level corruption (SPO) and the </w:t>
      </w:r>
      <w:r>
        <w:rPr>
          <w:rFonts w:eastAsia="Times New Roman" w:cs="Times New Roman"/>
          <w:noProof/>
          <w:szCs w:val="24"/>
        </w:rPr>
        <w:t xml:space="preserve">Special Police Unit (SPU) have stabilised their staff around 46 and 32 staff members respectively, including 14 Special Prosecutors in the SPO. The poor office conditions, hampering the efficient functioning of the SPO, remain unaddressed.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The Police Dire</w:t>
      </w:r>
      <w:r>
        <w:rPr>
          <w:rFonts w:eastAsia="Times New Roman" w:cs="Times New Roman"/>
          <w:noProof/>
          <w:szCs w:val="24"/>
        </w:rPr>
        <w:t>ctorate was re-organised into eight departments in April 2019. An entire department is now devoted to the fight against organised crime, encompassing the SPU and four other units. It totals 92 positions, of which 70 are currently filled. With clearer lines</w:t>
      </w:r>
      <w:r>
        <w:rPr>
          <w:rFonts w:eastAsia="Times New Roman" w:cs="Times New Roman"/>
          <w:noProof/>
          <w:szCs w:val="24"/>
        </w:rPr>
        <w:t xml:space="preserve"> of command, this department provides stronger and more coordinated resources in support to SPO-led investigations into organised crime. Operational capacity was increased in all departments, some functions were decentralised and the responsibility of regi</w:t>
      </w:r>
      <w:r>
        <w:rPr>
          <w:rFonts w:eastAsia="Times New Roman" w:cs="Times New Roman"/>
          <w:noProof/>
          <w:szCs w:val="24"/>
        </w:rPr>
        <w:t>onal police offices strengthened. However, human resources are still insufficient to cope with the workload in the SPU and other key units. The police needs more senior investigators for organised crime, drug smuggling, specialists in charge of special inv</w:t>
      </w:r>
      <w:r>
        <w:rPr>
          <w:rFonts w:eastAsia="Times New Roman" w:cs="Times New Roman"/>
          <w:noProof/>
          <w:szCs w:val="24"/>
        </w:rPr>
        <w:t xml:space="preserve">estigative measures, experts in cybercrime, economic crime and forensics. </w:t>
      </w:r>
    </w:p>
    <w:p w:rsidR="003C2144" w:rsidRDefault="00FB7959">
      <w:pPr>
        <w:spacing w:after="120" w:line="240" w:lineRule="auto"/>
        <w:jc w:val="both"/>
        <w:rPr>
          <w:rFonts w:eastAsia="Times New Roman" w:cs="Times New Roman"/>
          <w:bCs/>
          <w:noProof/>
          <w:szCs w:val="24"/>
        </w:rPr>
      </w:pPr>
      <w:r>
        <w:rPr>
          <w:rFonts w:eastAsia="Times New Roman" w:cs="Times New Roman"/>
          <w:noProof/>
          <w:szCs w:val="24"/>
        </w:rPr>
        <w:t>The Administration for the Prevention of Money Laundering and Terrorism Financing (</w:t>
      </w:r>
      <w:r>
        <w:rPr>
          <w:rFonts w:eastAsia="Times New Roman" w:cs="Times New Roman"/>
          <w:bCs/>
          <w:noProof/>
          <w:szCs w:val="24"/>
        </w:rPr>
        <w:t>or Financial Intelligence Unit - FIU</w:t>
      </w:r>
      <w:r>
        <w:rPr>
          <w:rFonts w:eastAsia="Times New Roman" w:cs="Times New Roman"/>
          <w:noProof/>
          <w:szCs w:val="24"/>
        </w:rPr>
        <w:t>) was integrated in the police. It has 30 positions, including</w:t>
      </w:r>
      <w:r>
        <w:rPr>
          <w:rFonts w:eastAsia="Times New Roman" w:cs="Times New Roman"/>
          <w:noProof/>
          <w:szCs w:val="24"/>
        </w:rPr>
        <w:t xml:space="preserve"> 17 dealing directly with cases (from 10 in the previous FIU). </w:t>
      </w:r>
      <w:r>
        <w:rPr>
          <w:rFonts w:eastAsia="Times New Roman" w:cs="Times New Roman"/>
          <w:bCs/>
          <w:noProof/>
          <w:szCs w:val="24"/>
        </w:rPr>
        <w:t>The FIU applied to restore its membership in the Egmont Group, which was cancelled when the FIU ceased to exist under its previous legal form. In the meantime, Montenegro uses judicial cooperat</w:t>
      </w:r>
      <w:r>
        <w:rPr>
          <w:rFonts w:eastAsia="Times New Roman" w:cs="Times New Roman"/>
          <w:bCs/>
          <w:noProof/>
          <w:szCs w:val="24"/>
        </w:rPr>
        <w:t>ion, Interpol and Europol communication channels to access to international intelligence on money laundering.</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April 2019, an </w:t>
      </w:r>
      <w:r>
        <w:rPr>
          <w:rFonts w:eastAsia="Times New Roman" w:cs="Times New Roman"/>
          <w:b/>
          <w:noProof/>
          <w:szCs w:val="24"/>
        </w:rPr>
        <w:t>Asset Recovery Office</w:t>
      </w:r>
      <w:r>
        <w:rPr>
          <w:rFonts w:eastAsia="Times New Roman" w:cs="Times New Roman"/>
          <w:noProof/>
          <w:szCs w:val="24"/>
        </w:rPr>
        <w:t xml:space="preserve"> (ARO)was formally established within the police. Five police officers are entitled to process asset recove</w:t>
      </w:r>
      <w:r>
        <w:rPr>
          <w:rFonts w:eastAsia="Times New Roman" w:cs="Times New Roman"/>
          <w:noProof/>
          <w:szCs w:val="24"/>
        </w:rPr>
        <w:t xml:space="preserve">ry </w:t>
      </w:r>
      <w:r>
        <w:rPr>
          <w:rFonts w:eastAsia="Times New Roman" w:cs="Times New Roman"/>
          <w:iCs/>
          <w:noProof/>
          <w:szCs w:val="24"/>
        </w:rPr>
        <w:t>requests sent by national or foreign authorities, to identify and locate criminal assets</w:t>
      </w:r>
      <w:r>
        <w:rPr>
          <w:rFonts w:eastAsia="Times New Roman" w:cs="Times New Roman"/>
          <w:noProof/>
          <w:szCs w:val="24"/>
        </w:rPr>
        <w:t>. They have direct electronic access to some, but not all, police and civil databases. To access to other databases, a formal request is needed. The ARO acts as a co</w:t>
      </w:r>
      <w:r>
        <w:rPr>
          <w:rFonts w:eastAsia="Times New Roman" w:cs="Times New Roman"/>
          <w:noProof/>
          <w:szCs w:val="24"/>
        </w:rPr>
        <w:t>ntact point for foreign AROs</w:t>
      </w:r>
      <w:r>
        <w:rPr>
          <w:rFonts w:eastAsia="Times New Roman" w:cs="Times New Roman"/>
          <w:bCs/>
          <w:noProof/>
          <w:szCs w:val="24"/>
        </w:rPr>
        <w:t xml:space="preserve"> and for the Camden Asset Recovery Inter-agency Network</w:t>
      </w:r>
      <w:r>
        <w:rPr>
          <w:rFonts w:eastAsia="Times New Roman" w:cs="Times New Roman"/>
          <w:b/>
          <w:bCs/>
          <w:noProof/>
          <w:szCs w:val="24"/>
        </w:rPr>
        <w:t xml:space="preserve"> (</w:t>
      </w:r>
      <w:r>
        <w:rPr>
          <w:rFonts w:eastAsia="Times New Roman" w:cs="Times New Roman"/>
          <w:bCs/>
          <w:noProof/>
          <w:szCs w:val="24"/>
        </w:rPr>
        <w:t>CARIN)</w:t>
      </w:r>
      <w:r>
        <w:rPr>
          <w:rFonts w:eastAsia="Times New Roman" w:cs="Times New Roman"/>
          <w:noProof/>
          <w:szCs w:val="24"/>
        </w:rPr>
        <w:t xml:space="preserve">, while the Prosecution is responsible for the freezing and recovery of assets. Further alignment with the relevant EU </w:t>
      </w:r>
      <w:r>
        <w:rPr>
          <w:rFonts w:eastAsia="Times New Roman" w:cs="Times New Roman"/>
          <w:i/>
          <w:noProof/>
          <w:szCs w:val="24"/>
        </w:rPr>
        <w:t>acquis</w:t>
      </w:r>
      <w:r>
        <w:rPr>
          <w:rFonts w:eastAsia="Times New Roman" w:cs="Times New Roman"/>
          <w:noProof/>
          <w:szCs w:val="24"/>
        </w:rPr>
        <w:t>, including the direct access to all rel</w:t>
      </w:r>
      <w:r>
        <w:rPr>
          <w:rFonts w:eastAsia="Times New Roman" w:cs="Times New Roman"/>
          <w:noProof/>
          <w:szCs w:val="24"/>
        </w:rPr>
        <w:t xml:space="preserve">evant databases and keeping them up to date (e.g. the national land registry) is needed. </w:t>
      </w:r>
    </w:p>
    <w:p w:rsidR="003C2144" w:rsidRDefault="00FB7959">
      <w:pPr>
        <w:spacing w:after="120" w:line="240" w:lineRule="auto"/>
        <w:jc w:val="both"/>
        <w:rPr>
          <w:rFonts w:eastAsia="Times New Roman" w:cs="Times New Roman"/>
          <w:bCs/>
          <w:noProof/>
          <w:szCs w:val="24"/>
        </w:rPr>
      </w:pPr>
      <w:r>
        <w:rPr>
          <w:rFonts w:eastAsia="Times New Roman" w:cs="Times New Roman"/>
          <w:b/>
          <w:noProof/>
          <w:szCs w:val="24"/>
        </w:rPr>
        <w:t xml:space="preserve">The </w:t>
      </w:r>
      <w:r>
        <w:rPr>
          <w:rFonts w:eastAsia="Times New Roman" w:cs="Times New Roman"/>
          <w:b/>
          <w:bCs/>
          <w:noProof/>
          <w:szCs w:val="24"/>
        </w:rPr>
        <w:t>legal framework</w:t>
      </w:r>
      <w:r>
        <w:rPr>
          <w:rFonts w:eastAsia="Times New Roman" w:cs="Times New Roman"/>
          <w:b/>
          <w:noProof/>
          <w:szCs w:val="24"/>
        </w:rPr>
        <w:t xml:space="preserve"> </w:t>
      </w:r>
      <w:r>
        <w:rPr>
          <w:rFonts w:eastAsia="Times New Roman" w:cs="Times New Roman"/>
          <w:noProof/>
          <w:szCs w:val="24"/>
        </w:rPr>
        <w:t xml:space="preserve">for the fight against organised crime is largely in place and aligned with the EU </w:t>
      </w:r>
      <w:r>
        <w:rPr>
          <w:rFonts w:eastAsia="Times New Roman" w:cs="Times New Roman"/>
          <w:i/>
          <w:noProof/>
          <w:szCs w:val="24"/>
        </w:rPr>
        <w:t>acquis</w:t>
      </w:r>
      <w:r>
        <w:rPr>
          <w:rFonts w:eastAsia="Times New Roman" w:cs="Times New Roman"/>
          <w:noProof/>
          <w:szCs w:val="24"/>
        </w:rPr>
        <w:t>.</w:t>
      </w:r>
      <w:r>
        <w:rPr>
          <w:rFonts w:eastAsia="Times New Roman" w:cs="Times New Roman"/>
          <w:b/>
          <w:noProof/>
          <w:szCs w:val="24"/>
        </w:rPr>
        <w:t xml:space="preserve"> </w:t>
      </w:r>
      <w:r>
        <w:rPr>
          <w:rFonts w:eastAsia="Times New Roman" w:cs="Times New Roman"/>
          <w:noProof/>
          <w:szCs w:val="24"/>
        </w:rPr>
        <w:t xml:space="preserve">In December 2019, Montenegro once again amended its Law </w:t>
      </w:r>
      <w:r>
        <w:rPr>
          <w:rFonts w:eastAsia="Times New Roman" w:cs="Times New Roman"/>
          <w:noProof/>
          <w:szCs w:val="24"/>
        </w:rPr>
        <w:t xml:space="preserve">on prevention of money laundering and terrorism financing, in order to reflect the changes in the FIU’s institutional setting, and to ensure the compliance with FATF (Financial Action Task Force) recommendations related to FIU's </w:t>
      </w:r>
      <w:r>
        <w:rPr>
          <w:rFonts w:eastAsia="Times New Roman" w:cs="Times New Roman"/>
          <w:bCs/>
          <w:noProof/>
          <w:szCs w:val="24"/>
        </w:rPr>
        <w:t>independence.</w:t>
      </w:r>
      <w:r>
        <w:rPr>
          <w:rFonts w:eastAsia="Times New Roman" w:cs="Times New Roman"/>
          <w:noProof/>
          <w:szCs w:val="24"/>
        </w:rPr>
        <w:t xml:space="preserve"> However, the </w:t>
      </w:r>
      <w:r>
        <w:rPr>
          <w:rFonts w:eastAsia="Times New Roman" w:cs="Times New Roman"/>
          <w:noProof/>
          <w:szCs w:val="24"/>
        </w:rPr>
        <w:t xml:space="preserve">law will need to be amended again, to address remaining shortcomings and to align it with the 5th EU Anti-Money Laundering Directive. </w:t>
      </w:r>
      <w:r>
        <w:rPr>
          <w:rFonts w:eastAsia="Times New Roman" w:cs="Times New Roman"/>
          <w:bCs/>
          <w:noProof/>
          <w:szCs w:val="24"/>
        </w:rPr>
        <w:t>In May 2020, the Committee of experts on the evaluation of anti-money laundering measures and the financing of terrorism (</w:t>
      </w:r>
      <w:r>
        <w:rPr>
          <w:rFonts w:eastAsia="Times New Roman" w:cs="Times New Roman"/>
          <w:bCs/>
          <w:noProof/>
          <w:szCs w:val="24"/>
        </w:rPr>
        <w:t xml:space="preserve">MONEYVAL) formally removed Montenegro from the fourth round’s regular follow-up process, considering that the country had taken sufficient steps to remedy deficiencies that had been identified in 2015.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Following a Constitutional Court ruling from 2018, a </w:t>
      </w:r>
      <w:r>
        <w:rPr>
          <w:rFonts w:eastAsia="Times New Roman" w:cs="Times New Roman"/>
          <w:noProof/>
          <w:szCs w:val="24"/>
        </w:rPr>
        <w:t>number of Special Investigative Measures (SIMs), that are key for conducting criminal investigations, are no longer applicable. The prosecution is deprived of using undercover activities or the so-called “controlled delivery” when a consignment of drugs is</w:t>
      </w:r>
      <w:r>
        <w:rPr>
          <w:rFonts w:eastAsia="Times New Roman" w:cs="Times New Roman"/>
          <w:noProof/>
          <w:szCs w:val="24"/>
        </w:rPr>
        <w:t xml:space="preserve"> detected and allowed to go forward in order to secure evidence against the perpetrators. This seriously hampers the fight against serious and organised crime. Restoring a full use of SIMs, in full respect of constitutional principles, should be ensured as</w:t>
      </w:r>
      <w:r>
        <w:rPr>
          <w:rFonts w:eastAsia="Times New Roman" w:cs="Times New Roman"/>
          <w:noProof/>
          <w:szCs w:val="24"/>
        </w:rPr>
        <w:t xml:space="preserve"> a matter of priority.</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the area of security, Montenegro adopted in October 2019 a Law on critical infrastructures, aligning with the EU </w:t>
      </w:r>
      <w:r>
        <w:rPr>
          <w:rFonts w:eastAsia="Times New Roman" w:cs="Times New Roman"/>
          <w:i/>
          <w:noProof/>
          <w:szCs w:val="24"/>
        </w:rPr>
        <w:t xml:space="preserve">acquis </w:t>
      </w:r>
      <w:r>
        <w:rPr>
          <w:rFonts w:eastAsia="Times New Roman" w:cs="Times New Roman"/>
          <w:bCs/>
          <w:noProof/>
          <w:szCs w:val="24"/>
        </w:rPr>
        <w:t>on the identification, designation and protection of critical infrastructures. The list of infrastructures ide</w:t>
      </w:r>
      <w:r>
        <w:rPr>
          <w:rFonts w:eastAsia="Times New Roman" w:cs="Times New Roman"/>
          <w:bCs/>
          <w:noProof/>
          <w:szCs w:val="24"/>
        </w:rPr>
        <w:t xml:space="preserve">ntified as critical for the State security is yet to be determined. </w:t>
      </w:r>
      <w:r>
        <w:rPr>
          <w:rFonts w:eastAsia="Times New Roman" w:cs="Times New Roman"/>
          <w:noProof/>
          <w:szCs w:val="24"/>
        </w:rPr>
        <w:t xml:space="preserve">The draft Law on internal affairs, which has been under preparation for three years, has yet to be adopted. </w:t>
      </w:r>
    </w:p>
    <w:p w:rsidR="003C2144" w:rsidRDefault="00FB7959">
      <w:pPr>
        <w:widowControl w:val="0"/>
        <w:spacing w:after="120" w:line="240" w:lineRule="auto"/>
        <w:jc w:val="both"/>
        <w:rPr>
          <w:rFonts w:cs="Times New Roman"/>
          <w:noProof/>
          <w:szCs w:val="24"/>
          <w:u w:val="single"/>
          <w:lang w:bidi="en-US"/>
        </w:rPr>
      </w:pPr>
      <w:r>
        <w:rPr>
          <w:rFonts w:cs="Times New Roman"/>
          <w:noProof/>
          <w:szCs w:val="24"/>
          <w:u w:val="single"/>
          <w:lang w:bidi="en-US"/>
        </w:rPr>
        <w:t>Implementation and enforcement capacity</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The SPO conducted 31 investigations tar</w:t>
      </w:r>
      <w:r>
        <w:rPr>
          <w:rFonts w:eastAsia="Times New Roman" w:cs="Times New Roman"/>
          <w:noProof/>
          <w:szCs w:val="24"/>
        </w:rPr>
        <w:t>geting 293 people in 2019. Some 95 people were indicted for organised crime offences. Final convictions were pronounced regarding 67 people in 2019, of which 62 were convicted based on plea bargains. Sentences in the context of plea bargains ranged from th</w:t>
      </w:r>
      <w:r>
        <w:rPr>
          <w:rFonts w:eastAsia="Times New Roman" w:cs="Times New Roman"/>
          <w:noProof/>
          <w:szCs w:val="24"/>
        </w:rPr>
        <w:t>ree months of in-house imprisonment to two years of imprisonment and fines from 1,000 to 50,000 euros. In addition, up to 45 investigations were launched in relation to serious crime, a large majority of which in the area of drug trafficking; 62 final conv</w:t>
      </w:r>
      <w:r>
        <w:rPr>
          <w:rFonts w:eastAsia="Times New Roman" w:cs="Times New Roman"/>
          <w:noProof/>
          <w:szCs w:val="24"/>
        </w:rPr>
        <w:t xml:space="preserve">ictions for serious crimes were pronounced, all based on plea bargains, with sentences from three months of in-house imprisonment to two years of imprisonment.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The criminal scene in Montenegro remains dominated </w:t>
      </w:r>
      <w:r>
        <w:rPr>
          <w:rFonts w:eastAsia="Times New Roman" w:cs="Times New Roman"/>
          <w:bCs/>
          <w:noProof/>
          <w:szCs w:val="24"/>
        </w:rPr>
        <w:t>by</w:t>
      </w:r>
      <w:r>
        <w:rPr>
          <w:rFonts w:eastAsia="Times New Roman" w:cs="Times New Roman"/>
          <w:noProof/>
          <w:szCs w:val="24"/>
        </w:rPr>
        <w:t xml:space="preserve"> frequent gang-related murders (up to 44 g</w:t>
      </w:r>
      <w:r>
        <w:rPr>
          <w:rFonts w:eastAsia="Times New Roman" w:cs="Times New Roman"/>
          <w:noProof/>
          <w:szCs w:val="24"/>
        </w:rPr>
        <w:t>angs-related murders since 2012, including six in 2019 and two in the first three months of 2020). Homicides involving Montenegrin criminal groups have also occurred abroad (9 since 2018) including in Spain, Germany, Austria and Greece. At the same time, t</w:t>
      </w:r>
      <w:r>
        <w:rPr>
          <w:rFonts w:eastAsia="Times New Roman" w:cs="Times New Roman"/>
          <w:noProof/>
          <w:szCs w:val="24"/>
        </w:rPr>
        <w:t>he number of arrests of members of crime groups reached the unprecedented number of 333 people from 2018 to the first quarter of 2020, including 19 arrested abroad.</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general, the number of investigations and prosecutions for serious and organised crimes </w:t>
      </w:r>
      <w:r>
        <w:rPr>
          <w:rFonts w:eastAsia="Times New Roman" w:cs="Times New Roman"/>
          <w:noProof/>
          <w:szCs w:val="24"/>
        </w:rPr>
        <w:t>has increased exponentially in 2018-2019 compared with 2016-2017, by respectively 150% and 100%. This reflects the positive impact of the coordinated work of the SPO and SPU, an increased capacity to address drug smuggling, and good international police an</w:t>
      </w:r>
      <w:r>
        <w:rPr>
          <w:rFonts w:eastAsia="Times New Roman" w:cs="Times New Roman"/>
          <w:noProof/>
          <w:szCs w:val="24"/>
        </w:rPr>
        <w:t>d judicial cooperation. At the same time, the whole criminal justice system needs to become more efficient, operational and deterrent, including the way organised crime cases are handled in courts. Court proceedings are excessively lengthy, as multiple adj</w:t>
      </w:r>
      <w:r>
        <w:rPr>
          <w:rFonts w:eastAsia="Times New Roman" w:cs="Times New Roman"/>
          <w:noProof/>
          <w:szCs w:val="24"/>
        </w:rPr>
        <w:t>ournments are frequent. These long delays, but also the lack of trust between the prosecution and the courts, following some controversial acquittals in recent years, have led to a widespread use of plea bargains by the Prosecution. A suspected criminal, w</w:t>
      </w:r>
      <w:r>
        <w:rPr>
          <w:rFonts w:eastAsia="Times New Roman" w:cs="Times New Roman"/>
          <w:noProof/>
          <w:szCs w:val="24"/>
        </w:rPr>
        <w:t>ho becomes a cooperative witness in the investigation, is exempted from legal proceedings, notwithstanding the gravity of the offence. As a result, despite some noticeable exceptions, the criminal justice response appears generally lenient, with sentences,</w:t>
      </w:r>
      <w:r>
        <w:rPr>
          <w:rFonts w:eastAsia="Times New Roman" w:cs="Times New Roman"/>
          <w:noProof/>
          <w:szCs w:val="24"/>
        </w:rPr>
        <w:t xml:space="preserve"> fines and asset confiscations disproportionally low compared with the gravity of the crime.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Montenegro needs to establish as a matter of priority a centralised database in the area of organised crime and high-level corruption, collecting data from all re</w:t>
      </w:r>
      <w:r>
        <w:rPr>
          <w:rFonts w:eastAsia="Times New Roman" w:cs="Times New Roman"/>
          <w:noProof/>
          <w:szCs w:val="24"/>
        </w:rPr>
        <w:t>levant authorities, for strategic monitoring and policy-making purposes. Montenegro has a national SOCTA (Serious and Organised Crime Threat Assessment), but it needs to be used more strategically to guide operational priorities in the fight against organi</w:t>
      </w:r>
      <w:r>
        <w:rPr>
          <w:rFonts w:eastAsia="Times New Roman" w:cs="Times New Roman"/>
          <w:noProof/>
          <w:szCs w:val="24"/>
        </w:rPr>
        <w:t>sed crime.</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The Ministry of Interior continues to work on technical solutions to improve the </w:t>
      </w:r>
      <w:r>
        <w:rPr>
          <w:rFonts w:eastAsia="Times New Roman" w:cs="Times New Roman"/>
          <w:b/>
          <w:noProof/>
          <w:szCs w:val="24"/>
        </w:rPr>
        <w:t>access of law</w:t>
      </w:r>
      <w:r>
        <w:rPr>
          <w:rFonts w:eastAsia="Times New Roman" w:cs="Times New Roman"/>
          <w:b/>
          <w:noProof/>
          <w:szCs w:val="24"/>
        </w:rPr>
        <w:noBreakHyphen/>
        <w:t>enforcement agencies to key databases</w:t>
      </w:r>
      <w:r>
        <w:rPr>
          <w:rFonts w:eastAsia="Times New Roman" w:cs="Times New Roman"/>
          <w:noProof/>
          <w:szCs w:val="24"/>
        </w:rPr>
        <w:t>.</w:t>
      </w:r>
      <w:r>
        <w:rPr>
          <w:rFonts w:eastAsia="Times New Roman" w:cs="Times New Roman"/>
          <w:b/>
          <w:noProof/>
          <w:szCs w:val="24"/>
        </w:rPr>
        <w:t xml:space="preserve"> </w:t>
      </w:r>
      <w:r>
        <w:rPr>
          <w:rFonts w:eastAsia="Times New Roman" w:cs="Times New Roman"/>
          <w:noProof/>
          <w:szCs w:val="24"/>
        </w:rPr>
        <w:t>This access is currently insufficient and continues to hamper the proactivity and efficiency of investigations.</w:t>
      </w:r>
      <w:r>
        <w:rPr>
          <w:rFonts w:eastAsia="Times New Roman" w:cs="Times New Roman"/>
          <w:noProof/>
          <w:szCs w:val="24"/>
        </w:rPr>
        <w:t xml:space="preserve"> The department in charge of the fight against organised crime currently does not have direct access to Europol’s SIENA secure communication channel, as the Europol contact point is located in another department of the police, but this access is being esta</w:t>
      </w:r>
      <w:r>
        <w:rPr>
          <w:rFonts w:eastAsia="Times New Roman" w:cs="Times New Roman"/>
          <w:noProof/>
          <w:szCs w:val="24"/>
        </w:rPr>
        <w:t>blished. A secure communication mechanism established in 2017 between several key institutions has increased the number of exchanges, but it can be used only for low security messages, and it does not include the national land registry and the Central Bank</w:t>
      </w:r>
      <w:r>
        <w:rPr>
          <w:rFonts w:eastAsia="Times New Roman" w:cs="Times New Roman"/>
          <w:noProof/>
          <w:szCs w:val="24"/>
        </w:rPr>
        <w:t xml:space="preserve">. Only the FIU has a direct and automatic access to the Central Bank’s databases, as provided under the relevant EU </w:t>
      </w:r>
      <w:r>
        <w:rPr>
          <w:rFonts w:eastAsia="Times New Roman" w:cs="Times New Roman"/>
          <w:i/>
          <w:noProof/>
          <w:szCs w:val="24"/>
        </w:rPr>
        <w:t>acquis</w:t>
      </w:r>
      <w:r>
        <w:rPr>
          <w:rFonts w:eastAsia="Times New Roman" w:cs="Times New Roman"/>
          <w:noProof/>
          <w:szCs w:val="24"/>
        </w:rPr>
        <w:t>. The establishment of a single search feature and interoperable databases are crucial to boost the efficiency of investigations and a</w:t>
      </w:r>
      <w:r>
        <w:rPr>
          <w:rFonts w:eastAsia="Times New Roman" w:cs="Times New Roman"/>
          <w:noProof/>
          <w:szCs w:val="24"/>
        </w:rPr>
        <w:t xml:space="preserve">lign with modern EU police practices. </w:t>
      </w:r>
    </w:p>
    <w:p w:rsidR="003C2144" w:rsidRDefault="00FB7959">
      <w:pPr>
        <w:spacing w:after="120" w:line="240" w:lineRule="auto"/>
        <w:jc w:val="both"/>
        <w:rPr>
          <w:rFonts w:eastAsia="Times New Roman" w:cs="Times New Roman"/>
          <w:noProof/>
          <w:szCs w:val="24"/>
        </w:rPr>
      </w:pPr>
      <w:r>
        <w:rPr>
          <w:rFonts w:eastAsia="Times New Roman" w:cs="Times New Roman"/>
          <w:b/>
          <w:bCs/>
          <w:noProof/>
          <w:szCs w:val="24"/>
        </w:rPr>
        <w:t>International police cooperation</w:t>
      </w:r>
      <w:r>
        <w:rPr>
          <w:rFonts w:eastAsia="Times New Roman" w:cs="Times New Roman"/>
          <w:noProof/>
          <w:szCs w:val="24"/>
        </w:rPr>
        <w:t xml:space="preserve"> continued to play a strategic role in the fight against Montenegrin crime groups, whose members often live and operate outside Montenegro. The number of communications (59,337) exchang</w:t>
      </w:r>
      <w:r>
        <w:rPr>
          <w:rFonts w:eastAsia="Times New Roman" w:cs="Times New Roman"/>
          <w:noProof/>
          <w:szCs w:val="24"/>
        </w:rPr>
        <w:t>ed with foreign police services through Interpol rose by 40% compared with 2018. The number of communications exchanged through Europol reached 4,488, a 9% increase compared with 2018. Montenegro has an observer status in the European Network of Fugitive A</w:t>
      </w:r>
      <w:r>
        <w:rPr>
          <w:rFonts w:eastAsia="Times New Roman" w:cs="Times New Roman"/>
          <w:noProof/>
          <w:szCs w:val="24"/>
        </w:rPr>
        <w:t>ctive Search Units (ENFAST), providing support in the search of wanted fugitives. In 2019, eight members of Montenegrin crime groups were arrested abroad, based on arrest warrants. 18 Montenegrin fugitives are currently targeted by an active search. In 201</w:t>
      </w:r>
      <w:r>
        <w:rPr>
          <w:rFonts w:eastAsia="Times New Roman" w:cs="Times New Roman"/>
          <w:noProof/>
          <w:szCs w:val="24"/>
        </w:rPr>
        <w:t>9, the cooperation was particularly important with the police services of Germany, Austria, the Netherlands and the United States. Montenegro is actively involved in Europol’s analytical and operational projects, which has been instrumental for some succes</w:t>
      </w:r>
      <w:r>
        <w:rPr>
          <w:rFonts w:eastAsia="Times New Roman" w:cs="Times New Roman"/>
          <w:noProof/>
          <w:szCs w:val="24"/>
        </w:rPr>
        <w:t xml:space="preserve">sful police operations. It is also increasingly participating in the activities under the EU Policy Cycle / EMPACT (European Multidisciplinary Platform against Criminal Threats). </w:t>
      </w:r>
      <w:r>
        <w:rPr>
          <w:rFonts w:eastAsia="Times New Roman" w:cs="Times New Roman"/>
          <w:iCs/>
          <w:noProof/>
          <w:szCs w:val="24"/>
        </w:rPr>
        <w:t>In 2019, the number of new cases in Europol increased by 48% compared with 20</w:t>
      </w:r>
      <w:r>
        <w:rPr>
          <w:rFonts w:eastAsia="Times New Roman" w:cs="Times New Roman"/>
          <w:iCs/>
          <w:noProof/>
          <w:szCs w:val="24"/>
        </w:rPr>
        <w:t>18</w:t>
      </w:r>
      <w:r>
        <w:rPr>
          <w:rFonts w:eastAsia="Times New Roman" w:cs="Times New Roman"/>
          <w:noProof/>
          <w:szCs w:val="24"/>
        </w:rPr>
        <w:t>. Montenegro participated in three Joint Action Days in 2019. In 2020, it co-leads the firearms policy area together with Spain. To further enhance its cooperation with Europol, Montenegro is encouraged to: i. use SIENA more proactively by initiating req</w:t>
      </w:r>
      <w:r>
        <w:rPr>
          <w:rFonts w:eastAsia="Times New Roman" w:cs="Times New Roman"/>
          <w:noProof/>
          <w:szCs w:val="24"/>
        </w:rPr>
        <w:t>uests, and to extend its use to additional competent authorities; ii. participate more often in EMPACT meetings at Europol; iii. participate in additional analytical projects in crime areas that are mutually beneficial; iiii. appoint a national EMPACT coor</w:t>
      </w:r>
      <w:r>
        <w:rPr>
          <w:rFonts w:eastAsia="Times New Roman" w:cs="Times New Roman"/>
          <w:noProof/>
          <w:szCs w:val="24"/>
        </w:rPr>
        <w:t>dinator.</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Since the signature of a cooperation agreement with CEPOL in 2011, Montenegro has full access to CEPOL e-learning activities, exchange programme and on-site activities. CEPOL national contact points, lead managers and exchange coordinators were ap</w:t>
      </w:r>
      <w:r>
        <w:rPr>
          <w:rFonts w:eastAsia="Times New Roman" w:cs="Times New Roman"/>
          <w:noProof/>
          <w:szCs w:val="24"/>
        </w:rPr>
        <w:t xml:space="preserve">pointed.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At regional level, Montenegro participates in the Western Balkans taskforce, a regional operational platform for investigations into migrant smuggling, under the leadership of Austria. In November 2019, the Parliament ratified the agreement </w:t>
      </w:r>
      <w:r>
        <w:rPr>
          <w:rFonts w:eastAsia="Times New Roman" w:cs="Times New Roman"/>
          <w:noProof/>
          <w:szCs w:val="24"/>
        </w:rPr>
        <w:t>between the parties to the Convention on police co-operation in South-East Europe (PCC SEE) on automated exchange of DNA, dactyloscopy and vehicle registration data. In December 2019, Montenegro overtook the chairmanship of another police regional platform</w:t>
      </w:r>
      <w:r>
        <w:rPr>
          <w:rFonts w:eastAsia="Times New Roman" w:cs="Times New Roman"/>
          <w:noProof/>
          <w:szCs w:val="24"/>
        </w:rPr>
        <w:t>, the Southeast Europe Police Chiefs Association (SEPCA).</w:t>
      </w:r>
    </w:p>
    <w:p w:rsidR="003C2144" w:rsidRDefault="00FB7959">
      <w:pPr>
        <w:widowControl w:val="0"/>
        <w:spacing w:after="120" w:line="240" w:lineRule="auto"/>
        <w:jc w:val="both"/>
        <w:rPr>
          <w:rFonts w:eastAsia="Times New Roman" w:cs="Times New Roman"/>
          <w:noProof/>
          <w:szCs w:val="24"/>
        </w:rPr>
      </w:pPr>
      <w:r>
        <w:rPr>
          <w:rFonts w:eastAsia="Times New Roman" w:cs="Times New Roman"/>
          <w:noProof/>
          <w:szCs w:val="24"/>
        </w:rPr>
        <w:t xml:space="preserve">In 2019, the SPO launched 15 new </w:t>
      </w:r>
      <w:r>
        <w:rPr>
          <w:rFonts w:eastAsia="Times New Roman" w:cs="Times New Roman"/>
          <w:b/>
          <w:bCs/>
          <w:noProof/>
          <w:szCs w:val="24"/>
        </w:rPr>
        <w:t>financial investigations</w:t>
      </w:r>
      <w:r>
        <w:rPr>
          <w:rFonts w:eastAsia="Times New Roman" w:cs="Times New Roman"/>
          <w:noProof/>
          <w:szCs w:val="24"/>
        </w:rPr>
        <w:t xml:space="preserve"> regarding 207 people and 152 legal entities, a substantial increase compared with 2018. In the first trimester of 2020, 4 new financial inve</w:t>
      </w:r>
      <w:r>
        <w:rPr>
          <w:rFonts w:eastAsia="Times New Roman" w:cs="Times New Roman"/>
          <w:noProof/>
          <w:szCs w:val="24"/>
        </w:rPr>
        <w:t>stigations were launched. Most of them are large-scale, complex investigations targeting dozens of people and legal entities linked with money laundering, tax evasion, corruption cases, and are very resource-intensive for the SPO. Launching a financial inv</w:t>
      </w:r>
      <w:r>
        <w:rPr>
          <w:rFonts w:eastAsia="Times New Roman" w:cs="Times New Roman"/>
          <w:noProof/>
          <w:szCs w:val="24"/>
        </w:rPr>
        <w:t xml:space="preserve">estigation in parallel with the criminal investigation is legally possible but remains limited. In most cases, financial investigations start too late and remain focused on tracing assets, mainly with the aim of proceeding to an extended confiscation, and </w:t>
      </w:r>
      <w:r>
        <w:rPr>
          <w:rFonts w:eastAsia="Times New Roman" w:cs="Times New Roman"/>
          <w:noProof/>
          <w:szCs w:val="24"/>
        </w:rPr>
        <w:t xml:space="preserve">therefore not in line with EU practice and FATF standards. Instead, the Prosecution conducts financial analysis within the criminal investigation to evaluate the proceeds of crime, but not on a sufficient scale to prove criminal acts, improve knowledge of </w:t>
      </w:r>
      <w:r>
        <w:rPr>
          <w:rFonts w:eastAsia="Times New Roman" w:cs="Times New Roman"/>
          <w:noProof/>
          <w:szCs w:val="24"/>
        </w:rPr>
        <w:t>criminal networks, uncover financial flows and investment of dirty money in the economy. Montenegro continued to strengthen its capacity in this area with numerous training courses. Standard operating procedures for conducting financial investigations were</w:t>
      </w:r>
      <w:r>
        <w:rPr>
          <w:rFonts w:eastAsia="Times New Roman" w:cs="Times New Roman"/>
          <w:noProof/>
          <w:szCs w:val="24"/>
        </w:rPr>
        <w:t xml:space="preserve"> adopted. However, a review of whole approach towards financial investigations, including the legal basis, is needed.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The number of legal proceedings for </w:t>
      </w:r>
      <w:r>
        <w:rPr>
          <w:rFonts w:eastAsia="Times New Roman" w:cs="Times New Roman"/>
          <w:b/>
          <w:noProof/>
          <w:szCs w:val="24"/>
        </w:rPr>
        <w:t>a</w:t>
      </w:r>
      <w:r>
        <w:rPr>
          <w:rFonts w:eastAsia="Times New Roman" w:cs="Times New Roman"/>
          <w:b/>
          <w:bCs/>
          <w:noProof/>
          <w:szCs w:val="24"/>
        </w:rPr>
        <w:t xml:space="preserve">sset recovery </w:t>
      </w:r>
      <w:r>
        <w:rPr>
          <w:rFonts w:eastAsia="Times New Roman" w:cs="Times New Roman"/>
          <w:bCs/>
          <w:noProof/>
          <w:szCs w:val="24"/>
        </w:rPr>
        <w:t>and the amount</w:t>
      </w:r>
      <w:r>
        <w:rPr>
          <w:rFonts w:eastAsia="Times New Roman" w:cs="Times New Roman"/>
          <w:b/>
          <w:bCs/>
          <w:noProof/>
          <w:szCs w:val="24"/>
        </w:rPr>
        <w:t xml:space="preserve"> </w:t>
      </w:r>
      <w:r>
        <w:rPr>
          <w:rFonts w:eastAsia="Times New Roman" w:cs="Times New Roman"/>
          <w:bCs/>
          <w:noProof/>
          <w:szCs w:val="24"/>
        </w:rPr>
        <w:t xml:space="preserve">of assets recovered increased in 2019. But only in six cases temporary </w:t>
      </w:r>
      <w:r>
        <w:rPr>
          <w:rFonts w:eastAsia="Times New Roman" w:cs="Times New Roman"/>
          <w:bCs/>
          <w:noProof/>
          <w:szCs w:val="24"/>
        </w:rPr>
        <w:t xml:space="preserve">recovery orders were pronounced in 2019, regarding 120 people, for </w:t>
      </w:r>
      <w:r>
        <w:rPr>
          <w:rFonts w:cs="Times New Roman"/>
          <w:noProof/>
          <w:szCs w:val="24"/>
        </w:rPr>
        <w:t xml:space="preserve">EUR </w:t>
      </w:r>
      <w:r>
        <w:rPr>
          <w:rFonts w:eastAsia="Times New Roman" w:cs="Times New Roman"/>
          <w:bCs/>
          <w:noProof/>
          <w:szCs w:val="24"/>
        </w:rPr>
        <w:t>4 million and a number of real estate properties. In a high-profile corruption case involving the former President of the country, large real estate and land properties were confiscated</w:t>
      </w:r>
      <w:r>
        <w:rPr>
          <w:rFonts w:eastAsia="Times New Roman" w:cs="Times New Roman"/>
          <w:bCs/>
          <w:noProof/>
          <w:szCs w:val="24"/>
        </w:rPr>
        <w:t xml:space="preserve">. In general, due to the limited scope of the financial investigations, </w:t>
      </w:r>
      <w:r>
        <w:rPr>
          <w:rFonts w:eastAsia="Times New Roman" w:cs="Times New Roman"/>
          <w:noProof/>
          <w:szCs w:val="24"/>
        </w:rPr>
        <w:t>the amount of seized and confiscated assets is not yet at the expected level. The confiscation of asset in equivalent value, when the proceeds of crime itself cannot be reached, does n</w:t>
      </w:r>
      <w:r>
        <w:rPr>
          <w:rFonts w:eastAsia="Times New Roman" w:cs="Times New Roman"/>
          <w:noProof/>
          <w:szCs w:val="24"/>
        </w:rPr>
        <w:t xml:space="preserve">ot exist in Montenegrin practice. Plea bargains continue to be used to secure asset confiscation. In the last four years, </w:t>
      </w:r>
      <w:r>
        <w:rPr>
          <w:rFonts w:cs="Times New Roman"/>
          <w:noProof/>
          <w:szCs w:val="24"/>
        </w:rPr>
        <w:t xml:space="preserve">EUR </w:t>
      </w:r>
      <w:r>
        <w:rPr>
          <w:rFonts w:eastAsia="Times New Roman" w:cs="Times New Roman"/>
          <w:noProof/>
          <w:szCs w:val="24"/>
        </w:rPr>
        <w:t>32.5 million were confiscated as a result of plea bargains in organised crime and corruption cases. There is no national and stand</w:t>
      </w:r>
      <w:r>
        <w:rPr>
          <w:rFonts w:eastAsia="Times New Roman" w:cs="Times New Roman"/>
          <w:noProof/>
          <w:szCs w:val="24"/>
        </w:rPr>
        <w:t>ardised system for collecting statistics on frozen, seized and confiscated assets data, including their estimated value. Montenegro should urgently improve its track record on final confiscation of the proceeds of crime as a strategic policy priority in th</w:t>
      </w:r>
      <w:r>
        <w:rPr>
          <w:rFonts w:eastAsia="Times New Roman" w:cs="Times New Roman"/>
          <w:noProof/>
          <w:szCs w:val="24"/>
        </w:rPr>
        <w:t>e fight against organised crime.</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2019, and since the establishment of the </w:t>
      </w:r>
      <w:r>
        <w:rPr>
          <w:rFonts w:eastAsia="Times New Roman" w:cs="Times New Roman"/>
          <w:b/>
          <w:noProof/>
          <w:szCs w:val="24"/>
        </w:rPr>
        <w:t>Asset Recovery Office</w:t>
      </w:r>
      <w:r>
        <w:rPr>
          <w:rFonts w:eastAsia="Times New Roman" w:cs="Times New Roman"/>
          <w:noProof/>
          <w:szCs w:val="24"/>
        </w:rPr>
        <w:t xml:space="preserve"> (ARO)</w:t>
      </w:r>
      <w:r>
        <w:rPr>
          <w:rFonts w:eastAsia="Times New Roman" w:cs="Times New Roman"/>
          <w:b/>
          <w:noProof/>
          <w:szCs w:val="24"/>
        </w:rPr>
        <w:t xml:space="preserve"> </w:t>
      </w:r>
      <w:r>
        <w:rPr>
          <w:rFonts w:eastAsia="Times New Roman" w:cs="Times New Roman"/>
          <w:noProof/>
          <w:szCs w:val="24"/>
        </w:rPr>
        <w:t>in the police, 37 requests for verification of 137 individuals and 23 legal entities were received and 103 requests for verification of 217 individuals</w:t>
      </w:r>
      <w:r>
        <w:rPr>
          <w:rFonts w:eastAsia="Times New Roman" w:cs="Times New Roman"/>
          <w:noProof/>
          <w:szCs w:val="24"/>
        </w:rPr>
        <w:t xml:space="preserve"> and 80 legal entities were forwarded to foreign authorities.  The amount of requests remained stable in the first half of 2020.</w:t>
      </w:r>
    </w:p>
    <w:p w:rsidR="003C2144" w:rsidRDefault="00FB7959">
      <w:pPr>
        <w:spacing w:after="120" w:line="240" w:lineRule="auto"/>
        <w:jc w:val="both"/>
        <w:rPr>
          <w:rFonts w:eastAsia="Times New Roman" w:cs="Times New Roman"/>
          <w:bCs/>
          <w:iCs/>
          <w:noProof/>
          <w:szCs w:val="24"/>
        </w:rPr>
      </w:pPr>
      <w:r>
        <w:rPr>
          <w:rFonts w:eastAsia="Times New Roman" w:cs="Times New Roman"/>
          <w:bCs/>
          <w:noProof/>
          <w:szCs w:val="24"/>
        </w:rPr>
        <w:t xml:space="preserve">The initial track record on </w:t>
      </w:r>
      <w:r>
        <w:rPr>
          <w:rFonts w:eastAsia="Times New Roman" w:cs="Times New Roman"/>
          <w:b/>
          <w:bCs/>
          <w:noProof/>
          <w:szCs w:val="24"/>
        </w:rPr>
        <w:t>money laundering</w:t>
      </w:r>
      <w:r>
        <w:rPr>
          <w:rFonts w:eastAsia="Times New Roman" w:cs="Times New Roman"/>
          <w:bCs/>
          <w:noProof/>
          <w:szCs w:val="24"/>
        </w:rPr>
        <w:t xml:space="preserve"> was further developed, reflecting a stronger focus and increasing capacity of law-enforcement agencies in this area. There were two final convictions for money laundering in 2019, both achieved through plea agreements, leading to three month and five mont</w:t>
      </w:r>
      <w:r>
        <w:rPr>
          <w:rFonts w:eastAsia="Times New Roman" w:cs="Times New Roman"/>
          <w:bCs/>
          <w:noProof/>
          <w:szCs w:val="24"/>
        </w:rPr>
        <w:t xml:space="preserve">h-sentences and the payment of fines and compensations up to </w:t>
      </w:r>
      <w:r>
        <w:rPr>
          <w:rFonts w:cs="Times New Roman"/>
          <w:noProof/>
          <w:szCs w:val="24"/>
        </w:rPr>
        <w:t xml:space="preserve">EUR </w:t>
      </w:r>
      <w:r>
        <w:rPr>
          <w:rFonts w:eastAsia="Times New Roman" w:cs="Times New Roman"/>
          <w:bCs/>
          <w:noProof/>
          <w:szCs w:val="24"/>
        </w:rPr>
        <w:t xml:space="preserve">75,000. Two cases were pending before the court, including the prominent Atlas Bank case, in which the former owner of the bank was indicted for abuse of office in April 2019. </w:t>
      </w:r>
      <w:r>
        <w:rPr>
          <w:rFonts w:eastAsia="Times New Roman" w:cs="Times New Roman"/>
          <w:bCs/>
          <w:iCs/>
          <w:noProof/>
          <w:szCs w:val="24"/>
        </w:rPr>
        <w:t>In July 2020, h</w:t>
      </w:r>
      <w:r>
        <w:rPr>
          <w:rFonts w:eastAsia="Times New Roman" w:cs="Times New Roman"/>
          <w:bCs/>
          <w:iCs/>
          <w:noProof/>
          <w:szCs w:val="24"/>
        </w:rPr>
        <w:t>owever, Interpol cancelled the red notice warrant for the fugitive businessperson under investigation in this case.</w:t>
      </w:r>
    </w:p>
    <w:p w:rsidR="003C2144" w:rsidRDefault="00FB7959">
      <w:pPr>
        <w:spacing w:after="120" w:line="240" w:lineRule="auto"/>
        <w:jc w:val="both"/>
        <w:rPr>
          <w:rFonts w:eastAsia="Times New Roman" w:cs="Times New Roman"/>
          <w:bCs/>
          <w:noProof/>
          <w:szCs w:val="24"/>
        </w:rPr>
      </w:pPr>
      <w:r>
        <w:rPr>
          <w:rFonts w:eastAsia="Times New Roman" w:cs="Times New Roman"/>
          <w:bCs/>
          <w:noProof/>
          <w:szCs w:val="24"/>
        </w:rPr>
        <w:t xml:space="preserve">Ten preliminary investigations and </w:t>
      </w:r>
      <w:r>
        <w:rPr>
          <w:rFonts w:eastAsia="Times New Roman" w:cs="Times New Roman"/>
          <w:noProof/>
          <w:szCs w:val="24"/>
        </w:rPr>
        <w:t>seven investigations into money-laundering were conducted in 2019</w:t>
      </w:r>
      <w:r>
        <w:rPr>
          <w:rFonts w:eastAsia="Times New Roman" w:cs="Times New Roman"/>
          <w:bCs/>
          <w:noProof/>
          <w:szCs w:val="24"/>
        </w:rPr>
        <w:t xml:space="preserve">, </w:t>
      </w:r>
      <w:r>
        <w:rPr>
          <w:rFonts w:eastAsia="Times New Roman" w:cs="Times New Roman"/>
          <w:noProof/>
          <w:szCs w:val="24"/>
        </w:rPr>
        <w:t xml:space="preserve">regarding 122 entities, including one </w:t>
      </w:r>
      <w:r>
        <w:rPr>
          <w:rFonts w:eastAsia="Times New Roman" w:cs="Times New Roman"/>
          <w:noProof/>
          <w:szCs w:val="24"/>
        </w:rPr>
        <w:t xml:space="preserve">case of a value of </w:t>
      </w:r>
      <w:r>
        <w:rPr>
          <w:rFonts w:cs="Times New Roman"/>
          <w:noProof/>
          <w:szCs w:val="24"/>
        </w:rPr>
        <w:t xml:space="preserve">EUR </w:t>
      </w:r>
      <w:r>
        <w:rPr>
          <w:rFonts w:eastAsia="Times New Roman" w:cs="Times New Roman"/>
          <w:noProof/>
          <w:szCs w:val="24"/>
        </w:rPr>
        <w:t>25 million.</w:t>
      </w:r>
      <w:r>
        <w:rPr>
          <w:rFonts w:eastAsia="Times New Roman" w:cs="Times New Roman"/>
          <w:bCs/>
          <w:noProof/>
          <w:szCs w:val="24"/>
        </w:rPr>
        <w:t xml:space="preserve"> One new investigation and two preliminary investigations were launched in the first trimester of 2020. However, systemic deficiencies continue to hamper the whole chain of criminal justice in addressing money laundering. </w:t>
      </w:r>
      <w:r>
        <w:rPr>
          <w:rFonts w:eastAsia="Times New Roman" w:cs="Times New Roman"/>
          <w:bCs/>
          <w:noProof/>
          <w:szCs w:val="24"/>
        </w:rPr>
        <w:t>More stand-alone cases should be started. The police, the prosecutions and the courts should have more trained specialists on money</w:t>
      </w:r>
      <w:r>
        <w:rPr>
          <w:rFonts w:eastAsia="Times New Roman" w:cs="Times New Roman"/>
          <w:bCs/>
          <w:noProof/>
          <w:szCs w:val="24"/>
        </w:rPr>
        <w:noBreakHyphen/>
        <w:t>laundering. Judges’ narrow interpretation of the concept of money laundering, in particular the link with the predicate offe</w:t>
      </w:r>
      <w:r>
        <w:rPr>
          <w:rFonts w:eastAsia="Times New Roman" w:cs="Times New Roman"/>
          <w:bCs/>
          <w:noProof/>
          <w:szCs w:val="24"/>
        </w:rPr>
        <w:t xml:space="preserve">nce, </w:t>
      </w:r>
      <w:r>
        <w:rPr>
          <w:rFonts w:eastAsia="Times New Roman" w:cs="Times New Roman"/>
          <w:noProof/>
          <w:szCs w:val="24"/>
        </w:rPr>
        <w:t xml:space="preserve">though the offence of money-laundering aims precisely at blurring this link, </w:t>
      </w:r>
      <w:r>
        <w:rPr>
          <w:rFonts w:eastAsia="Times New Roman" w:cs="Times New Roman"/>
          <w:bCs/>
          <w:noProof/>
          <w:szCs w:val="24"/>
        </w:rPr>
        <w:t>needs to be reviewed.</w:t>
      </w:r>
    </w:p>
    <w:p w:rsidR="003C2144" w:rsidRDefault="00FB7959">
      <w:pPr>
        <w:spacing w:after="120" w:line="240" w:lineRule="auto"/>
        <w:jc w:val="both"/>
        <w:rPr>
          <w:rFonts w:eastAsia="Times New Roman" w:cs="Times New Roman"/>
          <w:noProof/>
          <w:szCs w:val="24"/>
        </w:rPr>
      </w:pPr>
      <w:r>
        <w:rPr>
          <w:rFonts w:eastAsia="Times New Roman" w:cs="Times New Roman"/>
          <w:bCs/>
          <w:noProof/>
          <w:szCs w:val="24"/>
        </w:rPr>
        <w:t xml:space="preserve">In a prominent case, the two suspects of laundering </w:t>
      </w:r>
      <w:r>
        <w:rPr>
          <w:rFonts w:cs="Times New Roman"/>
          <w:noProof/>
          <w:szCs w:val="24"/>
        </w:rPr>
        <w:t xml:space="preserve">EUR </w:t>
      </w:r>
      <w:r>
        <w:rPr>
          <w:rFonts w:eastAsia="Times New Roman" w:cs="Times New Roman"/>
          <w:bCs/>
          <w:noProof/>
          <w:szCs w:val="24"/>
        </w:rPr>
        <w:t xml:space="preserve">19 million coming from drug smuggling activities, who had been convicted in first instance </w:t>
      </w:r>
      <w:r>
        <w:rPr>
          <w:rFonts w:eastAsia="Times New Roman" w:cs="Times New Roman"/>
          <w:noProof/>
          <w:szCs w:val="24"/>
        </w:rPr>
        <w:t>to 11</w:t>
      </w:r>
      <w:r>
        <w:rPr>
          <w:rFonts w:eastAsia="Times New Roman" w:cs="Times New Roman"/>
          <w:noProof/>
          <w:szCs w:val="24"/>
        </w:rPr>
        <w:t xml:space="preserve"> years of prison, but acquitted in 2017 by an Appeal Court, won court cases against the state in November 2019 for unlawful detention and are entitled to a </w:t>
      </w:r>
      <w:r>
        <w:rPr>
          <w:rFonts w:cs="Times New Roman"/>
          <w:noProof/>
          <w:szCs w:val="24"/>
        </w:rPr>
        <w:t xml:space="preserve">EUR </w:t>
      </w:r>
      <w:r>
        <w:rPr>
          <w:rFonts w:eastAsia="Times New Roman" w:cs="Times New Roman"/>
          <w:noProof/>
          <w:szCs w:val="24"/>
        </w:rPr>
        <w:t>103,000 compensation each.</w:t>
      </w:r>
    </w:p>
    <w:p w:rsidR="003C2144" w:rsidRDefault="00FB7959">
      <w:pPr>
        <w:spacing w:after="120" w:line="240" w:lineRule="auto"/>
        <w:jc w:val="both"/>
        <w:rPr>
          <w:rFonts w:eastAsia="Times New Roman" w:cs="Times New Roman"/>
          <w:bCs/>
          <w:noProof/>
          <w:szCs w:val="24"/>
        </w:rPr>
      </w:pPr>
      <w:r>
        <w:rPr>
          <w:rFonts w:eastAsia="Times New Roman" w:cs="Times New Roman"/>
          <w:bCs/>
          <w:noProof/>
          <w:szCs w:val="24"/>
        </w:rPr>
        <w:t>Montenegro has made some progress in the area of</w:t>
      </w:r>
      <w:r>
        <w:rPr>
          <w:rFonts w:eastAsia="Times New Roman" w:cs="Times New Roman"/>
          <w:b/>
          <w:bCs/>
          <w:noProof/>
          <w:szCs w:val="24"/>
        </w:rPr>
        <w:t xml:space="preserve"> fight against traffi</w:t>
      </w:r>
      <w:r>
        <w:rPr>
          <w:rFonts w:eastAsia="Times New Roman" w:cs="Times New Roman"/>
          <w:b/>
          <w:bCs/>
          <w:noProof/>
          <w:szCs w:val="24"/>
        </w:rPr>
        <w:t>cking in human beings</w:t>
      </w:r>
      <w:r>
        <w:rPr>
          <w:rFonts w:eastAsia="Times New Roman" w:cs="Times New Roman"/>
          <w:bCs/>
          <w:noProof/>
          <w:szCs w:val="24"/>
        </w:rPr>
        <w:t>.</w:t>
      </w:r>
      <w:r>
        <w:rPr>
          <w:rFonts w:eastAsia="Times New Roman" w:cs="Times New Roman"/>
          <w:b/>
          <w:bCs/>
          <w:noProof/>
          <w:szCs w:val="24"/>
        </w:rPr>
        <w:t xml:space="preserve"> </w:t>
      </w:r>
      <w:r>
        <w:rPr>
          <w:rFonts w:eastAsia="Times New Roman" w:cs="Times New Roman"/>
          <w:bCs/>
          <w:noProof/>
          <w:szCs w:val="24"/>
        </w:rPr>
        <w:t>The initial track record was consolidated in 2019, reflecting a more targeted and coordinated approach to detecting trafficking offences. Montenegro had 11 trafficking cases in 2019, at different stages of the procedure, including th</w:t>
      </w:r>
      <w:r>
        <w:rPr>
          <w:rFonts w:eastAsia="Times New Roman" w:cs="Times New Roman"/>
          <w:bCs/>
          <w:noProof/>
          <w:szCs w:val="24"/>
        </w:rPr>
        <w:t>ree cases of trafficking within an organised crime group. In two cases the victims were women. One final conviction was pronounced in November 2019, ordering unprecedented severe prison sentences. Two cases were pending before the court. In January 2020, a</w:t>
      </w:r>
      <w:r>
        <w:rPr>
          <w:rFonts w:eastAsia="Times New Roman" w:cs="Times New Roman"/>
          <w:bCs/>
          <w:noProof/>
          <w:szCs w:val="24"/>
        </w:rPr>
        <w:t xml:space="preserve"> human trafficking network from Taiwan was unveiled by the Montenegrin police, leading to the arrest of 93 people, in the biggest trafficking case in the Western Balkans ever. Four new investigations into trafficking in human beings involving 6 people were</w:t>
      </w:r>
      <w:r>
        <w:rPr>
          <w:rFonts w:eastAsia="Times New Roman" w:cs="Times New Roman"/>
          <w:bCs/>
          <w:noProof/>
          <w:szCs w:val="24"/>
        </w:rPr>
        <w:t xml:space="preserve"> launched at the beginning of 2020. </w:t>
      </w:r>
    </w:p>
    <w:p w:rsidR="003C2144" w:rsidRDefault="00FB7959">
      <w:pPr>
        <w:spacing w:after="120" w:line="240" w:lineRule="auto"/>
        <w:jc w:val="both"/>
        <w:rPr>
          <w:rFonts w:eastAsia="Times New Roman" w:cs="Times New Roman"/>
          <w:noProof/>
          <w:szCs w:val="24"/>
        </w:rPr>
      </w:pPr>
      <w:r>
        <w:rPr>
          <w:rFonts w:eastAsia="Times New Roman" w:cs="Times New Roman"/>
          <w:bCs/>
          <w:noProof/>
          <w:szCs w:val="24"/>
        </w:rPr>
        <w:t>The institutional capacity to address trafficking in human being was strengthened, under the leadership of a multi-disciplinary body monitoring the implementation of the anti-trafficking strategy. The Podgorica High Pro</w:t>
      </w:r>
      <w:r>
        <w:rPr>
          <w:rFonts w:eastAsia="Times New Roman" w:cs="Times New Roman"/>
          <w:bCs/>
          <w:noProof/>
          <w:szCs w:val="24"/>
        </w:rPr>
        <w:t>secutor’s Office continues oversighting of cases from lower instances that could present elements of trafficking. The Ministry of Interior established a department in charge of victims'</w:t>
      </w:r>
      <w:r>
        <w:rPr>
          <w:rFonts w:eastAsia="Times New Roman" w:cs="Times New Roman"/>
          <w:noProof/>
          <w:szCs w:val="24"/>
        </w:rPr>
        <w:t xml:space="preserve"> identification and referral and adopted standard operating procedures.</w:t>
      </w:r>
      <w:r>
        <w:rPr>
          <w:rFonts w:eastAsia="Times New Roman" w:cs="Times New Roman"/>
          <w:noProof/>
          <w:szCs w:val="24"/>
        </w:rPr>
        <w:t xml:space="preserve"> During the first six months of 2020, 44 people were granted the status of victim, of which 43 were placed in specialised shelters. </w:t>
      </w:r>
      <w:r>
        <w:rPr>
          <w:rFonts w:eastAsia="Times New Roman" w:cs="Times New Roman"/>
          <w:bCs/>
          <w:noProof/>
          <w:szCs w:val="24"/>
        </w:rPr>
        <w:t>16 contact points for victim identification were appointed at local police units and trained</w:t>
      </w:r>
      <w:r>
        <w:rPr>
          <w:rFonts w:eastAsia="Times New Roman" w:cs="Times New Roman"/>
          <w:noProof/>
          <w:szCs w:val="24"/>
        </w:rPr>
        <w:t>. A public awareness campaign wa</w:t>
      </w:r>
      <w:r>
        <w:rPr>
          <w:rFonts w:eastAsia="Times New Roman" w:cs="Times New Roman"/>
          <w:noProof/>
          <w:szCs w:val="24"/>
        </w:rPr>
        <w:t xml:space="preserve">s launched, including a TV clip on the risks of trafficking. Twelve NGOs benefit from state grants for prevention and protection activities, and one NGO runs a State-funded 24/7 SOS hotline. Efforts must continue to consolidate the initial track record on </w:t>
      </w:r>
      <w:r>
        <w:rPr>
          <w:rFonts w:eastAsia="Times New Roman" w:cs="Times New Roman"/>
          <w:noProof/>
          <w:szCs w:val="24"/>
        </w:rPr>
        <w:t xml:space="preserve">trafficking in human beings, to proactively identify victims of trafficking in human beings, to ensure assistance to victims, to increase prosecutions and convictions and to continue awareness raising, training and coordinating activities.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the area of </w:t>
      </w:r>
      <w:r>
        <w:rPr>
          <w:rFonts w:eastAsia="Times New Roman" w:cs="Times New Roman"/>
          <w:b/>
          <w:bCs/>
          <w:noProof/>
          <w:szCs w:val="24"/>
        </w:rPr>
        <w:t>trafficking in weapons</w:t>
      </w:r>
      <w:r>
        <w:rPr>
          <w:rFonts w:eastAsia="Times New Roman" w:cs="Times New Roman"/>
          <w:noProof/>
          <w:szCs w:val="24"/>
        </w:rPr>
        <w:t>, Montenegro seized 990 weapons in 2019, of which 514 were firearms. The government continued to implement the 2015-2019 action plan on illicit trafficking in firearms between the EU and the South East Europe region. The focal point f</w:t>
      </w:r>
      <w:r>
        <w:rPr>
          <w:rFonts w:eastAsia="Times New Roman" w:cs="Times New Roman"/>
          <w:noProof/>
          <w:szCs w:val="24"/>
        </w:rPr>
        <w:t>or firearms was established and is operational. It consists in a team of police officers from different services, duly trained and equipped prior to formal appointment. The team is in charge of data collection, analysis and exchange within Europol projects</w:t>
      </w:r>
      <w:r>
        <w:rPr>
          <w:rFonts w:eastAsia="Times New Roman" w:cs="Times New Roman"/>
          <w:noProof/>
          <w:szCs w:val="24"/>
        </w:rPr>
        <w:t xml:space="preserve"> and with the Southeast European Law Enforcement Centre.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the area of </w:t>
      </w:r>
      <w:r>
        <w:rPr>
          <w:rFonts w:eastAsia="Times New Roman" w:cs="Times New Roman"/>
          <w:b/>
          <w:noProof/>
          <w:szCs w:val="24"/>
        </w:rPr>
        <w:t>cyber crime</w:t>
      </w:r>
      <w:r>
        <w:rPr>
          <w:rFonts w:eastAsia="Times New Roman" w:cs="Times New Roman"/>
          <w:noProof/>
          <w:szCs w:val="24"/>
        </w:rPr>
        <w:t>, the institutional capacity was strengthened. It resulted in a 50 % surge in the number of cases initiated (111 preliminary investigations and 4 investigations were launc</w:t>
      </w:r>
      <w:r>
        <w:rPr>
          <w:rFonts w:eastAsia="Times New Roman" w:cs="Times New Roman"/>
          <w:noProof/>
          <w:szCs w:val="24"/>
        </w:rPr>
        <w:t>hed for a broad range of cyber offences, such as online fraud, hacking, ransoming, selling of counterfeit goods, extortion, hate speech, child pornography). Human resources need to be further strengthened, as a matter of priority, both in the police and in</w:t>
      </w:r>
      <w:r>
        <w:rPr>
          <w:rFonts w:eastAsia="Times New Roman" w:cs="Times New Roman"/>
          <w:noProof/>
          <w:szCs w:val="24"/>
        </w:rPr>
        <w:t xml:space="preserve"> the prosecution, to address the threats of cyber-crime and cyber-enabled crime.</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In the area of the fight against </w:t>
      </w:r>
      <w:r>
        <w:rPr>
          <w:rFonts w:eastAsia="Times New Roman" w:cs="Times New Roman"/>
          <w:b/>
          <w:bCs/>
          <w:noProof/>
          <w:szCs w:val="24"/>
        </w:rPr>
        <w:t>tobacco smuggling</w:t>
      </w:r>
      <w:r>
        <w:rPr>
          <w:rFonts w:eastAsia="Times New Roman" w:cs="Times New Roman"/>
          <w:noProof/>
          <w:szCs w:val="24"/>
        </w:rPr>
        <w:t>, there was no conviction for the organised cigarette smuggling in 2019. However, criminal proceedings were conducted on thre</w:t>
      </w:r>
      <w:r>
        <w:rPr>
          <w:rFonts w:eastAsia="Times New Roman" w:cs="Times New Roman"/>
          <w:noProof/>
          <w:szCs w:val="24"/>
        </w:rPr>
        <w:t>e large-scale cases, including one case involving 22 suspects. In another case a well-known suspected smuggler, who had been sought for 20 years, was arrested. Seizures of illicit tobacco are regularly performed by the customs, the local or central police.</w:t>
      </w:r>
      <w:r>
        <w:rPr>
          <w:rFonts w:eastAsia="Times New Roman" w:cs="Times New Roman"/>
          <w:noProof/>
          <w:szCs w:val="24"/>
        </w:rPr>
        <w:t xml:space="preserve"> The total amount of seizures in 2019 was 1,719,000 cigarette packs, amounting to </w:t>
      </w:r>
      <w:r>
        <w:rPr>
          <w:rFonts w:cs="Times New Roman"/>
          <w:noProof/>
          <w:szCs w:val="24"/>
        </w:rPr>
        <w:t xml:space="preserve">EUR </w:t>
      </w:r>
      <w:r>
        <w:rPr>
          <w:rFonts w:eastAsia="Times New Roman" w:cs="Times New Roman"/>
          <w:noProof/>
          <w:szCs w:val="24"/>
        </w:rPr>
        <w:t>3.9 million. However, despite increasing efforts of law-enforcement agencies in this area, and an improved cooperation of Montenegrin customs with EU and international pa</w:t>
      </w:r>
      <w:r>
        <w:rPr>
          <w:rFonts w:eastAsia="Times New Roman" w:cs="Times New Roman"/>
          <w:noProof/>
          <w:szCs w:val="24"/>
        </w:rPr>
        <w:t>rtners, the number of cases initiated is still insufficient, considering the estimated scale of tobacco smuggling from, to and across Montenegro. Montenegro needs to increase its risk assessment capacity in the area of tobacco smuggling, to promote intelli</w:t>
      </w:r>
      <w:r>
        <w:rPr>
          <w:rFonts w:eastAsia="Times New Roman" w:cs="Times New Roman"/>
          <w:noProof/>
          <w:szCs w:val="24"/>
        </w:rPr>
        <w:t xml:space="preserve">gence led policing and proactivity of law-enforcement agencies, and to remedy to the systemic deficiencies of the free zone of Bar.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On </w:t>
      </w:r>
      <w:r>
        <w:rPr>
          <w:rFonts w:eastAsia="Times New Roman" w:cs="Times New Roman"/>
          <w:b/>
          <w:noProof/>
          <w:szCs w:val="24"/>
        </w:rPr>
        <w:t>witness protection</w:t>
      </w:r>
      <w:r>
        <w:rPr>
          <w:rFonts w:eastAsia="Times New Roman" w:cs="Times New Roman"/>
          <w:noProof/>
          <w:szCs w:val="24"/>
        </w:rPr>
        <w:t>, protection measures were applied to 3 people in 2019 and to 5 people in the first six months of 2020</w:t>
      </w:r>
      <w:r>
        <w:rPr>
          <w:rFonts w:eastAsia="Times New Roman" w:cs="Times New Roman"/>
          <w:noProof/>
          <w:szCs w:val="24"/>
        </w:rPr>
        <w:t>, in cases falling under the competence of the Special State Prosecutor’s Office. Extra-judicial protection measures were implemented regarding 25 people.</w:t>
      </w:r>
    </w:p>
    <w:p w:rsidR="003C2144" w:rsidRDefault="00FB7959">
      <w:pPr>
        <w:widowControl w:val="0"/>
        <w:spacing w:after="120" w:line="240" w:lineRule="auto"/>
        <w:jc w:val="both"/>
        <w:rPr>
          <w:rFonts w:cs="Times New Roman"/>
          <w:b/>
          <w:bCs/>
          <w:noProof/>
          <w:szCs w:val="24"/>
        </w:rPr>
      </w:pPr>
      <w:r>
        <w:rPr>
          <w:rFonts w:cs="Times New Roman"/>
          <w:b/>
          <w:bCs/>
          <w:noProof/>
          <w:szCs w:val="24"/>
        </w:rPr>
        <w:t>Cooperation in the field of drugs</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u w:val="single"/>
        </w:rPr>
        <w:t>Institutional set-up and legal alignment</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 xml:space="preserve">Montenegro's legal, institutional and strategic frameworks in this area are largely aligned with the EU </w:t>
      </w:r>
      <w:r>
        <w:rPr>
          <w:rFonts w:eastAsia="Times New Roman" w:cs="Times New Roman"/>
          <w:i/>
          <w:noProof/>
          <w:szCs w:val="24"/>
        </w:rPr>
        <w:t>acquis</w:t>
      </w:r>
      <w:r>
        <w:rPr>
          <w:rFonts w:eastAsia="Times New Roman" w:cs="Times New Roman"/>
          <w:noProof/>
          <w:szCs w:val="24"/>
        </w:rPr>
        <w:t>. However, on the demand side, there was no progress in addressing the deficiencies of the national drug information system, in accordance with EU</w:t>
      </w:r>
      <w:r>
        <w:rPr>
          <w:rFonts w:eastAsia="Times New Roman" w:cs="Times New Roman"/>
          <w:noProof/>
          <w:szCs w:val="24"/>
        </w:rPr>
        <w:t xml:space="preserve"> standards. The National Drug Observatory (NDO) remains understaffed, has limited budget autonomy and does not sufficiently fulfil its coordination function.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Montenegro provided for the first time in five years a national drug report. However, despite goo</w:t>
      </w:r>
      <w:r>
        <w:rPr>
          <w:rFonts w:eastAsia="Times New Roman" w:cs="Times New Roman"/>
          <w:noProof/>
          <w:szCs w:val="24"/>
        </w:rPr>
        <w:t>d technical and scientific capacity in the forensic laboratory and other institutions dealing with drug-related issues, data collection on drugs remains fragmented, and does not rely on protocols compliant with the EMCDDA standards. The National Early Warn</w:t>
      </w:r>
      <w:r>
        <w:rPr>
          <w:rFonts w:eastAsia="Times New Roman" w:cs="Times New Roman"/>
          <w:noProof/>
          <w:szCs w:val="24"/>
        </w:rPr>
        <w:t>ing System (NEWS) is not fully operational. The recommendations from a July 2018 report by the EMCDDA have not been addressed. The NDO needs to be strengthened as a matter of priority in order to become an authoritative source of information, preparing reg</w:t>
      </w:r>
      <w:r>
        <w:rPr>
          <w:rFonts w:eastAsia="Times New Roman" w:cs="Times New Roman"/>
          <w:noProof/>
          <w:szCs w:val="24"/>
        </w:rPr>
        <w:t>ular comprehensive national reports on drugs in Montenegro, and providing an evidence-based source for drug-related national policies.</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On the law-enforcement side, the police has two units in charge of drug-related crimes, one for petty drug smuggling offe</w:t>
      </w:r>
      <w:r>
        <w:rPr>
          <w:rFonts w:eastAsia="Times New Roman" w:cs="Times New Roman"/>
          <w:noProof/>
          <w:szCs w:val="24"/>
        </w:rPr>
        <w:t>nces and a second one for organised drug trafficking. The latter consists only of eight staff members, despite the fact that drug s</w:t>
      </w:r>
      <w:r>
        <w:rPr>
          <w:rFonts w:cs="Times New Roman"/>
          <w:noProof/>
          <w:szCs w:val="24"/>
        </w:rPr>
        <w:t>muggling is the main activity of Montenegrin crime groups, mainly operating outside the country</w:t>
      </w:r>
      <w:r>
        <w:rPr>
          <w:rFonts w:eastAsia="Times New Roman" w:cs="Times New Roman"/>
          <w:noProof/>
          <w:szCs w:val="24"/>
        </w:rPr>
        <w:t>. The need for more investigat</w:t>
      </w:r>
      <w:r>
        <w:rPr>
          <w:rFonts w:eastAsia="Times New Roman" w:cs="Times New Roman"/>
          <w:noProof/>
          <w:szCs w:val="24"/>
        </w:rPr>
        <w:t>ors in this unit, the provision to this unit of a direct access to international channels of communication such as SIENA, and the restoration of the full use of special investigative measures need to be addressed as a matter of priority to improve the law-</w:t>
      </w:r>
      <w:r>
        <w:rPr>
          <w:rFonts w:eastAsia="Times New Roman" w:cs="Times New Roman"/>
          <w:noProof/>
          <w:szCs w:val="24"/>
        </w:rPr>
        <w:t>enforcement’s efficiency in this area.</w:t>
      </w:r>
      <w:r>
        <w:rPr>
          <w:rFonts w:cs="Times New Roman"/>
          <w:noProof/>
          <w:szCs w:val="24"/>
        </w:rPr>
        <w:t xml:space="preserve"> </w:t>
      </w:r>
      <w:r>
        <w:rPr>
          <w:rFonts w:eastAsia="Times New Roman" w:cs="Times New Roman"/>
          <w:noProof/>
          <w:szCs w:val="24"/>
        </w:rPr>
        <w:t>The fight against drug smuggling is a top priority of the national Threat Assessment of Serious and Organised Crime (SOCTA).</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u w:val="single"/>
        </w:rPr>
        <w:t>Implementation and enforcement capacity</w:t>
      </w:r>
      <w:r>
        <w:rPr>
          <w:rFonts w:eastAsia="Times New Roman" w:cs="Times New Roman"/>
          <w:noProof/>
          <w:szCs w:val="24"/>
        </w:rPr>
        <w:t xml:space="preserve">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2.4 tons of drugs were seized in 2019, of which 2.2</w:t>
      </w:r>
      <w:r>
        <w:rPr>
          <w:rFonts w:eastAsia="Times New Roman" w:cs="Times New Roman"/>
          <w:noProof/>
          <w:szCs w:val="24"/>
        </w:rPr>
        <w:t xml:space="preserve"> tons of marijuana. Seizures of cocaine and heroin have surged by respectively 250% and 1300 % compared with last year, partly reflecting international trends. In addition, 39 kg of cocaine and one ton of marijuana were seized abroad, as a result of intern</w:t>
      </w:r>
      <w:r>
        <w:rPr>
          <w:rFonts w:eastAsia="Times New Roman" w:cs="Times New Roman"/>
          <w:noProof/>
          <w:szCs w:val="24"/>
        </w:rPr>
        <w:t xml:space="preserve">ational investigations. Montenegro participated in four multi-country police operations involving Austria, Slovenia, Croatia, Italy, Germany, France, the United States, Australia, Albania and Serbia.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The number of drug cases investigated in Montenegro con</w:t>
      </w:r>
      <w:r>
        <w:rPr>
          <w:rFonts w:eastAsia="Times New Roman" w:cs="Times New Roman"/>
          <w:noProof/>
          <w:szCs w:val="24"/>
        </w:rPr>
        <w:t>tinued to increase in 2019 and the first quarter of 2020, consolidating the trend of the previous year. In 2019, the number of investigations into cases of drug smuggling rose to 155, of which five qualified for organised crime and 150 for serious crime. I</w:t>
      </w:r>
      <w:r>
        <w:rPr>
          <w:rFonts w:eastAsia="Times New Roman" w:cs="Times New Roman"/>
          <w:noProof/>
          <w:szCs w:val="24"/>
        </w:rPr>
        <w:t>n the first quarter of 2020, six new investigations for organised drug smuggling were launched. Eleven investigations were conducted with international cooperation in 2019, a 175% surge compared with 2018, leading to a number of successful high profile ope</w:t>
      </w:r>
      <w:r>
        <w:rPr>
          <w:rFonts w:eastAsia="Times New Roman" w:cs="Times New Roman"/>
          <w:noProof/>
          <w:szCs w:val="24"/>
        </w:rPr>
        <w:t>rations. In a major international police operation conducted in February 2020, 5.7 tons of cocaine were seized and 7 crew members, including 4 Montenegrin nationals, arrested on a ship navigating from Venezuela to Greece. The operation was a result of coop</w:t>
      </w:r>
      <w:r>
        <w:rPr>
          <w:rFonts w:eastAsia="Times New Roman" w:cs="Times New Roman"/>
          <w:noProof/>
          <w:szCs w:val="24"/>
        </w:rPr>
        <w:t>eration between the United Kingdom, Serbia, the Netherlands, amongst other partners, and was based on the intelligence provided by the Montenegrin police. Another complex international investigation, led by Montenegro, supported by Europol and involving la</w:t>
      </w:r>
      <w:r>
        <w:rPr>
          <w:rFonts w:eastAsia="Times New Roman" w:cs="Times New Roman"/>
          <w:noProof/>
          <w:szCs w:val="24"/>
        </w:rPr>
        <w:t>w enforcement agencies from Austria, Croatia, France, Portugal, Serbia and Slovenia, severely disrupted one of the smuggling routes from Central America to Europe. Eight individuals were arrested in March 2020 in several countries after 20 locations had be</w:t>
      </w:r>
      <w:r>
        <w:rPr>
          <w:rFonts w:eastAsia="Times New Roman" w:cs="Times New Roman"/>
          <w:noProof/>
          <w:szCs w:val="24"/>
        </w:rPr>
        <w:t>en searched. In another prominent case, the German police seized in the port of Hamburg half a ton of cocaine from a ship sailing under the Montenegrin flag and owned by the Bar Shipping-Montenegro Line, a state-owned company. The action was conducted by t</w:t>
      </w:r>
      <w:r>
        <w:rPr>
          <w:rFonts w:eastAsia="Times New Roman" w:cs="Times New Roman"/>
          <w:noProof/>
          <w:szCs w:val="24"/>
        </w:rPr>
        <w:t xml:space="preserve">he Montenegrin police with colleagues from the United States, Germany and several other European countries. </w:t>
      </w:r>
    </w:p>
    <w:p w:rsidR="003C2144" w:rsidRDefault="00FB7959">
      <w:pPr>
        <w:spacing w:after="120" w:line="240" w:lineRule="auto"/>
        <w:jc w:val="both"/>
        <w:rPr>
          <w:rFonts w:eastAsia="Times New Roman" w:cs="Times New Roman"/>
          <w:noProof/>
          <w:szCs w:val="24"/>
        </w:rPr>
      </w:pPr>
      <w:r>
        <w:rPr>
          <w:rFonts w:eastAsia="Times New Roman" w:cs="Times New Roman"/>
          <w:noProof/>
          <w:szCs w:val="24"/>
        </w:rPr>
        <w:t>Thirty-seven final convictions for drug smuggling associated with organised crime were pronounced, including 34 based on plea bargains. Some 126 fi</w:t>
      </w:r>
      <w:r>
        <w:rPr>
          <w:rFonts w:eastAsia="Times New Roman" w:cs="Times New Roman"/>
          <w:noProof/>
          <w:szCs w:val="24"/>
        </w:rPr>
        <w:t xml:space="preserve">nal convictions for less severe drug offences were pronounced, of which 73 based on plea bargains. The total amount of fines and penalties recovered accounted for </w:t>
      </w:r>
      <w:r>
        <w:rPr>
          <w:rFonts w:cs="Times New Roman"/>
          <w:noProof/>
          <w:szCs w:val="24"/>
        </w:rPr>
        <w:t xml:space="preserve">EUR </w:t>
      </w:r>
      <w:r>
        <w:rPr>
          <w:rFonts w:eastAsia="Times New Roman" w:cs="Times New Roman"/>
          <w:noProof/>
          <w:szCs w:val="24"/>
        </w:rPr>
        <w:t>178,000. In drug-related cases qualifying as serious crimes, financial investigations, se</w:t>
      </w:r>
      <w:r>
        <w:rPr>
          <w:rFonts w:eastAsia="Times New Roman" w:cs="Times New Roman"/>
          <w:noProof/>
          <w:szCs w:val="24"/>
        </w:rPr>
        <w:t xml:space="preserve">izure and confiscation of the proceeds of crimes remained rare. </w:t>
      </w:r>
    </w:p>
    <w:p w:rsidR="003C2144" w:rsidRDefault="00FB7959">
      <w:pPr>
        <w:spacing w:after="120" w:line="240" w:lineRule="auto"/>
        <w:jc w:val="both"/>
        <w:rPr>
          <w:rFonts w:eastAsia="Times New Roman" w:cs="Times New Roman"/>
          <w:noProof/>
          <w:szCs w:val="24"/>
          <w:lang w:val="en-US"/>
        </w:rPr>
      </w:pPr>
      <w:r>
        <w:rPr>
          <w:rFonts w:eastAsia="Times New Roman" w:cs="Times New Roman"/>
          <w:noProof/>
          <w:szCs w:val="24"/>
        </w:rPr>
        <w:t xml:space="preserve">Some 5 tons of seized drugs </w:t>
      </w:r>
      <w:r>
        <w:rPr>
          <w:rFonts w:eastAsia="Times New Roman" w:cs="Times New Roman"/>
          <w:bCs/>
          <w:noProof/>
          <w:szCs w:val="24"/>
        </w:rPr>
        <w:t xml:space="preserve">were destroyed by the authorities on 15 June, upon request of the High Court, more than two years after the previous destruction. </w:t>
      </w:r>
      <w:r>
        <w:rPr>
          <w:rFonts w:eastAsia="Times New Roman" w:cs="Times New Roman"/>
          <w:noProof/>
          <w:szCs w:val="24"/>
        </w:rPr>
        <w:t xml:space="preserve">The lack of adequate storage for </w:t>
      </w:r>
      <w:r>
        <w:rPr>
          <w:rFonts w:eastAsia="Times New Roman" w:cs="Times New Roman"/>
          <w:noProof/>
          <w:szCs w:val="24"/>
        </w:rPr>
        <w:t>seized drugs and precursors prior to destruction was not addressed. Changes to the criminal law which would allow the immediate destruction of the drug to avoid storing it pending trial, while keeping evidences and samples, were not addressed.</w:t>
      </w:r>
    </w:p>
    <w:p w:rsidR="003C2144" w:rsidRDefault="00FB7959">
      <w:pPr>
        <w:widowControl w:val="0"/>
        <w:spacing w:after="120" w:line="240" w:lineRule="auto"/>
        <w:jc w:val="both"/>
        <w:rPr>
          <w:rFonts w:cs="Times New Roman"/>
          <w:b/>
          <w:bCs/>
          <w:noProof/>
          <w:szCs w:val="24"/>
          <w:lang w:val="en-IE"/>
        </w:rPr>
      </w:pPr>
      <w:r>
        <w:rPr>
          <w:rFonts w:cs="Times New Roman"/>
          <w:b/>
          <w:bCs/>
          <w:noProof/>
          <w:szCs w:val="24"/>
          <w:lang w:val="en-IE"/>
        </w:rPr>
        <w:t>Fight agains</w:t>
      </w:r>
      <w:r>
        <w:rPr>
          <w:rFonts w:cs="Times New Roman"/>
          <w:b/>
          <w:bCs/>
          <w:noProof/>
          <w:szCs w:val="24"/>
          <w:lang w:val="en-IE"/>
        </w:rPr>
        <w:t>t terrorism</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u w:val="single"/>
          <w:lang w:val="en-IE"/>
        </w:rPr>
        <w:t xml:space="preserve">Institutional setup and legal alignment </w:t>
      </w:r>
    </w:p>
    <w:p w:rsidR="003C2144" w:rsidRDefault="00FB7959">
      <w:pPr>
        <w:spacing w:after="120" w:line="240" w:lineRule="auto"/>
        <w:jc w:val="both"/>
        <w:rPr>
          <w:rFonts w:eastAsia="Times New Roman" w:cs="Times New Roman"/>
          <w:noProof/>
          <w:szCs w:val="24"/>
          <w:lang w:val="en-IE"/>
        </w:rPr>
      </w:pPr>
      <w:r>
        <w:rPr>
          <w:rFonts w:cs="Times New Roman"/>
          <w:noProof/>
          <w:szCs w:val="24"/>
          <w:lang w:bidi="en-US"/>
        </w:rPr>
        <w:t xml:space="preserve">Montenegro’s </w:t>
      </w:r>
      <w:r>
        <w:rPr>
          <w:rFonts w:cs="Times New Roman"/>
          <w:b/>
          <w:noProof/>
          <w:szCs w:val="24"/>
          <w:lang w:bidi="en-US"/>
        </w:rPr>
        <w:t>legal framework</w:t>
      </w:r>
      <w:r>
        <w:rPr>
          <w:rFonts w:cs="Times New Roman"/>
          <w:noProof/>
          <w:szCs w:val="24"/>
          <w:lang w:bidi="en-US"/>
        </w:rPr>
        <w:t xml:space="preserve"> is largely aligned with the EU </w:t>
      </w:r>
      <w:r>
        <w:rPr>
          <w:rFonts w:eastAsia="Calibri" w:cs="Times New Roman"/>
          <w:i/>
          <w:iCs/>
          <w:noProof/>
          <w:szCs w:val="24"/>
          <w:lang w:bidi="en-US"/>
        </w:rPr>
        <w:t xml:space="preserve">acquis. </w:t>
      </w:r>
      <w:r>
        <w:rPr>
          <w:rFonts w:eastAsia="Calibri" w:cs="Times New Roman"/>
          <w:iCs/>
          <w:noProof/>
          <w:szCs w:val="24"/>
          <w:lang w:bidi="en-US"/>
        </w:rPr>
        <w:t xml:space="preserve">However, </w:t>
      </w:r>
      <w:r>
        <w:rPr>
          <w:rFonts w:cs="Times New Roman"/>
          <w:noProof/>
          <w:szCs w:val="24"/>
          <w:lang w:bidi="en-US"/>
        </w:rPr>
        <w:t>the Law on International restrictive measures remains to be amended</w:t>
      </w:r>
      <w:r>
        <w:rPr>
          <w:rFonts w:cs="Times New Roman"/>
          <w:noProof/>
          <w:szCs w:val="24"/>
        </w:rPr>
        <w:t xml:space="preserve"> to be aligned with European standards on prevention of terrorism financing and to make the system of the targeted financial sanctions against terrorists and terrorist organisations more efficient. </w:t>
      </w:r>
      <w:r>
        <w:rPr>
          <w:rFonts w:cs="Times New Roman"/>
          <w:noProof/>
          <w:szCs w:val="24"/>
          <w:lang w:bidi="en-US"/>
        </w:rPr>
        <w:t xml:space="preserve">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Montenegro has yet to adopt the strategy for the prevent</w:t>
      </w:r>
      <w:r>
        <w:rPr>
          <w:rFonts w:eastAsia="Times New Roman" w:cs="Times New Roman"/>
          <w:noProof/>
          <w:szCs w:val="24"/>
          <w:lang w:val="en-IE"/>
        </w:rPr>
        <w:t>ion and suppression of terrorism, money laundering and terrorism, which expired in 2018. The strategy for the suppression of violent extremism was adopted in February 2020.. Coordination should be enhanced between the two policies that are closely intercon</w:t>
      </w:r>
      <w:r>
        <w:rPr>
          <w:rFonts w:eastAsia="Times New Roman" w:cs="Times New Roman"/>
          <w:noProof/>
          <w:szCs w:val="24"/>
          <w:lang w:val="en-IE"/>
        </w:rPr>
        <w:t>nected, to avoid overlap and working in silos.</w:t>
      </w:r>
    </w:p>
    <w:p w:rsidR="003C2144" w:rsidRDefault="00FB7959">
      <w:pPr>
        <w:spacing w:after="120" w:line="240" w:lineRule="auto"/>
        <w:jc w:val="both"/>
        <w:rPr>
          <w:rFonts w:cs="Times New Roman"/>
          <w:noProof/>
          <w:szCs w:val="24"/>
        </w:rPr>
      </w:pPr>
      <w:r>
        <w:rPr>
          <w:rFonts w:eastAsia="Times New Roman" w:cs="Times New Roman"/>
          <w:noProof/>
          <w:szCs w:val="24"/>
          <w:lang w:val="en-IE"/>
        </w:rPr>
        <w:t xml:space="preserve">In May 2019, a multi-disciplinary mechanism was established, consisting of representatives of Ministries of Labour, Health, Education, Social Welfare, Interior, police, local authorities, and NGOs, to follow up on individual cases where there is a risk of </w:t>
      </w:r>
      <w:r>
        <w:rPr>
          <w:rFonts w:eastAsia="Times New Roman" w:cs="Times New Roman"/>
          <w:noProof/>
          <w:szCs w:val="24"/>
          <w:lang w:val="en-IE"/>
        </w:rPr>
        <w:t>radicalisation leading to violent extremism and terrorism and to propose adequate responses. A hotline to report on risks of violent extremism was set up. Coordination efforts on the prevention of radicalisation need to be continued, in particular at local</w:t>
      </w:r>
      <w:r>
        <w:rPr>
          <w:rFonts w:eastAsia="Times New Roman" w:cs="Times New Roman"/>
          <w:noProof/>
          <w:szCs w:val="24"/>
          <w:lang w:val="en-IE"/>
        </w:rPr>
        <w:t xml:space="preserve"> level, to involve all stakeholders </w:t>
      </w:r>
      <w:r>
        <w:rPr>
          <w:rFonts w:cs="Times New Roman"/>
          <w:noProof/>
          <w:szCs w:val="24"/>
          <w:lang w:val="en-IE"/>
        </w:rPr>
        <w:t>in the prevention activities.</w:t>
      </w:r>
    </w:p>
    <w:p w:rsidR="003C2144" w:rsidRDefault="00FB7959">
      <w:pPr>
        <w:spacing w:after="120" w:line="240" w:lineRule="auto"/>
        <w:jc w:val="both"/>
        <w:rPr>
          <w:rFonts w:cs="Times New Roman"/>
          <w:noProof/>
          <w:szCs w:val="24"/>
        </w:rPr>
      </w:pPr>
      <w:r>
        <w:rPr>
          <w:rFonts w:cs="Times New Roman"/>
          <w:noProof/>
          <w:szCs w:val="24"/>
        </w:rPr>
        <w:t xml:space="preserve">In November 2019, Montenegro and the EU signed an arrangement to implement the </w:t>
      </w:r>
      <w:r>
        <w:rPr>
          <w:rFonts w:cs="Times New Roman"/>
          <w:b/>
          <w:noProof/>
          <w:szCs w:val="24"/>
        </w:rPr>
        <w:t>Joint Action Plan on Counter-Terrorism for the Western Balkans</w:t>
      </w:r>
      <w:r>
        <w:rPr>
          <w:rFonts w:cs="Times New Roman"/>
          <w:noProof/>
          <w:szCs w:val="24"/>
        </w:rPr>
        <w:t>, on which Montenegro submitted its first semi-an</w:t>
      </w:r>
      <w:r>
        <w:rPr>
          <w:rFonts w:cs="Times New Roman"/>
          <w:noProof/>
          <w:szCs w:val="24"/>
        </w:rPr>
        <w:t>nual report in August 2020.</w:t>
      </w:r>
    </w:p>
    <w:p w:rsidR="003C2144" w:rsidRDefault="00FB7959">
      <w:pPr>
        <w:spacing w:after="120" w:line="240" w:lineRule="auto"/>
        <w:jc w:val="both"/>
        <w:rPr>
          <w:rFonts w:cs="Times New Roman"/>
          <w:noProof/>
          <w:szCs w:val="24"/>
          <w:u w:val="single"/>
        </w:rPr>
      </w:pPr>
      <w:r>
        <w:rPr>
          <w:rFonts w:cs="Times New Roman"/>
          <w:noProof/>
          <w:szCs w:val="24"/>
          <w:u w:val="single"/>
        </w:rPr>
        <w:t>Implementation and enforcement capacity</w:t>
      </w:r>
    </w:p>
    <w:p w:rsidR="003C2144" w:rsidRDefault="00FB7959">
      <w:pPr>
        <w:spacing w:after="120" w:line="240" w:lineRule="auto"/>
        <w:jc w:val="both"/>
        <w:rPr>
          <w:rFonts w:eastAsia="Times New Roman" w:cs="Times New Roman"/>
          <w:noProof/>
          <w:szCs w:val="24"/>
          <w:lang w:val="en-IE"/>
        </w:rPr>
      </w:pPr>
      <w:r>
        <w:rPr>
          <w:rFonts w:cs="Times New Roman"/>
          <w:noProof/>
          <w:szCs w:val="24"/>
        </w:rPr>
        <w:t>The threats</w:t>
      </w:r>
      <w:r>
        <w:rPr>
          <w:rFonts w:eastAsia="Times New Roman" w:cs="Times New Roman"/>
          <w:noProof/>
          <w:szCs w:val="24"/>
          <w:lang w:val="en-IE"/>
        </w:rPr>
        <w:t xml:space="preserve"> of terrorism and violent extremism remained relatively low in the country. As regard foreign fighters, 26 have left to Syria and five to Ukraine since the beginning of the conf</w:t>
      </w:r>
      <w:r>
        <w:rPr>
          <w:rFonts w:eastAsia="Times New Roman" w:cs="Times New Roman"/>
          <w:noProof/>
          <w:szCs w:val="24"/>
          <w:lang w:val="en-IE"/>
        </w:rPr>
        <w:t>licts. Ten came back from Syria and five from Ukraine. Further to a 2016 penal code amendment criminalising the participation in foreign armed conflicts, two returnees who came back after 2016 were sentenced. All the returnees went back to their communitie</w:t>
      </w:r>
      <w:r>
        <w:rPr>
          <w:rFonts w:eastAsia="Times New Roman" w:cs="Times New Roman"/>
          <w:noProof/>
          <w:szCs w:val="24"/>
          <w:lang w:val="en-IE"/>
        </w:rPr>
        <w:t xml:space="preserve">s and are monitored. The Ministry of Interior cooperates with civil society organisations to develop awareness raising activities amongst the youth. Prison staff have been trained on prevention work. A risk assessment for the identification of radicalised </w:t>
      </w:r>
      <w:r>
        <w:rPr>
          <w:rFonts w:eastAsia="Times New Roman" w:cs="Times New Roman"/>
          <w:noProof/>
          <w:szCs w:val="24"/>
          <w:lang w:val="en-IE"/>
        </w:rPr>
        <w:t>prisoners and those that are at risk of radicalisation has been drafted. Means for religious counselling of prisoners were put in place.</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In the 2016 election-day coup attempt case, a first instance decision was pronounced by the High Court of Podgorica in </w:t>
      </w:r>
      <w:r>
        <w:rPr>
          <w:rFonts w:eastAsia="Times New Roman" w:cs="Times New Roman"/>
          <w:noProof/>
          <w:szCs w:val="24"/>
          <w:lang w:val="en-IE"/>
        </w:rPr>
        <w:t xml:space="preserve">May 2019, whereby 13 defendants including two Russian and eight Serbian citizens were found guilty of terrorism, creation of a criminal organisation, and other crimes against the constitutional order. Appeal proceedings are ongoing.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Montenegro continued t</w:t>
      </w:r>
      <w:r>
        <w:rPr>
          <w:rFonts w:eastAsia="Times New Roman" w:cs="Times New Roman"/>
          <w:noProof/>
          <w:szCs w:val="24"/>
          <w:lang w:val="en-IE"/>
        </w:rPr>
        <w:t>o cooperate closely with Interpol and Europol and to contribute to the Terrorism Risk Assessment and Analysis for the Western Balkans. Montenegro is actively participating in the implementation of the Western Balkan Counter Terrorism Initiative (WBCTi). Co</w:t>
      </w:r>
      <w:r>
        <w:rPr>
          <w:rFonts w:eastAsia="Times New Roman" w:cs="Times New Roman"/>
          <w:noProof/>
          <w:szCs w:val="24"/>
          <w:lang w:val="en-IE"/>
        </w:rPr>
        <w:t>operation with the EU Internet Referral Unit (IRU) at Europol for dealing with terrorist content online has started. Threat assessment needs to be conducted in a more analytical and inclusive way, in order to create a common understanding of main threats a</w:t>
      </w:r>
      <w:r>
        <w:rPr>
          <w:rFonts w:eastAsia="Times New Roman" w:cs="Times New Roman"/>
          <w:noProof/>
          <w:szCs w:val="24"/>
          <w:lang w:val="en-IE"/>
        </w:rPr>
        <w:t>nd risks amongst the concerned stakeholders and to prioritise the risks to be addressed.</w:t>
      </w:r>
    </w:p>
    <w:p w:rsidR="003C2144" w:rsidRDefault="00FB7959">
      <w:pPr>
        <w:spacing w:after="120" w:line="240" w:lineRule="auto"/>
        <w:jc w:val="both"/>
        <w:rPr>
          <w:rFonts w:cs="Times New Roman"/>
          <w:b/>
          <w:bCs/>
          <w:noProof/>
          <w:szCs w:val="24"/>
          <w:lang w:val="en-IE"/>
        </w:rPr>
      </w:pPr>
      <w:r>
        <w:rPr>
          <w:rFonts w:cs="Times New Roman"/>
          <w:b/>
          <w:bCs/>
          <w:noProof/>
          <w:szCs w:val="24"/>
          <w:lang w:val="en-IE"/>
        </w:rPr>
        <w:t>Legal and irregular migration</w:t>
      </w:r>
    </w:p>
    <w:p w:rsidR="003C2144" w:rsidRDefault="00FB7959">
      <w:pPr>
        <w:spacing w:after="120" w:line="240" w:lineRule="auto"/>
        <w:jc w:val="both"/>
        <w:rPr>
          <w:rFonts w:eastAsia="Times New Roman" w:cs="Times New Roman"/>
          <w:noProof/>
          <w:szCs w:val="24"/>
          <w:u w:val="single"/>
          <w:lang w:val="en-IE"/>
        </w:rPr>
      </w:pPr>
      <w:r>
        <w:rPr>
          <w:rFonts w:eastAsia="Times New Roman" w:cs="Times New Roman"/>
          <w:noProof/>
          <w:szCs w:val="24"/>
          <w:u w:val="single"/>
          <w:lang w:val="en-IE"/>
        </w:rPr>
        <w:t>Institutional set-up and legal alignment</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Montenegro continued to consolidate its </w:t>
      </w:r>
      <w:r>
        <w:rPr>
          <w:rFonts w:eastAsia="Times New Roman" w:cs="Times New Roman"/>
          <w:bCs/>
          <w:noProof/>
          <w:szCs w:val="24"/>
          <w:lang w:val="en-IE"/>
        </w:rPr>
        <w:t>legal framework</w:t>
      </w:r>
      <w:r>
        <w:rPr>
          <w:rFonts w:eastAsia="Times New Roman" w:cs="Times New Roman"/>
          <w:noProof/>
          <w:szCs w:val="24"/>
          <w:lang w:val="en-IE"/>
        </w:rPr>
        <w:t xml:space="preserve"> in the area of migration. Following the amendments to the Law on Foreigners in December 2018, three additional by-laws were adopted in spring 2019, in particular with the goal to simplify the issuance of temporary residence permits for work and seasonal e</w:t>
      </w:r>
      <w:r>
        <w:rPr>
          <w:rFonts w:eastAsia="Times New Roman" w:cs="Times New Roman"/>
          <w:noProof/>
          <w:szCs w:val="24"/>
          <w:lang w:val="en-IE"/>
        </w:rPr>
        <w:t xml:space="preserve">mployment, and to prevent unregistered labour migration.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The EU-Montenegro readmission agreement is facilitated by 15 implementing protocols on readmission with EU Member States, including the implementing protocol signed with Greece in March 2019. Monten</w:t>
      </w:r>
      <w:r>
        <w:rPr>
          <w:rFonts w:eastAsia="Times New Roman" w:cs="Times New Roman"/>
          <w:noProof/>
          <w:szCs w:val="24"/>
          <w:lang w:val="en-IE"/>
        </w:rPr>
        <w:t>egro has 10 readmission agreements with non EU-countries, including all Western Balkan partners and Turkey, and has finalised the negotiations with Georgia. Requests to start readmission negotiations were sent to Pakistan, Iran, Iraq, Morocco and Algeria.</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Montenegro has </w:t>
      </w:r>
      <w:r>
        <w:rPr>
          <w:rFonts w:eastAsia="Times New Roman" w:cs="Times New Roman"/>
          <w:noProof/>
          <w:szCs w:val="24"/>
        </w:rPr>
        <w:t xml:space="preserve">a contingency plan for possible mass influx of migrants and asylum seekers at the borders, adopted in 2015. </w:t>
      </w:r>
    </w:p>
    <w:p w:rsidR="003C2144" w:rsidRDefault="00FB7959">
      <w:pPr>
        <w:spacing w:after="120" w:line="240" w:lineRule="auto"/>
        <w:jc w:val="both"/>
        <w:rPr>
          <w:rFonts w:eastAsia="Times New Roman" w:cs="Times New Roman"/>
          <w:noProof/>
          <w:szCs w:val="24"/>
          <w:u w:val="single"/>
          <w:lang w:val="en-IE"/>
        </w:rPr>
      </w:pPr>
      <w:r>
        <w:rPr>
          <w:rFonts w:eastAsia="Times New Roman" w:cs="Times New Roman"/>
          <w:noProof/>
          <w:szCs w:val="24"/>
          <w:u w:val="single"/>
          <w:lang w:val="en-IE"/>
        </w:rPr>
        <w:t>Implementation and enforcement capacity</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Montenegro continued to be an attractive country for labour migration in the Western Balkans</w:t>
      </w:r>
      <w:r>
        <w:rPr>
          <w:rFonts w:eastAsia="Times New Roman" w:cs="Times New Roman"/>
          <w:noProof/>
          <w:szCs w:val="24"/>
          <w:lang w:val="en-IE"/>
        </w:rPr>
        <w:t>, with 27,634 work permits delivered in 2019, a stable number compared with 2018. Legal migration is regulated by a quota system established annually. Seasonal workers, mainly from the Western Balkans, work primarily in the tourism, construction and agricu</w:t>
      </w:r>
      <w:r>
        <w:rPr>
          <w:rFonts w:eastAsia="Times New Roman" w:cs="Times New Roman"/>
          <w:noProof/>
          <w:szCs w:val="24"/>
          <w:lang w:val="en-IE"/>
        </w:rPr>
        <w:t xml:space="preserve">lture sectors. Some 42,517 temporary residence permits were issued in total.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The 2018 upward trend in the number of irregular border crossing to Montenegro continued in 2019. Some 7,978 migrants were apprehended in 2019, a 60% increase from 2018. All of t</w:t>
      </w:r>
      <w:r>
        <w:rPr>
          <w:rFonts w:eastAsia="Times New Roman" w:cs="Times New Roman"/>
          <w:noProof/>
          <w:szCs w:val="24"/>
          <w:lang w:val="en-IE"/>
        </w:rPr>
        <w:t>he apprehended migrants expressed their intention to request asylum, which continued to put under pressure the centres for asylum seekers, whose capacity was increased to 389 beds. Montenegrin authorities prevented 516 illegal entries to the country and 1,</w:t>
      </w:r>
      <w:r>
        <w:rPr>
          <w:rFonts w:eastAsia="Times New Roman" w:cs="Times New Roman"/>
          <w:noProof/>
          <w:szCs w:val="24"/>
          <w:lang w:val="en-IE"/>
        </w:rPr>
        <w:t>514 illegal exits from the country. The detention centre for irregular migrants can host up to 50 people. The SPO conducted three investigations into migrant smuggling in 2019, involving more than 40 people. Three indictments were issued. In four cases fin</w:t>
      </w:r>
      <w:r>
        <w:rPr>
          <w:rFonts w:eastAsia="Times New Roman" w:cs="Times New Roman"/>
          <w:noProof/>
          <w:szCs w:val="24"/>
          <w:lang w:val="en-IE"/>
        </w:rPr>
        <w:t xml:space="preserve">al convictions were pronounced regarding 48 people, including 28 verdicts based on plea bargains.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In the context of the COVID-19 pandemic, only six border crossing points remained open, to ensure the movement of goods and the return of Montenegrin citizen</w:t>
      </w:r>
      <w:r>
        <w:rPr>
          <w:rFonts w:eastAsia="Times New Roman" w:cs="Times New Roman"/>
          <w:noProof/>
          <w:szCs w:val="24"/>
          <w:lang w:val="en-IE"/>
        </w:rPr>
        <w:t>s. The entry of foreigners was prohibited. Foreigners with temporary or permanent residence in Montenegro were subjected to the same regime as Montenegrin citizens, which did not include a total prohibition of movements. Irregular migration went down durin</w:t>
      </w:r>
      <w:r>
        <w:rPr>
          <w:rFonts w:eastAsia="Times New Roman" w:cs="Times New Roman"/>
          <w:noProof/>
          <w:szCs w:val="24"/>
          <w:lang w:val="en-IE"/>
        </w:rPr>
        <w:t>g the first seven months of 2020: 1,583 migrants where apprehended, while the authorities prevented 153 illegal entries and 258 illegal exits.</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Secondary movements continued to add to migratory flows, in particular those created by readmissions from Bosnia </w:t>
      </w:r>
      <w:r>
        <w:rPr>
          <w:rFonts w:eastAsia="Times New Roman" w:cs="Times New Roman"/>
          <w:noProof/>
          <w:szCs w:val="24"/>
          <w:lang w:val="en-IE"/>
        </w:rPr>
        <w:t xml:space="preserve">and Herzegovina. In 2019, Montenegro accepted to readmit 2,213 third country nationals from neighbouring countries in the framework of bilateral readmission agreements, of which 2,033 from Bosnia and Herzegovina (a 139% increase from 2018). Readmission of </w:t>
      </w:r>
      <w:r>
        <w:rPr>
          <w:rFonts w:eastAsia="Times New Roman" w:cs="Times New Roman"/>
          <w:noProof/>
          <w:szCs w:val="24"/>
          <w:lang w:val="en-IE"/>
        </w:rPr>
        <w:t>third country nationals from Montenegro to neighbouring countries increased to 382 people in 2019, including 350 to Albania, an improvement compared with previous years. Bilateral cooperation with Albania on readmission should be further developed.</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Montene</w:t>
      </w:r>
      <w:r>
        <w:rPr>
          <w:rFonts w:eastAsia="Times New Roman" w:cs="Times New Roman"/>
          <w:noProof/>
          <w:szCs w:val="24"/>
          <w:lang w:val="en-IE"/>
        </w:rPr>
        <w:t xml:space="preserve">gro’s border police still does not have a biometric system of registration and identification of migrants. The risk of double registration of migrants following secondary movements, re-entry and subsequent asylum applications remains a concern. Montenegro </w:t>
      </w:r>
      <w:r>
        <w:rPr>
          <w:rFonts w:eastAsia="Times New Roman" w:cs="Times New Roman"/>
          <w:noProof/>
          <w:szCs w:val="24"/>
          <w:lang w:val="en-IE"/>
        </w:rPr>
        <w:t xml:space="preserve">should establish an IT and communication infrastructure that has the capacity to support an effective identification and registration process of mixed migration flows in line with the EU standards and best practices.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Only 41 voluntary returns from Monten</w:t>
      </w:r>
      <w:r>
        <w:rPr>
          <w:rFonts w:eastAsia="Times New Roman" w:cs="Times New Roman"/>
          <w:noProof/>
          <w:szCs w:val="24"/>
          <w:lang w:val="en-IE"/>
        </w:rPr>
        <w:t>egro took place, including 21 to neighbouring countries, processed directly by Montenegro’s border police, and 20 to origin countries, supported by the International Organisation for Migration. The process of voluntary returns is hampered by the absence of</w:t>
      </w:r>
      <w:r>
        <w:rPr>
          <w:rFonts w:eastAsia="Times New Roman" w:cs="Times New Roman"/>
          <w:noProof/>
          <w:szCs w:val="24"/>
          <w:lang w:val="en-IE"/>
        </w:rPr>
        <w:t xml:space="preserve"> consular missions of countries of origin in Montenegro. Despite the administrative obstacles, a more proactive voluntary return policy should be developed and necessary funds allocated to mitigate the migration pressure.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Construction works for an open mi</w:t>
      </w:r>
      <w:r>
        <w:rPr>
          <w:rFonts w:eastAsia="Times New Roman" w:cs="Times New Roman"/>
          <w:noProof/>
          <w:szCs w:val="24"/>
          <w:lang w:val="en-IE"/>
        </w:rPr>
        <w:t>gration centre in Bozaj, close to the border with Albania, are planned. A temporary container settlement on the same site was established with EU assistance and opened in July 2020. This created an additional reception capacity for 60 people, adding to the</w:t>
      </w:r>
      <w:r>
        <w:rPr>
          <w:rFonts w:eastAsia="Times New Roman" w:cs="Times New Roman"/>
          <w:noProof/>
          <w:szCs w:val="24"/>
          <w:lang w:val="en-IE"/>
        </w:rPr>
        <w:t xml:space="preserve"> existing 329 beds in Spuz and Konik.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rPr>
        <w:t xml:space="preserve">The </w:t>
      </w:r>
      <w:r>
        <w:rPr>
          <w:rFonts w:eastAsia="Times New Roman" w:cs="Times New Roman"/>
          <w:b/>
          <w:bCs/>
          <w:noProof/>
          <w:szCs w:val="24"/>
        </w:rPr>
        <w:t xml:space="preserve">EU-Montenegro readmission agreement </w:t>
      </w:r>
      <w:r>
        <w:rPr>
          <w:rFonts w:eastAsia="Times New Roman" w:cs="Times New Roman"/>
          <w:noProof/>
          <w:szCs w:val="24"/>
        </w:rPr>
        <w:t>is being implemented satisfactorily</w:t>
      </w:r>
      <w:r>
        <w:rPr>
          <w:rFonts w:eastAsia="Times New Roman" w:cs="Times New Roman"/>
          <w:noProof/>
          <w:szCs w:val="24"/>
          <w:lang w:val="en-IE"/>
        </w:rPr>
        <w:t>, with the number of readmission requests from EU Member States continuing to decline. Five hundred ninety-five Montenegrin citizens were orde</w:t>
      </w:r>
      <w:r>
        <w:rPr>
          <w:rFonts w:eastAsia="Times New Roman" w:cs="Times New Roman"/>
          <w:noProof/>
          <w:szCs w:val="24"/>
          <w:lang w:val="en-IE"/>
        </w:rPr>
        <w:t xml:space="preserve">red to leave the EU in 2019. The return rate was 59.7%, down from 73% in 2018. Since EU Member States report good cooperation, this decrease may be due to the processing of exceptionally large volumes of decisions, a backlog in previous years and possibly </w:t>
      </w:r>
      <w:r>
        <w:rPr>
          <w:rFonts w:eastAsia="Times New Roman" w:cs="Times New Roman"/>
          <w:noProof/>
          <w:szCs w:val="24"/>
          <w:lang w:val="en-IE"/>
        </w:rPr>
        <w:t xml:space="preserve">secondary movements. </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Montenegro must continue its efforts to cope with migratory pressure, by further developing its international cooperation on readmission</w:t>
      </w:r>
      <w:r>
        <w:rPr>
          <w:rFonts w:cs="Times New Roman"/>
          <w:iCs/>
          <w:noProof/>
          <w:szCs w:val="24"/>
          <w:lang w:val="en-US"/>
        </w:rPr>
        <w:t xml:space="preserve"> and supporting the</w:t>
      </w:r>
      <w:r>
        <w:rPr>
          <w:rFonts w:eastAsia="Times New Roman" w:cs="Times New Roman"/>
          <w:iCs/>
          <w:noProof/>
          <w:szCs w:val="24"/>
          <w:lang w:val="en-US"/>
        </w:rPr>
        <w:t xml:space="preserve"> successful reintegration of returnees</w:t>
      </w:r>
      <w:r>
        <w:rPr>
          <w:rFonts w:eastAsia="Times New Roman" w:cs="Times New Roman"/>
          <w:noProof/>
          <w:szCs w:val="24"/>
          <w:lang w:val="en-IE"/>
        </w:rPr>
        <w:t>, raising its capacity to prosecute migra</w:t>
      </w:r>
      <w:r>
        <w:rPr>
          <w:rFonts w:eastAsia="Times New Roman" w:cs="Times New Roman"/>
          <w:noProof/>
          <w:szCs w:val="24"/>
          <w:lang w:val="en-IE"/>
        </w:rPr>
        <w:t>nt smuggling networks, increasing its reception capacity and enhancing its migrants’ data collection system.</w:t>
      </w:r>
    </w:p>
    <w:p w:rsidR="003C2144" w:rsidRDefault="00FB7959">
      <w:pPr>
        <w:spacing w:after="120" w:line="240" w:lineRule="auto"/>
        <w:jc w:val="both"/>
        <w:rPr>
          <w:rFonts w:cs="Times New Roman"/>
          <w:b/>
          <w:bCs/>
          <w:noProof/>
          <w:szCs w:val="24"/>
          <w:lang w:val="en-IE"/>
        </w:rPr>
      </w:pPr>
      <w:r>
        <w:rPr>
          <w:rFonts w:cs="Times New Roman"/>
          <w:b/>
          <w:bCs/>
          <w:noProof/>
          <w:szCs w:val="24"/>
          <w:lang w:val="en-IE"/>
        </w:rPr>
        <w:t>Asylum</w:t>
      </w:r>
    </w:p>
    <w:p w:rsidR="003C2144" w:rsidRDefault="00FB7959">
      <w:pPr>
        <w:spacing w:after="120" w:line="240" w:lineRule="auto"/>
        <w:rPr>
          <w:rFonts w:cs="Times New Roman"/>
          <w:noProof/>
          <w:szCs w:val="24"/>
          <w:lang w:val="en-IE"/>
        </w:rPr>
      </w:pPr>
      <w:r>
        <w:rPr>
          <w:rFonts w:cs="Times New Roman"/>
          <w:noProof/>
          <w:szCs w:val="24"/>
          <w:u w:val="single"/>
          <w:lang w:val="en-IE"/>
        </w:rPr>
        <w:t>Institutional set-up and legal alignment</w:t>
      </w:r>
    </w:p>
    <w:p w:rsidR="003C2144" w:rsidRDefault="00FB7959">
      <w:pPr>
        <w:spacing w:after="120" w:line="240" w:lineRule="auto"/>
        <w:jc w:val="both"/>
        <w:rPr>
          <w:rFonts w:cs="Times New Roman"/>
          <w:noProof/>
          <w:szCs w:val="24"/>
          <w:lang w:val="en-IE"/>
        </w:rPr>
      </w:pPr>
      <w:r>
        <w:rPr>
          <w:rFonts w:cs="Times New Roman"/>
          <w:noProof/>
          <w:szCs w:val="24"/>
          <w:lang w:val="en-IE"/>
        </w:rPr>
        <w:t xml:space="preserve">The Law on asylum was amended in January 2019 and further aligned with the EU </w:t>
      </w:r>
      <w:r>
        <w:rPr>
          <w:rFonts w:cs="Times New Roman"/>
          <w:i/>
          <w:noProof/>
          <w:szCs w:val="24"/>
          <w:lang w:val="en-IE"/>
        </w:rPr>
        <w:t>acquis</w:t>
      </w:r>
      <w:r>
        <w:rPr>
          <w:rFonts w:cs="Times New Roman"/>
          <w:noProof/>
          <w:szCs w:val="24"/>
          <w:lang w:val="en-IE"/>
        </w:rPr>
        <w:t>. The d</w:t>
      </w:r>
      <w:r>
        <w:rPr>
          <w:rFonts w:cs="Times New Roman"/>
          <w:iCs/>
          <w:noProof/>
          <w:szCs w:val="24"/>
          <w:lang w:val="en-IE"/>
        </w:rPr>
        <w:t xml:space="preserve">irectorate in charge of integration of people under a protection status, which is </w:t>
      </w:r>
      <w:r>
        <w:rPr>
          <w:rFonts w:cs="Times New Roman"/>
          <w:noProof/>
          <w:szCs w:val="24"/>
          <w:lang w:val="en-IE"/>
        </w:rPr>
        <w:t>now under the Ministry of Interior,</w:t>
      </w:r>
      <w:r>
        <w:rPr>
          <w:rFonts w:cs="Times New Roman"/>
          <w:iCs/>
          <w:noProof/>
          <w:szCs w:val="24"/>
          <w:lang w:val="en-IE"/>
        </w:rPr>
        <w:t xml:space="preserve"> was reorganised</w:t>
      </w:r>
      <w:r>
        <w:rPr>
          <w:rFonts w:cs="Times New Roman"/>
          <w:noProof/>
          <w:szCs w:val="24"/>
          <w:lang w:val="en-IE"/>
        </w:rPr>
        <w:t>. In July 2019, new integration measures, including financial assistance, language and culture courses, school enrolment fo</w:t>
      </w:r>
      <w:r>
        <w:rPr>
          <w:rFonts w:cs="Times New Roman"/>
          <w:noProof/>
          <w:szCs w:val="24"/>
          <w:lang w:val="en-IE"/>
        </w:rPr>
        <w:t xml:space="preserve">r children and job placement were developed, but so far, the number of people concerned remained limited. </w:t>
      </w:r>
    </w:p>
    <w:p w:rsidR="003C2144" w:rsidRDefault="00FB7959">
      <w:pPr>
        <w:spacing w:after="120" w:line="240" w:lineRule="auto"/>
        <w:jc w:val="both"/>
        <w:rPr>
          <w:rFonts w:cs="Times New Roman"/>
          <w:noProof/>
          <w:szCs w:val="24"/>
          <w:lang w:val="en-IE"/>
        </w:rPr>
      </w:pPr>
      <w:r>
        <w:rPr>
          <w:rFonts w:cs="Times New Roman"/>
          <w:noProof/>
          <w:szCs w:val="24"/>
          <w:lang w:val="en-IE"/>
        </w:rPr>
        <w:t>A draft list of safe countries of origin, aimed at accelerating the process of applications, was adopted in December 2019. It includes the Western Ba</w:t>
      </w:r>
      <w:r>
        <w:rPr>
          <w:rFonts w:cs="Times New Roman"/>
          <w:noProof/>
          <w:szCs w:val="24"/>
          <w:lang w:val="en-IE"/>
        </w:rPr>
        <w:t xml:space="preserve">lkan region and Turkey. </w:t>
      </w:r>
    </w:p>
    <w:p w:rsidR="003C2144" w:rsidRDefault="00FB7959">
      <w:pPr>
        <w:spacing w:after="120" w:line="240" w:lineRule="auto"/>
        <w:rPr>
          <w:rFonts w:cs="Times New Roman"/>
          <w:noProof/>
          <w:szCs w:val="24"/>
          <w:u w:val="single"/>
          <w:lang w:val="en-IE"/>
        </w:rPr>
      </w:pPr>
      <w:r>
        <w:rPr>
          <w:rFonts w:cs="Times New Roman"/>
          <w:noProof/>
          <w:szCs w:val="24"/>
          <w:u w:val="single"/>
          <w:lang w:val="en-IE"/>
        </w:rPr>
        <w:t>Implementation and enforcement capacity</w:t>
      </w:r>
    </w:p>
    <w:p w:rsidR="003C2144" w:rsidRDefault="00FB7959">
      <w:pPr>
        <w:spacing w:after="120" w:line="240" w:lineRule="auto"/>
        <w:jc w:val="both"/>
        <w:rPr>
          <w:rFonts w:cs="Times New Roman"/>
          <w:noProof/>
          <w:szCs w:val="24"/>
          <w:lang w:val="en-IE"/>
        </w:rPr>
      </w:pPr>
      <w:r>
        <w:rPr>
          <w:rFonts w:cs="Times New Roman"/>
          <w:noProof/>
          <w:szCs w:val="24"/>
          <w:lang w:val="en-IE"/>
        </w:rPr>
        <w:t>Although the number of migrants, expressing their intention to seek asylum, increased compared with 2018, the number of those actually lodging asylum claims declined in 2019. Only 1,921 asylu</w:t>
      </w:r>
      <w:r>
        <w:rPr>
          <w:rFonts w:cs="Times New Roman"/>
          <w:noProof/>
          <w:szCs w:val="24"/>
          <w:lang w:val="en-IE"/>
        </w:rPr>
        <w:t xml:space="preserve">m requests were registered, a 38% drop compared with 2018, reflecting an increased mobility and tendency to leave the country even before lodging the asylum request. 9,6% of the applicants were women and 89% were adults. 34% of the requests were lodged by </w:t>
      </w:r>
      <w:r>
        <w:rPr>
          <w:rFonts w:cs="Times New Roman"/>
          <w:noProof/>
          <w:szCs w:val="24"/>
          <w:lang w:val="en-IE"/>
        </w:rPr>
        <w:t>Moroccan nationals, followed by Algerian (15%), Iraqi (15%) and Syrian (14%) nationals. Most of them left the country before the end of the procedure. This trend was confirmed during the first 7 months of 2020, with only 394 asylum requests lodged.</w:t>
      </w:r>
    </w:p>
    <w:p w:rsidR="003C2144" w:rsidRDefault="00FB7959">
      <w:pPr>
        <w:spacing w:after="120" w:line="240" w:lineRule="auto"/>
        <w:jc w:val="both"/>
        <w:rPr>
          <w:rFonts w:cs="Times New Roman"/>
          <w:noProof/>
          <w:szCs w:val="24"/>
          <w:lang w:val="en-IE"/>
        </w:rPr>
      </w:pPr>
      <w:r>
        <w:rPr>
          <w:rFonts w:cs="Times New Roman"/>
          <w:noProof/>
          <w:szCs w:val="24"/>
          <w:lang w:val="en-IE"/>
        </w:rPr>
        <w:t>Despite the relatively small number of asylum seekers who actually remained in the system, the number of requests actually processed remains limited. Between January 2019 and March 2020, out of 77 cases where the applicant actually showed up at the intervi</w:t>
      </w:r>
      <w:r>
        <w:rPr>
          <w:rFonts w:cs="Times New Roman"/>
          <w:noProof/>
          <w:szCs w:val="24"/>
          <w:lang w:val="en-IE"/>
        </w:rPr>
        <w:t xml:space="preserve">ew, only 29 final decisions were taken. Twenty-four applications </w:t>
      </w:r>
      <w:r>
        <w:rPr>
          <w:rFonts w:cs="Times New Roman"/>
          <w:noProof/>
          <w:szCs w:val="24"/>
        </w:rPr>
        <w:t>were cancelled due to the applicant’s departure from the country, while 24 are still in process.</w:t>
      </w:r>
      <w:r>
        <w:rPr>
          <w:rFonts w:cs="Times New Roman"/>
          <w:noProof/>
          <w:szCs w:val="24"/>
          <w:lang w:val="en-IE"/>
        </w:rPr>
        <w:t xml:space="preserve"> A number of interviews were postponed for technical reasons. Seven people were granted an inte</w:t>
      </w:r>
      <w:r>
        <w:rPr>
          <w:rFonts w:cs="Times New Roman"/>
          <w:noProof/>
          <w:szCs w:val="24"/>
          <w:lang w:val="en-IE"/>
        </w:rPr>
        <w:t>rnational protection status from January 2019 to March 2020, including six refugee status based on family reunification grounds, and only one subsidiary protection status resulting from the request’s own merit. Twenty-one appeal claims were lodged at the A</w:t>
      </w:r>
      <w:r>
        <w:rPr>
          <w:rFonts w:cs="Times New Roman"/>
          <w:noProof/>
          <w:szCs w:val="24"/>
          <w:lang w:val="en-IE"/>
        </w:rPr>
        <w:t>dministrative court. Due to the COVID-19 pandemic, interviews of asylum seekers were suspended in April and May 2020. They resumed in June after the interview premises had been equipped with the relevant protection equipment.</w:t>
      </w:r>
    </w:p>
    <w:p w:rsidR="003C2144" w:rsidRDefault="00FB7959">
      <w:pPr>
        <w:spacing w:after="120" w:line="240" w:lineRule="auto"/>
        <w:jc w:val="both"/>
        <w:rPr>
          <w:rFonts w:cs="Times New Roman"/>
          <w:noProof/>
          <w:szCs w:val="24"/>
          <w:lang w:val="en-IE"/>
        </w:rPr>
      </w:pPr>
      <w:r>
        <w:rPr>
          <w:rFonts w:cs="Times New Roman"/>
          <w:noProof/>
          <w:szCs w:val="24"/>
          <w:lang w:val="en-IE"/>
        </w:rPr>
        <w:t xml:space="preserve">For the second year in a row, </w:t>
      </w:r>
      <w:r>
        <w:rPr>
          <w:rFonts w:cs="Times New Roman"/>
          <w:noProof/>
          <w:szCs w:val="24"/>
          <w:lang w:val="en-IE"/>
        </w:rPr>
        <w:t>Montenegro’s reception capacity was under pressure. 7739 people in total were accommodated in 2019, a 73% surge compared with 2018, mainly for short stays, overstretching the system to its limits. 4,5% of them were women. The asylum centre in Spuz, of a ca</w:t>
      </w:r>
      <w:r>
        <w:rPr>
          <w:rFonts w:cs="Times New Roman"/>
          <w:noProof/>
          <w:szCs w:val="24"/>
          <w:lang w:val="en-IE"/>
        </w:rPr>
        <w:t>pacity of 104 beds, is generally used for families and women, while the alternative centre in Konik, of a capacity of 225 beds, hosts single men. It is private-owned facility rented out to the asylum authorities at expensive commercial price. 71% of the as</w:t>
      </w:r>
      <w:r>
        <w:rPr>
          <w:rFonts w:cs="Times New Roman"/>
          <w:noProof/>
          <w:szCs w:val="24"/>
          <w:lang w:val="en-IE"/>
        </w:rPr>
        <w:t>ylum seekers stayed in the alternative centre, where, despite recent improvements, the standards still do not match the standards of a fully-fledged asylum centre. Between January and April 2020, 1197 migrants were accommodated in the reception facilities.</w:t>
      </w:r>
      <w:r>
        <w:rPr>
          <w:rFonts w:cs="Times New Roman"/>
          <w:noProof/>
          <w:szCs w:val="24"/>
          <w:lang w:val="en-IE"/>
        </w:rPr>
        <w:t xml:space="preserve"> As from March 2020 preventive hygiene and disinfection measures were applied in all the centres to prevent the spread of COVID-19.</w:t>
      </w:r>
    </w:p>
    <w:p w:rsidR="003C2144" w:rsidRDefault="00FB7959">
      <w:pPr>
        <w:spacing w:after="120" w:line="240" w:lineRule="auto"/>
        <w:jc w:val="both"/>
        <w:rPr>
          <w:rFonts w:cs="Times New Roman"/>
          <w:noProof/>
          <w:szCs w:val="24"/>
          <w:lang w:val="en-IE"/>
        </w:rPr>
      </w:pPr>
      <w:r>
        <w:rPr>
          <w:rFonts w:cs="Times New Roman"/>
          <w:noProof/>
          <w:szCs w:val="24"/>
          <w:lang w:val="en-IE"/>
        </w:rPr>
        <w:t xml:space="preserve">The budget of the asylum system rose to </w:t>
      </w:r>
      <w:r>
        <w:rPr>
          <w:rFonts w:cs="Times New Roman"/>
          <w:noProof/>
          <w:szCs w:val="24"/>
        </w:rPr>
        <w:t xml:space="preserve">EUR </w:t>
      </w:r>
      <w:r>
        <w:rPr>
          <w:rFonts w:cs="Times New Roman"/>
          <w:noProof/>
          <w:szCs w:val="24"/>
          <w:lang w:val="en-IE"/>
        </w:rPr>
        <w:t>1.7 million in 2019 (a twofold increase compared with 2018), 66% of which was sp</w:t>
      </w:r>
      <w:r>
        <w:rPr>
          <w:rFonts w:cs="Times New Roman"/>
          <w:noProof/>
          <w:szCs w:val="24"/>
          <w:lang w:val="en-IE"/>
        </w:rPr>
        <w:t xml:space="preserve">ent on the alternative reception centre. Reception costs are entirely paid from Montenegro’s budget, with no external support. </w:t>
      </w:r>
    </w:p>
    <w:p w:rsidR="003C2144" w:rsidRDefault="00FB7959">
      <w:pPr>
        <w:spacing w:after="120" w:line="240" w:lineRule="auto"/>
        <w:jc w:val="both"/>
        <w:rPr>
          <w:rFonts w:cs="Times New Roman"/>
          <w:noProof/>
          <w:szCs w:val="24"/>
          <w:lang w:val="en-IE"/>
        </w:rPr>
      </w:pPr>
      <w:r>
        <w:rPr>
          <w:rFonts w:cs="Times New Roman"/>
          <w:noProof/>
          <w:szCs w:val="24"/>
          <w:lang w:val="en-IE"/>
        </w:rPr>
        <w:t>The number of people under a protection status currently living in Montenegro dropped to 28 people. Nine persons out of 12 adult</w:t>
      </w:r>
      <w:r>
        <w:rPr>
          <w:rFonts w:cs="Times New Roman"/>
          <w:noProof/>
          <w:szCs w:val="24"/>
          <w:lang w:val="en-IE"/>
        </w:rPr>
        <w:t xml:space="preserve">s are working. Language courses are being delivered. Civil servants have limited opportunities to gain operational experience in the implementation of integration measures, due to the small numbers of people of concern. </w:t>
      </w:r>
    </w:p>
    <w:p w:rsidR="003C2144" w:rsidRDefault="00FB7959">
      <w:pPr>
        <w:spacing w:after="120" w:line="240" w:lineRule="auto"/>
        <w:jc w:val="both"/>
        <w:rPr>
          <w:rFonts w:cs="Times New Roman"/>
          <w:noProof/>
          <w:szCs w:val="24"/>
          <w:lang w:val="en-IE"/>
        </w:rPr>
      </w:pPr>
      <w:r>
        <w:rPr>
          <w:rFonts w:cs="Times New Roman"/>
          <w:noProof/>
          <w:szCs w:val="24"/>
          <w:lang w:val="en-IE"/>
        </w:rPr>
        <w:t>Although Montenegro’s asylum system</w:t>
      </w:r>
      <w:r>
        <w:rPr>
          <w:rFonts w:cs="Times New Roman"/>
          <w:noProof/>
          <w:szCs w:val="24"/>
          <w:lang w:val="en-IE"/>
        </w:rPr>
        <w:t xml:space="preserve"> has continued to demonstrate its resilience in a very tense context, efforts should be continued to improve the status determination process, further strengthen the reception capacity, and rationalise costs of accommodation in the alternative centre.</w:t>
      </w:r>
    </w:p>
    <w:p w:rsidR="003C2144" w:rsidRDefault="00FB7959">
      <w:pPr>
        <w:widowControl w:val="0"/>
        <w:spacing w:after="120" w:line="240" w:lineRule="auto"/>
        <w:jc w:val="both"/>
        <w:rPr>
          <w:rFonts w:cs="Times New Roman"/>
          <w:b/>
          <w:bCs/>
          <w:noProof/>
          <w:szCs w:val="24"/>
          <w:lang w:val="en-IE"/>
        </w:rPr>
      </w:pPr>
      <w:r>
        <w:rPr>
          <w:rFonts w:cs="Times New Roman"/>
          <w:b/>
          <w:bCs/>
          <w:noProof/>
          <w:szCs w:val="24"/>
          <w:lang w:val="en-IE"/>
        </w:rPr>
        <w:t>Visa</w:t>
      </w:r>
      <w:r>
        <w:rPr>
          <w:rFonts w:cs="Times New Roman"/>
          <w:b/>
          <w:bCs/>
          <w:noProof/>
          <w:szCs w:val="24"/>
          <w:lang w:val="en-IE"/>
        </w:rPr>
        <w:t xml:space="preserve"> policy</w:t>
      </w:r>
    </w:p>
    <w:p w:rsidR="003C2144" w:rsidRDefault="00FB7959">
      <w:pPr>
        <w:spacing w:after="120" w:line="240" w:lineRule="auto"/>
        <w:jc w:val="both"/>
        <w:rPr>
          <w:rFonts w:cs="Times New Roman"/>
          <w:noProof/>
          <w:szCs w:val="24"/>
          <w:lang w:val="en-IE"/>
        </w:rPr>
      </w:pPr>
      <w:r>
        <w:rPr>
          <w:rFonts w:cs="Times New Roman"/>
          <w:noProof/>
          <w:szCs w:val="24"/>
          <w:lang w:val="en-IE"/>
        </w:rPr>
        <w:t>Montenegro’s visa policy is not fully aligned with the one of the EU, including with the EU list of countries whose nationals require a visa and those exempt from this requirement. Under its tourism development policy, Montenegro still exempts nati</w:t>
      </w:r>
      <w:r>
        <w:rPr>
          <w:rFonts w:cs="Times New Roman"/>
          <w:noProof/>
          <w:szCs w:val="24"/>
          <w:lang w:val="en-IE"/>
        </w:rPr>
        <w:t xml:space="preserve">onals from Russia, Armenia, Kazakhstan, Azerbaijan, Belarus, Cuba, Ecuador, Kuwait and Turkey from short-term visa requirements - either on a seasonal basis for tourism purposes or permanently. </w:t>
      </w:r>
      <w:r>
        <w:rPr>
          <w:rFonts w:cs="Times New Roman"/>
          <w:noProof/>
          <w:szCs w:val="24"/>
        </w:rPr>
        <w:t>The impact that these exemptions have on migratory flows is cl</w:t>
      </w:r>
      <w:r>
        <w:rPr>
          <w:rFonts w:cs="Times New Roman"/>
          <w:noProof/>
          <w:szCs w:val="24"/>
        </w:rPr>
        <w:t xml:space="preserve">osely monitored, and no irregular migration from the countries concerned have been observed so far. The European Commission’s third Report under the Visa Suspension Mechanism of July 2020 concluded that Montenegro continues to meet the visa liberalisation </w:t>
      </w:r>
      <w:r>
        <w:rPr>
          <w:rFonts w:cs="Times New Roman"/>
          <w:noProof/>
          <w:szCs w:val="24"/>
        </w:rPr>
        <w:t xml:space="preserve">benchmarks. However, </w:t>
      </w:r>
      <w:r>
        <w:rPr>
          <w:rFonts w:cs="Times New Roman"/>
          <w:noProof/>
          <w:szCs w:val="24"/>
          <w:lang w:val="en-IE"/>
        </w:rPr>
        <w:t>in order to ensure a well-managed migration system and security environment, Montenegro will need to ensure full alignment with the EU visa policy.</w:t>
      </w:r>
    </w:p>
    <w:p w:rsidR="003C2144" w:rsidRDefault="00FB7959">
      <w:pPr>
        <w:spacing w:after="120" w:line="240" w:lineRule="auto"/>
        <w:jc w:val="both"/>
        <w:rPr>
          <w:rFonts w:cs="Times New Roman"/>
          <w:noProof/>
          <w:szCs w:val="24"/>
          <w:lang w:val="en-IE"/>
        </w:rPr>
      </w:pPr>
      <w:r>
        <w:rPr>
          <w:rFonts w:cs="Times New Roman"/>
          <w:noProof/>
          <w:szCs w:val="24"/>
          <w:lang w:val="en-IE"/>
        </w:rPr>
        <w:t>Montenegro has now 31 consular missions connected through the national Visa Information</w:t>
      </w:r>
      <w:r>
        <w:rPr>
          <w:rFonts w:cs="Times New Roman"/>
          <w:noProof/>
          <w:szCs w:val="24"/>
          <w:lang w:val="en-IE"/>
        </w:rPr>
        <w:t xml:space="preserve"> System. Three visas were issued at border crossing points in 2019, under conditions that were in line with the EU </w:t>
      </w:r>
      <w:r>
        <w:rPr>
          <w:rFonts w:cs="Times New Roman"/>
          <w:i/>
          <w:noProof/>
          <w:szCs w:val="24"/>
          <w:lang w:val="en-IE"/>
        </w:rPr>
        <w:t>acquis</w:t>
      </w:r>
      <w:r>
        <w:rPr>
          <w:rFonts w:cs="Times New Roman"/>
          <w:noProof/>
          <w:szCs w:val="24"/>
          <w:lang w:val="en-IE"/>
        </w:rPr>
        <w:t>. In the framework of the post-visa-liberalisation process, Montenegro continued to implement relevant measures to prevent abuse of the</w:t>
      </w:r>
      <w:r>
        <w:rPr>
          <w:rFonts w:cs="Times New Roman"/>
          <w:noProof/>
          <w:szCs w:val="24"/>
          <w:lang w:val="en-IE"/>
        </w:rPr>
        <w:t xml:space="preserve"> visa-free regime with the EU and reported on it on a monthly basis. T</w:t>
      </w:r>
      <w:r>
        <w:rPr>
          <w:rFonts w:cs="Times New Roman"/>
          <w:noProof/>
          <w:szCs w:val="24"/>
        </w:rPr>
        <w:t>he number of first time asylum applicants from Montenegro in EU Member States and Schengen associated countries remained low, with 225 applications lodged in 2019 (down from 380 in 2018)</w:t>
      </w:r>
      <w:r>
        <w:rPr>
          <w:rFonts w:cs="Times New Roman"/>
          <w:noProof/>
          <w:szCs w:val="24"/>
        </w:rPr>
        <w:t>.</w:t>
      </w:r>
      <w:r>
        <w:rPr>
          <w:rFonts w:cs="Times New Roman"/>
          <w:noProof/>
          <w:szCs w:val="24"/>
          <w:lang w:val="en-IE"/>
        </w:rPr>
        <w:t xml:space="preserve"> </w:t>
      </w:r>
    </w:p>
    <w:p w:rsidR="003C2144" w:rsidRDefault="00FB7959">
      <w:pPr>
        <w:keepNext/>
        <w:autoSpaceDE w:val="0"/>
        <w:autoSpaceDN w:val="0"/>
        <w:adjustRightInd w:val="0"/>
        <w:spacing w:after="120" w:line="240" w:lineRule="auto"/>
        <w:jc w:val="both"/>
        <w:rPr>
          <w:rFonts w:cs="Times New Roman"/>
          <w:b/>
          <w:noProof/>
          <w:szCs w:val="24"/>
          <w:lang w:val="en-IE" w:bidi="en-US"/>
        </w:rPr>
      </w:pPr>
      <w:r>
        <w:rPr>
          <w:rFonts w:cs="Times New Roman"/>
          <w:b/>
          <w:noProof/>
          <w:szCs w:val="24"/>
          <w:lang w:val="en-IE" w:bidi="en-US"/>
        </w:rPr>
        <w:t>Schengen and external borders</w:t>
      </w:r>
    </w:p>
    <w:p w:rsidR="003C2144" w:rsidRDefault="00FB7959">
      <w:pPr>
        <w:keepNext/>
        <w:spacing w:after="120" w:line="240" w:lineRule="auto"/>
        <w:rPr>
          <w:rFonts w:cs="Times New Roman"/>
          <w:noProof/>
          <w:szCs w:val="24"/>
          <w:lang w:val="en-IE"/>
        </w:rPr>
      </w:pPr>
      <w:r>
        <w:rPr>
          <w:rFonts w:cs="Times New Roman"/>
          <w:noProof/>
          <w:szCs w:val="24"/>
          <w:u w:val="single"/>
          <w:lang w:val="en-IE"/>
        </w:rPr>
        <w:t>Institutional set-up and legal alignment</w:t>
      </w:r>
    </w:p>
    <w:p w:rsidR="003C2144" w:rsidRDefault="00FB7959">
      <w:pPr>
        <w:keepNext/>
        <w:spacing w:after="120" w:line="240" w:lineRule="auto"/>
        <w:jc w:val="both"/>
        <w:rPr>
          <w:rFonts w:eastAsia="Times New Roman" w:cs="Times New Roman"/>
          <w:noProof/>
          <w:szCs w:val="24"/>
          <w:lang w:val="en-IE"/>
        </w:rPr>
      </w:pPr>
      <w:r>
        <w:rPr>
          <w:rFonts w:eastAsia="Times New Roman" w:cs="Times New Roman"/>
          <w:noProof/>
          <w:szCs w:val="24"/>
          <w:lang w:val="en-IE"/>
        </w:rPr>
        <w:t>The Status Agreement with the EU, providing for the deployment of European Border and Coast Guard teams with executive powers along Montenegro’s borders with the EU, was ratified by both sides and entered into force on 1 July 2020. After Albania, this is t</w:t>
      </w:r>
      <w:r>
        <w:rPr>
          <w:rFonts w:eastAsia="Times New Roman" w:cs="Times New Roman"/>
          <w:noProof/>
          <w:szCs w:val="24"/>
          <w:lang w:val="en-IE"/>
        </w:rPr>
        <w:t>he second such agreement to enter into force. The agreement paves the way for closer cooperation between Montenegro and Frontex, including more opportunities for the transfer of good EU practices. A first Joint Operation under the Agreement was launched on</w:t>
      </w:r>
      <w:r>
        <w:rPr>
          <w:rFonts w:eastAsia="Times New Roman" w:cs="Times New Roman"/>
          <w:noProof/>
          <w:szCs w:val="24"/>
          <w:lang w:val="en-IE"/>
        </w:rPr>
        <w:t xml:space="preserve"> 15 July and started with </w:t>
      </w:r>
      <w:r>
        <w:rPr>
          <w:rFonts w:eastAsia="Times New Roman" w:cs="Times New Roman"/>
          <w:noProof/>
          <w:szCs w:val="24"/>
        </w:rPr>
        <w:t>the deployment of an EBCGA/Frontex officer to a border crossing point on the border with Croatia</w:t>
      </w:r>
      <w:r>
        <w:rPr>
          <w:rFonts w:eastAsia="Times New Roman" w:cs="Times New Roman"/>
          <w:noProof/>
          <w:szCs w:val="24"/>
          <w:lang w:val="en-IE"/>
        </w:rPr>
        <w:t>.</w:t>
      </w:r>
    </w:p>
    <w:p w:rsidR="003C2144" w:rsidRDefault="00FB7959">
      <w:pPr>
        <w:keepNext/>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Montenegro’s legal framework was further aligned with the relevant EU </w:t>
      </w:r>
      <w:r>
        <w:rPr>
          <w:rFonts w:eastAsia="Times New Roman" w:cs="Times New Roman"/>
          <w:i/>
          <w:noProof/>
          <w:szCs w:val="24"/>
          <w:lang w:val="en-IE"/>
        </w:rPr>
        <w:t>acquis</w:t>
      </w:r>
      <w:r>
        <w:rPr>
          <w:rFonts w:eastAsia="Times New Roman" w:cs="Times New Roman"/>
          <w:noProof/>
          <w:szCs w:val="24"/>
          <w:lang w:val="en-IE"/>
        </w:rPr>
        <w:t xml:space="preserve"> through the adoption of amendments to the Law on border</w:t>
      </w:r>
      <w:r>
        <w:rPr>
          <w:rFonts w:eastAsia="Times New Roman" w:cs="Times New Roman"/>
          <w:noProof/>
          <w:szCs w:val="24"/>
          <w:lang w:val="en-IE"/>
        </w:rPr>
        <w:t xml:space="preserve"> control in March 2019 and with the establishment, in April 2019, of a National Coordination Centre (NCC), a key body to improve the country-wide situational awareness, risk assessment capacity and the ability to respond to crises. The Director was appoint</w:t>
      </w:r>
      <w:r>
        <w:rPr>
          <w:rFonts w:eastAsia="Times New Roman" w:cs="Times New Roman"/>
          <w:noProof/>
          <w:szCs w:val="24"/>
          <w:lang w:val="en-IE"/>
        </w:rPr>
        <w:t>ed, the equipment was partly delivered and most of its planned 23 staff members were recruited. However, the NCC is yet to become fully equipped and operational.</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The 2014-2018 strategy on Integrated Border Management (IBM) was extended to 2019. A new IBM s</w:t>
      </w:r>
      <w:r>
        <w:rPr>
          <w:rFonts w:eastAsia="Times New Roman" w:cs="Times New Roman"/>
          <w:noProof/>
          <w:szCs w:val="24"/>
          <w:lang w:val="en-IE"/>
        </w:rPr>
        <w:t>trategy for 2020-2024, encompassing the new European IBM concept was adopted in February 2020. The number of positions in the border police is 1,364, of which 1,321 are recruited. However, according to the Schengen action plan, 600 more border police offic</w:t>
      </w:r>
      <w:r>
        <w:rPr>
          <w:rFonts w:eastAsia="Times New Roman" w:cs="Times New Roman"/>
          <w:noProof/>
          <w:szCs w:val="24"/>
          <w:lang w:val="en-IE"/>
        </w:rPr>
        <w:t xml:space="preserve">ers would be needed. The Advance Passenger Information System (API) is not operational. </w:t>
      </w:r>
    </w:p>
    <w:p w:rsidR="003C2144" w:rsidRDefault="00FB7959">
      <w:pPr>
        <w:spacing w:after="120" w:line="240" w:lineRule="auto"/>
        <w:jc w:val="both"/>
        <w:rPr>
          <w:rFonts w:eastAsia="Times New Roman" w:cs="Times New Roman"/>
          <w:noProof/>
          <w:szCs w:val="24"/>
          <w:u w:val="single"/>
          <w:lang w:val="en-IE"/>
        </w:rPr>
      </w:pPr>
      <w:r>
        <w:rPr>
          <w:rFonts w:eastAsia="Times New Roman" w:cs="Times New Roman"/>
          <w:noProof/>
          <w:szCs w:val="24"/>
          <w:u w:val="single"/>
          <w:lang w:val="en-IE"/>
        </w:rPr>
        <w:t>Implementation and enforcement capacity</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Montenegro continued to strengthen its border management capacity through numerous training activities, TAIEX support, and the </w:t>
      </w:r>
      <w:r>
        <w:rPr>
          <w:rFonts w:eastAsia="Times New Roman" w:cs="Times New Roman"/>
          <w:noProof/>
          <w:szCs w:val="24"/>
          <w:lang w:val="en-IE"/>
        </w:rPr>
        <w:t xml:space="preserve">purchase of equipment. However, the number of illegal entries prevented dropped to 516, from </w:t>
      </w:r>
      <w:r>
        <w:rPr>
          <w:rFonts w:eastAsia="Times New Roman" w:cs="Times New Roman"/>
          <w:noProof/>
          <w:szCs w:val="24"/>
        </w:rPr>
        <w:t xml:space="preserve">1309 </w:t>
      </w:r>
      <w:r>
        <w:rPr>
          <w:rFonts w:eastAsia="Times New Roman" w:cs="Times New Roman"/>
          <w:noProof/>
          <w:szCs w:val="24"/>
          <w:lang w:val="en-IE"/>
        </w:rPr>
        <w:t>in 2018. Some 115 forged documents were seized. Material and human resources remain insufficient to cope with the challenges of land and sea border surveillan</w:t>
      </w:r>
      <w:r>
        <w:rPr>
          <w:rFonts w:eastAsia="Times New Roman" w:cs="Times New Roman"/>
          <w:noProof/>
          <w:szCs w:val="24"/>
          <w:lang w:val="en-IE"/>
        </w:rPr>
        <w:t>ce. Border police participation in combating and investigating cross-border crime should be increased</w:t>
      </w:r>
      <w:r>
        <w:rPr>
          <w:rFonts w:eastAsia="Times New Roman" w:cs="Times New Roman"/>
          <w:b/>
          <w:bCs/>
          <w:noProof/>
          <w:szCs w:val="24"/>
          <w:lang w:val="en-IE"/>
        </w:rPr>
        <w:t xml:space="preserve">. </w:t>
      </w:r>
      <w:r>
        <w:rPr>
          <w:rFonts w:eastAsia="Times New Roman" w:cs="Times New Roman"/>
          <w:noProof/>
          <w:szCs w:val="24"/>
          <w:lang w:val="en-IE"/>
        </w:rPr>
        <w:t>Cooperation with neighbouring countries in border management is good. Joint patrols with all neighbouring countries were conducted, with a significant in</w:t>
      </w:r>
      <w:r>
        <w:rPr>
          <w:rFonts w:eastAsia="Times New Roman" w:cs="Times New Roman"/>
          <w:noProof/>
          <w:szCs w:val="24"/>
          <w:lang w:val="en-IE"/>
        </w:rPr>
        <w:t>crease of joint patrols with Albania. A demolition plan for the 30 alternative cross</w:t>
      </w:r>
      <w:r>
        <w:rPr>
          <w:rFonts w:eastAsia="Times New Roman" w:cs="Times New Roman"/>
          <w:noProof/>
          <w:szCs w:val="24"/>
          <w:lang w:val="en-IE"/>
        </w:rPr>
        <w:noBreakHyphen/>
        <w:t>border roads with Serbia was signed in March 2019, and started to be implemented. All the 14 alternative roads on the Montenegrin side were closed. In June 2020, an agreem</w:t>
      </w:r>
      <w:r>
        <w:rPr>
          <w:rFonts w:eastAsia="Times New Roman" w:cs="Times New Roman"/>
          <w:noProof/>
          <w:szCs w:val="24"/>
          <w:lang w:val="en-IE"/>
        </w:rPr>
        <w:t>ent with Bosnia and Herzegovina was signed on joint border crossing points. In 2019, 39,644 joint inspections were carried, 713 requests for information were processed by both joint cooperation centres of Plav and Trebinje. </w:t>
      </w:r>
    </w:p>
    <w:p w:rsidR="003C2144" w:rsidRDefault="00FB7959">
      <w:pPr>
        <w:spacing w:after="120" w:line="240" w:lineRule="auto"/>
        <w:jc w:val="both"/>
        <w:rPr>
          <w:rFonts w:cs="Times New Roman"/>
          <w:noProof/>
          <w:szCs w:val="24"/>
          <w:lang w:val="en-IE" w:eastAsia="en-GB"/>
        </w:rPr>
      </w:pPr>
      <w:r>
        <w:rPr>
          <w:rFonts w:eastAsia="Times New Roman" w:cs="Times New Roman"/>
          <w:noProof/>
          <w:szCs w:val="24"/>
          <w:lang w:val="en-IE"/>
        </w:rPr>
        <w:t>In May and June 2019, Montenegr</w:t>
      </w:r>
      <w:r>
        <w:rPr>
          <w:rFonts w:eastAsia="Times New Roman" w:cs="Times New Roman"/>
          <w:noProof/>
          <w:szCs w:val="24"/>
          <w:lang w:val="en-IE"/>
        </w:rPr>
        <w:t>o participated in two large-scale joint cross border police operations, Tuzi II and Sukobin I, at the Montenegrin-Albanian border, involving nine countries from the region and from the EU. Montenegro played a positive role promoting the Sea Gate initiative</w:t>
      </w:r>
      <w:r>
        <w:rPr>
          <w:rFonts w:eastAsia="Times New Roman" w:cs="Times New Roman"/>
          <w:noProof/>
          <w:szCs w:val="24"/>
          <w:lang w:val="en-IE"/>
        </w:rPr>
        <w:t xml:space="preserve"> to address the challenges of the Adriatic high</w:t>
      </w:r>
      <w:r>
        <w:rPr>
          <w:rFonts w:eastAsia="Times New Roman" w:cs="Times New Roman"/>
          <w:noProof/>
          <w:szCs w:val="24"/>
          <w:lang w:val="en-IE"/>
        </w:rPr>
        <w:noBreakHyphen/>
        <w:t>risk zone for cross-border crime, thus creating a common situational awareness and operational response to common threats. Montenegro also continued to cooperate actively with Europol, Interpol and the Europe</w:t>
      </w:r>
      <w:r>
        <w:rPr>
          <w:rFonts w:eastAsia="Times New Roman" w:cs="Times New Roman"/>
          <w:noProof/>
          <w:szCs w:val="24"/>
          <w:lang w:val="en-IE"/>
        </w:rPr>
        <w:t xml:space="preserve">an Border and Coast Guard Agency (Frontex) on countering cross-border criminal activities. Montenegro </w:t>
      </w:r>
      <w:r>
        <w:rPr>
          <w:rFonts w:cs="Times New Roman"/>
          <w:noProof/>
          <w:szCs w:val="24"/>
          <w:lang w:eastAsia="en-GB"/>
        </w:rPr>
        <w:t xml:space="preserve">participates in the </w:t>
      </w:r>
      <w:r>
        <w:rPr>
          <w:rFonts w:cs="Times New Roman"/>
          <w:noProof/>
          <w:szCs w:val="24"/>
          <w:lang w:val="en-IE" w:eastAsia="en-GB"/>
        </w:rPr>
        <w:t>Western Balkan Risk Analysis Network under the aegis of Frontex.</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In the context of the COVID-19 pandemic, all but six border crossing </w:t>
      </w:r>
      <w:r>
        <w:rPr>
          <w:rFonts w:eastAsia="Times New Roman" w:cs="Times New Roman"/>
          <w:noProof/>
          <w:szCs w:val="24"/>
          <w:lang w:val="en-IE"/>
        </w:rPr>
        <w:t>points were closed for international road, railway or waterway traffic (including border crossing at airports). As of 16 March, all commercial flights were cancelled until 9 June. After 2 June, the borders were open for the countries with less than 25 acti</w:t>
      </w:r>
      <w:r>
        <w:rPr>
          <w:rFonts w:eastAsia="Times New Roman" w:cs="Times New Roman"/>
          <w:noProof/>
          <w:szCs w:val="24"/>
          <w:lang w:val="en-IE"/>
        </w:rPr>
        <w:t>ve COVID-19 cases per 100,000 citizens.</w:t>
      </w:r>
    </w:p>
    <w:p w:rsidR="003C2144" w:rsidRDefault="00FB7959">
      <w:pPr>
        <w:spacing w:after="120" w:line="240" w:lineRule="auto"/>
        <w:jc w:val="both"/>
        <w:rPr>
          <w:rFonts w:eastAsia="Times New Roman" w:cs="Times New Roman"/>
          <w:noProof/>
          <w:szCs w:val="24"/>
          <w:lang w:val="en-IE"/>
        </w:rPr>
      </w:pPr>
      <w:r>
        <w:rPr>
          <w:rFonts w:eastAsia="Times New Roman" w:cs="Times New Roman"/>
          <w:noProof/>
          <w:szCs w:val="24"/>
          <w:lang w:val="en-IE"/>
        </w:rPr>
        <w:t xml:space="preserve">Montenegro needs to continue to strengthen its capacity in border management, prevention of cross-border crime and corruption at borders. </w:t>
      </w:r>
    </w:p>
    <w:p w:rsidR="003C2144" w:rsidRDefault="00FB7959">
      <w:pPr>
        <w:spacing w:after="120" w:line="240" w:lineRule="auto"/>
        <w:jc w:val="both"/>
        <w:rPr>
          <w:rFonts w:eastAsia="Times New Roman" w:cs="Times New Roman"/>
          <w:noProof/>
          <w:szCs w:val="24"/>
          <w:lang w:val="en-IE"/>
        </w:rPr>
      </w:pPr>
      <w:r>
        <w:rPr>
          <w:rFonts w:cs="Times New Roman"/>
          <w:b/>
          <w:bCs/>
          <w:noProof/>
          <w:szCs w:val="24"/>
        </w:rPr>
        <w:t>Judicial cooperation in civil and criminal matters</w:t>
      </w:r>
    </w:p>
    <w:p w:rsidR="003C2144" w:rsidRDefault="00FB7959">
      <w:pPr>
        <w:spacing w:after="120" w:line="240" w:lineRule="auto"/>
        <w:jc w:val="both"/>
        <w:rPr>
          <w:rFonts w:cs="Times New Roman"/>
          <w:noProof/>
          <w:szCs w:val="24"/>
        </w:rPr>
      </w:pPr>
      <w:r>
        <w:rPr>
          <w:rFonts w:cs="Times New Roman"/>
          <w:noProof/>
          <w:szCs w:val="24"/>
        </w:rPr>
        <w:t>As regards judicial cooper</w:t>
      </w:r>
      <w:r>
        <w:rPr>
          <w:rFonts w:cs="Times New Roman"/>
          <w:noProof/>
          <w:szCs w:val="24"/>
        </w:rPr>
        <w:t xml:space="preserve">ation in criminal matters, Montenegro continued to align its legislative framework with the relevant EU </w:t>
      </w:r>
      <w:r>
        <w:rPr>
          <w:rFonts w:cs="Times New Roman"/>
          <w:i/>
          <w:noProof/>
          <w:szCs w:val="24"/>
        </w:rPr>
        <w:t>acquis</w:t>
      </w:r>
      <w:r>
        <w:rPr>
          <w:rFonts w:cs="Times New Roman"/>
          <w:i/>
          <w:iCs/>
          <w:noProof/>
          <w:szCs w:val="24"/>
        </w:rPr>
        <w:t xml:space="preserve"> </w:t>
      </w:r>
      <w:r>
        <w:rPr>
          <w:rFonts w:cs="Times New Roman"/>
          <w:iCs/>
          <w:noProof/>
          <w:szCs w:val="24"/>
        </w:rPr>
        <w:t>through</w:t>
      </w:r>
      <w:r>
        <w:rPr>
          <w:rFonts w:cs="Times New Roman"/>
          <w:noProof/>
          <w:szCs w:val="24"/>
        </w:rPr>
        <w:t xml:space="preserve"> amendments to the Law on international legal assistance in criminal matters. The amendments regulated the establishment of Joint Investigation Teams (JITs) and revised the extradition procedures. Montenegro is encouraged to participate in JITs where requi</w:t>
      </w:r>
      <w:r>
        <w:rPr>
          <w:rFonts w:cs="Times New Roman"/>
          <w:noProof/>
          <w:szCs w:val="24"/>
        </w:rPr>
        <w:t>red. In September 2019, the government adopted amendments to the Additional Protocol to the Convention on the transfer of sentenced persons. Montenegro has a well-established cooperation with Eurojust. There were 12 cases involving Montenegro opened in Eur</w:t>
      </w:r>
      <w:r>
        <w:rPr>
          <w:rFonts w:cs="Times New Roman"/>
          <w:noProof/>
          <w:szCs w:val="24"/>
        </w:rPr>
        <w:t>ojust in 2019, mostly related to money laundering, swindling and fraud. 10 cases were requested by EU Member States and two cases by Montenegro. There are two Eurojust contact points in the country.</w:t>
      </w:r>
    </w:p>
    <w:p w:rsidR="003C2144" w:rsidRDefault="00FB7959">
      <w:pPr>
        <w:spacing w:after="120" w:line="240" w:lineRule="auto"/>
        <w:jc w:val="both"/>
        <w:rPr>
          <w:rFonts w:cs="Times New Roman"/>
          <w:noProof/>
          <w:szCs w:val="24"/>
        </w:rPr>
      </w:pPr>
      <w:r>
        <w:rPr>
          <w:rFonts w:cs="Times New Roman"/>
          <w:noProof/>
          <w:szCs w:val="24"/>
        </w:rPr>
        <w:t>In the area of judicial cooperation in civil matters, ame</w:t>
      </w:r>
      <w:r>
        <w:rPr>
          <w:rFonts w:cs="Times New Roman"/>
          <w:noProof/>
          <w:szCs w:val="24"/>
        </w:rPr>
        <w:t xml:space="preserve">ndments aligning the Law on enforcement and security of claims and the Law on civil procedure with the EU </w:t>
      </w:r>
      <w:r>
        <w:rPr>
          <w:rFonts w:cs="Times New Roman"/>
          <w:i/>
          <w:noProof/>
          <w:szCs w:val="24"/>
        </w:rPr>
        <w:t>acquis</w:t>
      </w:r>
      <w:r>
        <w:rPr>
          <w:rFonts w:cs="Times New Roman"/>
          <w:noProof/>
          <w:szCs w:val="24"/>
        </w:rPr>
        <w:t xml:space="preserve"> were adopted in April and June 2019 respectively. Montenegro is still not a party to the 2007 Protocol to the Hague Convention on International</w:t>
      </w:r>
      <w:r>
        <w:rPr>
          <w:rFonts w:cs="Times New Roman"/>
          <w:noProof/>
          <w:szCs w:val="24"/>
        </w:rPr>
        <w:t xml:space="preserve"> recovery of child support and other forms of family maintenance, relating to maintenance obligations, or to the 2000 Hague Convention on the International protection of adults.</w:t>
      </w:r>
    </w:p>
    <w:p w:rsidR="003C2144" w:rsidRDefault="00FB7959">
      <w:pPr>
        <w:spacing w:after="120" w:line="240" w:lineRule="auto"/>
        <w:jc w:val="both"/>
        <w:rPr>
          <w:rFonts w:cs="Times New Roman"/>
          <w:bCs/>
          <w:noProof/>
          <w:szCs w:val="24"/>
        </w:rPr>
      </w:pPr>
      <w:r>
        <w:rPr>
          <w:rFonts w:cs="Times New Roman"/>
          <w:noProof/>
          <w:szCs w:val="24"/>
        </w:rPr>
        <w:t>The volume of judicial cooperation remained stable compared with last year, wi</w:t>
      </w:r>
      <w:r>
        <w:rPr>
          <w:rFonts w:cs="Times New Roman"/>
          <w:noProof/>
          <w:szCs w:val="24"/>
        </w:rPr>
        <w:t>th 1,036 cases of mutual legal assistance in criminal matters and 867 cases in civil matters. The main partners remained the Western Balkans and the EU Member States. Montenegro has yet to complete a review of its administrative and budgetary capacity in j</w:t>
      </w:r>
      <w:r>
        <w:rPr>
          <w:rFonts w:cs="Times New Roman"/>
          <w:noProof/>
          <w:szCs w:val="24"/>
        </w:rPr>
        <w:t>udicial cooperation to address the needs in this area.</w:t>
      </w:r>
      <w:r>
        <w:rPr>
          <w:rFonts w:cs="Times New Roman"/>
          <w:bCs/>
          <w:noProof/>
          <w:szCs w:val="24"/>
        </w:rPr>
        <w:t xml:space="preserve"> </w:t>
      </w:r>
    </w:p>
    <w:p w:rsidR="003C2144" w:rsidRDefault="00FB7959">
      <w:pPr>
        <w:widowControl w:val="0"/>
        <w:spacing w:after="120" w:line="240" w:lineRule="auto"/>
        <w:jc w:val="both"/>
        <w:rPr>
          <w:rFonts w:cs="Times New Roman"/>
          <w:b/>
          <w:bCs/>
          <w:noProof/>
          <w:szCs w:val="24"/>
          <w:lang w:bidi="en-US"/>
        </w:rPr>
      </w:pPr>
      <w:r>
        <w:rPr>
          <w:rFonts w:cs="Times New Roman"/>
          <w:b/>
          <w:bCs/>
          <w:noProof/>
          <w:szCs w:val="24"/>
          <w:lang w:bidi="en-US"/>
        </w:rPr>
        <w:t>Counterfeiting of the euro (criminal law aspects)</w:t>
      </w:r>
    </w:p>
    <w:p w:rsidR="003C2144" w:rsidRDefault="00FB7959">
      <w:pPr>
        <w:spacing w:after="120" w:line="240" w:lineRule="auto"/>
        <w:rPr>
          <w:rFonts w:cs="Times New Roman"/>
          <w:noProof/>
          <w:szCs w:val="24"/>
        </w:rPr>
      </w:pPr>
      <w:r>
        <w:rPr>
          <w:rFonts w:cs="Times New Roman"/>
          <w:bCs/>
          <w:noProof/>
          <w:szCs w:val="24"/>
          <w:lang w:bidi="en-US"/>
        </w:rPr>
        <w:t xml:space="preserve">There were four cases of money counterfeiting investigated by law enforcement agencies in 2019 and six court decisions, including five resulting in </w:t>
      </w:r>
      <w:r>
        <w:rPr>
          <w:rFonts w:cs="Times New Roman"/>
          <w:bCs/>
          <w:noProof/>
          <w:szCs w:val="24"/>
          <w:lang w:bidi="en-US"/>
        </w:rPr>
        <w:t>prison sentences.</w:t>
      </w:r>
    </w:p>
    <w:p w:rsidR="003C2144" w:rsidRDefault="00FB7959">
      <w:pPr>
        <w:pStyle w:val="ManualHeading1"/>
        <w:spacing w:before="120"/>
        <w:ind w:left="851" w:hanging="851"/>
        <w:rPr>
          <w:rFonts w:eastAsiaTheme="minorEastAsia"/>
          <w:noProof/>
        </w:rPr>
      </w:pPr>
      <w:bookmarkStart w:id="42" w:name="_Toc52744929"/>
      <w:r>
        <w:rPr>
          <w:rFonts w:eastAsiaTheme="minorEastAsia"/>
          <w:noProof/>
        </w:rPr>
        <w:t>3.</w:t>
      </w:r>
      <w:r>
        <w:rPr>
          <w:rFonts w:eastAsiaTheme="minorEastAsia"/>
          <w:noProof/>
        </w:rPr>
        <w:tab/>
        <w:t>Fundamentals first: economic development and competitiveness</w:t>
      </w:r>
      <w:bookmarkEnd w:id="42"/>
    </w:p>
    <w:p w:rsidR="003C2144" w:rsidRDefault="00FB7959">
      <w:pPr>
        <w:autoSpaceDE w:val="0"/>
        <w:autoSpaceDN w:val="0"/>
        <w:adjustRightInd w:val="0"/>
        <w:spacing w:after="120" w:line="240" w:lineRule="auto"/>
        <w:jc w:val="both"/>
        <w:rPr>
          <w:rFonts w:eastAsia="Times New Roman" w:cs="Times New Roman"/>
          <w:i/>
          <w:noProof/>
          <w:color w:val="000000"/>
          <w:szCs w:val="24"/>
          <w:lang w:eastAsia="en-GB"/>
        </w:rPr>
      </w:pPr>
      <w:r>
        <w:rPr>
          <w:rFonts w:cs="Times New Roman"/>
          <w:noProof/>
          <w:szCs w:val="24"/>
          <w:lang w:eastAsia="en-GB"/>
        </w:rPr>
        <w:drawing>
          <wp:inline distT="0" distB="0" distL="0" distR="0">
            <wp:extent cx="5760720" cy="4081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81482"/>
                    </a:xfrm>
                    <a:prstGeom prst="rect">
                      <a:avLst/>
                    </a:prstGeom>
                    <a:noFill/>
                    <a:ln>
                      <a:noFill/>
                    </a:ln>
                  </pic:spPr>
                </pic:pic>
              </a:graphicData>
            </a:graphic>
          </wp:inline>
        </w:drawing>
      </w:r>
    </w:p>
    <w:p w:rsidR="003C2144" w:rsidRDefault="00FB7959">
      <w:pPr>
        <w:autoSpaceDE w:val="0"/>
        <w:autoSpaceDN w:val="0"/>
        <w:adjustRightInd w:val="0"/>
        <w:spacing w:after="120" w:line="240" w:lineRule="auto"/>
        <w:jc w:val="both"/>
        <w:rPr>
          <w:rFonts w:eastAsia="Times New Roman" w:cs="Times New Roman"/>
          <w:i/>
          <w:noProof/>
          <w:color w:val="000000"/>
          <w:szCs w:val="24"/>
          <w:lang w:eastAsia="en-GB"/>
        </w:rPr>
      </w:pPr>
      <w:r>
        <w:rPr>
          <w:rFonts w:eastAsia="Times New Roman" w:cs="Times New Roman"/>
          <w:i/>
          <w:noProof/>
          <w:color w:val="000000"/>
          <w:szCs w:val="24"/>
          <w:lang w:eastAsia="en-GB"/>
        </w:rPr>
        <w:t>In line with the conclusions of the European Council in Copenhagen in June 1993, EU accession requires the existence of a functioning market economy and the capacity to cop</w:t>
      </w:r>
      <w:r>
        <w:rPr>
          <w:rFonts w:eastAsia="Times New Roman" w:cs="Times New Roman"/>
          <w:i/>
          <w:noProof/>
          <w:color w:val="000000"/>
          <w:szCs w:val="24"/>
          <w:lang w:eastAsia="en-GB"/>
        </w:rPr>
        <w:t>e with competitive pressure and market forces within the Union.</w:t>
      </w:r>
    </w:p>
    <w:p w:rsidR="003C2144" w:rsidRDefault="00FB7959">
      <w:pPr>
        <w:spacing w:after="120" w:line="240" w:lineRule="auto"/>
        <w:jc w:val="both"/>
        <w:rPr>
          <w:rFonts w:eastAsia="Times New Roman" w:cs="Times New Roman"/>
          <w:i/>
          <w:noProof/>
          <w:color w:val="000000"/>
          <w:szCs w:val="24"/>
          <w:lang w:val="en-IE" w:eastAsia="en-GB"/>
        </w:rPr>
      </w:pPr>
      <w:r>
        <w:rPr>
          <w:rFonts w:eastAsia="Times New Roman" w:cs="Times New Roman"/>
          <w:i/>
          <w:noProof/>
          <w:color w:val="000000"/>
          <w:szCs w:val="24"/>
          <w:lang w:eastAsia="en-GB"/>
        </w:rPr>
        <w:t>Economic governance has become even more central in the enlargement process in recent years. The Commission's monitoring takes place in two processes: the Economic Reform Programme exercise an</w:t>
      </w:r>
      <w:r>
        <w:rPr>
          <w:rFonts w:eastAsia="Times New Roman" w:cs="Times New Roman"/>
          <w:i/>
          <w:noProof/>
          <w:color w:val="000000"/>
          <w:szCs w:val="24"/>
          <w:lang w:eastAsia="en-GB"/>
        </w:rPr>
        <w:t xml:space="preserve">d the below assessment of compliance with the economic criteria for accession. Each enlargement country prepares an </w:t>
      </w:r>
      <w:r>
        <w:rPr>
          <w:rFonts w:eastAsia="Times New Roman" w:cs="Times New Roman"/>
          <w:i/>
          <w:noProof/>
          <w:color w:val="000000"/>
          <w:szCs w:val="24"/>
          <w:lang w:val="en-IE" w:eastAsia="en-GB"/>
        </w:rPr>
        <w:t>Economic Reform Programme (ERP) annually, which sets out a medium-term macro-fiscal policy framework and a structural reform agenda aimed at</w:t>
      </w:r>
      <w:r>
        <w:rPr>
          <w:rFonts w:eastAsia="Times New Roman" w:cs="Times New Roman"/>
          <w:i/>
          <w:noProof/>
          <w:color w:val="000000"/>
          <w:szCs w:val="24"/>
          <w:lang w:val="en-IE" w:eastAsia="en-GB"/>
        </w:rPr>
        <w:t xml:space="preserve"> ensuring competitiveness and inclusive growth. The ERPs are the basis for country-specific policy guidance jointly adopted by the EU and the Western Balkans and Turkey at ministerial level in May each year.</w:t>
      </w:r>
    </w:p>
    <w:p w:rsidR="003C2144" w:rsidRDefault="00FB7959">
      <w:pPr>
        <w:pStyle w:val="Heading2"/>
        <w:rPr>
          <w:noProof/>
        </w:rPr>
      </w:pPr>
      <w:bookmarkStart w:id="43" w:name="_Toc52744930"/>
      <w:r>
        <w:rPr>
          <w:noProof/>
        </w:rPr>
        <w:t>3.1.</w:t>
      </w:r>
      <w:r>
        <w:rPr>
          <w:noProof/>
        </w:rPr>
        <w:tab/>
        <w:t xml:space="preserve">The existence of a functioning market </w:t>
      </w:r>
      <w:r>
        <w:rPr>
          <w:noProof/>
        </w:rPr>
        <w:t>economy</w:t>
      </w:r>
      <w:bookmarkEnd w:id="43"/>
    </w:p>
    <w:tbl>
      <w:tblPr>
        <w:tblStyle w:val="TableGrid"/>
        <w:tblW w:w="0" w:type="auto"/>
        <w:tblInd w:w="108" w:type="dxa"/>
        <w:tblLook w:val="04A0" w:firstRow="1" w:lastRow="0" w:firstColumn="1" w:lastColumn="0" w:noHBand="0" w:noVBand="1"/>
      </w:tblPr>
      <w:tblGrid>
        <w:gridCol w:w="9180"/>
      </w:tblGrid>
      <w:tr w:rsidR="003C2144">
        <w:tc>
          <w:tcPr>
            <w:tcW w:w="9180" w:type="dxa"/>
            <w:shd w:val="clear" w:color="auto" w:fill="D9D9D9" w:themeFill="background1" w:themeFillShade="D9"/>
          </w:tcPr>
          <w:p w:rsidR="003C2144" w:rsidRDefault="00FB7959">
            <w:pPr>
              <w:spacing w:after="120" w:line="240" w:lineRule="auto"/>
              <w:jc w:val="both"/>
              <w:rPr>
                <w:rFonts w:eastAsiaTheme="minorEastAsia" w:cs="Times New Roman"/>
                <w:noProof/>
                <w:szCs w:val="24"/>
              </w:rPr>
            </w:pPr>
            <w:r>
              <w:rPr>
                <w:rFonts w:eastAsiaTheme="minorEastAsia" w:cs="Times New Roman"/>
                <w:noProof/>
                <w:color w:val="000000" w:themeColor="text1"/>
                <w:szCs w:val="24"/>
              </w:rPr>
              <w:t xml:space="preserve">Montenegro has made </w:t>
            </w:r>
            <w:r>
              <w:rPr>
                <w:rFonts w:eastAsiaTheme="minorEastAsia" w:cs="Times New Roman"/>
                <w:b/>
                <w:noProof/>
                <w:color w:val="000000" w:themeColor="text1"/>
                <w:szCs w:val="24"/>
              </w:rPr>
              <w:t>some progress</w:t>
            </w:r>
            <w:r>
              <w:rPr>
                <w:rFonts w:eastAsiaTheme="minorEastAsia" w:cs="Times New Roman"/>
                <w:noProof/>
                <w:color w:val="000000" w:themeColor="text1"/>
                <w:szCs w:val="24"/>
              </w:rPr>
              <w:t xml:space="preserve"> and is </w:t>
            </w:r>
            <w:r>
              <w:rPr>
                <w:rFonts w:eastAsiaTheme="minorEastAsia" w:cs="Times New Roman"/>
                <w:b/>
                <w:noProof/>
                <w:color w:val="000000" w:themeColor="text1"/>
                <w:szCs w:val="24"/>
              </w:rPr>
              <w:t xml:space="preserve">moderately </w:t>
            </w:r>
            <w:r>
              <w:rPr>
                <w:rFonts w:eastAsiaTheme="minorEastAsia" w:cs="Times New Roman"/>
                <w:b/>
                <w:noProof/>
                <w:szCs w:val="24"/>
              </w:rPr>
              <w:t>prepared</w:t>
            </w:r>
            <w:r>
              <w:rPr>
                <w:rFonts w:eastAsiaTheme="minorEastAsia" w:cs="Times New Roman"/>
                <w:noProof/>
                <w:szCs w:val="24"/>
              </w:rPr>
              <w:t xml:space="preserve"> in developing </w:t>
            </w:r>
            <w:r>
              <w:rPr>
                <w:rFonts w:eastAsiaTheme="minorEastAsia" w:cs="Times New Roman"/>
                <w:noProof/>
                <w:color w:val="000000" w:themeColor="text1"/>
                <w:szCs w:val="24"/>
              </w:rPr>
              <w:t xml:space="preserve">a functioning market </w:t>
            </w:r>
            <w:r>
              <w:rPr>
                <w:rFonts w:eastAsiaTheme="minorEastAsia" w:cs="Times New Roman"/>
                <w:noProof/>
                <w:szCs w:val="24"/>
              </w:rPr>
              <w:t>economy. Due to lower investment growth, the economy slowed down to a more sustainable pace in 2019. Exports, in particular of services, were growing bu</w:t>
            </w:r>
            <w:r>
              <w:rPr>
                <w:rFonts w:eastAsiaTheme="minorEastAsia" w:cs="Times New Roman"/>
                <w:noProof/>
                <w:szCs w:val="24"/>
              </w:rPr>
              <w:t>t not enough to curb the large current account deficit. Financial sector stability has been reinforced following the bankruptcy and resolution of two local banks and the strengthening of the banking supervision framework. Labour market conditions improved,</w:t>
            </w:r>
            <w:r>
              <w:rPr>
                <w:rFonts w:eastAsiaTheme="minorEastAsia" w:cs="Times New Roman"/>
                <w:noProof/>
                <w:szCs w:val="24"/>
              </w:rPr>
              <w:t xml:space="preserve"> but the unemployment rate remains high. Labour activation measures and coordination between employment and social services recorded limited progress. Montenegro’s economic outlook deteriorated substantially since the second quarter of 2020, as the COVID-1</w:t>
            </w:r>
            <w:r>
              <w:rPr>
                <w:rFonts w:eastAsiaTheme="minorEastAsia" w:cs="Times New Roman"/>
                <w:noProof/>
                <w:szCs w:val="24"/>
              </w:rPr>
              <w:t>9 quarantine measures introduced in April brought large parts of the economy to a halt. Public finances, which improved in 2019, are under significant pressure in 2020 due to fast growing costs to finance the authorities’ policy response to the pandemic co</w:t>
            </w:r>
            <w:r>
              <w:rPr>
                <w:rFonts w:eastAsiaTheme="minorEastAsia" w:cs="Times New Roman"/>
                <w:noProof/>
                <w:szCs w:val="24"/>
              </w:rPr>
              <w:t>mbined with a sharp decline in budget revenue due to lower economic activity. Meanwhile, in spite of some signs of improvement of the business environment, measures to fight against informality were delayed and there is a persistent and very large number o</w:t>
            </w:r>
            <w:r>
              <w:rPr>
                <w:rFonts w:eastAsiaTheme="minorEastAsia" w:cs="Times New Roman"/>
                <w:noProof/>
                <w:szCs w:val="24"/>
              </w:rPr>
              <w:t>f companies with frozen bank accounts. State-owned transport companies are not competitive and their losses are being transferred to the state. The institutional capacities of the competition and anticorruption agencies remain weak.</w:t>
            </w:r>
          </w:p>
          <w:p w:rsidR="003C2144" w:rsidRDefault="00FB7959">
            <w:pPr>
              <w:spacing w:after="120" w:line="240" w:lineRule="auto"/>
              <w:jc w:val="both"/>
              <w:rPr>
                <w:rFonts w:eastAsiaTheme="minorEastAsia" w:cs="Times New Roman"/>
                <w:noProof/>
                <w:color w:val="000000" w:themeColor="text1"/>
                <w:szCs w:val="24"/>
              </w:rPr>
            </w:pPr>
            <w:r>
              <w:rPr>
                <w:rFonts w:eastAsiaTheme="minorEastAsia" w:cs="Times New Roman"/>
                <w:noProof/>
                <w:color w:val="000000" w:themeColor="text1"/>
                <w:szCs w:val="24"/>
              </w:rPr>
              <w:t>In order to improve the</w:t>
            </w:r>
            <w:r>
              <w:rPr>
                <w:rFonts w:eastAsiaTheme="minorEastAsia" w:cs="Times New Roman"/>
                <w:noProof/>
                <w:color w:val="000000" w:themeColor="text1"/>
                <w:szCs w:val="24"/>
              </w:rPr>
              <w:t xml:space="preserve"> functioning of the market economy, Montenegro should in particular:</w:t>
            </w:r>
          </w:p>
          <w:p w:rsidR="003C2144" w:rsidRDefault="00FB7959">
            <w:pPr>
              <w:pStyle w:val="ListParagraph"/>
              <w:numPr>
                <w:ilvl w:val="0"/>
                <w:numId w:val="9"/>
              </w:numPr>
              <w:spacing w:after="120" w:line="240" w:lineRule="auto"/>
              <w:contextualSpacing w:val="0"/>
              <w:jc w:val="both"/>
              <w:rPr>
                <w:rFonts w:ascii="Times New Roman" w:eastAsiaTheme="minorEastAsia" w:hAnsi="Times New Roman" w:cs="Times New Roman"/>
                <w:noProof/>
                <w:color w:val="000000" w:themeColor="text1"/>
                <w:sz w:val="24"/>
                <w:szCs w:val="24"/>
              </w:rPr>
            </w:pPr>
            <w:r>
              <w:rPr>
                <w:rFonts w:ascii="Times New Roman" w:eastAsiaTheme="minorEastAsia" w:hAnsi="Times New Roman" w:cs="Times New Roman"/>
                <w:noProof/>
                <w:color w:val="000000" w:themeColor="text1"/>
                <w:sz w:val="24"/>
                <w:szCs w:val="24"/>
              </w:rPr>
              <w:t>use the available fiscal space to mitigate the crisis-induced impact on growth and employment;</w:t>
            </w:r>
          </w:p>
          <w:p w:rsidR="003C2144" w:rsidRDefault="00FB7959">
            <w:pPr>
              <w:pStyle w:val="ListParagraph"/>
              <w:numPr>
                <w:ilvl w:val="0"/>
                <w:numId w:val="9"/>
              </w:numPr>
              <w:spacing w:after="120" w:line="240" w:lineRule="auto"/>
              <w:contextualSpacing w:val="0"/>
              <w:jc w:val="both"/>
              <w:rPr>
                <w:rFonts w:ascii="Times New Roman" w:eastAsiaTheme="minorEastAsia" w:hAnsi="Times New Roman" w:cs="Times New Roman"/>
                <w:noProof/>
                <w:color w:val="000000" w:themeColor="text1"/>
                <w:sz w:val="24"/>
                <w:szCs w:val="24"/>
              </w:rPr>
            </w:pPr>
            <w:r>
              <w:rPr>
                <w:rFonts w:ascii="Times New Roman" w:eastAsiaTheme="minorEastAsia" w:hAnsi="Times New Roman" w:cs="Times New Roman"/>
                <w:noProof/>
                <w:color w:val="000000" w:themeColor="text1"/>
                <w:sz w:val="24"/>
                <w:szCs w:val="24"/>
              </w:rPr>
              <w:t>provide public guidance on the implementation of laws that affect businesses and ensure that</w:t>
            </w:r>
            <w:r>
              <w:rPr>
                <w:rFonts w:ascii="Times New Roman" w:eastAsiaTheme="minorEastAsia" w:hAnsi="Times New Roman" w:cs="Times New Roman"/>
                <w:noProof/>
                <w:color w:val="000000" w:themeColor="text1"/>
                <w:sz w:val="24"/>
                <w:szCs w:val="24"/>
              </w:rPr>
              <w:t xml:space="preserve"> the guidance is consistently followed by the public administration;</w:t>
            </w:r>
          </w:p>
          <w:p w:rsidR="003C2144" w:rsidRDefault="00FB7959">
            <w:pPr>
              <w:pStyle w:val="ListParagraph"/>
              <w:numPr>
                <w:ilvl w:val="0"/>
                <w:numId w:val="9"/>
              </w:numPr>
              <w:spacing w:after="120" w:line="240" w:lineRule="auto"/>
              <w:contextualSpacing w:val="0"/>
              <w:jc w:val="both"/>
              <w:rPr>
                <w:rFonts w:ascii="Times New Roman" w:eastAsiaTheme="minorEastAsia" w:hAnsi="Times New Roman" w:cs="Times New Roman"/>
                <w:noProof/>
                <w:color w:val="000000" w:themeColor="text1"/>
                <w:sz w:val="24"/>
                <w:szCs w:val="24"/>
              </w:rPr>
            </w:pPr>
            <w:r>
              <w:rPr>
                <w:rFonts w:ascii="Times New Roman" w:eastAsiaTheme="minorEastAsia" w:hAnsi="Times New Roman" w:cs="Times New Roman"/>
                <w:noProof/>
                <w:color w:val="000000" w:themeColor="text1"/>
                <w:sz w:val="24"/>
                <w:szCs w:val="24"/>
              </w:rPr>
              <w:t>advance restructuring and privatisation of loss-making public companies, respecting EU state-aid rules;</w:t>
            </w:r>
          </w:p>
          <w:p w:rsidR="003C2144" w:rsidRDefault="00FB7959">
            <w:pPr>
              <w:pStyle w:val="ListParagraph"/>
              <w:numPr>
                <w:ilvl w:val="0"/>
                <w:numId w:val="9"/>
              </w:numPr>
              <w:spacing w:after="120" w:line="240" w:lineRule="auto"/>
              <w:contextualSpacing w:val="0"/>
              <w:rPr>
                <w:rFonts w:ascii="Times New Roman" w:eastAsia="Times New Roman" w:hAnsi="Times New Roman" w:cs="Times New Roman"/>
                <w:noProof/>
                <w:color w:val="000000"/>
                <w:sz w:val="24"/>
                <w:szCs w:val="24"/>
                <w:lang w:eastAsia="en-GB"/>
              </w:rPr>
            </w:pPr>
            <w:r>
              <w:rPr>
                <w:rFonts w:ascii="Times New Roman" w:eastAsia="Calibri" w:hAnsi="Times New Roman" w:cs="Times New Roman"/>
                <w:noProof/>
                <w:sz w:val="24"/>
                <w:szCs w:val="24"/>
              </w:rPr>
              <w:t>reduce the tax wedge for low-income earners.</w:t>
            </w:r>
          </w:p>
        </w:tc>
      </w:tr>
    </w:tbl>
    <w:p w:rsidR="003C2144" w:rsidRDefault="00FB7959">
      <w:pPr>
        <w:spacing w:after="120" w:line="240" w:lineRule="auto"/>
        <w:rPr>
          <w:rFonts w:cs="Times New Roman"/>
          <w:noProof/>
          <w:szCs w:val="24"/>
          <w:u w:val="single"/>
        </w:rPr>
      </w:pPr>
      <w:r>
        <w:rPr>
          <w:rFonts w:cs="Times New Roman"/>
          <w:noProof/>
          <w:szCs w:val="24"/>
          <w:u w:val="single"/>
        </w:rPr>
        <w:t>Economic governance</w:t>
      </w:r>
    </w:p>
    <w:p w:rsidR="003C2144" w:rsidRDefault="00FB7959">
      <w:pPr>
        <w:spacing w:after="120" w:line="240" w:lineRule="auto"/>
        <w:jc w:val="both"/>
        <w:rPr>
          <w:rFonts w:cs="Times New Roman"/>
          <w:noProof/>
          <w:szCs w:val="24"/>
        </w:rPr>
      </w:pPr>
      <w:r>
        <w:rPr>
          <w:rFonts w:cs="Times New Roman"/>
          <w:b/>
          <w:noProof/>
          <w:szCs w:val="24"/>
        </w:rPr>
        <w:t xml:space="preserve">The EU accession </w:t>
      </w:r>
      <w:r>
        <w:rPr>
          <w:rFonts w:cs="Times New Roman"/>
          <w:b/>
          <w:noProof/>
          <w:szCs w:val="24"/>
        </w:rPr>
        <w:t>process remains an important economic policy anchor for Montenegro</w:t>
      </w:r>
      <w:r>
        <w:rPr>
          <w:rFonts w:cs="Times New Roman"/>
          <w:noProof/>
          <w:szCs w:val="24"/>
        </w:rPr>
        <w:t>. There is broad support in Montenegro for integration with the EU and therefore, to align its legislative framework and practices with the EU. Over the past year, Montenegro adopted importa</w:t>
      </w:r>
      <w:r>
        <w:rPr>
          <w:rFonts w:cs="Times New Roman"/>
          <w:noProof/>
          <w:szCs w:val="24"/>
        </w:rPr>
        <w:t>nt pieces of legislation concerning the labour market, credit institutions, public procurement and state administration. However, weak institutional capacities and insufficient coordination between public institutions, and in particular between central and</w:t>
      </w:r>
      <w:r>
        <w:rPr>
          <w:rFonts w:cs="Times New Roman"/>
          <w:noProof/>
          <w:szCs w:val="24"/>
        </w:rPr>
        <w:t xml:space="preserve"> local levels, continue hindering the effective formulation of economic policy and its implementation.  Montenegro’s Economic Reform Programme provides a comprehensive formulation of economic policies, but policy implementation is often subject to ad-hoc d</w:t>
      </w:r>
      <w:r>
        <w:rPr>
          <w:rFonts w:cs="Times New Roman"/>
          <w:noProof/>
          <w:szCs w:val="24"/>
        </w:rPr>
        <w:t>ecisions. The policy guidance jointly adopted in May 2019 in the context of the Economic and Financial Dialogue between the EU and the Western Balkans and Turkey has been partially implemented. Montenegro confirmed its first cases of COVID-19 infections on</w:t>
      </w:r>
      <w:r>
        <w:rPr>
          <w:rFonts w:cs="Times New Roman"/>
          <w:noProof/>
          <w:szCs w:val="24"/>
        </w:rPr>
        <w:t xml:space="preserve"> 17 March 2020. On 19 March, the government adopted a first package of measures to help the economy to deal with the consequences of the COVID-19 crisis. Measures consisted of deferral of tax obligations, a moratorium on loan repayments, and the provision </w:t>
      </w:r>
      <w:r>
        <w:rPr>
          <w:rFonts w:cs="Times New Roman"/>
          <w:noProof/>
          <w:szCs w:val="24"/>
        </w:rPr>
        <w:t>of credit lines to help companies improve their liquidity. Authorities adopted a second economic package on 9 April, and a third one on 23 July, including subsidies for business and employees. The international community also contributed to support Montene</w:t>
      </w:r>
      <w:r>
        <w:rPr>
          <w:rFonts w:cs="Times New Roman"/>
          <w:noProof/>
          <w:szCs w:val="24"/>
        </w:rPr>
        <w:t>gro’s efforts in tackling the COVID-19 pandemic. On 25 May, the European Parliament and the Council adopted a decision on providing macro-financial assistance (MFA) of up to EUR 60 million to help Montenegro cover part of residual external financing needs,</w:t>
      </w:r>
      <w:r>
        <w:rPr>
          <w:rFonts w:cs="Times New Roman"/>
          <w:noProof/>
          <w:szCs w:val="24"/>
        </w:rPr>
        <w:t xml:space="preserve"> to enhance macroeconomic stability and mitigate the negative socio-economic consequences of the pandemic, complementing assistance by International Financial Institutions, such as the International Monetary Fund (IMF) through rapid financing instrument (R</w:t>
      </w:r>
      <w:r>
        <w:rPr>
          <w:rFonts w:cs="Times New Roman"/>
          <w:noProof/>
          <w:szCs w:val="24"/>
        </w:rPr>
        <w:t>FI) assistance.</w:t>
      </w:r>
    </w:p>
    <w:p w:rsidR="003C2144" w:rsidRDefault="00FB7959">
      <w:pPr>
        <w:spacing w:after="120" w:line="240" w:lineRule="auto"/>
        <w:rPr>
          <w:rFonts w:cs="Times New Roman"/>
          <w:noProof/>
          <w:szCs w:val="24"/>
          <w:u w:val="single"/>
        </w:rPr>
      </w:pPr>
      <w:r>
        <w:rPr>
          <w:rFonts w:cs="Times New Roman"/>
          <w:noProof/>
          <w:szCs w:val="24"/>
          <w:u w:val="single"/>
        </w:rPr>
        <w:t>Macroeconomic stability</w:t>
      </w:r>
    </w:p>
    <w:p w:rsidR="003C2144" w:rsidRDefault="00FB7959">
      <w:pPr>
        <w:spacing w:after="120" w:line="240" w:lineRule="auto"/>
        <w:jc w:val="both"/>
        <w:rPr>
          <w:rFonts w:cs="Times New Roman"/>
          <w:noProof/>
          <w:szCs w:val="24"/>
        </w:rPr>
      </w:pPr>
      <w:r>
        <w:rPr>
          <w:rFonts w:cs="Times New Roman"/>
          <w:b/>
          <w:noProof/>
          <w:szCs w:val="24"/>
        </w:rPr>
        <w:t>Already before the COVID-19 crisis, economic activity has started to slow as investment growth declined markedly</w:t>
      </w:r>
      <w:r>
        <w:rPr>
          <w:rFonts w:cs="Times New Roman"/>
          <w:noProof/>
          <w:szCs w:val="24"/>
        </w:rPr>
        <w:t>. After strong real GDP growth in 2017 and 2018, the rate of economic expansion decelerated to 3.6% y-o-</w:t>
      </w:r>
      <w:r>
        <w:rPr>
          <w:rFonts w:cs="Times New Roman"/>
          <w:noProof/>
          <w:szCs w:val="24"/>
        </w:rPr>
        <w:t>y in 2019. The deceleration reflects a slowdown in investment as large infrastructure projects were completed. Meanwhile, private consumption has become the main driver of growth, boosted by a strong tourism performance, growing employment and increasing h</w:t>
      </w:r>
      <w:r>
        <w:rPr>
          <w:rFonts w:cs="Times New Roman"/>
          <w:noProof/>
          <w:szCs w:val="24"/>
        </w:rPr>
        <w:t>ousehold loans. Fiscal consolidation efforts continued, resulting in a marginal contribution of government consumption to growth. On the external side, exports grew more than twice as fast as imports, reducing the drag of net exports on growth. On the supp</w:t>
      </w:r>
      <w:r>
        <w:rPr>
          <w:rFonts w:cs="Times New Roman"/>
          <w:noProof/>
          <w:szCs w:val="24"/>
        </w:rPr>
        <w:t>ly side, 2019 was marked by a poor industrial performance, in particular in the manufacturing sector, whereas the tourism and construction sectors grew by double digits. The effect of past years’ strong GDP growth is reflected in gradual real convergence w</w:t>
      </w:r>
      <w:r>
        <w:rPr>
          <w:rFonts w:cs="Times New Roman"/>
          <w:noProof/>
          <w:szCs w:val="24"/>
        </w:rPr>
        <w:t xml:space="preserve">ith the EU: Montenegro’s GDP per capita (in purchasing power standards) climbed to 49 % of the EU-28 average in 2019, up from 41% six years earlier. However, the economy is set to </w:t>
      </w:r>
      <w:r>
        <w:rPr>
          <w:rFonts w:cs="Times New Roman"/>
          <w:noProof/>
          <w:szCs w:val="24"/>
          <w:lang w:eastAsia="en-GB"/>
        </w:rPr>
        <w:drawing>
          <wp:anchor distT="0" distB="0" distL="114300" distR="114300" simplePos="0" relativeHeight="251645952" behindDoc="0" locked="0" layoutInCell="1" allowOverlap="1">
            <wp:simplePos x="0" y="0"/>
            <wp:positionH relativeFrom="column">
              <wp:posOffset>-4445</wp:posOffset>
            </wp:positionH>
            <wp:positionV relativeFrom="paragraph">
              <wp:posOffset>1100455</wp:posOffset>
            </wp:positionV>
            <wp:extent cx="3240000" cy="1947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000" cy="1947600"/>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noProof/>
          <w:szCs w:val="24"/>
        </w:rPr>
        <w:t>contract substantially in 2020. According to the Commission forecast, GDP w</w:t>
      </w:r>
      <w:r>
        <w:rPr>
          <w:rFonts w:cs="Times New Roman"/>
          <w:noProof/>
          <w:szCs w:val="24"/>
        </w:rPr>
        <w:t xml:space="preserve">ould decline markedly due to the negative effects of the COVID-19 outbreak. Montenegro’s economy is strongly dependent on tourism, a key source of GDP growth, foreign exchange, employment and fiscal revenues. The lockdown imposed by the quarantine brought </w:t>
      </w:r>
      <w:r>
        <w:rPr>
          <w:rFonts w:cs="Times New Roman"/>
          <w:noProof/>
          <w:szCs w:val="24"/>
        </w:rPr>
        <w:t>the economy to a standstill as from mid-March. However, GDP growth remained positive in the first quarter of 2020, expanding by 2.7% y-o-y, but decelerating compared to the 3.1% expansion recorded in the previous quarter.</w:t>
      </w:r>
    </w:p>
    <w:p w:rsidR="003C2144" w:rsidRDefault="00FB7959">
      <w:pPr>
        <w:spacing w:after="120" w:line="240" w:lineRule="auto"/>
        <w:jc w:val="both"/>
        <w:rPr>
          <w:rFonts w:cs="Times New Roman"/>
          <w:noProof/>
          <w:szCs w:val="24"/>
        </w:rPr>
      </w:pPr>
      <w:r>
        <w:rPr>
          <w:rFonts w:cs="Times New Roman"/>
          <w:b/>
          <w:noProof/>
          <w:szCs w:val="24"/>
        </w:rPr>
        <w:t xml:space="preserve">Strong domestic demand and a high </w:t>
      </w:r>
      <w:r>
        <w:rPr>
          <w:rFonts w:cs="Times New Roman"/>
          <w:b/>
          <w:noProof/>
          <w:szCs w:val="24"/>
        </w:rPr>
        <w:t>import-dependence continued to fuel a very large current account deficit</w:t>
      </w:r>
      <w:r>
        <w:rPr>
          <w:rFonts w:cs="Times New Roman"/>
          <w:noProof/>
          <w:szCs w:val="24"/>
        </w:rPr>
        <w:t>. In 2019, the current account deficit totalled 15.2% of GDP, a substantial increase compared to a 10.1% of GDP gap recorded in 2015. Despite the faster increase of merchandise exports</w:t>
      </w:r>
      <w:r>
        <w:rPr>
          <w:rFonts w:cs="Times New Roman"/>
          <w:noProof/>
          <w:szCs w:val="24"/>
        </w:rPr>
        <w:t>, the trade deficit expanded by 2 percentage points over the last five years, to 42.1% of GDP, reflecting a highly import-dependent economy and the impact of the investment cycle. Surpluses in the balances of services, largely driven by the strongly growin</w:t>
      </w:r>
      <w:r>
        <w:rPr>
          <w:rFonts w:cs="Times New Roman"/>
          <w:noProof/>
          <w:szCs w:val="24"/>
        </w:rPr>
        <w:t>g tourism sector, as well as in primary and secondary income, helped contain the external deficit. Net FDI inflows amounted to 7% of GDP in 2019, declining from 16.9% of GDP in 2015, covering less than half of the current account deficit. The current accou</w:t>
      </w:r>
      <w:r>
        <w:rPr>
          <w:rFonts w:cs="Times New Roman"/>
          <w:noProof/>
          <w:szCs w:val="24"/>
        </w:rPr>
        <w:t xml:space="preserve">nt deficit remained flat, also at 15.2% of GDP, in the four quarters to March 2020. The Central Bank </w:t>
      </w:r>
      <w:r>
        <w:rPr>
          <w:rFonts w:cs="Times New Roman"/>
          <w:noProof/>
          <w:szCs w:val="24"/>
          <w:lang w:eastAsia="en-GB"/>
        </w:rPr>
        <w:drawing>
          <wp:anchor distT="0" distB="0" distL="114300" distR="114300" simplePos="0" relativeHeight="251679744" behindDoc="0" locked="0" layoutInCell="1" allowOverlap="1">
            <wp:simplePos x="0" y="0"/>
            <wp:positionH relativeFrom="column">
              <wp:posOffset>2520470</wp:posOffset>
            </wp:positionH>
            <wp:positionV relativeFrom="paragraph">
              <wp:posOffset>419052</wp:posOffset>
            </wp:positionV>
            <wp:extent cx="3240000" cy="1947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000" cy="194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szCs w:val="24"/>
        </w:rPr>
        <w:t xml:space="preserve">released in June 2019 (for the first time) data on external debt and the net international investment position (NIIP), estimated at 165% and -169% of GDP </w:t>
      </w:r>
      <w:r>
        <w:rPr>
          <w:rFonts w:cs="Times New Roman"/>
          <w:noProof/>
          <w:szCs w:val="24"/>
        </w:rPr>
        <w:t>at the end of 2018, respectively.</w:t>
      </w:r>
    </w:p>
    <w:p w:rsidR="003C2144" w:rsidRDefault="00FB7959">
      <w:pPr>
        <w:spacing w:after="120" w:line="240" w:lineRule="auto"/>
        <w:jc w:val="both"/>
        <w:rPr>
          <w:rFonts w:cs="Times New Roman"/>
          <w:noProof/>
          <w:szCs w:val="24"/>
        </w:rPr>
      </w:pPr>
      <w:r>
        <w:rPr>
          <w:rFonts w:cs="Times New Roman"/>
          <w:b/>
          <w:noProof/>
          <w:szCs w:val="24"/>
        </w:rPr>
        <w:t>Inflation decelerated in 2019 and early 2020</w:t>
      </w:r>
      <w:r>
        <w:rPr>
          <w:rFonts w:cs="Times New Roman"/>
          <w:noProof/>
          <w:szCs w:val="24"/>
        </w:rPr>
        <w:t>. Inflationary pressures have remained low in the period 2014-2019, except for some moderate price increases in 2017 and 2018. The inflationary effects from the increase of VAT a</w:t>
      </w:r>
      <w:r>
        <w:rPr>
          <w:rFonts w:cs="Times New Roman"/>
          <w:noProof/>
          <w:szCs w:val="24"/>
        </w:rPr>
        <w:t>nd excise rates and electricity prices in 2018 faded quickly in 2019, when average annual inflation was only 0.5%.  Food prices drove inflation in 2019, but their impact has been largely offset by the decline of prices for oil derivatives, garments, commun</w:t>
      </w:r>
      <w:r>
        <w:rPr>
          <w:rFonts w:cs="Times New Roman"/>
          <w:noProof/>
          <w:szCs w:val="24"/>
        </w:rPr>
        <w:t>ication, and tobacco. Consumer prices fell by 0.3% y-o-y in the first half of 2020, down from a growth of 0.5% in the same period a year earlier. Transport prices were the main disinflationary factor, adding downward pressures on electricity prices too. In</w:t>
      </w:r>
      <w:r>
        <w:rPr>
          <w:rFonts w:cs="Times New Roman"/>
          <w:noProof/>
          <w:szCs w:val="24"/>
        </w:rPr>
        <w:t xml:space="preserve"> spite of the increase of the minimum wage in the second half of the year, salaries increased marginally (by real 0.3% y-o-y) in 2019. Wage growth accelerated in the first half of 2020 by 2.3% y-o-y in real terms. The increase was driven by the retail, man</w:t>
      </w:r>
      <w:r>
        <w:rPr>
          <w:rFonts w:cs="Times New Roman"/>
          <w:noProof/>
          <w:szCs w:val="24"/>
        </w:rPr>
        <w:t>ufacturing as well as public health and education sectors.</w:t>
      </w:r>
    </w:p>
    <w:p w:rsidR="003C2144" w:rsidRDefault="00FB7959">
      <w:pPr>
        <w:pStyle w:val="NoSpacing"/>
        <w:spacing w:after="120"/>
        <w:rPr>
          <w:noProof/>
          <w:szCs w:val="24"/>
        </w:rPr>
      </w:pPr>
      <w:r>
        <w:rPr>
          <w:noProof/>
          <w:szCs w:val="24"/>
          <w:lang w:val="en-GB" w:eastAsia="en-GB"/>
        </w:rPr>
        <w:drawing>
          <wp:anchor distT="0" distB="0" distL="114300" distR="114300" simplePos="0" relativeHeight="251657216" behindDoc="0" locked="0" layoutInCell="1" allowOverlap="1">
            <wp:simplePos x="0" y="0"/>
            <wp:positionH relativeFrom="column">
              <wp:posOffset>742</wp:posOffset>
            </wp:positionH>
            <wp:positionV relativeFrom="paragraph">
              <wp:posOffset>1105204</wp:posOffset>
            </wp:positionV>
            <wp:extent cx="3232800" cy="1990800"/>
            <wp:effectExtent l="0" t="0" r="571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800" cy="19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Cs w:val="24"/>
        </w:rPr>
        <w:t>Significant underspending in public investment</w:t>
      </w:r>
      <w:r>
        <w:rPr>
          <w:b/>
          <w:noProof/>
          <w:szCs w:val="24"/>
          <w:lang w:val="en-GB" w:eastAsia="en-GB"/>
        </w:rPr>
        <w:t xml:space="preserve"> and recovery of tax arrears reduced the budget deficit</w:t>
      </w:r>
      <w:r>
        <w:rPr>
          <w:b/>
          <w:noProof/>
          <w:szCs w:val="24"/>
        </w:rPr>
        <w:t>.</w:t>
      </w:r>
      <w:r>
        <w:rPr>
          <w:noProof/>
          <w:szCs w:val="24"/>
        </w:rPr>
        <w:t xml:space="preserve"> The budget balance improved considerably in the last two years thanks to fiscal measures intr</w:t>
      </w:r>
      <w:r>
        <w:rPr>
          <w:noProof/>
          <w:szCs w:val="24"/>
        </w:rPr>
        <w:t>oduced since 2017. The budget deficit narrowed to 2% of GDP in 2019, down from 3.9% a year earlier thanks to improved tax revenue collection. Sustained economic activity boosted VAT proceeds by 12.8% y-o-y, while efforts of the tax administration to resche</w:t>
      </w:r>
      <w:r>
        <w:rPr>
          <w:noProof/>
          <w:szCs w:val="24"/>
        </w:rPr>
        <w:t>dule tax arrears contributed to a rise in revenues from direct taxes and social security contributions. The new financing framework of local governments boosted municipalities’ revenue by 18.9% y-o-y, resulting in a 1% of GDP surplus in their aggregated bu</w:t>
      </w:r>
      <w:r>
        <w:rPr>
          <w:noProof/>
          <w:szCs w:val="24"/>
        </w:rPr>
        <w:t>dget. On the expenditure side, capital spending accelerated at the end of the year but missed the annual target by 2.5%. By contrast, current expenditure grew by 5.5% above the plan, driven by other (current) capital expenditure and repayment of state guar</w:t>
      </w:r>
      <w:r>
        <w:rPr>
          <w:noProof/>
          <w:szCs w:val="24"/>
        </w:rPr>
        <w:t xml:space="preserve">antees. </w:t>
      </w:r>
    </w:p>
    <w:p w:rsidR="003C2144" w:rsidRDefault="00FB7959">
      <w:pPr>
        <w:pStyle w:val="NoSpacing"/>
        <w:spacing w:after="120"/>
        <w:rPr>
          <w:noProof/>
          <w:szCs w:val="24"/>
        </w:rPr>
      </w:pPr>
      <w:r>
        <w:rPr>
          <w:noProof/>
          <w:szCs w:val="24"/>
        </w:rPr>
        <w:t>The 2020 budget, adopted on 27 December 2019, introduced a series of ad-hoc expenditure increases totalling 2% of GDP, including a 9% increase in public health and education salaries, extra funds for the purchase of medicines, writing-off debts ow</w:t>
      </w:r>
      <w:r>
        <w:rPr>
          <w:noProof/>
          <w:szCs w:val="24"/>
        </w:rPr>
        <w:t>ed by the national air carrier and the carryover of underspent funds for the highway construction. Moreover, the lack of progress with the public administration optimisation plan, hindered by the absence of proper functional analyses and registers across t</w:t>
      </w:r>
      <w:r>
        <w:rPr>
          <w:noProof/>
          <w:szCs w:val="24"/>
        </w:rPr>
        <w:t>he public sector, prevented savings on wage bill in the 2020 budget. Overall, the 2020 budget targeted a deficit of 1% of GDP, well below the fiscal rule ceiling of 3%, but a noticeable deviation from the 0.2% surplus planned in the 2019 Economic Reform Pr</w:t>
      </w:r>
      <w:r>
        <w:rPr>
          <w:noProof/>
          <w:szCs w:val="24"/>
        </w:rPr>
        <w:t>ogramme (ERP). However, the COVID-19 derailed budget plans, confronting public finances with a triple shock: the collapse of tax revenue due to the interruption of economic activity, a sudden surge of healthcare expenditure, and the need to finance support</w:t>
      </w:r>
      <w:r>
        <w:rPr>
          <w:noProof/>
          <w:szCs w:val="24"/>
        </w:rPr>
        <w:t xml:space="preserve"> measures to preserve the economy. Only the more pressing medical needs to respond to the pandemic are estimated at 1.2% of GDP, while the first two sets of measures in support of the economy are estimated to cost some 3.6% of GDP. In the first half of 202</w:t>
      </w:r>
      <w:r>
        <w:rPr>
          <w:noProof/>
          <w:szCs w:val="24"/>
        </w:rPr>
        <w:t>0, the central government deficit expanded to 4.4% of GDP, reflecting the rapid (7.5% y-o-y) growth in expenditures combined with a sharp (9.3% y-o-y) decline in revenues. On June 24 2020, Montenegro’s parliament adopted a budget revision reflecting the lo</w:t>
      </w:r>
      <w:r>
        <w:rPr>
          <w:noProof/>
          <w:szCs w:val="24"/>
        </w:rPr>
        <w:t>wer income and higher spending due to the COVID-19 pandemic. The rebalanced budget sets the deficit at 7.3% of GDP.</w:t>
      </w:r>
    </w:p>
    <w:p w:rsidR="003C2144" w:rsidRDefault="00FB7959">
      <w:pPr>
        <w:pStyle w:val="NormalWeb"/>
        <w:spacing w:before="0" w:beforeAutospacing="0" w:after="120" w:afterAutospacing="0"/>
        <w:jc w:val="both"/>
        <w:rPr>
          <w:noProof/>
        </w:rPr>
      </w:pPr>
      <w:r>
        <w:rPr>
          <w:b/>
          <w:noProof/>
        </w:rPr>
        <w:t>The public debt ratio continued to increase from an already high level, partly due to liability management operations, and more recently, by</w:t>
      </w:r>
      <w:r>
        <w:rPr>
          <w:b/>
          <w:noProof/>
        </w:rPr>
        <w:t xml:space="preserve"> the large financial cost of the pandemic. </w:t>
      </w:r>
      <w:r>
        <w:rPr>
          <w:noProof/>
        </w:rPr>
        <w:t>Following the adoption of the new medium-term debt management strategy in April 2018, the government has more actively managed its public debt portfolio. In September 2019, the government sold EUR 500 million wort</w:t>
      </w:r>
      <w:r>
        <w:rPr>
          <w:noProof/>
        </w:rPr>
        <w:t>h of Eurobonds in order to refinance debt maturing in 2020, pushing the gross debt stock up to 77.2% of GDP at the end of 2019. The budget rebalanced adopted in June 2020, also increased the annual debt ceiling to accommodate emergency loans provided by in</w:t>
      </w:r>
      <w:r>
        <w:rPr>
          <w:noProof/>
        </w:rPr>
        <w:t>ternational institutions, including the European Commission. The rebalanced budget foresees public debt to reach 82.5% of GDP in 2020.</w:t>
      </w:r>
    </w:p>
    <w:p w:rsidR="003C2144" w:rsidRDefault="00FB7959">
      <w:pPr>
        <w:spacing w:after="120" w:line="240" w:lineRule="auto"/>
        <w:jc w:val="both"/>
        <w:rPr>
          <w:rFonts w:cs="Times New Roman"/>
          <w:noProof/>
          <w:szCs w:val="24"/>
        </w:rPr>
      </w:pPr>
      <w:r>
        <w:rPr>
          <w:rFonts w:cs="Times New Roman"/>
          <w:b/>
          <w:noProof/>
          <w:szCs w:val="24"/>
        </w:rPr>
        <w:t>Overall, the absence of monetary policy tools due to Montenegro’s use of the euro as legal tender, requires fiscal and st</w:t>
      </w:r>
      <w:r>
        <w:rPr>
          <w:rFonts w:cs="Times New Roman"/>
          <w:b/>
          <w:noProof/>
          <w:szCs w:val="24"/>
        </w:rPr>
        <w:t xml:space="preserve">ructural policies to focus on enhancing stability and economic resilience. </w:t>
      </w:r>
      <w:r>
        <w:rPr>
          <w:rFonts w:cs="Times New Roman"/>
          <w:noProof/>
          <w:szCs w:val="24"/>
        </w:rPr>
        <w:t>Fiscal imbalances, which have been exacerbated by debt-financed investments and emergency measures in support of the economy during the pandemic, are set to ease once the first sect</w:t>
      </w:r>
      <w:r>
        <w:rPr>
          <w:rFonts w:cs="Times New Roman"/>
          <w:noProof/>
          <w:szCs w:val="24"/>
        </w:rPr>
        <w:t>ion of the Bar-Boljare highway is completed and the economy returns back to full capacity. However, fiscal consolidation targets have been derailed and public debt ballooned, exhausting the fiscal space that could be used to stimulate growth. Overall, emer</w:t>
      </w:r>
      <w:r>
        <w:rPr>
          <w:rFonts w:cs="Times New Roman"/>
          <w:noProof/>
          <w:szCs w:val="24"/>
        </w:rPr>
        <w:t>gency measures adopted by the government to preserve the economy during the COVID-19 crisis were timely and adequate, but also costly. In the absence of monetary policy, further structural reforms are needed to increase the economy’s flexibility and its ca</w:t>
      </w:r>
      <w:r>
        <w:rPr>
          <w:rFonts w:cs="Times New Roman"/>
          <w:noProof/>
          <w:szCs w:val="24"/>
        </w:rPr>
        <w:t>pacity to recover from the adverse shock.</w:t>
      </w:r>
    </w:p>
    <w:p w:rsidR="003C2144" w:rsidRDefault="00FB7959">
      <w:pPr>
        <w:spacing w:after="120" w:line="240" w:lineRule="auto"/>
        <w:rPr>
          <w:rFonts w:cs="Times New Roman"/>
          <w:noProof/>
          <w:szCs w:val="24"/>
          <w:u w:val="single"/>
        </w:rPr>
      </w:pPr>
      <w:r>
        <w:rPr>
          <w:rFonts w:cs="Times New Roman"/>
          <w:noProof/>
          <w:szCs w:val="24"/>
          <w:u w:val="single"/>
        </w:rPr>
        <w:t>Functioning of product markets</w:t>
      </w:r>
    </w:p>
    <w:p w:rsidR="003C2144" w:rsidRDefault="00FB7959">
      <w:pPr>
        <w:spacing w:after="120" w:line="240" w:lineRule="auto"/>
        <w:rPr>
          <w:rFonts w:cs="Times New Roman"/>
          <w:i/>
          <w:noProof/>
          <w:szCs w:val="24"/>
        </w:rPr>
      </w:pPr>
      <w:r>
        <w:rPr>
          <w:rFonts w:cs="Times New Roman"/>
          <w:i/>
          <w:noProof/>
          <w:szCs w:val="24"/>
        </w:rPr>
        <w:t>Business environment</w:t>
      </w:r>
    </w:p>
    <w:p w:rsidR="003C2144" w:rsidRDefault="00FB7959">
      <w:pPr>
        <w:spacing w:after="120" w:line="240" w:lineRule="auto"/>
        <w:jc w:val="both"/>
        <w:rPr>
          <w:rFonts w:cs="Times New Roman"/>
          <w:noProof/>
          <w:szCs w:val="24"/>
        </w:rPr>
      </w:pPr>
      <w:r>
        <w:rPr>
          <w:rFonts w:cs="Times New Roman"/>
          <w:b/>
          <w:noProof/>
          <w:szCs w:val="24"/>
        </w:rPr>
        <w:t>Parts of the regulatory business environment recorded some improvement, but contract enforcement remains relatively weak.</w:t>
      </w:r>
      <w:r>
        <w:rPr>
          <w:rFonts w:cs="Times New Roman"/>
          <w:noProof/>
          <w:szCs w:val="24"/>
        </w:rPr>
        <w:t xml:space="preserve"> In 2019, the government started implementing various measures aimed at improving the efficiency of state administration, reduce the costs and shorten administrative procedures. Thus, the law on administrative fees and the law on local communal fees abolis</w:t>
      </w:r>
      <w:r>
        <w:rPr>
          <w:rFonts w:cs="Times New Roman"/>
          <w:noProof/>
          <w:szCs w:val="24"/>
        </w:rPr>
        <w:t>hes 49 taxes and reduces the tax rate of another 72. So far, one quarter of local municipalities are yet to implement these two laws. The new public procurement law has the potential (pending the adoption of secondary legislation) to create a more transpar</w:t>
      </w:r>
      <w:r>
        <w:rPr>
          <w:rFonts w:cs="Times New Roman"/>
          <w:noProof/>
          <w:szCs w:val="24"/>
        </w:rPr>
        <w:t>ent system aligned to a large degree with the EU acquis. The government’s electronic portal (eUprava) currently provides 249 e-services, most of them informational. Work is in progress concerning the development of the e-cadastre, as some procedures cannot</w:t>
      </w:r>
      <w:r>
        <w:rPr>
          <w:rFonts w:cs="Times New Roman"/>
          <w:noProof/>
          <w:szCs w:val="24"/>
        </w:rPr>
        <w:t xml:space="preserve"> be completed online yet. The large number of indebted companies represents a challenge. Montenegro compares favourably with OECD countries in terms of time and cost to resolve insolvency (for instance, it takes approximately 1.4 years in Montenegro to com</w:t>
      </w:r>
      <w:r>
        <w:rPr>
          <w:rFonts w:cs="Times New Roman"/>
          <w:noProof/>
          <w:szCs w:val="24"/>
        </w:rPr>
        <w:t>plete liquidation proceedings with an average cost of 8% of the estate, compared to the OECD’s average of 1.8 years and 1.6% cost of the state). However, some owners prefer deserting the firm and open a new one benefiting from the simplicity and low regist</w:t>
      </w:r>
      <w:r>
        <w:rPr>
          <w:rFonts w:cs="Times New Roman"/>
          <w:noProof/>
          <w:szCs w:val="24"/>
        </w:rPr>
        <w:t>ering cost. There are more than 18,000 companies and entrepreneurs with frozen bank accounts due to unpaid claims totalling EUR 648 million or 13.5% of GDP. Up to 20% of these firms are bankrupt or inactive. The bailiff system remains the key pillar for en</w:t>
      </w:r>
      <w:r>
        <w:rPr>
          <w:rFonts w:cs="Times New Roman"/>
          <w:noProof/>
          <w:szCs w:val="24"/>
        </w:rPr>
        <w:t>forcement of debt claims, with 26,600 cases filed in the first half of 2019 (of which, 17,917 still pending), compared to just 380 cases referred for out-of-court mediation in the same period. In 2019, the Tax Administration introduced 590 petitions for ba</w:t>
      </w:r>
      <w:r>
        <w:rPr>
          <w:rFonts w:cs="Times New Roman"/>
          <w:noProof/>
          <w:szCs w:val="24"/>
        </w:rPr>
        <w:t>nkruptcy of indebted companies.</w:t>
      </w:r>
    </w:p>
    <w:p w:rsidR="003C2144" w:rsidRDefault="00FB7959">
      <w:pPr>
        <w:spacing w:after="120" w:line="240" w:lineRule="auto"/>
        <w:jc w:val="both"/>
        <w:rPr>
          <w:rFonts w:cs="Times New Roman"/>
          <w:noProof/>
          <w:szCs w:val="24"/>
        </w:rPr>
      </w:pPr>
      <w:r>
        <w:rPr>
          <w:rFonts w:cs="Times New Roman"/>
          <w:b/>
          <w:noProof/>
          <w:szCs w:val="24"/>
        </w:rPr>
        <w:t>Measures to fight against informality have been delayed</w:t>
      </w:r>
      <w:r>
        <w:rPr>
          <w:rFonts w:cs="Times New Roman"/>
          <w:noProof/>
          <w:szCs w:val="24"/>
        </w:rPr>
        <w:t>. Montenegro is confronted with several key obstacles in the fight against informality, such as weak enforcement capacity, corruption and a high regulatory burden. Inspe</w:t>
      </w:r>
      <w:r>
        <w:rPr>
          <w:rFonts w:cs="Times New Roman"/>
          <w:noProof/>
          <w:szCs w:val="24"/>
        </w:rPr>
        <w:t>ctors cannot access the private premises of natural persons where informal activities are suspected, unless there is evidence of a criminal offense. A new law on inspections was adopted by the government in January 2020, but failed to remediate this issue.</w:t>
      </w:r>
      <w:r>
        <w:rPr>
          <w:rFonts w:cs="Times New Roman"/>
          <w:noProof/>
          <w:szCs w:val="24"/>
        </w:rPr>
        <w:t xml:space="preserve"> In July 2019, the parliament adopted the law on fiscalisation of trade of goods and services to introduce the electronic fiscal invoice system for real-time transfer of data from businesses’ terminals to the tax administration, supporting the fight agains</w:t>
      </w:r>
      <w:r>
        <w:rPr>
          <w:rFonts w:cs="Times New Roman"/>
          <w:noProof/>
          <w:szCs w:val="24"/>
        </w:rPr>
        <w:t xml:space="preserve">t the informal economy. However, the law was amended in December, postponing its implementation to January 2021 due to delays with the acquisition of software and adoption of secondary legislation. </w:t>
      </w:r>
      <w:r>
        <w:rPr>
          <w:rFonts w:cs="Times New Roman"/>
          <w:noProof/>
          <w:color w:val="000000" w:themeColor="text1"/>
          <w:szCs w:val="24"/>
        </w:rPr>
        <w:t>The Special Prosecutor’s Office continues investigating se</w:t>
      </w:r>
      <w:r>
        <w:rPr>
          <w:rFonts w:cs="Times New Roman"/>
          <w:noProof/>
          <w:color w:val="000000" w:themeColor="text1"/>
          <w:szCs w:val="24"/>
        </w:rPr>
        <w:t xml:space="preserve">veral cases of corruption, but efforts need to be stepped up to improve the rule of law </w:t>
      </w:r>
      <w:r>
        <w:rPr>
          <w:rFonts w:cs="Times New Roman"/>
          <w:i/>
          <w:noProof/>
          <w:color w:val="000000" w:themeColor="text1"/>
          <w:szCs w:val="24"/>
        </w:rPr>
        <w:t>(See Chapter 23 – Judiciary and fundamental rights)</w:t>
      </w:r>
      <w:r>
        <w:rPr>
          <w:rFonts w:cs="Times New Roman"/>
          <w:noProof/>
          <w:color w:val="000000" w:themeColor="text1"/>
          <w:szCs w:val="24"/>
        </w:rPr>
        <w:t>.</w:t>
      </w:r>
    </w:p>
    <w:p w:rsidR="003C2144" w:rsidRDefault="00FB7959">
      <w:pPr>
        <w:keepNext/>
        <w:spacing w:after="120" w:line="240" w:lineRule="auto"/>
        <w:rPr>
          <w:rFonts w:cs="Times New Roman"/>
          <w:i/>
          <w:noProof/>
          <w:szCs w:val="24"/>
        </w:rPr>
      </w:pPr>
      <w:r>
        <w:rPr>
          <w:rFonts w:cs="Times New Roman"/>
          <w:i/>
          <w:noProof/>
          <w:szCs w:val="24"/>
        </w:rPr>
        <w:t>State influence on product markets</w:t>
      </w:r>
    </w:p>
    <w:p w:rsidR="003C2144" w:rsidRDefault="00FB7959">
      <w:pPr>
        <w:spacing w:after="120" w:line="240" w:lineRule="auto"/>
        <w:jc w:val="both"/>
        <w:rPr>
          <w:rFonts w:cs="Times New Roman"/>
          <w:noProof/>
          <w:szCs w:val="24"/>
        </w:rPr>
      </w:pPr>
      <w:r>
        <w:rPr>
          <w:rFonts w:cs="Times New Roman"/>
          <w:b/>
          <w:noProof/>
          <w:szCs w:val="24"/>
        </w:rPr>
        <w:t>State aid is largely concentrated in state-owned transport companies</w:t>
      </w:r>
      <w:r>
        <w:rPr>
          <w:rFonts w:cs="Times New Roman"/>
          <w:noProof/>
          <w:szCs w:val="24"/>
        </w:rPr>
        <w:t>. In 2019, t</w:t>
      </w:r>
      <w:r>
        <w:rPr>
          <w:rFonts w:cs="Times New Roman"/>
          <w:noProof/>
          <w:szCs w:val="24"/>
        </w:rPr>
        <w:t>he state budget earmarked EUR 32 million (0.7% of GDP) for subsidies, or EUR 5 million higher than a year before. Around half of this aid was assigned to the struggling Montenegro Airlines, which has already benefited from several support measures in the p</w:t>
      </w:r>
      <w:r>
        <w:rPr>
          <w:rFonts w:cs="Times New Roman"/>
          <w:noProof/>
          <w:szCs w:val="24"/>
        </w:rPr>
        <w:t xml:space="preserve">ast. On 27 December 2019, the parliament adopted a </w:t>
      </w:r>
      <w:r>
        <w:rPr>
          <w:rFonts w:cs="Times New Roman"/>
          <w:i/>
          <w:noProof/>
          <w:szCs w:val="24"/>
        </w:rPr>
        <w:t>lex specialis</w:t>
      </w:r>
      <w:r>
        <w:rPr>
          <w:rFonts w:cs="Times New Roman"/>
          <w:noProof/>
          <w:szCs w:val="24"/>
        </w:rPr>
        <w:t xml:space="preserve"> recognising Montenegro Airlines as a company of special importance, granting additional state support of EUR 155 million in the next six years to avoid its bankruptcy and ensure its future de</w:t>
      </w:r>
      <w:r>
        <w:rPr>
          <w:rFonts w:cs="Times New Roman"/>
          <w:noProof/>
          <w:szCs w:val="24"/>
        </w:rPr>
        <w:t xml:space="preserve">velopment </w:t>
      </w:r>
      <w:r>
        <w:rPr>
          <w:rFonts w:cs="Times New Roman"/>
          <w:i/>
          <w:noProof/>
          <w:szCs w:val="24"/>
        </w:rPr>
        <w:t>(see also Chapter 8 – Competition)</w:t>
      </w:r>
      <w:r>
        <w:rPr>
          <w:rFonts w:cs="Times New Roman"/>
          <w:noProof/>
          <w:szCs w:val="24"/>
        </w:rPr>
        <w:t>. Other public corporations benefitting from state aid are the railway operator (ZPCG) and Montenegro’s Maritime company receiving state aid worth EUR 9.4 million and EUR 5 million, respectively in 2019. Such sta</w:t>
      </w:r>
      <w:r>
        <w:rPr>
          <w:rFonts w:cs="Times New Roman"/>
          <w:noProof/>
          <w:szCs w:val="24"/>
        </w:rPr>
        <w:t>te aid measures should be notified, analysed and decided upon by the Agency for Protection of Competition (APC) Council before they are implemented. Support to local companies for modernisation and adoption of international standards is growing. In 2019, 3</w:t>
      </w:r>
      <w:r>
        <w:rPr>
          <w:rFonts w:cs="Times New Roman"/>
          <w:noProof/>
          <w:szCs w:val="24"/>
        </w:rPr>
        <w:t>07 companies received support from the government, compared to 101 firms in the year before. Yet, the amounts disbursed by these grant programmes remain relatively modest (a few thousand euros per firm). In order to attract investment, the ministry of fina</w:t>
      </w:r>
      <w:r>
        <w:rPr>
          <w:rFonts w:cs="Times New Roman"/>
          <w:noProof/>
          <w:szCs w:val="24"/>
        </w:rPr>
        <w:t>nce and local governments also provide tax exemptions for new investments. Soon after the outbreak of the COVID-19 pandemic, the government adopted a series of measures aimed at supporting businesses and employees to mitigate the economic impact of the pan</w:t>
      </w:r>
      <w:r>
        <w:rPr>
          <w:rFonts w:cs="Times New Roman"/>
          <w:noProof/>
          <w:szCs w:val="24"/>
        </w:rPr>
        <w:t>demic. By the end of April, more than 1,300 companies in Montenegro, whose business has been affected by the lockdown, had applied for government’s subsidies. In July, the government announced a third pack of measures to support the payment of wages of 25,</w:t>
      </w:r>
      <w:r>
        <w:rPr>
          <w:rFonts w:cs="Times New Roman"/>
          <w:noProof/>
          <w:szCs w:val="24"/>
        </w:rPr>
        <w:t>000 workers in 3,500 companies, with an estimated cost of EUR 18 million by the end of 2020.</w:t>
      </w:r>
    </w:p>
    <w:p w:rsidR="003C2144" w:rsidRDefault="00FB7959">
      <w:pPr>
        <w:spacing w:after="120" w:line="240" w:lineRule="auto"/>
        <w:jc w:val="both"/>
        <w:rPr>
          <w:rFonts w:cs="Times New Roman"/>
          <w:noProof/>
          <w:szCs w:val="24"/>
        </w:rPr>
      </w:pPr>
      <w:r>
        <w:rPr>
          <w:rFonts w:cs="Times New Roman"/>
          <w:b/>
          <w:noProof/>
          <w:szCs w:val="24"/>
        </w:rPr>
        <w:t>Price formation is liberalised with a few exceptions</w:t>
      </w:r>
      <w:r>
        <w:rPr>
          <w:rFonts w:cs="Times New Roman"/>
          <w:noProof/>
          <w:szCs w:val="24"/>
        </w:rPr>
        <w:t>. Montenegro’s regulatory agency sets electricity prices for households using as a reference power market the H</w:t>
      </w:r>
      <w:r>
        <w:rPr>
          <w:rFonts w:cs="Times New Roman"/>
          <w:noProof/>
          <w:szCs w:val="24"/>
        </w:rPr>
        <w:t>ungarian energy exchange HUDEX (the only regional exchange where electricity futures are traded). Fuel prices are updated in accordance with their fluctuations on international oil market and the euro/dollar exchange rate in case these parameters exceed 5%</w:t>
      </w:r>
      <w:r>
        <w:rPr>
          <w:rFonts w:cs="Times New Roman"/>
          <w:noProof/>
          <w:szCs w:val="24"/>
        </w:rPr>
        <w:t>.</w:t>
      </w:r>
    </w:p>
    <w:p w:rsidR="003C2144" w:rsidRDefault="00FB7959">
      <w:pPr>
        <w:keepNext/>
        <w:keepLines/>
        <w:spacing w:after="120" w:line="240" w:lineRule="auto"/>
        <w:rPr>
          <w:rFonts w:cs="Times New Roman"/>
          <w:i/>
          <w:noProof/>
          <w:szCs w:val="24"/>
        </w:rPr>
      </w:pPr>
      <w:r>
        <w:rPr>
          <w:rFonts w:cs="Times New Roman"/>
          <w:i/>
          <w:noProof/>
          <w:szCs w:val="24"/>
        </w:rPr>
        <w:t>Privatisation and restructuring</w:t>
      </w:r>
    </w:p>
    <w:p w:rsidR="003C2144" w:rsidRDefault="00FB7959">
      <w:pPr>
        <w:spacing w:after="120" w:line="240" w:lineRule="auto"/>
        <w:jc w:val="both"/>
        <w:rPr>
          <w:rFonts w:cs="Times New Roman"/>
          <w:noProof/>
          <w:szCs w:val="24"/>
        </w:rPr>
      </w:pPr>
      <w:r>
        <w:rPr>
          <w:rFonts w:cs="Times New Roman"/>
          <w:b/>
          <w:noProof/>
          <w:szCs w:val="24"/>
        </w:rPr>
        <w:t>Efforts have been made to attract private investors through concessions, while the electricity company returned to state hands.</w:t>
      </w:r>
      <w:r>
        <w:rPr>
          <w:rFonts w:cs="Times New Roman"/>
          <w:noProof/>
          <w:szCs w:val="24"/>
        </w:rPr>
        <w:t xml:space="preserve"> In October 2019, the government called a pre-qualification tender for a 30-year concession on its two international airports (Podgorica and Tivat), to attract a major international investor to modernise them and boost tourism. Three companies and one cons</w:t>
      </w:r>
      <w:r>
        <w:rPr>
          <w:rFonts w:cs="Times New Roman"/>
          <w:noProof/>
          <w:szCs w:val="24"/>
        </w:rPr>
        <w:t>ortium were pre-qualified to take part in the tender. However, the process for awarding the concession stalled, because one of the qualified bidders purchased in the meantime another of the qualified bidders, breaching the concession tender rules due to ov</w:t>
      </w:r>
      <w:r>
        <w:rPr>
          <w:rFonts w:cs="Times New Roman"/>
          <w:noProof/>
          <w:szCs w:val="24"/>
        </w:rPr>
        <w:t>erlapping ownership. The port of Bar sold in November 2019 one hotel in order to finance new equipment for its port terminals. Following the reorganisation of the tourism company Budvanska Rivijera, preparation of the sale process is underway. The governme</w:t>
      </w:r>
      <w:r>
        <w:rPr>
          <w:rFonts w:cs="Times New Roman"/>
          <w:noProof/>
          <w:szCs w:val="24"/>
        </w:rPr>
        <w:t xml:space="preserve">nt has set as a priority the reform of the energy sector to improve its competitiveness and integration into the regional electricity market. In December 2019, the government completed the re-nationalisation of the electric power company (EPCG), acquiring </w:t>
      </w:r>
      <w:r>
        <w:rPr>
          <w:rFonts w:cs="Times New Roman"/>
          <w:noProof/>
          <w:szCs w:val="24"/>
        </w:rPr>
        <w:t xml:space="preserve">88.6% of its shares, while EPCG itself retains around 10% of shares. </w:t>
      </w:r>
    </w:p>
    <w:p w:rsidR="003C2144" w:rsidRDefault="00FB7959">
      <w:pPr>
        <w:keepNext/>
        <w:keepLines/>
        <w:spacing w:after="120" w:line="240" w:lineRule="auto"/>
        <w:rPr>
          <w:rFonts w:cs="Times New Roman"/>
          <w:noProof/>
          <w:szCs w:val="24"/>
          <w:u w:val="single"/>
        </w:rPr>
      </w:pPr>
      <w:r>
        <w:rPr>
          <w:rFonts w:cs="Times New Roman"/>
          <w:noProof/>
          <w:szCs w:val="24"/>
          <w:u w:val="single"/>
        </w:rPr>
        <w:t>Functioning of the financial market</w:t>
      </w:r>
    </w:p>
    <w:p w:rsidR="003C2144" w:rsidRDefault="00FB7959">
      <w:pPr>
        <w:keepNext/>
        <w:keepLines/>
        <w:spacing w:after="120" w:line="240" w:lineRule="auto"/>
        <w:rPr>
          <w:rFonts w:cs="Times New Roman"/>
          <w:i/>
          <w:noProof/>
          <w:szCs w:val="24"/>
        </w:rPr>
      </w:pPr>
      <w:r>
        <w:rPr>
          <w:rFonts w:cs="Times New Roman"/>
          <w:i/>
          <w:noProof/>
          <w:szCs w:val="24"/>
        </w:rPr>
        <w:t>Financial stability</w:t>
      </w:r>
    </w:p>
    <w:p w:rsidR="003C2144" w:rsidRDefault="00FB7959">
      <w:pPr>
        <w:spacing w:after="120" w:line="240" w:lineRule="auto"/>
        <w:jc w:val="both"/>
        <w:rPr>
          <w:rFonts w:cs="Times New Roman"/>
          <w:noProof/>
          <w:szCs w:val="24"/>
        </w:rPr>
      </w:pPr>
      <w:r>
        <w:rPr>
          <w:rFonts w:cs="Times New Roman"/>
          <w:b/>
          <w:noProof/>
          <w:szCs w:val="24"/>
        </w:rPr>
        <w:t xml:space="preserve">The stability of the financial system has improved but the COVID-19 will challenge asset quality and profitability of banks. </w:t>
      </w:r>
      <w:r>
        <w:rPr>
          <w:rFonts w:cs="Times New Roman"/>
          <w:noProof/>
          <w:szCs w:val="24"/>
        </w:rPr>
        <w:t>Credi</w:t>
      </w:r>
      <w:r>
        <w:rPr>
          <w:rFonts w:cs="Times New Roman"/>
          <w:noProof/>
          <w:szCs w:val="24"/>
        </w:rPr>
        <w:t>t growth plunged in early 2019, though it was largely a statistical issue, reflecting the bankruptcies of two small local banks, and the removal of their assets from the financial sector’s statistics. Lending activity recovered in the third quarter of 2019</w:t>
      </w:r>
      <w:r>
        <w:rPr>
          <w:rFonts w:cs="Times New Roman"/>
          <w:noProof/>
          <w:szCs w:val="24"/>
        </w:rPr>
        <w:t xml:space="preserve">, to reach 4.5% expansion at the end of the year. Credit growth remained stable in the first half of 2020, expanding by 4.7% y-o-y. Overall, the sector appears stable, liquid and well capitalised. The sector-wide solvency ratio reached 17.7% at the end of </w:t>
      </w:r>
      <w:r>
        <w:rPr>
          <w:rFonts w:cs="Times New Roman"/>
          <w:noProof/>
          <w:szCs w:val="24"/>
        </w:rPr>
        <w:t>2019, well above the statutory minimum of 10%, while the ratio of non-performing loans (NPLs) to total loans has been reduced to 4.70% in 2019, but raised to 5.26% in June 2020. Profitability indicators remain positive. In 2019, the aggregate return on ass</w:t>
      </w:r>
      <w:r>
        <w:rPr>
          <w:rFonts w:cs="Times New Roman"/>
          <w:noProof/>
          <w:szCs w:val="24"/>
        </w:rPr>
        <w:t xml:space="preserve">ets and on equity were 1.2% and 9.0%, respectively. </w:t>
      </w:r>
    </w:p>
    <w:p w:rsidR="003C2144" w:rsidRDefault="00FB7959">
      <w:pPr>
        <w:spacing w:after="120" w:line="240" w:lineRule="auto"/>
        <w:jc w:val="both"/>
        <w:rPr>
          <w:rFonts w:cs="Times New Roman"/>
          <w:noProof/>
          <w:szCs w:val="24"/>
        </w:rPr>
      </w:pPr>
      <w:r>
        <w:rPr>
          <w:rFonts w:cs="Times New Roman"/>
          <w:noProof/>
          <w:szCs w:val="24"/>
        </w:rPr>
        <w:t>The strong liquidity position of the banks before the COVID-19 crisis helps mitigate some of the negative effects from the declining of liquid assets. In March 2020, the Central Bank of Montenegro introd</w:t>
      </w:r>
      <w:r>
        <w:rPr>
          <w:rFonts w:cs="Times New Roman"/>
          <w:noProof/>
          <w:szCs w:val="24"/>
        </w:rPr>
        <w:t>uced a 90-day moratorium on the repayment of loans in order to support consumers and domestic companies during the lockdown period. This measure will have a negative effect on the liquidity and profits of Montenegrin banks. However, the pandemic represents</w:t>
      </w:r>
      <w:r>
        <w:rPr>
          <w:rFonts w:cs="Times New Roman"/>
          <w:noProof/>
          <w:szCs w:val="24"/>
        </w:rPr>
        <w:t xml:space="preserve"> a challenge for the financial sector due to the negative impact on asset quality and bank profitability, exacerbated by the possibility of reprogramming loans after the end of the moratorium period, and the cost of the contribution of the financial sector</w:t>
      </w:r>
      <w:r>
        <w:rPr>
          <w:rFonts w:cs="Times New Roman"/>
          <w:noProof/>
          <w:szCs w:val="24"/>
        </w:rPr>
        <w:t xml:space="preserve"> to mitigate the effects of the crisis on the economy. On 29 July 2020, the EBRD provided a EUR 50 million stand-by credit line to the Deposit Protection Fund of Montenegro in order to secure adequate funding to protect retail and corporate clients’ bank d</w:t>
      </w:r>
      <w:r>
        <w:rPr>
          <w:rFonts w:cs="Times New Roman"/>
          <w:noProof/>
          <w:szCs w:val="24"/>
        </w:rPr>
        <w:t>eposits of up to EUR 50,000 per depositor.  On 25 June 2020 the ECB set up a new backstop facility, the Eurosystem repo facility for central banks (EUREP). This facility will be available for one year to address pandemic-related euro liquidity needs of cen</w:t>
      </w:r>
      <w:r>
        <w:rPr>
          <w:rFonts w:cs="Times New Roman"/>
          <w:noProof/>
          <w:szCs w:val="24"/>
        </w:rPr>
        <w:t>tral banks outside the euro area, including Montenegro.</w:t>
      </w:r>
    </w:p>
    <w:p w:rsidR="003C2144" w:rsidRDefault="00FB7959">
      <w:pPr>
        <w:keepNext/>
        <w:keepLines/>
        <w:spacing w:after="120" w:line="240" w:lineRule="auto"/>
        <w:rPr>
          <w:rFonts w:cs="Times New Roman"/>
          <w:i/>
          <w:noProof/>
          <w:szCs w:val="24"/>
        </w:rPr>
      </w:pPr>
      <w:r>
        <w:rPr>
          <w:rFonts w:cs="Times New Roman"/>
          <w:i/>
          <w:noProof/>
          <w:szCs w:val="24"/>
        </w:rPr>
        <w:t>Access to finance</w:t>
      </w:r>
    </w:p>
    <w:p w:rsidR="003C2144" w:rsidRDefault="00FB7959">
      <w:pPr>
        <w:widowControl w:val="0"/>
        <w:spacing w:after="120" w:line="240" w:lineRule="auto"/>
        <w:jc w:val="both"/>
        <w:rPr>
          <w:rFonts w:cs="Times New Roman"/>
          <w:noProof/>
          <w:szCs w:val="24"/>
        </w:rPr>
      </w:pPr>
      <w:r>
        <w:rPr>
          <w:rFonts w:cs="Times New Roman"/>
          <w:b/>
          <w:noProof/>
          <w:szCs w:val="24"/>
        </w:rPr>
        <w:t>High interest rates and indebtedness of local companies are two major obstacles to gain access to finance</w:t>
      </w:r>
      <w:r>
        <w:rPr>
          <w:rFonts w:cs="Times New Roman"/>
          <w:noProof/>
          <w:szCs w:val="24"/>
        </w:rPr>
        <w:t>. Bank lending to private sector grew by nominal 27.5% over the last five yea</w:t>
      </w:r>
      <w:r>
        <w:rPr>
          <w:rFonts w:cs="Times New Roman"/>
          <w:noProof/>
          <w:szCs w:val="24"/>
        </w:rPr>
        <w:t>rs, recording very weak growth until 2018 while the economy grew at a faster pace. As a result, private sector credit declined as a share of GDP, from 64.8% in 2014 to 58.6% in 2019, raising to 60.4% of GDP in June 2020. However, The demand for new loans h</w:t>
      </w:r>
      <w:r>
        <w:rPr>
          <w:rFonts w:cs="Times New Roman"/>
          <w:noProof/>
          <w:szCs w:val="24"/>
        </w:rPr>
        <w:t>as decreased by 35% year on year since the outbreak of COVID-19 (in March until mid-July. The most significant decrease was registered for cash loans, followed by mortgage loans and credits used for preparations for the tourist season. Meanwhile, commercia</w:t>
      </w:r>
      <w:r>
        <w:rPr>
          <w:rFonts w:cs="Times New Roman"/>
          <w:noProof/>
          <w:szCs w:val="24"/>
        </w:rPr>
        <w:t>l banks have restructured EUR 75 million worth of loans. As part of the measures aimed at supporting economy amid the pandemic crisis, the Central Bank of Montenegro introduced a moratorium on loan repayments for six months, resulting in a 50 % fall in com</w:t>
      </w:r>
      <w:r>
        <w:rPr>
          <w:rFonts w:cs="Times New Roman"/>
          <w:noProof/>
          <w:szCs w:val="24"/>
        </w:rPr>
        <w:t>mercial banks’ profits. The bankruptcies of two domestic banks and the acquisition of another by the largest bank reduced the number of banks to thirteen, which is still high compared to the size of the market. Eight of these banks are majority-owned by la</w:t>
      </w:r>
      <w:r>
        <w:rPr>
          <w:rFonts w:cs="Times New Roman"/>
          <w:noProof/>
          <w:szCs w:val="24"/>
        </w:rPr>
        <w:t>rge EU banking groups, representing 79.7 % of financial sector assets. The large number of companies with frozen bank accounts due to unpaid debts, as well a limited coverage of the credit register, remain key obstacles to credit supply. Due to high credit</w:t>
      </w:r>
      <w:r>
        <w:rPr>
          <w:rFonts w:cs="Times New Roman"/>
          <w:noProof/>
          <w:szCs w:val="24"/>
        </w:rPr>
        <w:t xml:space="preserve"> risks, interest rates on loans (6.76% in June 2020) remain relatively high, representing a barrier for many small and medium enterprises. In order to support SMEs, the Investment and Development Fund along with some international financial institutions pr</w:t>
      </w:r>
      <w:r>
        <w:rPr>
          <w:rFonts w:cs="Times New Roman"/>
          <w:noProof/>
          <w:szCs w:val="24"/>
        </w:rPr>
        <w:t>ovide a series of bank guarantees and soft loans to entrepreneurs. However, large and profitable companies are disproportionately benefiting from this support (or finance investment from internal sources), while SMEs resort to more expensive trade credit d</w:t>
      </w:r>
      <w:r>
        <w:rPr>
          <w:rFonts w:cs="Times New Roman"/>
          <w:noProof/>
          <w:szCs w:val="24"/>
        </w:rPr>
        <w:t>ue to their difficulties in accessing bank loans. In order to help companies to improve their liquidity during the 2020 pandemic the Investment Development Fund set some specific credit lines, while the European Investment Bank and European Investment Fund</w:t>
      </w:r>
      <w:r>
        <w:rPr>
          <w:rFonts w:cs="Times New Roman"/>
          <w:noProof/>
          <w:szCs w:val="24"/>
        </w:rPr>
        <w:t xml:space="preserve"> provided additional support through credit lines and guarantees to Montenegrin banks to facilitate credit to SMEs.</w:t>
      </w:r>
    </w:p>
    <w:p w:rsidR="003C2144" w:rsidRDefault="00FB7959">
      <w:pPr>
        <w:spacing w:after="120" w:line="240" w:lineRule="auto"/>
        <w:jc w:val="both"/>
        <w:rPr>
          <w:rFonts w:cs="Times New Roman"/>
          <w:noProof/>
          <w:color w:val="000000" w:themeColor="text1"/>
          <w:szCs w:val="24"/>
        </w:rPr>
      </w:pPr>
      <w:r>
        <w:rPr>
          <w:rFonts w:cs="Times New Roman"/>
          <w:b/>
          <w:bCs/>
          <w:noProof/>
          <w:color w:val="000000" w:themeColor="text1"/>
          <w:szCs w:val="24"/>
        </w:rPr>
        <w:t>The size of the non-bank financial sector remains very small.</w:t>
      </w:r>
      <w:r>
        <w:rPr>
          <w:rFonts w:cs="Times New Roman"/>
          <w:noProof/>
          <w:color w:val="000000" w:themeColor="text1"/>
          <w:szCs w:val="24"/>
        </w:rPr>
        <w:t xml:space="preserve"> The stock market’s role in the local economy is marginal in terms of market tu</w:t>
      </w:r>
      <w:r>
        <w:rPr>
          <w:rFonts w:cs="Times New Roman"/>
          <w:noProof/>
          <w:color w:val="000000" w:themeColor="text1"/>
          <w:szCs w:val="24"/>
        </w:rPr>
        <w:t>rnover, while the assets of insurers and micro-financial institutions both represent around 1.5% of GDP</w:t>
      </w:r>
      <w:r>
        <w:rPr>
          <w:rFonts w:eastAsia="MinionPro-Disp" w:cs="Times New Roman"/>
          <w:noProof/>
          <w:color w:val="000000" w:themeColor="text1"/>
          <w:szCs w:val="24"/>
        </w:rPr>
        <w:t>.</w:t>
      </w:r>
    </w:p>
    <w:p w:rsidR="003C2144" w:rsidRDefault="00FB7959">
      <w:pPr>
        <w:keepNext/>
        <w:keepLines/>
        <w:spacing w:after="120" w:line="240" w:lineRule="auto"/>
        <w:rPr>
          <w:rFonts w:cs="Times New Roman"/>
          <w:noProof/>
          <w:szCs w:val="24"/>
          <w:u w:val="single"/>
        </w:rPr>
      </w:pPr>
      <w:r>
        <w:rPr>
          <w:rFonts w:cs="Times New Roman"/>
          <w:noProof/>
          <w:szCs w:val="24"/>
          <w:u w:val="single"/>
        </w:rPr>
        <w:t>Functioning of the labour market</w:t>
      </w:r>
    </w:p>
    <w:p w:rsidR="003C2144" w:rsidRDefault="00FB7959">
      <w:pPr>
        <w:widowControl w:val="0"/>
        <w:spacing w:after="120" w:line="240" w:lineRule="auto"/>
        <w:jc w:val="both"/>
        <w:rPr>
          <w:rFonts w:cs="Times New Roman"/>
          <w:noProof/>
          <w:szCs w:val="24"/>
        </w:rPr>
      </w:pPr>
      <w:r>
        <w:rPr>
          <w:rFonts w:cs="Times New Roman"/>
          <w:b/>
          <w:noProof/>
          <w:szCs w:val="24"/>
        </w:rPr>
        <w:t xml:space="preserve">Economic growth, reform of social benefit schemes for mothers and support for young unemployed helped improve labour </w:t>
      </w:r>
      <w:r>
        <w:rPr>
          <w:rFonts w:cs="Times New Roman"/>
          <w:b/>
          <w:noProof/>
          <w:szCs w:val="24"/>
        </w:rPr>
        <w:t>market conditions</w:t>
      </w:r>
      <w:r>
        <w:rPr>
          <w:rFonts w:cs="Times New Roman"/>
          <w:noProof/>
          <w:szCs w:val="24"/>
        </w:rPr>
        <w:t>. The unemployment rate (population aged 15-64) averaged 15.2% in 2019, after evolving at around 18.2% five years earlier. However, challenges persist, in particular the low activity rate of women and young people, and high long-term unemp</w:t>
      </w:r>
      <w:r>
        <w:rPr>
          <w:rFonts w:cs="Times New Roman"/>
          <w:noProof/>
          <w:szCs w:val="24"/>
        </w:rPr>
        <w:t>loyment. In December 2019, a new labour law was adopted. The new legislation is expected to provide more flexibility by shortening procedures, simplifying dismissal procedures, facilitating the use of fixed-term contracts and the deployment of employees ou</w:t>
      </w:r>
      <w:r>
        <w:rPr>
          <w:rFonts w:cs="Times New Roman"/>
          <w:noProof/>
          <w:szCs w:val="24"/>
        </w:rPr>
        <w:t>tside the employers’ premises (e.g. telework).. Protection of workers is also reinforced in the new law, introducing the obligation of a written contract prior to work. Sanctions for undeclared work are also more severe, with a view to reducing informality</w:t>
      </w:r>
      <w:r>
        <w:rPr>
          <w:rFonts w:cs="Times New Roman"/>
          <w:noProof/>
          <w:szCs w:val="24"/>
        </w:rPr>
        <w:t>. The halt of economic activity introduced in March 2020 to contain the spreading of COVID-19 had a negative impact on the labour market. The unemployment rate rose to 17.4% in April, up from 15.3% in March and 16.4% a year earlier.</w:t>
      </w:r>
    </w:p>
    <w:p w:rsidR="003C2144" w:rsidRDefault="00FB7959">
      <w:pPr>
        <w:widowControl w:val="0"/>
        <w:spacing w:after="120" w:line="240" w:lineRule="auto"/>
        <w:jc w:val="both"/>
        <w:rPr>
          <w:rFonts w:cs="Times New Roman"/>
          <w:noProof/>
          <w:szCs w:val="24"/>
          <w:lang w:val="en-IE"/>
        </w:rPr>
      </w:pPr>
      <w:r>
        <w:rPr>
          <w:rFonts w:cs="Times New Roman"/>
          <w:noProof/>
          <w:szCs w:val="24"/>
          <w:lang w:eastAsia="en-GB"/>
        </w:rPr>
        <w:drawing>
          <wp:anchor distT="0" distB="0" distL="114300" distR="114300" simplePos="0" relativeHeight="251668480" behindDoc="0" locked="0" layoutInCell="1" allowOverlap="1">
            <wp:simplePos x="0" y="0"/>
            <wp:positionH relativeFrom="column">
              <wp:posOffset>2520470</wp:posOffset>
            </wp:positionH>
            <wp:positionV relativeFrom="paragraph">
              <wp:posOffset>76215</wp:posOffset>
            </wp:positionV>
            <wp:extent cx="3232800" cy="1976400"/>
            <wp:effectExtent l="0" t="0" r="5715"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800" cy="19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szCs w:val="24"/>
          <w:lang w:val="en-IE"/>
        </w:rPr>
        <w:t>Active labour market p</w:t>
      </w:r>
      <w:r>
        <w:rPr>
          <w:rFonts w:cs="Times New Roman"/>
          <w:noProof/>
          <w:szCs w:val="24"/>
          <w:lang w:val="en-IE"/>
        </w:rPr>
        <w:t>olicies need to improve and put more emphasis on re- and up-skilling. The Public Employment Service’s capacity for job mediation remain weak (i.e. 400 jobseekers for every staff member of the Employment Agency, compared to the 100:1 ratio recommended by th</w:t>
      </w:r>
      <w:r>
        <w:rPr>
          <w:rFonts w:cs="Times New Roman"/>
          <w:noProof/>
          <w:szCs w:val="24"/>
          <w:lang w:val="en-IE"/>
        </w:rPr>
        <w:t>e International Labour Organisation (ILO)) to provide targeted services. Despite a 2 pps reduction in July 2019 of social security contributions, and the expiry of the 2 pps “crisis tax” for above-average wages as of January 2020, the tax wedge remains rel</w:t>
      </w:r>
      <w:r>
        <w:rPr>
          <w:rFonts w:cs="Times New Roman"/>
          <w:noProof/>
          <w:szCs w:val="24"/>
          <w:lang w:val="en-IE"/>
        </w:rPr>
        <w:t>atively high, especially for low-wage earners, generating disincentives to hire and work, particularly at the lower end of income distribution. Skills mismatch persists for persons with vocational education training and higher education attainment. Geograp</w:t>
      </w:r>
      <w:r>
        <w:rPr>
          <w:rFonts w:cs="Times New Roman"/>
          <w:noProof/>
          <w:szCs w:val="24"/>
          <w:lang w:val="en-IE"/>
        </w:rPr>
        <w:t>hical disparities are also large and affect negatively and disproportionately the northern region. In May 2019, the government raised the minimum wage by 15%. As a result, wages recorded some modest annual growth of 0.8% in 2019, while preserving local com</w:t>
      </w:r>
      <w:r>
        <w:rPr>
          <w:rFonts w:cs="Times New Roman"/>
          <w:noProof/>
          <w:szCs w:val="24"/>
          <w:lang w:val="en-IE"/>
        </w:rPr>
        <w:t>panies’ competitiveness.</w:t>
      </w:r>
    </w:p>
    <w:p w:rsidR="003C2144" w:rsidRDefault="00FB7959">
      <w:pPr>
        <w:pStyle w:val="Heading2"/>
        <w:rPr>
          <w:noProof/>
        </w:rPr>
      </w:pPr>
      <w:bookmarkStart w:id="44" w:name="_Toc52744931"/>
      <w:r>
        <w:rPr>
          <w:noProof/>
        </w:rPr>
        <w:t>3.2.</w:t>
      </w:r>
      <w:r>
        <w:rPr>
          <w:noProof/>
        </w:rPr>
        <w:tab/>
        <w:t>The capacity to cope with competitive pressure and market forces within the Union</w:t>
      </w:r>
      <w:bookmarkEnd w:id="44"/>
    </w:p>
    <w:tbl>
      <w:tblPr>
        <w:tblW w:w="9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63"/>
      </w:tblGrid>
      <w:tr w:rsidR="003C2144">
        <w:trPr>
          <w:trHeight w:val="416"/>
        </w:trPr>
        <w:tc>
          <w:tcPr>
            <w:tcW w:w="9363" w:type="dxa"/>
            <w:shd w:val="clear" w:color="auto" w:fill="D9D9D9" w:themeFill="background1" w:themeFillShade="D9"/>
          </w:tcPr>
          <w:p w:rsidR="003C2144" w:rsidRDefault="00FB7959">
            <w:pPr>
              <w:pStyle w:val="Default"/>
              <w:spacing w:after="120"/>
              <w:jc w:val="both"/>
              <w:rPr>
                <w:noProof/>
                <w:color w:val="000000" w:themeColor="text1"/>
              </w:rPr>
            </w:pPr>
            <w:r>
              <w:rPr>
                <w:noProof/>
                <w:color w:val="000000" w:themeColor="text1"/>
              </w:rPr>
              <w:t xml:space="preserve">Montenegro has made </w:t>
            </w:r>
            <w:r>
              <w:rPr>
                <w:b/>
                <w:bCs/>
                <w:noProof/>
                <w:color w:val="000000" w:themeColor="text1"/>
              </w:rPr>
              <w:t xml:space="preserve">some progress </w:t>
            </w:r>
            <w:r>
              <w:rPr>
                <w:noProof/>
                <w:color w:val="000000" w:themeColor="text1"/>
              </w:rPr>
              <w:t xml:space="preserve">and remains </w:t>
            </w:r>
            <w:r>
              <w:rPr>
                <w:b/>
                <w:bCs/>
                <w:noProof/>
                <w:color w:val="000000" w:themeColor="text1"/>
              </w:rPr>
              <w:t xml:space="preserve">moderately prepared </w:t>
            </w:r>
            <w:r>
              <w:rPr>
                <w:noProof/>
                <w:color w:val="000000" w:themeColor="text1"/>
              </w:rPr>
              <w:t>in terms of its capacity to cope with competitive pressure and market forces w</w:t>
            </w:r>
            <w:r>
              <w:rPr>
                <w:noProof/>
                <w:color w:val="000000" w:themeColor="text1"/>
              </w:rPr>
              <w:t>ithin the EU. Investment in knowledge and human capital is very modest, resulting in low innovation and productivity levels of local companies. Educational outcomes need to improve across the board, as well as the provision of upskilling and reskilling mea</w:t>
            </w:r>
            <w:r>
              <w:rPr>
                <w:noProof/>
                <w:color w:val="000000" w:themeColor="text1"/>
              </w:rPr>
              <w:t xml:space="preserve">sures. Several important infrastructure projects are being implemented, gradually transforming Montenegro into a net exporter of electricity and developing transport networks. Physical broadband networks are being developed by the private sector while the </w:t>
            </w:r>
            <w:r>
              <w:rPr>
                <w:noProof/>
                <w:color w:val="000000" w:themeColor="text1"/>
              </w:rPr>
              <w:t>authorities strengthened the legislative framework. However, the economy presents a weak industrial base characterised by low value-added activities, constrained by the small size of the market and the low technological know-how of most local companies.</w:t>
            </w:r>
          </w:p>
          <w:p w:rsidR="003C2144" w:rsidRDefault="00FB7959">
            <w:pPr>
              <w:pStyle w:val="Default"/>
              <w:spacing w:after="120"/>
              <w:jc w:val="both"/>
              <w:rPr>
                <w:noProof/>
                <w:color w:val="000000" w:themeColor="text1"/>
              </w:rPr>
            </w:pPr>
            <w:r>
              <w:rPr>
                <w:noProof/>
                <w:color w:val="000000" w:themeColor="text1"/>
              </w:rPr>
              <w:t>In</w:t>
            </w:r>
            <w:r>
              <w:rPr>
                <w:noProof/>
                <w:color w:val="000000" w:themeColor="text1"/>
              </w:rPr>
              <w:t xml:space="preserve"> order to improve competitiveness and long-term growth, Montenegro should in particular:</w:t>
            </w:r>
          </w:p>
          <w:p w:rsidR="003C2144" w:rsidRDefault="00FB7959">
            <w:pPr>
              <w:pStyle w:val="ListParagraph"/>
              <w:numPr>
                <w:ilvl w:val="0"/>
                <w:numId w:val="8"/>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noProof/>
                <w:sz w:val="24"/>
                <w:szCs w:val="24"/>
                <w:lang w:val="en-IE"/>
              </w:rPr>
              <w:t>improve the quality and labour market relevance of education, in particular at secondary and vocational education levels;</w:t>
            </w:r>
          </w:p>
          <w:p w:rsidR="003C2144" w:rsidRDefault="00FB7959">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make sound cost-benefit analysis an integral </w:t>
            </w:r>
            <w:r>
              <w:rPr>
                <w:rFonts w:ascii="Times New Roman" w:hAnsi="Times New Roman" w:cs="Times New Roman"/>
                <w:noProof/>
                <w:sz w:val="24"/>
                <w:szCs w:val="24"/>
              </w:rPr>
              <w:t>part of public investment management.</w:t>
            </w:r>
          </w:p>
        </w:tc>
      </w:tr>
    </w:tbl>
    <w:p w:rsidR="003C2144" w:rsidRDefault="00FB7959">
      <w:pPr>
        <w:keepNext/>
        <w:keepLines/>
        <w:spacing w:after="120" w:line="240" w:lineRule="auto"/>
        <w:rPr>
          <w:rFonts w:cs="Times New Roman"/>
          <w:noProof/>
          <w:szCs w:val="24"/>
          <w:u w:val="single"/>
        </w:rPr>
      </w:pPr>
      <w:r>
        <w:rPr>
          <w:rFonts w:cs="Times New Roman"/>
          <w:noProof/>
          <w:szCs w:val="24"/>
          <w:u w:val="single"/>
        </w:rPr>
        <w:t>Education and innovation</w:t>
      </w:r>
    </w:p>
    <w:p w:rsidR="003C2144" w:rsidRDefault="00FB7959">
      <w:pPr>
        <w:spacing w:after="120" w:line="240" w:lineRule="auto"/>
        <w:jc w:val="both"/>
        <w:rPr>
          <w:rFonts w:cs="Times New Roman"/>
          <w:noProof/>
          <w:szCs w:val="24"/>
        </w:rPr>
      </w:pPr>
      <w:r>
        <w:rPr>
          <w:rFonts w:cs="Times New Roman"/>
          <w:b/>
          <w:noProof/>
          <w:szCs w:val="24"/>
          <w:lang w:val="en-IE"/>
        </w:rPr>
        <w:t>While Montenegro’s enrolment ratios are high, there is an issue with the quality of education.</w:t>
      </w:r>
      <w:r>
        <w:rPr>
          <w:rFonts w:cs="Times New Roman"/>
          <w:noProof/>
          <w:szCs w:val="24"/>
          <w:lang w:val="en-IE"/>
        </w:rPr>
        <w:t xml:space="preserve"> In 2017, Montenegro’s youth education attainment level (i.e. the proportion of 20-24 year olds who have achieved at least an upper secondary level of education) stood at 95.1%, compared to 83.3% in the EU-28. However, 32.4% completed a tertiary level in 2</w:t>
      </w:r>
      <w:r>
        <w:rPr>
          <w:rFonts w:cs="Times New Roman"/>
          <w:noProof/>
          <w:szCs w:val="24"/>
          <w:lang w:val="en-IE"/>
        </w:rPr>
        <w:t>018 while the EU-28 ratio was 39.9%. The 2018 PISA report shows there are significant gaps in education quality. Montenegrin 15-year-old students attaining Level 2 or higher in mathematics, reading and science are 20-percentage points lower than the OECD’s</w:t>
      </w:r>
      <w:r>
        <w:rPr>
          <w:rFonts w:cs="Times New Roman"/>
          <w:noProof/>
          <w:szCs w:val="24"/>
          <w:lang w:val="en-IE"/>
        </w:rPr>
        <w:t xml:space="preserve"> average. Moreover, skills mismatch persists for persons with vocational education training and higher education attainment. While the youth unemployment rate improved, it remains high at 22.3% in 2019. Overall, educational outcomes need to improve across </w:t>
      </w:r>
      <w:r>
        <w:rPr>
          <w:rFonts w:cs="Times New Roman"/>
          <w:noProof/>
          <w:szCs w:val="24"/>
          <w:lang w:val="en-IE"/>
        </w:rPr>
        <w:t>the board in line with market needs to improve employability.</w:t>
      </w:r>
    </w:p>
    <w:p w:rsidR="003C2144" w:rsidRDefault="00FB7959">
      <w:pPr>
        <w:spacing w:after="120" w:line="240" w:lineRule="auto"/>
        <w:jc w:val="both"/>
        <w:rPr>
          <w:rFonts w:cs="Times New Roman"/>
          <w:noProof/>
          <w:szCs w:val="24"/>
        </w:rPr>
      </w:pPr>
      <w:r>
        <w:rPr>
          <w:rFonts w:cs="Times New Roman"/>
          <w:b/>
          <w:noProof/>
          <w:szCs w:val="24"/>
        </w:rPr>
        <w:t>Investment on research and development (R&amp;D) is improving.</w:t>
      </w:r>
      <w:r>
        <w:rPr>
          <w:rFonts w:cs="Times New Roman"/>
          <w:noProof/>
          <w:szCs w:val="24"/>
        </w:rPr>
        <w:t xml:space="preserve"> In 2018, R&amp;D investment increased to 0.50% of GDP. Yet, most of the investment comes from the public sector. Only 2.2% of Montenegrin S</w:t>
      </w:r>
      <w:r>
        <w:rPr>
          <w:rFonts w:cs="Times New Roman"/>
          <w:noProof/>
          <w:szCs w:val="24"/>
        </w:rPr>
        <w:t>MEs invest in R&amp;D (compared to 22% on the regional level). Meanwhile, government support is gradually increasing. A new science and technology park is being established in Podgorica, while the one in Niksic (Tehnopolis) is already operational with 29 tenan</w:t>
      </w:r>
      <w:r>
        <w:rPr>
          <w:rFonts w:cs="Times New Roman"/>
          <w:noProof/>
          <w:szCs w:val="24"/>
        </w:rPr>
        <w:t>ts, with equipment of its three laboratories being completed. Efforts are also invested in so-called soft measures (training, mentoring, intellectual property, etc.), activities which rely to a large extent on EU funds. However, the programmes are fragment</w:t>
      </w:r>
      <w:r>
        <w:rPr>
          <w:rFonts w:cs="Times New Roman"/>
          <w:noProof/>
          <w:szCs w:val="24"/>
        </w:rPr>
        <w:t>ed and often fail to attract sufficient interest from SMEs. A Smart Specialisation strategy was adopted in June 2019 and received a conditionally positive assessment by the European Commission services in December 2019.</w:t>
      </w:r>
    </w:p>
    <w:p w:rsidR="003C2144" w:rsidRDefault="00FB7959">
      <w:pPr>
        <w:spacing w:after="120" w:line="240" w:lineRule="auto"/>
        <w:jc w:val="both"/>
        <w:rPr>
          <w:rFonts w:cs="Times New Roman"/>
          <w:noProof/>
          <w:szCs w:val="24"/>
          <w:u w:val="single"/>
        </w:rPr>
      </w:pPr>
      <w:r>
        <w:rPr>
          <w:rFonts w:cs="Times New Roman"/>
          <w:noProof/>
          <w:szCs w:val="24"/>
          <w:u w:val="single"/>
        </w:rPr>
        <w:t>Physical capital and quality of infr</w:t>
      </w:r>
      <w:r>
        <w:rPr>
          <w:rFonts w:cs="Times New Roman"/>
          <w:noProof/>
          <w:szCs w:val="24"/>
          <w:u w:val="single"/>
        </w:rPr>
        <w:t>astructure</w:t>
      </w:r>
    </w:p>
    <w:p w:rsidR="003C2144" w:rsidRDefault="00FB7959">
      <w:pPr>
        <w:spacing w:after="120" w:line="240" w:lineRule="auto"/>
        <w:jc w:val="both"/>
        <w:rPr>
          <w:rFonts w:cs="Times New Roman"/>
          <w:noProof/>
          <w:szCs w:val="24"/>
        </w:rPr>
      </w:pPr>
      <w:r>
        <w:rPr>
          <w:rFonts w:cs="Times New Roman"/>
          <w:b/>
          <w:noProof/>
          <w:szCs w:val="24"/>
        </w:rPr>
        <w:t xml:space="preserve">Montenegro is making substantial efforts to upgrade its infrastructure. </w:t>
      </w:r>
      <w:r>
        <w:rPr>
          <w:rFonts w:cs="Times New Roman"/>
          <w:noProof/>
          <w:szCs w:val="24"/>
        </w:rPr>
        <w:t>The interconnection of the electricity network with Italy was established in November 2019 and contributed to the completion of the national electricity transmission ring, s</w:t>
      </w:r>
      <w:r>
        <w:rPr>
          <w:rFonts w:cs="Times New Roman"/>
          <w:noProof/>
          <w:szCs w:val="24"/>
        </w:rPr>
        <w:t>trengthening the robustness of electricity supply, and setting the basis for extending it to neighbouring countries. Montenegro made progress in diversifying its electricity production towards renewable sources, with several wind, solar and hydropower proj</w:t>
      </w:r>
      <w:r>
        <w:rPr>
          <w:rFonts w:cs="Times New Roman"/>
          <w:noProof/>
          <w:szCs w:val="24"/>
        </w:rPr>
        <w:t>ects underway. Montenegro as part of the Transport Community Treaty benefits from the opening of its permanent secretariat in September 2019, and continues to participate in the Western Balkans 6 Connectivity Agenda. Notwithstanding the expected completion</w:t>
      </w:r>
      <w:r>
        <w:rPr>
          <w:rFonts w:cs="Times New Roman"/>
          <w:noProof/>
          <w:szCs w:val="24"/>
        </w:rPr>
        <w:t xml:space="preserve"> of the first section of Bar-Boljare highway in 2021, the highway remains incomplete. Any decision on building further sections needs to be based on a proper environment and social impact assessment, a sound cost-benefit analysis, a necessary precondition </w:t>
      </w:r>
      <w:r>
        <w:rPr>
          <w:rFonts w:cs="Times New Roman"/>
          <w:noProof/>
          <w:szCs w:val="24"/>
        </w:rPr>
        <w:t>for developing a financing plan that preserves the stability of public finances. Several national and regional roads have been upgraded with the support of international financial institutions. Rail infrastructure requires further upgrading to unlock fully</w:t>
      </w:r>
      <w:r>
        <w:rPr>
          <w:rFonts w:cs="Times New Roman"/>
          <w:noProof/>
          <w:szCs w:val="24"/>
        </w:rPr>
        <w:t xml:space="preserve"> the potential of the port of Bar. The developments of telecommunication networks largely rely on the private sector. Fixed broadband services, and in particular the optical fibre sector, has shown strong growth, albeit mainly in the main towns. In the fir</w:t>
      </w:r>
      <w:r>
        <w:rPr>
          <w:rFonts w:cs="Times New Roman"/>
          <w:noProof/>
          <w:szCs w:val="24"/>
        </w:rPr>
        <w:t>st nine months of 2019, the number of fibre connections has increased by 24%, totalling 34% of all fixed broadband connections. Although 98.6% of Montenegrin enterprises use computers, only 18% of them have Internet connections equal or faster than 100 Mbi</w:t>
      </w:r>
      <w:r>
        <w:rPr>
          <w:rFonts w:cs="Times New Roman"/>
          <w:noProof/>
          <w:szCs w:val="24"/>
        </w:rPr>
        <w:t>t/s. In order to align with EU environmental standards, water distribution networks and waste treatment plants are being constructed in several municipalities.</w:t>
      </w:r>
    </w:p>
    <w:p w:rsidR="003C2144" w:rsidRDefault="00FB7959">
      <w:pPr>
        <w:keepNext/>
        <w:keepLines/>
        <w:spacing w:after="120" w:line="240" w:lineRule="auto"/>
        <w:jc w:val="both"/>
        <w:rPr>
          <w:rFonts w:cs="Times New Roman"/>
          <w:noProof/>
          <w:szCs w:val="24"/>
          <w:u w:val="single"/>
        </w:rPr>
      </w:pPr>
      <w:r>
        <w:rPr>
          <w:rFonts w:cs="Times New Roman"/>
          <w:noProof/>
          <w:szCs w:val="24"/>
          <w:u w:val="single"/>
        </w:rPr>
        <w:t>Sectoral and enterprise structure</w:t>
      </w:r>
    </w:p>
    <w:p w:rsidR="003C2144" w:rsidRDefault="00FB7959">
      <w:pPr>
        <w:spacing w:after="120" w:line="240" w:lineRule="auto"/>
        <w:jc w:val="both"/>
        <w:rPr>
          <w:rFonts w:cs="Times New Roman"/>
          <w:noProof/>
          <w:szCs w:val="24"/>
        </w:rPr>
      </w:pPr>
      <w:r>
        <w:rPr>
          <w:rFonts w:cs="Times New Roman"/>
          <w:b/>
          <w:noProof/>
          <w:szCs w:val="24"/>
        </w:rPr>
        <w:t xml:space="preserve">The economy remains service-oriented, while the manufacturing </w:t>
      </w:r>
      <w:r>
        <w:rPr>
          <w:rFonts w:cs="Times New Roman"/>
          <w:b/>
          <w:noProof/>
          <w:szCs w:val="24"/>
        </w:rPr>
        <w:t>base is small</w:t>
      </w:r>
      <w:r>
        <w:rPr>
          <w:rFonts w:cs="Times New Roman"/>
          <w:noProof/>
          <w:szCs w:val="24"/>
        </w:rPr>
        <w:t xml:space="preserve">. Services remain predominant, accounting for 72% of total gross value added (GVA). The development of tourism, energy and transport infrastructure supports construction activity, which represents 7% of GVA. Recently, manufacturing’s share in </w:t>
      </w:r>
      <w:r>
        <w:rPr>
          <w:rFonts w:cs="Times New Roman"/>
          <w:noProof/>
          <w:szCs w:val="24"/>
        </w:rPr>
        <w:t xml:space="preserve">GVA has registered a slight decline, accounting at present for some 5% of GVA. Among subsectors, aluminium used to dominate the industrial landscape, with a 40% share of merchandise exports in 2011. At present, it accounts for 15%. In the past, Montenegro </w:t>
      </w:r>
      <w:r>
        <w:rPr>
          <w:rFonts w:cs="Times New Roman"/>
          <w:noProof/>
          <w:szCs w:val="24"/>
        </w:rPr>
        <w:t>experienced persistent trade deficits in electricity. Following the drop in aluminium production and the development of new power capacities, the situation has reversed, with electricity registering positive trade balances since 2018. Bauxite, wood, oil pr</w:t>
      </w:r>
      <w:r>
        <w:rPr>
          <w:rFonts w:cs="Times New Roman"/>
          <w:noProof/>
          <w:szCs w:val="24"/>
        </w:rPr>
        <w:t>oducts and pharmaceutical are other industrial sectors recording growth. However, their low value added means that they cannot offset the much higher value of imported products. The small size of local companies limits output performance. In Montenegro, on</w:t>
      </w:r>
      <w:r>
        <w:rPr>
          <w:rFonts w:cs="Times New Roman"/>
          <w:noProof/>
          <w:szCs w:val="24"/>
        </w:rPr>
        <w:t>ly 29 companies can be considered large (i.e. having more than 250 workers, turnover above €50 million and assets greater than €43 million), and one third of these are not involved in exports.</w:t>
      </w:r>
    </w:p>
    <w:p w:rsidR="003C2144" w:rsidRDefault="00FB7959">
      <w:pPr>
        <w:spacing w:after="120" w:line="240" w:lineRule="auto"/>
        <w:rPr>
          <w:rFonts w:cs="Times New Roman"/>
          <w:noProof/>
          <w:szCs w:val="24"/>
          <w:u w:val="single"/>
        </w:rPr>
      </w:pPr>
      <w:r>
        <w:rPr>
          <w:rFonts w:cs="Times New Roman"/>
          <w:noProof/>
          <w:szCs w:val="24"/>
          <w:u w:val="single"/>
        </w:rPr>
        <w:t>Economic integration with the EU and price competitiveness</w:t>
      </w:r>
    </w:p>
    <w:p w:rsidR="003C2144" w:rsidRDefault="00FB7959">
      <w:pPr>
        <w:spacing w:after="120" w:line="240" w:lineRule="auto"/>
        <w:jc w:val="both"/>
        <w:rPr>
          <w:rFonts w:cs="Times New Roman"/>
          <w:noProof/>
          <w:szCs w:val="24"/>
        </w:rPr>
      </w:pPr>
      <w:r>
        <w:rPr>
          <w:rFonts w:cs="Times New Roman"/>
          <w:b/>
          <w:noProof/>
          <w:szCs w:val="24"/>
        </w:rPr>
        <w:t>Trad</w:t>
      </w:r>
      <w:r>
        <w:rPr>
          <w:rFonts w:cs="Times New Roman"/>
          <w:b/>
          <w:noProof/>
          <w:szCs w:val="24"/>
        </w:rPr>
        <w:t>e integration with the EU increased in the last years</w:t>
      </w:r>
      <w:r>
        <w:rPr>
          <w:rFonts w:cs="Times New Roman"/>
          <w:noProof/>
          <w:szCs w:val="24"/>
        </w:rPr>
        <w:t>. Total bilateral trade between the EU and Montenegro grew only marginally (+0.7%) between 2018 and 2019 to a total of EUR 1.38 billion. However, over the last 10 years bilateral trade has grown by 61% a</w:t>
      </w:r>
      <w:r>
        <w:rPr>
          <w:rFonts w:cs="Times New Roman"/>
          <w:noProof/>
          <w:szCs w:val="24"/>
        </w:rPr>
        <w:t>nd the EU remains Montenegro’s first trading partner accounting for 46% of total trade (37% of total exports and 47% of total imports of goods). This compares to 26% of total trade with CEFTA. The overall trade balance is in favour of the EU, and increased</w:t>
      </w:r>
      <w:r>
        <w:rPr>
          <w:rFonts w:cs="Times New Roman"/>
          <w:noProof/>
          <w:szCs w:val="24"/>
        </w:rPr>
        <w:t xml:space="preserve"> slightly in 2019 to EUR 1.06 billion. However, this is somewhat offset by Montenegro’s significant trade surplus in services of EUR 375 million, which is almost entirely due to growth in tourism. The EU also remains the main source of FDI inflows for Mont</w:t>
      </w:r>
      <w:r>
        <w:rPr>
          <w:rFonts w:cs="Times New Roman"/>
          <w:noProof/>
          <w:szCs w:val="24"/>
        </w:rPr>
        <w:t xml:space="preserve">enegro, and its share has increased over time, accounting in 2019 for 43.6% of total inflows, compared to 39.4% in 2014. Montenegro has very few industries integrated in international production markets and even the existing ones are at a very basic level </w:t>
      </w:r>
      <w:r>
        <w:rPr>
          <w:rFonts w:cs="Times New Roman"/>
          <w:noProof/>
          <w:szCs w:val="24"/>
        </w:rPr>
        <w:t>in the value chain (mostly basic metals, rolling bearings and bauxite ores).</w:t>
      </w:r>
    </w:p>
    <w:p w:rsidR="003C2144" w:rsidRDefault="00FB7959">
      <w:pPr>
        <w:spacing w:after="120" w:line="240" w:lineRule="auto"/>
        <w:jc w:val="both"/>
        <w:rPr>
          <w:rFonts w:cs="Times New Roman"/>
          <w:noProof/>
          <w:szCs w:val="24"/>
        </w:rPr>
      </w:pPr>
      <w:r>
        <w:rPr>
          <w:rFonts w:cs="Times New Roman"/>
          <w:noProof/>
          <w:szCs w:val="24"/>
          <w:lang w:eastAsia="en-GB"/>
        </w:rPr>
        <w:drawing>
          <wp:inline distT="0" distB="0" distL="0" distR="0">
            <wp:extent cx="5787390" cy="185310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5714" cy="1874978"/>
                    </a:xfrm>
                    <a:prstGeom prst="rect">
                      <a:avLst/>
                    </a:prstGeom>
                    <a:noFill/>
                  </pic:spPr>
                </pic:pic>
              </a:graphicData>
            </a:graphic>
          </wp:inline>
        </w:drawing>
      </w:r>
    </w:p>
    <w:p w:rsidR="003C2144" w:rsidRDefault="00FB7959">
      <w:pPr>
        <w:spacing w:after="120" w:line="240" w:lineRule="auto"/>
        <w:jc w:val="both"/>
        <w:rPr>
          <w:rFonts w:cs="Times New Roman"/>
          <w:noProof/>
          <w:szCs w:val="24"/>
        </w:rPr>
      </w:pPr>
      <w:r>
        <w:rPr>
          <w:rFonts w:cs="Times New Roman"/>
          <w:b/>
          <w:noProof/>
          <w:szCs w:val="24"/>
        </w:rPr>
        <w:t>Trade openness has increased thanks to services</w:t>
      </w:r>
      <w:r>
        <w:rPr>
          <w:rFonts w:cs="Times New Roman"/>
          <w:noProof/>
          <w:szCs w:val="24"/>
        </w:rPr>
        <w:t>. Montenegro is a relatively open economy. While merchandise exports have stagnated in the last ten years at around 10% of GDP, se</w:t>
      </w:r>
      <w:r>
        <w:rPr>
          <w:rFonts w:cs="Times New Roman"/>
          <w:noProof/>
          <w:szCs w:val="24"/>
        </w:rPr>
        <w:t>rvices exports (boosted by tourism) have kept rising, from 29.7% of GDP in 2014 to 37.1% of GDP in 2019. Total exchange of goods and services has grown from 100.1% of GDP in 2014, to 109.5% of GDP in 2019. In the context of the euroised economy and low inf</w:t>
      </w:r>
      <w:r>
        <w:rPr>
          <w:rFonts w:cs="Times New Roman"/>
          <w:noProof/>
          <w:szCs w:val="24"/>
        </w:rPr>
        <w:t>lation in the main trading partners, the potential for price competitiveness gains is limited. The real effective exchange rate appreciated marginally over the last 5 years.</w:t>
      </w:r>
    </w:p>
    <w:p w:rsidR="003C2144" w:rsidRDefault="00FB7959">
      <w:pPr>
        <w:pStyle w:val="ManualHeading1"/>
        <w:spacing w:before="120"/>
        <w:ind w:left="851" w:hanging="851"/>
        <w:rPr>
          <w:rFonts w:eastAsiaTheme="minorEastAsia"/>
          <w:b w:val="0"/>
          <w:smallCaps w:val="0"/>
          <w:noProof/>
        </w:rPr>
      </w:pPr>
      <w:bookmarkStart w:id="45" w:name="_Toc52744932"/>
      <w:r>
        <w:rPr>
          <w:rFonts w:eastAsiaTheme="minorEastAsia"/>
          <w:noProof/>
        </w:rPr>
        <w:t>4.</w:t>
      </w:r>
      <w:r>
        <w:rPr>
          <w:rFonts w:eastAsiaTheme="minorEastAsia"/>
          <w:noProof/>
        </w:rPr>
        <w:tab/>
        <w:t>Good neighbourly relations and regional cooperation</w:t>
      </w:r>
      <w:bookmarkEnd w:id="45"/>
      <w:r>
        <w:rPr>
          <w:rFonts w:eastAsiaTheme="minorEastAsia"/>
          <w:b w:val="0"/>
          <w:smallCaps w:val="0"/>
          <w:noProof/>
        </w:rPr>
        <w:t xml:space="preserve"> </w:t>
      </w:r>
    </w:p>
    <w:p w:rsidR="003C2144" w:rsidRDefault="00FB7959">
      <w:pPr>
        <w:spacing w:after="120" w:line="240" w:lineRule="auto"/>
        <w:jc w:val="both"/>
        <w:rPr>
          <w:rFonts w:eastAsia="Calibri" w:cs="Times New Roman"/>
          <w:noProof/>
          <w:szCs w:val="24"/>
        </w:rPr>
      </w:pPr>
      <w:r>
        <w:rPr>
          <w:rFonts w:eastAsia="Calibri" w:cs="Times New Roman"/>
          <w:b/>
          <w:noProof/>
          <w:szCs w:val="24"/>
        </w:rPr>
        <w:t>Good neighbourly relations</w:t>
      </w:r>
      <w:r>
        <w:rPr>
          <w:rFonts w:eastAsia="Calibri" w:cs="Times New Roman"/>
          <w:b/>
          <w:noProof/>
          <w:szCs w:val="24"/>
        </w:rPr>
        <w:t xml:space="preserve"> and regional cooperation </w:t>
      </w:r>
      <w:r>
        <w:rPr>
          <w:rFonts w:eastAsia="Calibri" w:cs="Times New Roman"/>
          <w:noProof/>
          <w:szCs w:val="24"/>
        </w:rPr>
        <w:t>form an essential part of Montenegro’s process of moving towards the EU. They contribute to stability, reconciliation and a climate conducive to addressing open bilateral issues and the legacies of the past. Montenegro remains com</w:t>
      </w:r>
      <w:r>
        <w:rPr>
          <w:rFonts w:eastAsia="Calibri" w:cs="Times New Roman"/>
          <w:noProof/>
          <w:szCs w:val="24"/>
        </w:rPr>
        <w:t>mitted to regional cooperation and plays an active role in building a more stable and secure region through participation in around 35 regional organisations and initiatives, such as CEFTA, Energy Community, Transport Community, SEECP and the Regional Coop</w:t>
      </w:r>
      <w:r>
        <w:rPr>
          <w:rFonts w:eastAsia="Calibri" w:cs="Times New Roman"/>
          <w:noProof/>
          <w:szCs w:val="24"/>
        </w:rPr>
        <w:t xml:space="preserve">eration Council. Montenegro took over the chair of the Western Balkans Fund and the Regional Youth Cooperation Office (RYCO) strengthened its role in the country. </w:t>
      </w:r>
    </w:p>
    <w:p w:rsidR="003C2144" w:rsidRDefault="00FB7959">
      <w:pPr>
        <w:spacing w:after="120" w:line="240" w:lineRule="auto"/>
        <w:jc w:val="both"/>
        <w:rPr>
          <w:rFonts w:eastAsia="Calibri" w:cs="Times New Roman"/>
          <w:noProof/>
          <w:szCs w:val="24"/>
        </w:rPr>
      </w:pPr>
      <w:r>
        <w:rPr>
          <w:rFonts w:eastAsia="Calibri" w:cs="Times New Roman"/>
          <w:noProof/>
          <w:szCs w:val="24"/>
          <w:lang w:val="en-US"/>
        </w:rPr>
        <w:t>Furthermore, within the Presidency of the Adriatic-Ionian Initiative (AII) and the EU Strate</w:t>
      </w:r>
      <w:r>
        <w:rPr>
          <w:rFonts w:eastAsia="Calibri" w:cs="Times New Roman"/>
          <w:noProof/>
          <w:szCs w:val="24"/>
          <w:lang w:val="en-US"/>
        </w:rPr>
        <w:t>gy for the Adriatic-Ionian Region (EUSAIR), Montenegro hosted a meeting of the Ministers of Foreign Affairs of the AII and the EUSAIR Forum in Budva in May 2019. Partnership Status of Montenegro at the Organisation of the Black Sea Economic Cooperation (BS</w:t>
      </w:r>
      <w:r>
        <w:rPr>
          <w:rFonts w:eastAsia="Calibri" w:cs="Times New Roman"/>
          <w:noProof/>
          <w:szCs w:val="24"/>
          <w:lang w:val="en-US"/>
        </w:rPr>
        <w:t>EC) was renewed. Montenegro took over the chair of the South-Eastern Europe Health Network (SEEHN) and for one-year the Center for Security Cooperation (RACVIAC). In January 2020, Montenegro took over the one-year chairmanship of the Central European Initi</w:t>
      </w:r>
      <w:r>
        <w:rPr>
          <w:rFonts w:eastAsia="Calibri" w:cs="Times New Roman"/>
          <w:noProof/>
          <w:szCs w:val="24"/>
          <w:lang w:val="en-US"/>
        </w:rPr>
        <w:t>ative (CEI) which organised an extraordinary virtual meeting of the CEI Heads of Government in May 2020, resulting in a Joint Statement emphasising cooperation, confidence and solidarity as the most effective responses to the COVID-19 pandemic.</w:t>
      </w:r>
      <w:r>
        <w:rPr>
          <w:rStyle w:val="FootnoteReference"/>
          <w:rFonts w:eastAsia="Calibri" w:cs="Times New Roman"/>
          <w:noProof/>
          <w:szCs w:val="24"/>
          <w:lang w:val="en-US"/>
        </w:rPr>
        <w:footnoteReference w:id="2"/>
      </w:r>
    </w:p>
    <w:p w:rsidR="003C2144" w:rsidRDefault="00FB7959">
      <w:pPr>
        <w:spacing w:after="120" w:line="240" w:lineRule="auto"/>
        <w:jc w:val="both"/>
        <w:rPr>
          <w:rFonts w:cs="Times New Roman"/>
          <w:noProof/>
          <w:szCs w:val="24"/>
        </w:rPr>
      </w:pPr>
      <w:r>
        <w:rPr>
          <w:rFonts w:cs="Times New Roman"/>
          <w:noProof/>
          <w:szCs w:val="24"/>
        </w:rPr>
        <w:t>During the</w:t>
      </w:r>
      <w:r>
        <w:rPr>
          <w:rFonts w:cs="Times New Roman"/>
          <w:noProof/>
          <w:szCs w:val="24"/>
        </w:rPr>
        <w:t xml:space="preserve"> COVID crisis, inclusive regional cooperation has proven to be essential. The establishment of green lanes within the region has proven the capacity of the region to address common challenges swiftly and efficiently. Inclusive regional organisations - the </w:t>
      </w:r>
      <w:r>
        <w:rPr>
          <w:rFonts w:cs="Times New Roman"/>
          <w:noProof/>
          <w:szCs w:val="24"/>
        </w:rPr>
        <w:t>Regional Cooperation Council, the Transport Community, and the CEFTA - have been instrumental in responding to the COVID-19 crisis. These achievements need to be turned into sustainable improvements.</w:t>
      </w:r>
    </w:p>
    <w:p w:rsidR="003C2144" w:rsidRDefault="00FB7959">
      <w:pPr>
        <w:spacing w:after="120" w:line="240" w:lineRule="auto"/>
        <w:jc w:val="both"/>
        <w:rPr>
          <w:rFonts w:cs="Times New Roman"/>
          <w:noProof/>
          <w:szCs w:val="24"/>
        </w:rPr>
      </w:pPr>
      <w:r>
        <w:rPr>
          <w:rFonts w:cs="Times New Roman"/>
          <w:noProof/>
          <w:szCs w:val="24"/>
        </w:rPr>
        <w:t>Concerning the implementation of the multi-annual action</w:t>
      </w:r>
      <w:r>
        <w:rPr>
          <w:rFonts w:cs="Times New Roman"/>
          <w:noProof/>
          <w:szCs w:val="24"/>
        </w:rPr>
        <w:t xml:space="preserve"> plan (MAP) for the development of a Regional Economic Area (REA) in the Western Balkans, there have been achievements, despite the persisting challenges. In this regard, the adoption of overdue decisions in the framework of CEFTA in Tirana in December 201</w:t>
      </w:r>
      <w:r>
        <w:rPr>
          <w:rFonts w:cs="Times New Roman"/>
          <w:noProof/>
          <w:szCs w:val="24"/>
        </w:rPr>
        <w:t xml:space="preserve">9 has been positive. Montenegro is advised to continue with the implementation of all MAP REA aspects to reap the benefits of the economic potential of regional economic integration. This process is based on the EU </w:t>
      </w:r>
      <w:r>
        <w:rPr>
          <w:rFonts w:cs="Times New Roman"/>
          <w:i/>
          <w:iCs/>
          <w:noProof/>
          <w:szCs w:val="24"/>
        </w:rPr>
        <w:t xml:space="preserve">acquis, </w:t>
      </w:r>
      <w:r>
        <w:rPr>
          <w:rFonts w:cs="Times New Roman"/>
          <w:noProof/>
          <w:szCs w:val="24"/>
        </w:rPr>
        <w:t>and the EU accession process, whi</w:t>
      </w:r>
      <w:r>
        <w:rPr>
          <w:rFonts w:cs="Times New Roman"/>
          <w:noProof/>
          <w:szCs w:val="24"/>
        </w:rPr>
        <w:t xml:space="preserve">ch are mutually reinforcing. </w:t>
      </w:r>
    </w:p>
    <w:p w:rsidR="003C2144" w:rsidRDefault="00FB7959">
      <w:pPr>
        <w:spacing w:after="120" w:line="240" w:lineRule="auto"/>
        <w:jc w:val="both"/>
        <w:rPr>
          <w:rFonts w:cs="Times New Roman"/>
          <w:noProof/>
          <w:szCs w:val="24"/>
        </w:rPr>
      </w:pPr>
      <w:r>
        <w:rPr>
          <w:rFonts w:cs="Times New Roman"/>
          <w:noProof/>
          <w:szCs w:val="24"/>
        </w:rPr>
        <w:t>Building on the results of the previous summits with the region, the Western Balkans summit in Poznan in July 2019 focussed on strengthening regional cooperation in the fields of economy and trade, the digital agenda, connecti</w:t>
      </w:r>
      <w:r>
        <w:rPr>
          <w:rFonts w:cs="Times New Roman"/>
          <w:noProof/>
          <w:szCs w:val="24"/>
        </w:rPr>
        <w:t xml:space="preserve">vity, security, fight against corruption, promoting reconciliation and youth. The summit endorsed a number of achievements in these fields, in particular, the Clean Energy Transition Declaration signed in Podgorica, the e Regional Roaming Agreement signed </w:t>
      </w:r>
      <w:r>
        <w:rPr>
          <w:rFonts w:cs="Times New Roman"/>
          <w:noProof/>
          <w:szCs w:val="24"/>
        </w:rPr>
        <w:t xml:space="preserve">in Belgrade, a substantial connectivity package and the Roma Integration Declaration.  It was also the occasion to kick-start the preparation of a Green Agenda for the Western Balkans. </w:t>
      </w:r>
    </w:p>
    <w:p w:rsidR="003C2144" w:rsidRDefault="00FB7959">
      <w:pPr>
        <w:spacing w:after="120" w:line="240" w:lineRule="auto"/>
        <w:jc w:val="both"/>
        <w:rPr>
          <w:rFonts w:cs="Times New Roman"/>
          <w:noProof/>
          <w:szCs w:val="24"/>
        </w:rPr>
      </w:pPr>
      <w:r>
        <w:rPr>
          <w:rFonts w:cs="Times New Roman"/>
          <w:noProof/>
          <w:szCs w:val="24"/>
        </w:rPr>
        <w:t>At the Zagreb Summit on 6 May 2020, EU and Western Balkans Leaders agr</w:t>
      </w:r>
      <w:r>
        <w:rPr>
          <w:rFonts w:cs="Times New Roman"/>
          <w:noProof/>
          <w:szCs w:val="24"/>
        </w:rPr>
        <w:t>eed that deepening regional economic integration has to be a prominent part of recovery efforts of the Western Balkans. To do so, Montenegro needs to play a constructive role in building a common regional market, which will be critical in increasing the at</w:t>
      </w:r>
      <w:r>
        <w:rPr>
          <w:rFonts w:cs="Times New Roman"/>
          <w:noProof/>
          <w:szCs w:val="24"/>
        </w:rPr>
        <w:t>tractiveness and competitiveness of the region. It will help Montenegro to speed up the recovery from the aftermath of the pandemic – notably to attract investors looking for diversification of supply and shorter value chains. Such a common regional market</w:t>
      </w:r>
      <w:r>
        <w:rPr>
          <w:rFonts w:cs="Times New Roman"/>
          <w:noProof/>
          <w:szCs w:val="24"/>
        </w:rPr>
        <w:t xml:space="preserve"> has to be inclusive, based on EU rules and built on the achievements of the regional economic area multiannual action plan.</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continued to closely cooperate with Bosnia and Herzegovina, Croatia and Serbia under the </w:t>
      </w:r>
      <w:r>
        <w:rPr>
          <w:rFonts w:eastAsia="Calibri" w:cs="Times New Roman"/>
          <w:b/>
          <w:noProof/>
          <w:szCs w:val="24"/>
        </w:rPr>
        <w:t>Sarajevo Declaration Process</w:t>
      </w:r>
      <w:r>
        <w:rPr>
          <w:rFonts w:cs="Times New Roman"/>
          <w:noProof/>
          <w:szCs w:val="24"/>
          <w:lang w:val="en-IE"/>
        </w:rPr>
        <w:t xml:space="preserve"> ai</w:t>
      </w:r>
      <w:r>
        <w:rPr>
          <w:rFonts w:cs="Times New Roman"/>
          <w:noProof/>
          <w:szCs w:val="24"/>
          <w:lang w:val="en-IE"/>
        </w:rPr>
        <w:t>ming at sustainable solutions for some 74 000 people who became refugees and displaced persons as a result of the armed conflicts in ex-Yugoslavia during the 1990s.</w:t>
      </w:r>
      <w:r>
        <w:rPr>
          <w:rFonts w:eastAsia="Calibri" w:cs="Times New Roman"/>
          <w:noProof/>
          <w:szCs w:val="24"/>
          <w:vertAlign w:val="superscript"/>
        </w:rPr>
        <w:t xml:space="preserve"> </w:t>
      </w:r>
      <w:r>
        <w:rPr>
          <w:rFonts w:eastAsia="Calibri" w:cs="Times New Roman"/>
          <w:noProof/>
          <w:szCs w:val="24"/>
        </w:rPr>
        <w:t xml:space="preserve"> Within the framework of the Regional Housing Project (RHP), in 2019, eight new projects ai</w:t>
      </w:r>
      <w:r>
        <w:rPr>
          <w:rFonts w:eastAsia="Calibri" w:cs="Times New Roman"/>
          <w:noProof/>
          <w:szCs w:val="24"/>
        </w:rPr>
        <w:t>med at resolving the sustainable housing needs for 681 vulnerable refugee families in Montenegro were approved. Four projects were completed, providing housing solutions to 381 families in Niksic, Podgorica, Pljevlja and Berane. The four ongoing projects a</w:t>
      </w:r>
      <w:r>
        <w:rPr>
          <w:rFonts w:eastAsia="Calibri" w:cs="Times New Roman"/>
          <w:noProof/>
          <w:szCs w:val="24"/>
        </w:rPr>
        <w:t xml:space="preserve">re expected to be completed by 2021, meeting the housing needs of 190 additional families. </w:t>
      </w:r>
    </w:p>
    <w:p w:rsidR="003C2144" w:rsidRDefault="00FB7959">
      <w:pPr>
        <w:spacing w:after="120" w:line="240" w:lineRule="auto"/>
        <w:jc w:val="both"/>
        <w:rPr>
          <w:rFonts w:eastAsia="Calibri" w:cs="Times New Roman"/>
          <w:noProof/>
          <w:szCs w:val="24"/>
        </w:rPr>
      </w:pPr>
      <w:r>
        <w:rPr>
          <w:rFonts w:eastAsia="Calibri" w:cs="Times New Roman"/>
          <w:noProof/>
          <w:szCs w:val="24"/>
        </w:rPr>
        <w:t>Good progress has been registered since the establishment of the</w:t>
      </w:r>
      <w:r>
        <w:rPr>
          <w:rFonts w:eastAsia="Calibri" w:cs="Times New Roman"/>
          <w:b/>
          <w:noProof/>
          <w:szCs w:val="24"/>
        </w:rPr>
        <w:t xml:space="preserve"> Missing Persons Group</w:t>
      </w:r>
      <w:r>
        <w:rPr>
          <w:rFonts w:eastAsia="Calibri" w:cs="Times New Roman"/>
          <w:noProof/>
          <w:szCs w:val="24"/>
        </w:rPr>
        <w:t xml:space="preserve"> in November 2018. This group enhanced cooperation and increased effectiveness</w:t>
      </w:r>
      <w:r>
        <w:rPr>
          <w:rFonts w:eastAsia="Calibri" w:cs="Times New Roman"/>
          <w:noProof/>
          <w:szCs w:val="24"/>
        </w:rPr>
        <w:t xml:space="preserve"> in accounting for missing persons, including further exchanges of information on potential gravesites and excavations, launch of a public regional database, and further updates for representatives of the families of the missing persons. Montenegro signed </w:t>
      </w:r>
      <w:r>
        <w:rPr>
          <w:rFonts w:eastAsia="Calibri" w:cs="Times New Roman"/>
          <w:noProof/>
          <w:szCs w:val="24"/>
        </w:rPr>
        <w:t>a Protocol of cooperation on the process of search for missing persons with Bosnia and Herzegovina in October 2019. The number of cases in Montenegro is currently 51 (2018: 57), 39 persons are being searched for in Kosovo, nine persons in Bosnia and Herzeg</w:t>
      </w:r>
      <w:r>
        <w:rPr>
          <w:rFonts w:eastAsia="Calibri" w:cs="Times New Roman"/>
          <w:noProof/>
          <w:szCs w:val="24"/>
        </w:rPr>
        <w:t>ovina and three persons in Croatia.</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As regards </w:t>
      </w:r>
      <w:r>
        <w:rPr>
          <w:rFonts w:eastAsia="Calibri" w:cs="Times New Roman"/>
          <w:b/>
          <w:noProof/>
          <w:szCs w:val="24"/>
        </w:rPr>
        <w:t>bilateral relations</w:t>
      </w:r>
      <w:r>
        <w:rPr>
          <w:rFonts w:eastAsia="Calibri" w:cs="Times New Roman"/>
          <w:noProof/>
          <w:szCs w:val="24"/>
        </w:rPr>
        <w:t>, a number of high-level visits took place between Montenegro and other enlargement countries and neighbouring EU Member States. Montenegro has signed bilateral conventions on regional coope</w:t>
      </w:r>
      <w:r>
        <w:rPr>
          <w:rFonts w:eastAsia="Calibri" w:cs="Times New Roman"/>
          <w:noProof/>
          <w:szCs w:val="24"/>
        </w:rPr>
        <w:t>ration under the Stabilisation and Association Agreement with all partners with an SAA in force. In May 2019, a trilateral protocol establishing a demarcation border point shared by Serbia, Bosnia and Herzegovina and Montenegro was signed in Sarajevo.</w:t>
      </w:r>
    </w:p>
    <w:p w:rsidR="003C2144" w:rsidRDefault="00FB7959">
      <w:pPr>
        <w:spacing w:after="120" w:line="240" w:lineRule="auto"/>
        <w:jc w:val="both"/>
        <w:rPr>
          <w:rFonts w:eastAsia="Calibri" w:cs="Times New Roman"/>
          <w:noProof/>
          <w:szCs w:val="24"/>
        </w:rPr>
      </w:pPr>
      <w:r>
        <w:rPr>
          <w:rFonts w:cs="Times New Roman"/>
          <w:noProof/>
          <w:szCs w:val="24"/>
        </w:rPr>
        <w:t>Rela</w:t>
      </w:r>
      <w:r>
        <w:rPr>
          <w:rFonts w:cs="Times New Roman"/>
          <w:noProof/>
          <w:szCs w:val="24"/>
        </w:rPr>
        <w:t xml:space="preserve">tions with </w:t>
      </w:r>
      <w:r>
        <w:rPr>
          <w:rFonts w:cs="Times New Roman"/>
          <w:b/>
          <w:i/>
          <w:noProof/>
          <w:szCs w:val="24"/>
        </w:rPr>
        <w:t>Croatia</w:t>
      </w:r>
      <w:r>
        <w:rPr>
          <w:rFonts w:cs="Times New Roman"/>
          <w:noProof/>
          <w:szCs w:val="24"/>
        </w:rPr>
        <w:t xml:space="preserve"> remained good overall</w:t>
      </w:r>
      <w:r>
        <w:rPr>
          <w:rFonts w:cs="Times New Roman"/>
          <w:b/>
          <w:noProof/>
          <w:szCs w:val="24"/>
        </w:rPr>
        <w:t xml:space="preserve">, </w:t>
      </w:r>
      <w:r>
        <w:rPr>
          <w:rFonts w:cs="Times New Roman"/>
          <w:noProof/>
          <w:szCs w:val="24"/>
        </w:rPr>
        <w:t xml:space="preserve">despite some bilateral issues. </w:t>
      </w:r>
      <w:r>
        <w:rPr>
          <w:rFonts w:eastAsia="Calibri" w:cs="Times New Roman"/>
          <w:noProof/>
          <w:szCs w:val="24"/>
        </w:rPr>
        <w:t xml:space="preserve">There have been no developments regarding </w:t>
      </w:r>
      <w:r>
        <w:rPr>
          <w:rFonts w:cs="Times New Roman"/>
          <w:noProof/>
          <w:szCs w:val="24"/>
        </w:rPr>
        <w:t xml:space="preserve">the pending border demarcation </w:t>
      </w:r>
      <w:r>
        <w:rPr>
          <w:rFonts w:eastAsia="Calibri" w:cs="Times New Roman"/>
          <w:noProof/>
          <w:szCs w:val="24"/>
        </w:rPr>
        <w:t>between Montenegro and Croatia.</w:t>
      </w:r>
      <w:r>
        <w:rPr>
          <w:rFonts w:eastAsia="Calibri" w:cs="Times New Roman"/>
          <w:noProof/>
          <w:szCs w:val="24"/>
          <w:lang w:eastAsia="cs-CZ"/>
        </w:rPr>
        <w:t xml:space="preserve"> </w:t>
      </w:r>
      <w:r>
        <w:rPr>
          <w:rFonts w:eastAsia="Calibri" w:cs="Times New Roman"/>
          <w:noProof/>
          <w:szCs w:val="24"/>
        </w:rPr>
        <w:t xml:space="preserve">Croatian President and Minister of Foreign and European Affairs paid separate </w:t>
      </w:r>
      <w:r>
        <w:rPr>
          <w:rFonts w:eastAsia="Calibri" w:cs="Times New Roman"/>
          <w:noProof/>
          <w:szCs w:val="24"/>
        </w:rPr>
        <w:t>visits to Podgorica in June 2020.</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Relations with </w:t>
      </w:r>
      <w:r>
        <w:rPr>
          <w:rFonts w:eastAsia="Calibri" w:cs="Times New Roman"/>
          <w:b/>
          <w:i/>
          <w:noProof/>
          <w:szCs w:val="24"/>
        </w:rPr>
        <w:t>Italy</w:t>
      </w:r>
      <w:r>
        <w:rPr>
          <w:rFonts w:eastAsia="Calibri" w:cs="Times New Roman"/>
          <w:noProof/>
          <w:szCs w:val="24"/>
        </w:rPr>
        <w:t xml:space="preserve"> remained good. Montenegro opened Honorary Consulates in Trieste and Bologna in June 2019. During the coronavirus pandemic, Montenegro offered to host seniors from Lombardy, in homes for the elderly, on</w:t>
      </w:r>
      <w:r>
        <w:rPr>
          <w:rFonts w:eastAsia="Calibri" w:cs="Times New Roman"/>
          <w:noProof/>
          <w:szCs w:val="24"/>
        </w:rPr>
        <w:t xml:space="preserve"> the Montenegrin seaside upon opening of the borders.</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Relations with </w:t>
      </w:r>
      <w:r>
        <w:rPr>
          <w:rFonts w:eastAsia="Calibri" w:cs="Times New Roman"/>
          <w:b/>
          <w:i/>
          <w:noProof/>
          <w:szCs w:val="24"/>
        </w:rPr>
        <w:t xml:space="preserve">Albania </w:t>
      </w:r>
      <w:r>
        <w:rPr>
          <w:rFonts w:eastAsia="Calibri" w:cs="Times New Roman"/>
          <w:noProof/>
          <w:szCs w:val="24"/>
        </w:rPr>
        <w:t>remained good with some further improvement in infrastructure and cross-border cooperation. Maritime delimitation between the two countries remain pending. The first meeting of th</w:t>
      </w:r>
      <w:r>
        <w:rPr>
          <w:rFonts w:eastAsia="Calibri" w:cs="Times New Roman"/>
          <w:noProof/>
          <w:szCs w:val="24"/>
        </w:rPr>
        <w:t>e Interstate Commission for water management was held in September 2019.</w:t>
      </w:r>
    </w:p>
    <w:p w:rsidR="003C2144" w:rsidRDefault="00FB7959">
      <w:pPr>
        <w:spacing w:after="120" w:line="240" w:lineRule="auto"/>
        <w:jc w:val="both"/>
        <w:rPr>
          <w:rFonts w:eastAsia="Calibri" w:cs="Times New Roman"/>
          <w:noProof/>
          <w:szCs w:val="24"/>
        </w:rPr>
      </w:pPr>
      <w:r>
        <w:rPr>
          <w:rFonts w:eastAsia="Calibri" w:cs="Times New Roman"/>
          <w:noProof/>
          <w:szCs w:val="24"/>
          <w:lang w:val="en-US"/>
        </w:rPr>
        <w:t xml:space="preserve">Relations with </w:t>
      </w:r>
      <w:r>
        <w:rPr>
          <w:rFonts w:eastAsia="Calibri" w:cs="Times New Roman"/>
          <w:b/>
          <w:i/>
          <w:noProof/>
          <w:szCs w:val="24"/>
          <w:lang w:val="en-US"/>
        </w:rPr>
        <w:t>Bosnia and Herzegovina</w:t>
      </w:r>
      <w:r>
        <w:rPr>
          <w:rFonts w:eastAsia="Calibri" w:cs="Times New Roman"/>
          <w:noProof/>
          <w:szCs w:val="24"/>
          <w:lang w:val="en-US"/>
        </w:rPr>
        <w:t xml:space="preserve"> remained good.</w:t>
      </w:r>
      <w:r>
        <w:rPr>
          <w:rFonts w:cs="Times New Roman"/>
          <w:noProof/>
          <w:szCs w:val="24"/>
          <w:lang w:val="en-IE"/>
        </w:rPr>
        <w:t xml:space="preserve"> </w:t>
      </w:r>
      <w:r>
        <w:rPr>
          <w:rFonts w:eastAsia="Calibri" w:cs="Times New Roman"/>
          <w:noProof/>
          <w:szCs w:val="24"/>
        </w:rPr>
        <w:t>In October 2019, the two countries signed a Protocol on the non-statutory trafficking of the persons and a Protocol on cooperation in search of missing persons, creating the necessary legal preconditions for addressing one of the key issues in their bilate</w:t>
      </w:r>
      <w:r>
        <w:rPr>
          <w:rFonts w:eastAsia="Calibri" w:cs="Times New Roman"/>
          <w:noProof/>
          <w:szCs w:val="24"/>
        </w:rPr>
        <w:t xml:space="preserve">ral relations.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Relations with </w:t>
      </w:r>
      <w:r>
        <w:rPr>
          <w:rFonts w:eastAsia="Calibri" w:cs="Times New Roman"/>
          <w:b/>
          <w:i/>
          <w:noProof/>
          <w:szCs w:val="24"/>
        </w:rPr>
        <w:t xml:space="preserve">Kosovo </w:t>
      </w:r>
      <w:r>
        <w:rPr>
          <w:rFonts w:eastAsia="Calibri" w:cs="Times New Roman"/>
          <w:noProof/>
          <w:szCs w:val="24"/>
        </w:rPr>
        <w:t>remained good. Montenegro fulfilled the obligation to conclude bilateral agreements with all countries having the SAA with the EU, by signing the Cooperation Agreement with Kosovo in March 2019. Montenegro opened a con</w:t>
      </w:r>
      <w:r>
        <w:rPr>
          <w:rFonts w:eastAsia="Calibri" w:cs="Times New Roman"/>
          <w:noProof/>
          <w:szCs w:val="24"/>
        </w:rPr>
        <w:t>sular office in</w:t>
      </w:r>
      <w:r>
        <w:rPr>
          <w:rFonts w:cs="Times New Roman"/>
          <w:noProof/>
          <w:szCs w:val="24"/>
        </w:rPr>
        <w:t xml:space="preserve"> Gjilan/Gnjilane.</w:t>
      </w:r>
    </w:p>
    <w:p w:rsidR="003C2144" w:rsidRDefault="00FB7959">
      <w:pPr>
        <w:pStyle w:val="Bodytext20"/>
        <w:shd w:val="clear" w:color="auto" w:fill="auto"/>
        <w:spacing w:after="120" w:line="240" w:lineRule="auto"/>
        <w:ind w:firstLine="0"/>
        <w:jc w:val="both"/>
        <w:rPr>
          <w:rFonts w:ascii="Times New Roman" w:hAnsi="Times New Roman" w:cs="Times New Roman"/>
          <w:noProof/>
          <w:sz w:val="24"/>
          <w:szCs w:val="24"/>
          <w:lang w:val="en-IE"/>
        </w:rPr>
      </w:pPr>
      <w:r>
        <w:rPr>
          <w:rFonts w:ascii="Times New Roman" w:eastAsia="Calibri" w:hAnsi="Times New Roman" w:cs="Times New Roman"/>
          <w:noProof/>
          <w:sz w:val="24"/>
          <w:szCs w:val="24"/>
        </w:rPr>
        <w:t xml:space="preserve">Relations with </w:t>
      </w:r>
      <w:r>
        <w:rPr>
          <w:rFonts w:ascii="Times New Roman" w:eastAsia="Calibri" w:hAnsi="Times New Roman" w:cs="Times New Roman"/>
          <w:b/>
          <w:i/>
          <w:noProof/>
          <w:sz w:val="24"/>
          <w:szCs w:val="24"/>
        </w:rPr>
        <w:t>North Macedonia</w:t>
      </w:r>
      <w:r>
        <w:rPr>
          <w:rFonts w:ascii="Times New Roman" w:eastAsia="Calibri" w:hAnsi="Times New Roman" w:cs="Times New Roman"/>
          <w:noProof/>
          <w:sz w:val="24"/>
          <w:szCs w:val="24"/>
        </w:rPr>
        <w:t xml:space="preserve"> remained good.</w:t>
      </w:r>
      <w:r>
        <w:rPr>
          <w:rFonts w:ascii="Times New Roman" w:hAnsi="Times New Roman" w:cs="Times New Roman"/>
          <w:noProof/>
          <w:sz w:val="24"/>
          <w:szCs w:val="24"/>
          <w:lang w:val="en-IE"/>
        </w:rPr>
        <w:t xml:space="preserve"> A Joint Session between governments, held in Podgorica at the end of May 2019, saw the signing of a number of agreements: Agreement on the Mutual Protection of Classified Inform</w:t>
      </w:r>
      <w:r>
        <w:rPr>
          <w:rFonts w:ascii="Times New Roman" w:hAnsi="Times New Roman" w:cs="Times New Roman"/>
          <w:noProof/>
          <w:sz w:val="24"/>
          <w:szCs w:val="24"/>
          <w:lang w:val="en-IE"/>
        </w:rPr>
        <w:t>ation; Protocol of Collaboration between the Ministries of Interior in the Area of European Integration; Agreement on Environmental Cooperation between the Ministries of Tourism and a Memorandum of Understanding in Healthcare between the Ministries of Heal</w:t>
      </w:r>
      <w:r>
        <w:rPr>
          <w:rFonts w:ascii="Times New Roman" w:hAnsi="Times New Roman" w:cs="Times New Roman"/>
          <w:noProof/>
          <w:sz w:val="24"/>
          <w:szCs w:val="24"/>
          <w:lang w:val="en-IE"/>
        </w:rPr>
        <w:t>th. President of Montenegro visited North Macedonia and Prime Minister of North Macedonia Montenegro in the autumn 2019.</w:t>
      </w:r>
    </w:p>
    <w:p w:rsidR="003C2144" w:rsidRDefault="00FB7959">
      <w:pPr>
        <w:spacing w:after="120" w:line="240" w:lineRule="auto"/>
        <w:jc w:val="both"/>
        <w:rPr>
          <w:rFonts w:eastAsia="Calibri" w:cs="Times New Roman"/>
          <w:noProof/>
          <w:szCs w:val="24"/>
        </w:rPr>
      </w:pPr>
      <w:r>
        <w:rPr>
          <w:rFonts w:eastAsia="Calibri" w:cs="Times New Roman"/>
          <w:noProof/>
          <w:szCs w:val="24"/>
        </w:rPr>
        <w:t>Bilateral relations with</w:t>
      </w:r>
      <w:r>
        <w:rPr>
          <w:rFonts w:eastAsia="Calibri" w:cs="Times New Roman"/>
          <w:b/>
          <w:noProof/>
          <w:szCs w:val="24"/>
        </w:rPr>
        <w:t xml:space="preserve"> </w:t>
      </w:r>
      <w:r>
        <w:rPr>
          <w:rFonts w:eastAsia="Calibri" w:cs="Times New Roman"/>
          <w:b/>
          <w:i/>
          <w:noProof/>
          <w:szCs w:val="24"/>
        </w:rPr>
        <w:t>Serbia</w:t>
      </w:r>
      <w:r>
        <w:rPr>
          <w:rFonts w:eastAsia="Calibri" w:cs="Times New Roman"/>
          <w:b/>
          <w:noProof/>
          <w:szCs w:val="24"/>
        </w:rPr>
        <w:t xml:space="preserve"> </w:t>
      </w:r>
      <w:r>
        <w:rPr>
          <w:rFonts w:eastAsia="Calibri" w:cs="Times New Roman"/>
          <w:noProof/>
          <w:szCs w:val="24"/>
        </w:rPr>
        <w:t xml:space="preserve">were marked by tensions. The </w:t>
      </w:r>
      <w:r>
        <w:rPr>
          <w:rFonts w:eastAsia="Times New Roman" w:cs="Times New Roman"/>
          <w:noProof/>
          <w:szCs w:val="24"/>
        </w:rPr>
        <w:t xml:space="preserve">December 2019 </w:t>
      </w:r>
      <w:r>
        <w:rPr>
          <w:rFonts w:eastAsia="Calibri" w:cs="Times New Roman"/>
          <w:noProof/>
          <w:szCs w:val="24"/>
        </w:rPr>
        <w:t xml:space="preserve">adoption of the </w:t>
      </w:r>
      <w:r>
        <w:rPr>
          <w:rFonts w:eastAsia="Times New Roman" w:cs="Times New Roman"/>
          <w:noProof/>
          <w:szCs w:val="24"/>
        </w:rPr>
        <w:t>Law on the freedom of religion or belief and</w:t>
      </w:r>
      <w:r>
        <w:rPr>
          <w:rFonts w:eastAsia="Times New Roman" w:cs="Times New Roman"/>
          <w:noProof/>
          <w:szCs w:val="24"/>
        </w:rPr>
        <w:t xml:space="preserve"> legal status of religious communities </w:t>
      </w:r>
      <w:r>
        <w:rPr>
          <w:rFonts w:cs="Times New Roman"/>
          <w:noProof/>
          <w:szCs w:val="24"/>
        </w:rPr>
        <w:t xml:space="preserve">triggered </w:t>
      </w:r>
      <w:r>
        <w:rPr>
          <w:rFonts w:eastAsia="Calibri" w:cs="Times New Roman"/>
          <w:noProof/>
          <w:szCs w:val="24"/>
        </w:rPr>
        <w:t>protest rallies in Serbia.</w:t>
      </w:r>
      <w:r>
        <w:rPr>
          <w:rFonts w:cs="Times New Roman"/>
          <w:noProof/>
          <w:szCs w:val="24"/>
          <w:lang w:eastAsia="cs-CZ"/>
        </w:rPr>
        <w:t xml:space="preserve"> </w:t>
      </w:r>
      <w:r>
        <w:rPr>
          <w:rFonts w:eastAsia="Calibri" w:cs="Times New Roman"/>
          <w:noProof/>
          <w:szCs w:val="24"/>
        </w:rPr>
        <w:t xml:space="preserve">Good development has been however recorded in the recognition of trusted services whereby agreements on mutual recognition of electronic identification and authentication provided </w:t>
      </w:r>
      <w:r>
        <w:rPr>
          <w:rFonts w:eastAsia="Calibri" w:cs="Times New Roman"/>
          <w:noProof/>
          <w:szCs w:val="24"/>
        </w:rPr>
        <w:t xml:space="preserve">in Montenegro and mutual recognition of qualified trust services provided in Serbia were signed at the Digital Summit in Belgrade in April 2019. </w:t>
      </w:r>
      <w:r>
        <w:rPr>
          <w:rFonts w:cs="Times New Roman"/>
          <w:noProof/>
          <w:szCs w:val="24"/>
        </w:rPr>
        <w:t>There have been no developments on issues related to citizenship rights in the two countries.</w:t>
      </w:r>
    </w:p>
    <w:p w:rsidR="003C2144" w:rsidRDefault="00FB7959">
      <w:pPr>
        <w:spacing w:after="120" w:line="240" w:lineRule="auto"/>
        <w:jc w:val="both"/>
        <w:rPr>
          <w:rFonts w:cs="Times New Roman"/>
          <w:noProof/>
          <w:szCs w:val="24"/>
        </w:rPr>
      </w:pPr>
      <w:r>
        <w:rPr>
          <w:rFonts w:eastAsia="Calibri" w:cs="Times New Roman"/>
          <w:noProof/>
          <w:szCs w:val="24"/>
        </w:rPr>
        <w:t xml:space="preserve">Relations with </w:t>
      </w:r>
      <w:r>
        <w:rPr>
          <w:rFonts w:eastAsia="Calibri" w:cs="Times New Roman"/>
          <w:b/>
          <w:i/>
          <w:noProof/>
          <w:szCs w:val="24"/>
        </w:rPr>
        <w:t>Turkey</w:t>
      </w:r>
      <w:r>
        <w:rPr>
          <w:rFonts w:eastAsia="Calibri" w:cs="Times New Roman"/>
          <w:noProof/>
          <w:szCs w:val="24"/>
        </w:rPr>
        <w:t xml:space="preserve"> remained good. A number of agreements relating to trade in services were signed, supplementing the 2008 Free Trade Agreement: cooperation in the field of scholarships grants, culture and military-financial cooperation. In October 2019, the fifth ses</w:t>
      </w:r>
      <w:r>
        <w:rPr>
          <w:rFonts w:eastAsia="Calibri" w:cs="Times New Roman"/>
          <w:noProof/>
          <w:szCs w:val="24"/>
        </w:rPr>
        <w:t>sion of the mixed commission for economic cooperation between Montenegro and Turkey, together with a Business Forum, was held in Podgorica. The Montenegrin Foreign Minister visited Turkey in September 2019. During the reciprocal visit of his Turkish counte</w:t>
      </w:r>
      <w:r>
        <w:rPr>
          <w:rFonts w:eastAsia="Calibri" w:cs="Times New Roman"/>
          <w:noProof/>
          <w:szCs w:val="24"/>
        </w:rPr>
        <w:t>rpart to Montenegro in February 2020, an agreement on providing consular assistance was signed, providing for consular emergency assistance to Montenegrin nationals in countries where Montenegro has no diplomatic or consular presence. Turkey donated to Mon</w:t>
      </w:r>
      <w:r>
        <w:rPr>
          <w:rFonts w:eastAsia="Calibri" w:cs="Times New Roman"/>
          <w:noProof/>
          <w:szCs w:val="24"/>
        </w:rPr>
        <w:t xml:space="preserve">tenegro personal protective equipment and testing material for coronavirus during the pandemic. Montenegro opened a Consulate in Istanbul in January 2020. Montenegrin authorities were pressured to extradite an alleged member of the </w:t>
      </w:r>
      <w:r>
        <w:rPr>
          <w:rFonts w:cs="Times New Roman"/>
          <w:noProof/>
          <w:szCs w:val="24"/>
        </w:rPr>
        <w:t>Gülen movement.</w:t>
      </w:r>
    </w:p>
    <w:p w:rsidR="003C2144" w:rsidRDefault="00FB7959">
      <w:pPr>
        <w:pStyle w:val="ManualHeading1"/>
        <w:spacing w:before="120"/>
        <w:ind w:left="851" w:hanging="851"/>
        <w:rPr>
          <w:rFonts w:eastAsiaTheme="minorEastAsia"/>
          <w:noProof/>
        </w:rPr>
      </w:pPr>
      <w:bookmarkStart w:id="46" w:name="_Toc30073810"/>
      <w:bookmarkStart w:id="47" w:name="_Toc30074123"/>
      <w:bookmarkStart w:id="48" w:name="_Toc30080565"/>
      <w:bookmarkStart w:id="49" w:name="_Toc52744933"/>
      <w:r>
        <w:rPr>
          <w:rFonts w:eastAsiaTheme="minorEastAsia"/>
          <w:noProof/>
        </w:rPr>
        <w:t xml:space="preserve">5. </w:t>
      </w:r>
      <w:r>
        <w:rPr>
          <w:rFonts w:eastAsiaTheme="minorEastAsia"/>
          <w:noProof/>
        </w:rPr>
        <w:tab/>
        <w:t>Abil</w:t>
      </w:r>
      <w:r>
        <w:rPr>
          <w:rFonts w:eastAsiaTheme="minorEastAsia"/>
          <w:noProof/>
        </w:rPr>
        <w:t>ity to assume the obligations of membership</w:t>
      </w:r>
      <w:bookmarkEnd w:id="46"/>
      <w:bookmarkEnd w:id="47"/>
      <w:bookmarkEnd w:id="48"/>
      <w:bookmarkEnd w:id="49"/>
      <w:r>
        <w:rPr>
          <w:rFonts w:eastAsiaTheme="minorEastAsia"/>
          <w:noProof/>
        </w:rPr>
        <w:t xml:space="preserve"> </w:t>
      </w:r>
    </w:p>
    <w:p w:rsidR="003C2144" w:rsidRDefault="00FB7959">
      <w:pPr>
        <w:pStyle w:val="Heading2"/>
        <w:rPr>
          <w:rFonts w:eastAsia="Times New Roman"/>
          <w:noProof/>
        </w:rPr>
      </w:pPr>
      <w:bookmarkStart w:id="50" w:name="_Toc9585298"/>
      <w:bookmarkStart w:id="51" w:name="_Toc30073811"/>
      <w:bookmarkStart w:id="52" w:name="_Toc30074124"/>
      <w:bookmarkStart w:id="53" w:name="_Toc30080566"/>
      <w:bookmarkStart w:id="54" w:name="_Toc52744934"/>
      <w:r>
        <w:rPr>
          <w:rFonts w:eastAsia="Times New Roman"/>
          <w:noProof/>
        </w:rPr>
        <w:t>5.1</w:t>
      </w:r>
      <w:r>
        <w:rPr>
          <w:rFonts w:eastAsia="Times New Roman"/>
          <w:noProof/>
        </w:rPr>
        <w:tab/>
        <w:t>Chapter 1: Free movement of goods</w:t>
      </w:r>
      <w:bookmarkEnd w:id="50"/>
      <w:bookmarkEnd w:id="51"/>
      <w:bookmarkEnd w:id="52"/>
      <w:bookmarkEnd w:id="53"/>
      <w:bookmarkEnd w:id="54"/>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The free movement of goods ensures that many products can be traded freely across the EU based on common rules and procedures. Where products are governed by national rules</w:t>
      </w:r>
      <w:r>
        <w:rPr>
          <w:rFonts w:eastAsia="Calibri" w:cs="Times New Roman"/>
          <w:i/>
          <w:iCs/>
          <w:noProof/>
          <w:color w:val="000000"/>
          <w:szCs w:val="24"/>
          <w:lang w:eastAsia="en-GB"/>
        </w:rPr>
        <w:t>, the principle of the free movement of goods prevents these creating unjustified barriers to trade.</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rPr>
      </w:pPr>
      <w:r>
        <w:rPr>
          <w:rFonts w:eastAsia="Calibri" w:cs="Times New Roman"/>
          <w:noProof/>
          <w:szCs w:val="24"/>
        </w:rPr>
        <w:t xml:space="preserve">Montenegro is </w:t>
      </w:r>
      <w:r>
        <w:rPr>
          <w:rFonts w:eastAsia="Calibri" w:cs="Times New Roman"/>
          <w:b/>
          <w:noProof/>
          <w:szCs w:val="24"/>
        </w:rPr>
        <w:t>moderately prepared</w:t>
      </w:r>
      <w:r>
        <w:rPr>
          <w:rFonts w:eastAsia="Calibri" w:cs="Times New Roman"/>
          <w:noProof/>
          <w:szCs w:val="24"/>
        </w:rPr>
        <w:t xml:space="preserve"> in the area of free movement of goods. </w:t>
      </w:r>
      <w:r>
        <w:rPr>
          <w:rFonts w:eastAsia="Calibri" w:cs="Times New Roman"/>
          <w:b/>
          <w:noProof/>
          <w:szCs w:val="24"/>
        </w:rPr>
        <w:t xml:space="preserve">Limited progress </w:t>
      </w:r>
      <w:r>
        <w:rPr>
          <w:rFonts w:eastAsia="Calibri" w:cs="Times New Roman"/>
          <w:noProof/>
          <w:szCs w:val="24"/>
        </w:rPr>
        <w:t xml:space="preserve">was made; while there was some improvement on EU </w:t>
      </w:r>
      <w:r>
        <w:rPr>
          <w:rFonts w:eastAsia="Calibri" w:cs="Times New Roman"/>
          <w:i/>
          <w:noProof/>
          <w:szCs w:val="24"/>
        </w:rPr>
        <w:t>acquis</w:t>
      </w:r>
      <w:r>
        <w:rPr>
          <w:rFonts w:eastAsia="Calibri" w:cs="Times New Roman"/>
          <w:noProof/>
          <w:szCs w:val="24"/>
        </w:rPr>
        <w:t xml:space="preserve"> alignment in this area during the reporting period, last year’s recommendations were not fully or adequately addressed, and are therefore reiterated below. </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szCs w:val="24"/>
        </w:rPr>
      </w:pPr>
      <w:r>
        <w:rPr>
          <w:rFonts w:eastAsia="Calibri" w:cs="Times New Roman"/>
          <w:noProof/>
          <w:szCs w:val="24"/>
        </w:rPr>
        <w:t xml:space="preserve">In the coming year, Montenegro should in particular: </w:t>
      </w:r>
    </w:p>
    <w:p w:rsidR="003C2144" w:rsidRDefault="00FB795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that sufficient human and financial r</w:t>
      </w:r>
      <w:r>
        <w:rPr>
          <w:rFonts w:ascii="Times New Roman" w:eastAsia="Calibri" w:hAnsi="Times New Roman" w:cs="Times New Roman"/>
          <w:noProof/>
          <w:sz w:val="24"/>
          <w:szCs w:val="24"/>
        </w:rPr>
        <w:t xml:space="preserve">esources are allocated to its market surveillance, standardisation and accreditation bodies, and for the European Regulation on  Registration, Evaluation, Authorisation and Restriction of Chemicals (REACH), in order to ensure the implementation of aligned </w:t>
      </w:r>
      <w:r>
        <w:rPr>
          <w:rFonts w:ascii="Times New Roman" w:eastAsia="Calibri" w:hAnsi="Times New Roman" w:cs="Times New Roman"/>
          <w:noProof/>
          <w:sz w:val="24"/>
          <w:szCs w:val="24"/>
        </w:rPr>
        <w:t xml:space="preserve">legislation; </w:t>
      </w:r>
    </w:p>
    <w:p w:rsidR="003C2144" w:rsidRDefault="00FB795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ensure that the </w:t>
      </w:r>
      <w:r>
        <w:rPr>
          <w:rFonts w:ascii="Times New Roman" w:eastAsia="Calibri" w:hAnsi="Times New Roman" w:cs="Times New Roman"/>
          <w:iCs/>
          <w:noProof/>
          <w:color w:val="000000"/>
          <w:sz w:val="24"/>
          <w:szCs w:val="24"/>
          <w:lang w:eastAsia="en-GB"/>
        </w:rPr>
        <w:t>Institute for Standardisation of Montenegro</w:t>
      </w:r>
      <w:r>
        <w:rPr>
          <w:rFonts w:ascii="Times New Roman" w:eastAsia="Calibri" w:hAnsi="Times New Roman" w:cs="Times New Roman"/>
          <w:noProof/>
          <w:sz w:val="24"/>
          <w:szCs w:val="24"/>
        </w:rPr>
        <w:t xml:space="preserve">  (ISME) become a full member of the </w:t>
      </w:r>
      <w:r>
        <w:rPr>
          <w:rFonts w:ascii="Times New Roman" w:eastAsia="Calibri" w:hAnsi="Times New Roman" w:cs="Times New Roman"/>
          <w:noProof/>
          <w:color w:val="000000"/>
          <w:sz w:val="24"/>
          <w:szCs w:val="24"/>
        </w:rPr>
        <w:t>European Committee for Standardisation (CEN) and of the European Committee for Electrotechnical Standardisation (CENELEC)</w:t>
      </w:r>
      <w:r>
        <w:rPr>
          <w:rFonts w:ascii="Times New Roman" w:eastAsia="Calibri" w:hAnsi="Times New Roman" w:cs="Times New Roman"/>
          <w:noProof/>
          <w:sz w:val="24"/>
          <w:szCs w:val="24"/>
        </w:rPr>
        <w:t>;</w:t>
      </w:r>
    </w:p>
    <w:p w:rsidR="003C2144" w:rsidRDefault="00FB795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iCs/>
          <w:noProof/>
          <w:color w:val="000000"/>
          <w:sz w:val="24"/>
          <w:szCs w:val="24"/>
          <w:u w:val="single"/>
          <w:lang w:eastAsia="en-GB"/>
        </w:rPr>
      </w:pPr>
      <w:r>
        <w:rPr>
          <w:rFonts w:ascii="Times New Roman" w:eastAsia="Calibri" w:hAnsi="Times New Roman" w:cs="Times New Roman"/>
          <w:noProof/>
          <w:sz w:val="24"/>
          <w:szCs w:val="24"/>
        </w:rPr>
        <w:t xml:space="preserve">continue to align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as foreseen in the action plan for 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this chapter.</w:t>
      </w:r>
    </w:p>
    <w:p w:rsidR="003C2144" w:rsidRDefault="00FB7959">
      <w:pPr>
        <w:autoSpaceDE w:val="0"/>
        <w:autoSpaceDN w:val="0"/>
        <w:adjustRightInd w:val="0"/>
        <w:spacing w:after="120" w:line="240" w:lineRule="auto"/>
        <w:jc w:val="both"/>
        <w:rPr>
          <w:rFonts w:eastAsia="Calibri" w:cs="Times New Roman"/>
          <w:iCs/>
          <w:noProof/>
          <w:color w:val="000000"/>
          <w:szCs w:val="24"/>
          <w:u w:val="single"/>
          <w:lang w:eastAsia="en-GB"/>
        </w:rPr>
      </w:pPr>
      <w:r>
        <w:rPr>
          <w:rFonts w:eastAsia="Calibri" w:cs="Times New Roman"/>
          <w:iCs/>
          <w:noProof/>
          <w:color w:val="000000"/>
          <w:szCs w:val="24"/>
          <w:u w:val="single"/>
          <w:lang w:eastAsia="en-GB"/>
        </w:rPr>
        <w:t>General principles</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Overall, Montenegro continues to progress on its alignment with the EU </w:t>
      </w:r>
      <w:r>
        <w:rPr>
          <w:rFonts w:eastAsia="Calibri" w:cs="Times New Roman"/>
          <w:i/>
          <w:iCs/>
          <w:noProof/>
          <w:color w:val="000000"/>
          <w:szCs w:val="24"/>
          <w:lang w:eastAsia="en-GB"/>
        </w:rPr>
        <w:t>acquis</w:t>
      </w:r>
      <w:r>
        <w:rPr>
          <w:rFonts w:eastAsia="Calibri" w:cs="Times New Roman"/>
          <w:iCs/>
          <w:noProof/>
          <w:color w:val="000000"/>
          <w:szCs w:val="24"/>
          <w:lang w:eastAsia="en-GB"/>
        </w:rPr>
        <w:t xml:space="preserve"> on the free movement of goods, as laid down</w:t>
      </w:r>
      <w:r>
        <w:rPr>
          <w:rFonts w:eastAsia="Calibri" w:cs="Times New Roman"/>
          <w:iCs/>
          <w:noProof/>
          <w:color w:val="000000"/>
          <w:szCs w:val="24"/>
          <w:lang w:eastAsia="en-GB"/>
        </w:rPr>
        <w:t xml:space="preserve"> in </w:t>
      </w:r>
      <w:r>
        <w:rPr>
          <w:rFonts w:eastAsia="Calibri" w:cs="Times New Roman"/>
          <w:noProof/>
          <w:szCs w:val="24"/>
        </w:rPr>
        <w:t xml:space="preserve">the national action plan for alignment with the </w:t>
      </w:r>
      <w:r>
        <w:rPr>
          <w:rFonts w:eastAsia="Calibri" w:cs="Times New Roman"/>
          <w:i/>
          <w:noProof/>
          <w:szCs w:val="24"/>
        </w:rPr>
        <w:t>acquis</w:t>
      </w:r>
      <w:r>
        <w:rPr>
          <w:rFonts w:eastAsia="Calibri" w:cs="Times New Roman"/>
          <w:noProof/>
          <w:szCs w:val="24"/>
        </w:rPr>
        <w:t xml:space="preserve"> in this chapter. However, progress has been slower than foreseen</w:t>
      </w:r>
      <w:r>
        <w:rPr>
          <w:rFonts w:eastAsia="Calibri" w:cs="Times New Roman"/>
          <w:iCs/>
          <w:noProof/>
          <w:color w:val="000000"/>
          <w:szCs w:val="24"/>
          <w:lang w:eastAsia="en-GB"/>
        </w:rPr>
        <w:t xml:space="preserve">. </w:t>
      </w:r>
      <w:r>
        <w:rPr>
          <w:rFonts w:eastAsia="Calibri" w:cs="Times New Roman"/>
          <w:noProof/>
          <w:szCs w:val="24"/>
        </w:rPr>
        <w:t>As a response to COVID-19, upon the joint initiative of the Permanent Secretariat of the Transport Community and the CEFTA Secretar</w:t>
      </w:r>
      <w:r>
        <w:rPr>
          <w:rFonts w:eastAsia="Calibri" w:cs="Times New Roman"/>
          <w:noProof/>
          <w:szCs w:val="24"/>
        </w:rPr>
        <w:t>iat, Montenegro, along with all the other governments in the Western Balkans, has successfully implemented measures to facilitate the transport and trade of essential goods within the region.</w:t>
      </w:r>
    </w:p>
    <w:p w:rsidR="003C2144" w:rsidRDefault="00FB7959">
      <w:pPr>
        <w:autoSpaceDE w:val="0"/>
        <w:autoSpaceDN w:val="0"/>
        <w:adjustRightInd w:val="0"/>
        <w:spacing w:after="120" w:line="240" w:lineRule="auto"/>
        <w:jc w:val="both"/>
        <w:rPr>
          <w:rFonts w:eastAsia="Calibri" w:cs="Times New Roman"/>
          <w:iCs/>
          <w:noProof/>
          <w:color w:val="000000"/>
          <w:szCs w:val="24"/>
          <w:u w:val="single"/>
          <w:lang w:eastAsia="en-GB"/>
        </w:rPr>
      </w:pPr>
      <w:r>
        <w:rPr>
          <w:rFonts w:eastAsia="Calibri" w:cs="Times New Roman"/>
          <w:iCs/>
          <w:noProof/>
          <w:color w:val="000000"/>
          <w:szCs w:val="24"/>
          <w:u w:val="single"/>
          <w:lang w:eastAsia="en-GB"/>
        </w:rPr>
        <w:t>Non-harmonised area</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Montenegro continued to implement its action plan for compliance with </w:t>
      </w:r>
      <w:r>
        <w:rPr>
          <w:rFonts w:eastAsia="Calibri" w:cs="Times New Roman"/>
          <w:b/>
          <w:iCs/>
          <w:noProof/>
          <w:color w:val="000000"/>
          <w:szCs w:val="24"/>
          <w:lang w:eastAsia="en-GB"/>
        </w:rPr>
        <w:t>Articles 34-36 of the Treaty for the European Union</w:t>
      </w:r>
      <w:r>
        <w:rPr>
          <w:rFonts w:eastAsia="Calibri" w:cs="Times New Roman"/>
          <w:iCs/>
          <w:noProof/>
          <w:color w:val="000000"/>
          <w:szCs w:val="24"/>
          <w:lang w:eastAsia="en-GB"/>
        </w:rPr>
        <w:t xml:space="preserve"> (TFEU) during the reporting period.</w:t>
      </w:r>
    </w:p>
    <w:p w:rsidR="003C2144" w:rsidRDefault="00FB7959">
      <w:pPr>
        <w:autoSpaceDE w:val="0"/>
        <w:autoSpaceDN w:val="0"/>
        <w:adjustRightInd w:val="0"/>
        <w:spacing w:after="120" w:line="240" w:lineRule="auto"/>
        <w:jc w:val="both"/>
        <w:rPr>
          <w:rFonts w:eastAsia="Calibri" w:cs="Times New Roman"/>
          <w:iCs/>
          <w:noProof/>
          <w:color w:val="000000"/>
          <w:szCs w:val="24"/>
          <w:u w:val="single"/>
          <w:lang w:eastAsia="en-GB"/>
        </w:rPr>
      </w:pPr>
      <w:r>
        <w:rPr>
          <w:rFonts w:eastAsia="Calibri" w:cs="Times New Roman"/>
          <w:iCs/>
          <w:noProof/>
          <w:color w:val="000000"/>
          <w:szCs w:val="24"/>
          <w:u w:val="single"/>
          <w:lang w:eastAsia="en-GB"/>
        </w:rPr>
        <w:t>Harmonised area: quality infrastructure</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Human and financial resources remain an issue for the mark</w:t>
      </w:r>
      <w:r>
        <w:rPr>
          <w:rFonts w:eastAsia="Calibri" w:cs="Times New Roman"/>
          <w:iCs/>
          <w:noProof/>
          <w:color w:val="000000"/>
          <w:szCs w:val="24"/>
          <w:lang w:eastAsia="en-GB"/>
        </w:rPr>
        <w:t xml:space="preserve">et surveillance, standardisation and accreditation bodies. Between April 2019 and end May 2020 the Institute for </w:t>
      </w:r>
      <w:r>
        <w:rPr>
          <w:rFonts w:eastAsia="Calibri" w:cs="Times New Roman"/>
          <w:b/>
          <w:iCs/>
          <w:noProof/>
          <w:color w:val="000000"/>
          <w:szCs w:val="24"/>
          <w:lang w:eastAsia="en-GB"/>
        </w:rPr>
        <w:t>Standardisation</w:t>
      </w:r>
      <w:r>
        <w:rPr>
          <w:rFonts w:eastAsia="Calibri" w:cs="Times New Roman"/>
          <w:iCs/>
          <w:noProof/>
          <w:color w:val="000000"/>
          <w:szCs w:val="24"/>
          <w:lang w:eastAsia="en-GB"/>
        </w:rPr>
        <w:t xml:space="preserve"> of Montenegro (ISME) adopted 2,370 standards aligned with EU standards. ISME planned to join CEN/CENELEC in 2019, but this was </w:t>
      </w:r>
      <w:r>
        <w:rPr>
          <w:rFonts w:eastAsia="Calibri" w:cs="Times New Roman"/>
          <w:iCs/>
          <w:noProof/>
          <w:color w:val="000000"/>
          <w:szCs w:val="24"/>
          <w:lang w:eastAsia="en-GB"/>
        </w:rPr>
        <w:t xml:space="preserve">postponed to 2020. </w:t>
      </w:r>
      <w:r>
        <w:rPr>
          <w:rFonts w:eastAsia="Calibri" w:cs="Times New Roman"/>
          <w:noProof/>
          <w:szCs w:val="24"/>
        </w:rPr>
        <w:t xml:space="preserve">Also as a response to </w:t>
      </w:r>
      <w:r>
        <w:rPr>
          <w:rFonts w:eastAsia="Calibri" w:cs="Times New Roman"/>
          <w:iCs/>
          <w:noProof/>
          <w:color w:val="000000"/>
          <w:szCs w:val="24"/>
          <w:lang w:eastAsia="en-GB"/>
        </w:rPr>
        <w:t>COVID-19 crisis, and with the</w:t>
      </w:r>
      <w:r>
        <w:rPr>
          <w:rFonts w:eastAsia="Calibri" w:cs="Times New Roman"/>
          <w:noProof/>
          <w:szCs w:val="24"/>
        </w:rPr>
        <w:t xml:space="preserve"> approval of CEN, CENELCEC and ISO, ISME gave temporary free access to standards for personal protection equipment, medical devices, risk management, safety and durability, management of</w:t>
      </w:r>
      <w:r>
        <w:rPr>
          <w:rFonts w:eastAsia="Calibri" w:cs="Times New Roman"/>
          <w:noProof/>
          <w:szCs w:val="24"/>
        </w:rPr>
        <w:t xml:space="preserve"> business continuity, risk and emergency situations.</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The </w:t>
      </w:r>
      <w:r>
        <w:rPr>
          <w:rFonts w:eastAsia="Calibri" w:cs="Times New Roman"/>
          <w:b/>
          <w:iCs/>
          <w:noProof/>
          <w:color w:val="000000"/>
          <w:szCs w:val="24"/>
          <w:lang w:eastAsia="en-GB"/>
        </w:rPr>
        <w:t>Metrology</w:t>
      </w:r>
      <w:r>
        <w:rPr>
          <w:rFonts w:eastAsia="Calibri" w:cs="Times New Roman"/>
          <w:iCs/>
          <w:noProof/>
          <w:color w:val="000000"/>
          <w:szCs w:val="24"/>
          <w:lang w:eastAsia="en-GB"/>
        </w:rPr>
        <w:t xml:space="preserve"> Bureau</w:t>
      </w:r>
      <w:r>
        <w:rPr>
          <w:rFonts w:eastAsia="Calibri" w:cs="Times New Roman"/>
          <w:b/>
          <w:iCs/>
          <w:noProof/>
          <w:color w:val="000000"/>
          <w:szCs w:val="24"/>
          <w:lang w:eastAsia="en-GB"/>
        </w:rPr>
        <w:t xml:space="preserve"> </w:t>
      </w:r>
      <w:r>
        <w:rPr>
          <w:rFonts w:eastAsia="Calibri" w:cs="Times New Roman"/>
          <w:iCs/>
          <w:noProof/>
          <w:color w:val="000000"/>
          <w:szCs w:val="24"/>
          <w:lang w:eastAsia="en-GB"/>
        </w:rPr>
        <w:t>was</w:t>
      </w:r>
      <w:r>
        <w:rPr>
          <w:rFonts w:eastAsia="Calibri" w:cs="Times New Roman"/>
          <w:b/>
          <w:iCs/>
          <w:noProof/>
          <w:color w:val="000000"/>
          <w:szCs w:val="24"/>
          <w:lang w:eastAsia="en-GB"/>
        </w:rPr>
        <w:t xml:space="preserve"> </w:t>
      </w:r>
      <w:r>
        <w:rPr>
          <w:rFonts w:eastAsia="Calibri" w:cs="Times New Roman"/>
          <w:iCs/>
          <w:noProof/>
          <w:color w:val="000000"/>
          <w:szCs w:val="24"/>
          <w:lang w:eastAsia="en-GB"/>
        </w:rPr>
        <w:t xml:space="preserve">relocated to new premises in July 2019 following the expiry of the lease on the previous building, which meant that it had to renew its laboratory accreditation. Work is ongoing </w:t>
      </w:r>
      <w:r>
        <w:rPr>
          <w:rFonts w:eastAsia="Calibri" w:cs="Times New Roman"/>
          <w:iCs/>
          <w:noProof/>
          <w:color w:val="000000"/>
          <w:szCs w:val="24"/>
          <w:lang w:eastAsia="en-GB"/>
        </w:rPr>
        <w:t>to regain the laboratory’s accreditation status and return to full operations. The Metrology Bureau</w:t>
      </w:r>
      <w:r>
        <w:rPr>
          <w:rFonts w:eastAsia="Calibri" w:cs="Times New Roman"/>
          <w:b/>
          <w:iCs/>
          <w:noProof/>
          <w:color w:val="000000"/>
          <w:szCs w:val="24"/>
          <w:lang w:eastAsia="en-GB"/>
        </w:rPr>
        <w:t xml:space="preserve"> </w:t>
      </w:r>
      <w:r>
        <w:rPr>
          <w:rFonts w:eastAsia="Calibri" w:cs="Times New Roman"/>
          <w:iCs/>
          <w:noProof/>
          <w:color w:val="000000"/>
          <w:szCs w:val="24"/>
          <w:lang w:eastAsia="en-GB"/>
        </w:rPr>
        <w:t>has 42 staff out of the 49 to which it is officially entitled under its new systematisation act, which was adopted in May 2019.</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On </w:t>
      </w:r>
      <w:r>
        <w:rPr>
          <w:rFonts w:eastAsia="Calibri" w:cs="Times New Roman"/>
          <w:b/>
          <w:iCs/>
          <w:noProof/>
          <w:color w:val="000000"/>
          <w:szCs w:val="24"/>
          <w:lang w:eastAsia="en-GB"/>
        </w:rPr>
        <w:t>market surveillance</w:t>
      </w:r>
      <w:r>
        <w:rPr>
          <w:rFonts w:eastAsia="Calibri" w:cs="Times New Roman"/>
          <w:iCs/>
          <w:noProof/>
          <w:color w:val="000000"/>
          <w:szCs w:val="24"/>
          <w:lang w:eastAsia="en-GB"/>
        </w:rPr>
        <w:t xml:space="preserve">, the </w:t>
      </w:r>
      <w:r>
        <w:rPr>
          <w:rFonts w:eastAsia="Calibri" w:cs="Times New Roman"/>
          <w:iCs/>
          <w:noProof/>
          <w:color w:val="000000"/>
          <w:szCs w:val="24"/>
          <w:lang w:eastAsia="en-GB"/>
        </w:rPr>
        <w:t xml:space="preserve">amended Law on consumer protection, adopted in November 2019, further improved alignment with the EU </w:t>
      </w:r>
      <w:r>
        <w:rPr>
          <w:rFonts w:eastAsia="Calibri" w:cs="Times New Roman"/>
          <w:i/>
          <w:iCs/>
          <w:noProof/>
          <w:color w:val="000000"/>
          <w:szCs w:val="24"/>
          <w:lang w:eastAsia="en-GB"/>
        </w:rPr>
        <w:t>acquis</w:t>
      </w:r>
      <w:r>
        <w:rPr>
          <w:rFonts w:eastAsia="Calibri" w:cs="Times New Roman"/>
          <w:noProof/>
          <w:color w:val="000000"/>
          <w:szCs w:val="24"/>
        </w:rPr>
        <w:t xml:space="preserve">. </w:t>
      </w:r>
      <w:r>
        <w:rPr>
          <w:rFonts w:eastAsia="Calibri" w:cs="Times New Roman"/>
          <w:iCs/>
          <w:noProof/>
          <w:color w:val="000000"/>
          <w:szCs w:val="24"/>
          <w:lang w:eastAsia="en-GB"/>
        </w:rPr>
        <w:t>Some</w:t>
      </w:r>
      <w:r>
        <w:rPr>
          <w:rFonts w:eastAsia="Calibri" w:cs="Times New Roman"/>
          <w:noProof/>
          <w:color w:val="000000"/>
          <w:szCs w:val="24"/>
        </w:rPr>
        <w:t xml:space="preserve"> </w:t>
      </w:r>
      <w:r>
        <w:rPr>
          <w:rFonts w:eastAsia="Calibri" w:cs="Times New Roman"/>
          <w:iCs/>
          <w:noProof/>
          <w:color w:val="000000"/>
          <w:szCs w:val="24"/>
          <w:lang w:eastAsia="en-GB"/>
        </w:rPr>
        <w:t>7,083</w:t>
      </w:r>
      <w:r>
        <w:rPr>
          <w:rFonts w:eastAsia="Calibri" w:cs="Times New Roman"/>
          <w:noProof/>
          <w:color w:val="000000"/>
          <w:szCs w:val="24"/>
        </w:rPr>
        <w:t xml:space="preserve"> product inspections </w:t>
      </w:r>
      <w:r>
        <w:rPr>
          <w:rFonts w:eastAsia="Calibri" w:cs="Times New Roman"/>
          <w:iCs/>
          <w:noProof/>
          <w:color w:val="000000"/>
          <w:szCs w:val="24"/>
          <w:lang w:eastAsia="en-GB"/>
        </w:rPr>
        <w:t xml:space="preserve">were made between April 2019 and end May 2020 </w:t>
      </w:r>
      <w:r>
        <w:rPr>
          <w:rFonts w:eastAsia="Calibri" w:cs="Times New Roman"/>
          <w:noProof/>
          <w:color w:val="000000"/>
          <w:szCs w:val="24"/>
        </w:rPr>
        <w:t>(including 918 inspections following consumer complaints</w:t>
      </w:r>
      <w:r>
        <w:rPr>
          <w:rFonts w:eastAsia="Calibri" w:cs="Times New Roman"/>
          <w:iCs/>
          <w:noProof/>
          <w:color w:val="000000"/>
          <w:szCs w:val="24"/>
          <w:lang w:eastAsia="en-GB"/>
        </w:rPr>
        <w:t>). Inspectors</w:t>
      </w:r>
      <w:r>
        <w:rPr>
          <w:rFonts w:eastAsia="Calibri" w:cs="Times New Roman"/>
          <w:noProof/>
          <w:color w:val="000000"/>
          <w:szCs w:val="24"/>
        </w:rPr>
        <w:t xml:space="preserve"> </w:t>
      </w:r>
      <w:r>
        <w:rPr>
          <w:rFonts w:eastAsia="Calibri" w:cs="Times New Roman"/>
          <w:noProof/>
          <w:color w:val="000000"/>
          <w:szCs w:val="24"/>
        </w:rPr>
        <w:t>identified 3,115 irregularities, which led to administrative measures (consisting of 882 indictments and 2,233 decisions).</w:t>
      </w:r>
      <w:r>
        <w:rPr>
          <w:rFonts w:eastAsia="Calibri" w:cs="Times New Roman"/>
          <w:iCs/>
          <w:noProof/>
          <w:color w:val="000000"/>
          <w:szCs w:val="24"/>
          <w:lang w:eastAsia="en-GB"/>
        </w:rPr>
        <w:t xml:space="preserve"> Cooperation between the market surveillance authorities and the customs administration was, with increased joint surveillance perform</w:t>
      </w:r>
      <w:r>
        <w:rPr>
          <w:rFonts w:eastAsia="Calibri" w:cs="Times New Roman"/>
          <w:iCs/>
          <w:noProof/>
          <w:color w:val="000000"/>
          <w:szCs w:val="24"/>
          <w:lang w:eastAsia="en-GB"/>
        </w:rPr>
        <w:t>ed in some sectors, notably for products posing a serious risk to consumers, based on data gathered from its observation of the EU’s RAPEX rapid alert system.</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On </w:t>
      </w:r>
      <w:r>
        <w:rPr>
          <w:rFonts w:eastAsia="Calibri" w:cs="Times New Roman"/>
          <w:b/>
          <w:iCs/>
          <w:noProof/>
          <w:color w:val="000000"/>
          <w:szCs w:val="24"/>
          <w:lang w:eastAsia="en-GB"/>
        </w:rPr>
        <w:t>product safety</w:t>
      </w:r>
      <w:r>
        <w:rPr>
          <w:rFonts w:eastAsia="Calibri" w:cs="Times New Roman"/>
          <w:iCs/>
          <w:noProof/>
          <w:color w:val="000000"/>
          <w:szCs w:val="24"/>
          <w:lang w:eastAsia="en-GB"/>
        </w:rPr>
        <w:t>, Montenegro reported that 6,124 inspections were made, 5,113 in proactive surve</w:t>
      </w:r>
      <w:r>
        <w:rPr>
          <w:rFonts w:eastAsia="Calibri" w:cs="Times New Roman"/>
          <w:iCs/>
          <w:noProof/>
          <w:color w:val="000000"/>
          <w:szCs w:val="24"/>
          <w:lang w:eastAsia="en-GB"/>
        </w:rPr>
        <w:t>illance and 1,011 in reactive surveillance, identifying 822 dangerous products (42,211 items). Of these, 386 products (9,450 items) were classified as dangerous, representing a serious risk and were withdrawn from the market, while 106 products (1 685 item</w:t>
      </w:r>
      <w:r>
        <w:rPr>
          <w:rFonts w:eastAsia="Calibri" w:cs="Times New Roman"/>
          <w:iCs/>
          <w:noProof/>
          <w:color w:val="000000"/>
          <w:szCs w:val="24"/>
          <w:lang w:eastAsia="en-GB"/>
        </w:rPr>
        <w:t xml:space="preserve">s) were destroyed. Administrative measures were imposed accordingly. </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The </w:t>
      </w:r>
      <w:r>
        <w:rPr>
          <w:rFonts w:eastAsia="Calibri" w:cs="Times New Roman"/>
          <w:b/>
          <w:iCs/>
          <w:noProof/>
          <w:color w:val="000000"/>
          <w:szCs w:val="24"/>
          <w:lang w:eastAsia="en-GB"/>
        </w:rPr>
        <w:t>Accreditation</w:t>
      </w:r>
      <w:r>
        <w:rPr>
          <w:rFonts w:eastAsia="Calibri" w:cs="Times New Roman"/>
          <w:iCs/>
          <w:noProof/>
          <w:color w:val="000000"/>
          <w:szCs w:val="24"/>
          <w:lang w:eastAsia="en-GB"/>
        </w:rPr>
        <w:t xml:space="preserve"> Body of Montenegro, which is a full member of the European Cooperation for Accreditation </w:t>
      </w:r>
      <w:r>
        <w:rPr>
          <w:rFonts w:cs="Times New Roman"/>
          <w:noProof/>
          <w:szCs w:val="24"/>
        </w:rPr>
        <w:t>(</w:t>
      </w:r>
      <w:r>
        <w:rPr>
          <w:rFonts w:eastAsia="Calibri" w:cs="Times New Roman"/>
          <w:iCs/>
          <w:noProof/>
          <w:color w:val="000000"/>
          <w:szCs w:val="24"/>
          <w:lang w:eastAsia="en-GB"/>
        </w:rPr>
        <w:t xml:space="preserve">EA), granted seven new accreditations to conformity assessment bodies (two </w:t>
      </w:r>
      <w:r>
        <w:rPr>
          <w:rFonts w:eastAsia="Calibri" w:cs="Times New Roman"/>
          <w:iCs/>
          <w:noProof/>
          <w:color w:val="000000"/>
          <w:szCs w:val="24"/>
          <w:lang w:eastAsia="en-GB"/>
        </w:rPr>
        <w:t>inspection bodies, four testing laboratories and one laboratory for medical examinations). In the same period, two accreditations previously granted were withdrawn, leaving 41 conformity assessment bodies overall.</w:t>
      </w:r>
    </w:p>
    <w:p w:rsidR="003C2144" w:rsidRDefault="00FB7959">
      <w:pPr>
        <w:autoSpaceDE w:val="0"/>
        <w:autoSpaceDN w:val="0"/>
        <w:adjustRightInd w:val="0"/>
        <w:spacing w:after="120" w:line="240" w:lineRule="auto"/>
        <w:jc w:val="both"/>
        <w:rPr>
          <w:rFonts w:eastAsia="Calibri" w:cs="Times New Roman"/>
          <w:iCs/>
          <w:noProof/>
          <w:color w:val="000000"/>
          <w:szCs w:val="24"/>
          <w:u w:val="single"/>
          <w:lang w:eastAsia="en-GB"/>
        </w:rPr>
      </w:pPr>
      <w:r>
        <w:rPr>
          <w:rFonts w:eastAsia="Calibri" w:cs="Times New Roman"/>
          <w:iCs/>
          <w:noProof/>
          <w:color w:val="000000"/>
          <w:szCs w:val="24"/>
          <w:u w:val="single"/>
          <w:lang w:eastAsia="en-GB"/>
        </w:rPr>
        <w:t>Harmonised area: sectoral legislation</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On ‘</w:t>
      </w:r>
      <w:r>
        <w:rPr>
          <w:rFonts w:eastAsia="Calibri" w:cs="Times New Roman"/>
          <w:b/>
          <w:iCs/>
          <w:noProof/>
          <w:color w:val="000000"/>
          <w:szCs w:val="24"/>
          <w:lang w:eastAsia="en-GB"/>
        </w:rPr>
        <w:t>new and global approach</w:t>
      </w:r>
      <w:r>
        <w:rPr>
          <w:rFonts w:eastAsia="Calibri" w:cs="Times New Roman"/>
          <w:iCs/>
          <w:noProof/>
          <w:color w:val="000000"/>
          <w:szCs w:val="24"/>
          <w:lang w:eastAsia="en-GB"/>
        </w:rPr>
        <w:t xml:space="preserve">’ </w:t>
      </w:r>
      <w:r>
        <w:rPr>
          <w:rFonts w:eastAsia="Calibri" w:cs="Times New Roman"/>
          <w:b/>
          <w:iCs/>
          <w:noProof/>
          <w:color w:val="000000"/>
          <w:szCs w:val="24"/>
          <w:lang w:eastAsia="en-GB"/>
        </w:rPr>
        <w:t>product legislation</w:t>
      </w:r>
      <w:r>
        <w:rPr>
          <w:rFonts w:eastAsia="Calibri" w:cs="Times New Roman"/>
          <w:iCs/>
          <w:noProof/>
          <w:color w:val="000000"/>
          <w:szCs w:val="24"/>
          <w:lang w:eastAsia="en-GB"/>
        </w:rPr>
        <w:t xml:space="preserve">, Montenegro adopted legislation partly aligned with the EU </w:t>
      </w:r>
      <w:r>
        <w:rPr>
          <w:rFonts w:eastAsia="Calibri" w:cs="Times New Roman"/>
          <w:i/>
          <w:iCs/>
          <w:noProof/>
          <w:color w:val="000000"/>
          <w:szCs w:val="24"/>
          <w:lang w:eastAsia="en-GB"/>
        </w:rPr>
        <w:t>acquis</w:t>
      </w:r>
      <w:r>
        <w:rPr>
          <w:rFonts w:eastAsia="Calibri" w:cs="Times New Roman"/>
          <w:iCs/>
          <w:noProof/>
          <w:color w:val="000000"/>
          <w:szCs w:val="24"/>
          <w:lang w:eastAsia="en-GB"/>
        </w:rPr>
        <w:t xml:space="preserve"> on medical devices, addressing the conditions for manufacturing, the sale of medical devices, and their conformity with technical requirements. I</w:t>
      </w:r>
      <w:r>
        <w:rPr>
          <w:rFonts w:eastAsia="Calibri" w:cs="Times New Roman"/>
          <w:iCs/>
          <w:noProof/>
          <w:color w:val="000000"/>
          <w:szCs w:val="24"/>
          <w:lang w:eastAsia="en-GB"/>
        </w:rPr>
        <w:t xml:space="preserve">t also adopted legislation designed to align with the EU </w:t>
      </w:r>
      <w:r>
        <w:rPr>
          <w:rFonts w:eastAsia="Calibri" w:cs="Times New Roman"/>
          <w:i/>
          <w:iCs/>
          <w:noProof/>
          <w:color w:val="000000"/>
          <w:szCs w:val="24"/>
          <w:lang w:eastAsia="en-GB"/>
        </w:rPr>
        <w:t>acquis</w:t>
      </w:r>
      <w:r>
        <w:rPr>
          <w:rFonts w:eastAsia="Calibri" w:cs="Times New Roman"/>
          <w:iCs/>
          <w:noProof/>
          <w:color w:val="000000"/>
          <w:szCs w:val="24"/>
          <w:lang w:eastAsia="en-GB"/>
        </w:rPr>
        <w:t xml:space="preserve"> on cableways, eco-design, and construction products. The new rules will make Euro codes obligatory from mid-2020.</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On ‘</w:t>
      </w:r>
      <w:r>
        <w:rPr>
          <w:rFonts w:eastAsia="Calibri" w:cs="Times New Roman"/>
          <w:b/>
          <w:iCs/>
          <w:noProof/>
          <w:color w:val="000000"/>
          <w:szCs w:val="24"/>
          <w:lang w:eastAsia="en-GB"/>
        </w:rPr>
        <w:t>old approach</w:t>
      </w:r>
      <w:r>
        <w:rPr>
          <w:rFonts w:eastAsia="Calibri" w:cs="Times New Roman"/>
          <w:iCs/>
          <w:noProof/>
          <w:color w:val="000000"/>
          <w:szCs w:val="24"/>
          <w:lang w:eastAsia="en-GB"/>
        </w:rPr>
        <w:t>’</w:t>
      </w:r>
      <w:r>
        <w:rPr>
          <w:rFonts w:eastAsia="Calibri" w:cs="Times New Roman"/>
          <w:b/>
          <w:iCs/>
          <w:noProof/>
          <w:color w:val="000000"/>
          <w:szCs w:val="24"/>
          <w:lang w:eastAsia="en-GB"/>
        </w:rPr>
        <w:t xml:space="preserve"> product legislation</w:t>
      </w:r>
      <w:r>
        <w:rPr>
          <w:rFonts w:eastAsia="Calibri" w:cs="Times New Roman"/>
          <w:iCs/>
          <w:noProof/>
          <w:color w:val="000000"/>
          <w:szCs w:val="24"/>
          <w:lang w:eastAsia="en-GB"/>
        </w:rPr>
        <w:t xml:space="preserve">, Montenegro enhanced its alignment with </w:t>
      </w:r>
      <w:r>
        <w:rPr>
          <w:rFonts w:eastAsia="Calibri" w:cs="Times New Roman"/>
          <w:iCs/>
          <w:noProof/>
          <w:color w:val="000000"/>
          <w:szCs w:val="24"/>
          <w:lang w:eastAsia="en-GB"/>
        </w:rPr>
        <w:t xml:space="preserve">the EU </w:t>
      </w:r>
      <w:r>
        <w:rPr>
          <w:rFonts w:eastAsia="Calibri" w:cs="Times New Roman"/>
          <w:i/>
          <w:iCs/>
          <w:noProof/>
          <w:color w:val="000000"/>
          <w:szCs w:val="24"/>
          <w:lang w:eastAsia="en-GB"/>
        </w:rPr>
        <w:t>acquis</w:t>
      </w:r>
      <w:r>
        <w:rPr>
          <w:rFonts w:eastAsia="Calibri" w:cs="Times New Roman"/>
          <w:iCs/>
          <w:noProof/>
          <w:color w:val="000000"/>
          <w:szCs w:val="24"/>
          <w:lang w:eastAsia="en-GB"/>
        </w:rPr>
        <w:t xml:space="preserve"> on cosmetic products, as well as on medicinal products for human use and medicinal products for veterinary use. Montenegro adopted legislation designed to further align to some areas of the </w:t>
      </w:r>
      <w:r>
        <w:rPr>
          <w:rFonts w:eastAsia="Calibri" w:cs="Times New Roman"/>
          <w:i/>
          <w:iCs/>
          <w:noProof/>
          <w:color w:val="000000"/>
          <w:szCs w:val="24"/>
          <w:lang w:eastAsia="en-GB"/>
        </w:rPr>
        <w:t xml:space="preserve">acquis </w:t>
      </w:r>
      <w:r>
        <w:rPr>
          <w:rFonts w:eastAsia="Calibri" w:cs="Times New Roman"/>
          <w:iCs/>
          <w:noProof/>
          <w:color w:val="000000"/>
          <w:szCs w:val="24"/>
          <w:lang w:eastAsia="en-GB"/>
        </w:rPr>
        <w:t>on chemicals, including on biocides and to al</w:t>
      </w:r>
      <w:r>
        <w:rPr>
          <w:rFonts w:eastAsia="Calibri" w:cs="Times New Roman"/>
          <w:iCs/>
          <w:noProof/>
          <w:color w:val="000000"/>
          <w:szCs w:val="24"/>
          <w:lang w:eastAsia="en-GB"/>
        </w:rPr>
        <w:t>ign to annexes I &amp; XIII of the REACH Regulation. Human and financial resources need to be reinforced for REACH-related bodies. In July 2019, the national plan for the implementation of the Stockholm Convention was adopted, along with the 2019 – 2023 action</w:t>
      </w:r>
      <w:r>
        <w:rPr>
          <w:rFonts w:eastAsia="Calibri" w:cs="Times New Roman"/>
          <w:iCs/>
          <w:noProof/>
          <w:color w:val="000000"/>
          <w:szCs w:val="24"/>
          <w:lang w:eastAsia="en-GB"/>
        </w:rPr>
        <w:t xml:space="preserve"> plan. </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noProof/>
          <w:color w:val="000000"/>
          <w:szCs w:val="24"/>
        </w:rPr>
        <w:t xml:space="preserve">On </w:t>
      </w:r>
      <w:r>
        <w:rPr>
          <w:rFonts w:eastAsia="Calibri" w:cs="Times New Roman"/>
          <w:b/>
          <w:bCs/>
          <w:noProof/>
          <w:color w:val="000000"/>
          <w:szCs w:val="24"/>
        </w:rPr>
        <w:t xml:space="preserve">drug precursors, </w:t>
      </w:r>
      <w:r>
        <w:rPr>
          <w:rFonts w:eastAsia="Calibri" w:cs="Times New Roman"/>
          <w:bCs/>
          <w:noProof/>
          <w:color w:val="000000"/>
          <w:szCs w:val="24"/>
        </w:rPr>
        <w:t xml:space="preserve">Montenegro’s list of controlled substances is designed to be compliant with the EU </w:t>
      </w:r>
      <w:r>
        <w:rPr>
          <w:rFonts w:eastAsia="Calibri" w:cs="Times New Roman"/>
          <w:bCs/>
          <w:i/>
          <w:noProof/>
          <w:color w:val="000000"/>
          <w:szCs w:val="24"/>
        </w:rPr>
        <w:t xml:space="preserve">acquis. </w:t>
      </w:r>
      <w:r>
        <w:rPr>
          <w:rFonts w:eastAsia="Calibri" w:cs="Times New Roman"/>
          <w:bCs/>
          <w:noProof/>
          <w:color w:val="000000"/>
          <w:szCs w:val="24"/>
        </w:rPr>
        <w:t>Montenegro</w:t>
      </w:r>
      <w:r>
        <w:rPr>
          <w:rFonts w:eastAsia="Calibri" w:cs="Times New Roman"/>
          <w:bCs/>
          <w:i/>
          <w:noProof/>
          <w:color w:val="000000"/>
          <w:szCs w:val="24"/>
        </w:rPr>
        <w:t xml:space="preserve"> </w:t>
      </w:r>
      <w:r>
        <w:rPr>
          <w:rFonts w:eastAsia="Calibri" w:cs="Times New Roman"/>
          <w:bCs/>
          <w:noProof/>
          <w:color w:val="000000"/>
          <w:szCs w:val="24"/>
        </w:rPr>
        <w:t xml:space="preserve">has mechanisms in place to detect smuggled drug precursors and requires economic operators to report suspicious orders or </w:t>
      </w:r>
      <w:r>
        <w:rPr>
          <w:rFonts w:eastAsia="Calibri" w:cs="Times New Roman"/>
          <w:bCs/>
          <w:noProof/>
          <w:color w:val="000000"/>
          <w:szCs w:val="24"/>
        </w:rPr>
        <w:t>transactions in line with EU procedures</w:t>
      </w:r>
      <w:r>
        <w:rPr>
          <w:rFonts w:eastAsia="Calibri" w:cs="Times New Roman"/>
          <w:bCs/>
          <w:i/>
          <w:noProof/>
          <w:color w:val="000000"/>
          <w:szCs w:val="24"/>
        </w:rPr>
        <w:t>;</w:t>
      </w:r>
      <w:r>
        <w:rPr>
          <w:rFonts w:eastAsia="Calibri" w:cs="Times New Roman"/>
          <w:bCs/>
          <w:noProof/>
          <w:color w:val="000000"/>
          <w:szCs w:val="24"/>
        </w:rPr>
        <w:t xml:space="preserve"> however, national legislation remained only partly aligned. On </w:t>
      </w:r>
      <w:r>
        <w:rPr>
          <w:rFonts w:eastAsia="Calibri" w:cs="Times New Roman"/>
          <w:b/>
          <w:bCs/>
          <w:noProof/>
          <w:color w:val="000000"/>
          <w:szCs w:val="24"/>
        </w:rPr>
        <w:t xml:space="preserve">good laboratory practices, </w:t>
      </w:r>
      <w:r>
        <w:rPr>
          <w:rFonts w:eastAsia="Calibri" w:cs="Times New Roman"/>
          <w:bCs/>
          <w:noProof/>
          <w:color w:val="000000"/>
          <w:szCs w:val="24"/>
        </w:rPr>
        <w:t xml:space="preserve">national legislation is designed to be aligned with the EU </w:t>
      </w:r>
      <w:r>
        <w:rPr>
          <w:rFonts w:eastAsia="Calibri" w:cs="Times New Roman"/>
          <w:bCs/>
          <w:i/>
          <w:noProof/>
          <w:color w:val="000000"/>
          <w:szCs w:val="24"/>
        </w:rPr>
        <w:t>acquis</w:t>
      </w:r>
      <w:r>
        <w:rPr>
          <w:rFonts w:eastAsia="Calibri" w:cs="Times New Roman"/>
          <w:b/>
          <w:bCs/>
          <w:noProof/>
          <w:color w:val="000000"/>
          <w:szCs w:val="24"/>
        </w:rPr>
        <w:t>.</w:t>
      </w:r>
    </w:p>
    <w:p w:rsidR="003C2144" w:rsidRDefault="00FB7959">
      <w:pPr>
        <w:autoSpaceDE w:val="0"/>
        <w:autoSpaceDN w:val="0"/>
        <w:adjustRightInd w:val="0"/>
        <w:spacing w:after="120" w:line="240" w:lineRule="auto"/>
        <w:jc w:val="both"/>
        <w:rPr>
          <w:rFonts w:eastAsia="Calibri" w:cs="Times New Roman"/>
          <w:iCs/>
          <w:noProof/>
          <w:color w:val="000000"/>
          <w:szCs w:val="24"/>
          <w:lang w:eastAsia="en-GB"/>
        </w:rPr>
      </w:pPr>
      <w:r>
        <w:rPr>
          <w:rFonts w:eastAsia="Calibri" w:cs="Times New Roman"/>
          <w:iCs/>
          <w:noProof/>
          <w:color w:val="000000"/>
          <w:szCs w:val="24"/>
          <w:lang w:eastAsia="en-GB"/>
        </w:rPr>
        <w:t xml:space="preserve">On </w:t>
      </w:r>
      <w:r>
        <w:rPr>
          <w:rFonts w:eastAsia="Calibri" w:cs="Times New Roman"/>
          <w:b/>
          <w:iCs/>
          <w:noProof/>
          <w:color w:val="000000"/>
          <w:szCs w:val="24"/>
          <w:lang w:eastAsia="en-GB"/>
        </w:rPr>
        <w:t>procedural measures</w:t>
      </w:r>
      <w:r>
        <w:rPr>
          <w:rFonts w:eastAsia="Calibri" w:cs="Times New Roman"/>
          <w:iCs/>
          <w:noProof/>
          <w:color w:val="000000"/>
          <w:szCs w:val="24"/>
          <w:lang w:eastAsia="en-GB"/>
        </w:rPr>
        <w:t xml:space="preserve">, Montenegro amended its Law on the </w:t>
      </w:r>
      <w:r>
        <w:rPr>
          <w:rFonts w:eastAsia="Calibri" w:cs="Times New Roman"/>
          <w:iCs/>
          <w:noProof/>
          <w:color w:val="000000"/>
          <w:szCs w:val="24"/>
          <w:lang w:eastAsia="en-GB"/>
        </w:rPr>
        <w:t xml:space="preserve">protection of cultural property, which is designed to align with the EU </w:t>
      </w:r>
      <w:r>
        <w:rPr>
          <w:rFonts w:eastAsia="Calibri" w:cs="Times New Roman"/>
          <w:i/>
          <w:iCs/>
          <w:noProof/>
          <w:color w:val="000000"/>
          <w:szCs w:val="24"/>
          <w:lang w:eastAsia="en-GB"/>
        </w:rPr>
        <w:t>acquis</w:t>
      </w:r>
      <w:r>
        <w:rPr>
          <w:rFonts w:eastAsia="Calibri" w:cs="Times New Roman"/>
          <w:iCs/>
          <w:noProof/>
          <w:color w:val="000000"/>
          <w:szCs w:val="24"/>
          <w:lang w:eastAsia="en-GB"/>
        </w:rPr>
        <w:t xml:space="preserve"> on the return of cultural objects unlawfully removed from the territory of a Member State.</w:t>
      </w:r>
    </w:p>
    <w:p w:rsidR="003C2144" w:rsidRDefault="00FB7959">
      <w:pPr>
        <w:pStyle w:val="Heading2"/>
        <w:rPr>
          <w:rFonts w:eastAsia="Times New Roman"/>
          <w:noProof/>
          <w:lang w:eastAsia="it-IT"/>
        </w:rPr>
      </w:pPr>
      <w:bookmarkStart w:id="55" w:name="_Toc30080567"/>
      <w:bookmarkStart w:id="56" w:name="_Toc30074125"/>
      <w:bookmarkStart w:id="57" w:name="_Toc30073812"/>
      <w:bookmarkStart w:id="58" w:name="_Toc9585299"/>
      <w:bookmarkStart w:id="59" w:name="_Toc52744935"/>
      <w:r>
        <w:rPr>
          <w:rFonts w:eastAsia="Times New Roman"/>
          <w:noProof/>
          <w:lang w:eastAsia="it-IT"/>
        </w:rPr>
        <w:t>5.2</w:t>
      </w:r>
      <w:r>
        <w:rPr>
          <w:rFonts w:eastAsia="Times New Roman"/>
          <w:noProof/>
          <w:lang w:eastAsia="it-IT"/>
        </w:rPr>
        <w:tab/>
        <w:t>Chapter 2: Freedom of movement for workers</w:t>
      </w:r>
      <w:bookmarkEnd w:id="55"/>
      <w:bookmarkEnd w:id="56"/>
      <w:bookmarkEnd w:id="57"/>
      <w:bookmarkEnd w:id="58"/>
      <w:bookmarkEnd w:id="59"/>
      <w:r>
        <w:rPr>
          <w:rFonts w:eastAsia="Times New Roman"/>
          <w:noProof/>
          <w:lang w:eastAsia="it-IT"/>
        </w:rPr>
        <w:t xml:space="preserve"> </w:t>
      </w:r>
    </w:p>
    <w:p w:rsidR="003C2144" w:rsidRDefault="00FB7959">
      <w:pPr>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Citizens of one Member State have the </w:t>
      </w:r>
      <w:r>
        <w:rPr>
          <w:rFonts w:eastAsia="Calibri" w:cs="Times New Roman"/>
          <w:i/>
          <w:iCs/>
          <w:noProof/>
          <w:color w:val="000000"/>
          <w:szCs w:val="24"/>
        </w:rPr>
        <w:t xml:space="preserve">right to work in another Member State and must be given the same working and social conditions as other workers.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34"/>
        <w:jc w:val="both"/>
        <w:rPr>
          <w:rFonts w:eastAsia="Calibri" w:cs="Times New Roman"/>
          <w:noProof/>
          <w:color w:val="000000"/>
          <w:szCs w:val="24"/>
        </w:rPr>
      </w:pPr>
      <w:r>
        <w:rPr>
          <w:rFonts w:eastAsia="Calibri" w:cs="Times New Roman"/>
          <w:noProof/>
          <w:color w:val="000000"/>
          <w:szCs w:val="24"/>
        </w:rPr>
        <w:t xml:space="preserve">Montenegro has </w:t>
      </w:r>
      <w:r>
        <w:rPr>
          <w:rFonts w:eastAsia="Calibri" w:cs="Times New Roman"/>
          <w:b/>
          <w:bCs/>
          <w:noProof/>
          <w:color w:val="000000"/>
          <w:szCs w:val="24"/>
        </w:rPr>
        <w:t xml:space="preserve">some level of preparation </w:t>
      </w:r>
      <w:r>
        <w:rPr>
          <w:rFonts w:eastAsia="Calibri" w:cs="Times New Roman"/>
          <w:noProof/>
          <w:color w:val="000000"/>
          <w:szCs w:val="24"/>
        </w:rPr>
        <w:t xml:space="preserve">in this area, registering </w:t>
      </w:r>
      <w:r>
        <w:rPr>
          <w:rFonts w:eastAsia="Calibri" w:cs="Times New Roman"/>
          <w:b/>
          <w:bCs/>
          <w:noProof/>
          <w:color w:val="000000"/>
          <w:szCs w:val="24"/>
        </w:rPr>
        <w:t xml:space="preserve">some progress </w:t>
      </w:r>
      <w:r>
        <w:rPr>
          <w:rFonts w:eastAsia="Calibri" w:cs="Times New Roman"/>
          <w:noProof/>
          <w:color w:val="000000"/>
          <w:szCs w:val="24"/>
        </w:rPr>
        <w:t xml:space="preserve">during the reporting period on implementing access to the </w:t>
      </w:r>
      <w:r>
        <w:rPr>
          <w:rFonts w:eastAsia="Calibri" w:cs="Times New Roman"/>
          <w:noProof/>
          <w:color w:val="000000"/>
          <w:szCs w:val="24"/>
        </w:rPr>
        <w:t>labour market and the European Health Insurance Card, resulting from the EU support project on social security schemes and the chapter 2 action plan.</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34"/>
        <w:jc w:val="both"/>
        <w:rPr>
          <w:rFonts w:eastAsia="Calibri" w:cs="Times New Roman"/>
          <w:noProof/>
          <w:color w:val="000000"/>
          <w:szCs w:val="24"/>
        </w:rPr>
      </w:pPr>
      <w:r>
        <w:rPr>
          <w:rFonts w:eastAsia="Calibri" w:cs="Times New Roman"/>
          <w:noProof/>
          <w:color w:val="000000"/>
          <w:szCs w:val="24"/>
        </w:rPr>
        <w:t xml:space="preserve">In the coming year, Montenegro should in particular: </w:t>
      </w:r>
    </w:p>
    <w:p w:rsidR="003C2144" w:rsidRDefault="00FB7959">
      <w:pPr>
        <w:numPr>
          <w:ilvl w:val="0"/>
          <w:numId w:val="1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34"/>
        <w:jc w:val="both"/>
        <w:rPr>
          <w:rFonts w:eastAsia="Calibri" w:cs="Times New Roman"/>
          <w:noProof/>
          <w:color w:val="000000"/>
          <w:szCs w:val="24"/>
        </w:rPr>
      </w:pPr>
      <w:r>
        <w:rPr>
          <w:rFonts w:eastAsia="Calibri" w:cs="Times New Roman"/>
          <w:noProof/>
          <w:color w:val="000000"/>
          <w:szCs w:val="24"/>
        </w:rPr>
        <w:t xml:space="preserve">continue to establish structures and develop administrative capacity to implement the EU </w:t>
      </w:r>
      <w:r>
        <w:rPr>
          <w:rFonts w:eastAsia="Calibri" w:cs="Times New Roman"/>
          <w:i/>
          <w:noProof/>
          <w:color w:val="000000"/>
          <w:szCs w:val="24"/>
        </w:rPr>
        <w:t>acquis</w:t>
      </w:r>
      <w:r>
        <w:rPr>
          <w:rFonts w:eastAsia="Calibri" w:cs="Times New Roman"/>
          <w:noProof/>
          <w:color w:val="000000"/>
          <w:szCs w:val="24"/>
        </w:rPr>
        <w:t xml:space="preserve"> in line with the results of the EU support project on social security schemes and the chapter 2 action plan.</w:t>
      </w:r>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60" w:name="_Toc30074126"/>
      <w:bookmarkStart w:id="61" w:name="_Toc30073813"/>
      <w:r>
        <w:rPr>
          <w:rFonts w:eastAsia="Calibri" w:cs="Times New Roman"/>
          <w:noProof/>
          <w:color w:val="000000"/>
          <w:szCs w:val="24"/>
        </w:rPr>
        <w:t>In March 2019, the government adopted an action pla</w:t>
      </w:r>
      <w:r>
        <w:rPr>
          <w:rFonts w:eastAsia="Calibri" w:cs="Times New Roman"/>
          <w:noProof/>
          <w:color w:val="000000"/>
          <w:szCs w:val="24"/>
        </w:rPr>
        <w:t xml:space="preserve">n to meet the accession requirement on the freedom of movement for workers.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access to the labour market</w:t>
      </w:r>
      <w:r>
        <w:rPr>
          <w:rFonts w:eastAsia="Calibri" w:cs="Times New Roman"/>
          <w:noProof/>
          <w:color w:val="000000"/>
          <w:szCs w:val="24"/>
        </w:rPr>
        <w:t>, amendments were adopted to the Law on foreigners, and to the Decision determining the annual quota for temporary residence and work permits for for</w:t>
      </w:r>
      <w:r>
        <w:rPr>
          <w:rFonts w:eastAsia="Calibri" w:cs="Times New Roman"/>
          <w:noProof/>
          <w:color w:val="000000"/>
          <w:szCs w:val="24"/>
        </w:rPr>
        <w:t>eigners, allowing for simplified procedures. Procedures are in preparation for handling foreigners’ requests for temporary residence and seasonal employment permits through Montenegro’s representations in countries of origin.</w:t>
      </w:r>
      <w:bookmarkEnd w:id="60"/>
      <w:bookmarkEnd w:id="61"/>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62" w:name="_Toc30074127"/>
      <w:bookmarkStart w:id="63" w:name="_Toc30073814"/>
      <w:r>
        <w:rPr>
          <w:rFonts w:eastAsia="Calibri" w:cs="Times New Roman"/>
          <w:noProof/>
          <w:color w:val="000000"/>
          <w:szCs w:val="24"/>
        </w:rPr>
        <w:t>On preparations to join the Eu</w:t>
      </w:r>
      <w:r>
        <w:rPr>
          <w:rFonts w:eastAsia="Calibri" w:cs="Times New Roman"/>
          <w:noProof/>
          <w:color w:val="000000"/>
          <w:szCs w:val="24"/>
        </w:rPr>
        <w:t>ropean network of employment services</w:t>
      </w:r>
      <w:r>
        <w:rPr>
          <w:rFonts w:eastAsia="Calibri" w:cs="Times New Roman"/>
          <w:b/>
          <w:noProof/>
          <w:color w:val="000000"/>
          <w:szCs w:val="24"/>
        </w:rPr>
        <w:t xml:space="preserve"> </w:t>
      </w:r>
      <w:r>
        <w:rPr>
          <w:rFonts w:eastAsia="Calibri" w:cs="Times New Roman"/>
          <w:noProof/>
          <w:color w:val="000000"/>
          <w:szCs w:val="24"/>
        </w:rPr>
        <w:t>(</w:t>
      </w:r>
      <w:r>
        <w:rPr>
          <w:rFonts w:eastAsia="Calibri" w:cs="Times New Roman"/>
          <w:b/>
          <w:noProof/>
          <w:color w:val="000000"/>
          <w:szCs w:val="24"/>
        </w:rPr>
        <w:t>EURES</w:t>
      </w:r>
      <w:r>
        <w:rPr>
          <w:rFonts w:eastAsia="Calibri" w:cs="Times New Roman"/>
          <w:noProof/>
          <w:color w:val="000000"/>
          <w:szCs w:val="24"/>
        </w:rPr>
        <w:t xml:space="preserve">) upon accession, the Department for EURES and International Employment Mediation within Montenegro’s Employment Agency fulfilled its recruitment plan by filling all five planned posts. </w:t>
      </w:r>
      <w:bookmarkEnd w:id="62"/>
      <w:bookmarkEnd w:id="63"/>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64" w:name="_Toc30073815"/>
      <w:bookmarkStart w:id="65" w:name="_Toc30074128"/>
      <w:r>
        <w:rPr>
          <w:rFonts w:eastAsia="Calibri" w:cs="Times New Roman"/>
          <w:noProof/>
          <w:color w:val="000000"/>
          <w:szCs w:val="24"/>
        </w:rPr>
        <w:t xml:space="preserve">On the </w:t>
      </w:r>
      <w:r>
        <w:rPr>
          <w:rFonts w:eastAsia="Calibri" w:cs="Times New Roman"/>
          <w:b/>
          <w:noProof/>
          <w:color w:val="000000"/>
          <w:szCs w:val="24"/>
        </w:rPr>
        <w:t>coordination of so</w:t>
      </w:r>
      <w:r>
        <w:rPr>
          <w:rFonts w:eastAsia="Calibri" w:cs="Times New Roman"/>
          <w:b/>
          <w:noProof/>
          <w:color w:val="000000"/>
          <w:szCs w:val="24"/>
        </w:rPr>
        <w:t>cial security systems</w:t>
      </w:r>
      <w:r>
        <w:rPr>
          <w:rFonts w:eastAsia="Calibri" w:cs="Times New Roman"/>
          <w:noProof/>
          <w:color w:val="000000"/>
          <w:szCs w:val="24"/>
        </w:rPr>
        <w:t>, the bilateral agreement with Romania on social insurance is yet to be signed, and amendments to those with Serbia and with Bosnia and Herzegovina are to be concluded. In total, 25 bilateral agreements are already in force, of which 1</w:t>
      </w:r>
      <w:r>
        <w:rPr>
          <w:rFonts w:eastAsia="Calibri" w:cs="Times New Roman"/>
          <w:noProof/>
          <w:color w:val="000000"/>
          <w:szCs w:val="24"/>
        </w:rPr>
        <w:t xml:space="preserve">6 with EU Member States. </w:t>
      </w:r>
      <w:bookmarkEnd w:id="64"/>
      <w:bookmarkEnd w:id="65"/>
    </w:p>
    <w:p w:rsidR="003C2144" w:rsidRDefault="00FB7959">
      <w:pPr>
        <w:spacing w:after="120" w:line="240" w:lineRule="auto"/>
        <w:jc w:val="both"/>
        <w:rPr>
          <w:rFonts w:eastAsia="Calibri" w:cs="Times New Roman"/>
          <w:noProof/>
          <w:szCs w:val="24"/>
        </w:rPr>
      </w:pPr>
      <w:bookmarkStart w:id="66" w:name="_Toc30074129"/>
      <w:bookmarkStart w:id="67" w:name="_Toc30073816"/>
      <w:r>
        <w:rPr>
          <w:rFonts w:eastAsia="Calibri" w:cs="Times New Roman"/>
          <w:noProof/>
          <w:szCs w:val="24"/>
        </w:rPr>
        <w:t xml:space="preserve">The </w:t>
      </w:r>
      <w:r>
        <w:rPr>
          <w:rFonts w:eastAsia="Calibri" w:cs="Times New Roman"/>
          <w:b/>
          <w:noProof/>
          <w:szCs w:val="24"/>
        </w:rPr>
        <w:t>European Health Insurance Card</w:t>
      </w:r>
      <w:r>
        <w:rPr>
          <w:rFonts w:eastAsia="Calibri" w:cs="Times New Roman"/>
          <w:noProof/>
          <w:szCs w:val="24"/>
        </w:rPr>
        <w:t xml:space="preserve"> (EHIC) is recognised under the Law on health insurance. The card will, however, be introduced in Montenegro only after accession. As part of its accession preparations, in 2019 Montenegro carried</w:t>
      </w:r>
      <w:r>
        <w:rPr>
          <w:rFonts w:eastAsia="Calibri" w:cs="Times New Roman"/>
          <w:noProof/>
          <w:szCs w:val="24"/>
        </w:rPr>
        <w:t xml:space="preserve"> out an impact assessment on introducing the card after accession. Before accession, Montenegro will also need to carry out a feasibility study of EHIC on public finances. The Health Insurance Fund started recruiting coordination staff in some of its regio</w:t>
      </w:r>
      <w:r>
        <w:rPr>
          <w:rFonts w:eastAsia="Calibri" w:cs="Times New Roman"/>
          <w:noProof/>
          <w:szCs w:val="24"/>
        </w:rPr>
        <w:t>nal units.</w:t>
      </w:r>
      <w:bookmarkEnd w:id="66"/>
      <w:bookmarkEnd w:id="67"/>
    </w:p>
    <w:p w:rsidR="003C2144" w:rsidRDefault="00FB7959">
      <w:pPr>
        <w:pStyle w:val="Heading2"/>
        <w:rPr>
          <w:rFonts w:eastAsia="Times New Roman"/>
          <w:noProof/>
        </w:rPr>
      </w:pPr>
      <w:bookmarkStart w:id="68" w:name="_Toc30080568"/>
      <w:bookmarkStart w:id="69" w:name="_Toc30074130"/>
      <w:bookmarkStart w:id="70" w:name="_Toc30073817"/>
      <w:bookmarkStart w:id="71" w:name="_Toc52744936"/>
      <w:r>
        <w:rPr>
          <w:rFonts w:eastAsia="Calibri"/>
          <w:bCs/>
          <w:noProof/>
          <w:color w:val="000000"/>
        </w:rPr>
        <w:t>5.3</w:t>
      </w:r>
      <w:r>
        <w:rPr>
          <w:rFonts w:eastAsia="Calibri"/>
          <w:bCs/>
          <w:noProof/>
          <w:color w:val="000000"/>
        </w:rPr>
        <w:tab/>
      </w:r>
      <w:r>
        <w:rPr>
          <w:rFonts w:eastAsia="Times New Roman"/>
          <w:noProof/>
        </w:rPr>
        <w:t>Chapter 3: Right of establishment and freedom to provide services</w:t>
      </w:r>
      <w:bookmarkEnd w:id="68"/>
      <w:bookmarkEnd w:id="69"/>
      <w:bookmarkEnd w:id="70"/>
      <w:bookmarkEnd w:id="71"/>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EU natural and legal persons have the right to establish themselves in any Member State and to provide cross-border services. For certain regulated professions, there are rul</w:t>
      </w:r>
      <w:r>
        <w:rPr>
          <w:rFonts w:eastAsia="Calibri" w:cs="Times New Roman"/>
          <w:i/>
          <w:iCs/>
          <w:noProof/>
          <w:color w:val="000000"/>
          <w:szCs w:val="24"/>
        </w:rPr>
        <w:t xml:space="preserve">es on mutual recognition of qualifications. Postal services are gradually being opened up to competition.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bCs/>
          <w:noProof/>
          <w:color w:val="000000"/>
          <w:szCs w:val="24"/>
        </w:rPr>
        <w:t xml:space="preserve">moderately prepared </w:t>
      </w:r>
      <w:r>
        <w:rPr>
          <w:rFonts w:eastAsia="Calibri" w:cs="Times New Roman"/>
          <w:noProof/>
          <w:color w:val="000000"/>
          <w:szCs w:val="24"/>
        </w:rPr>
        <w:t xml:space="preserve">in this area. </w:t>
      </w:r>
      <w:r>
        <w:rPr>
          <w:rFonts w:eastAsia="Calibri" w:cs="Times New Roman"/>
          <w:b/>
          <w:bCs/>
          <w:noProof/>
          <w:color w:val="000000"/>
          <w:szCs w:val="24"/>
        </w:rPr>
        <w:t xml:space="preserve">Some progress </w:t>
      </w:r>
      <w:r>
        <w:rPr>
          <w:rFonts w:eastAsia="Calibri" w:cs="Times New Roman"/>
          <w:noProof/>
          <w:color w:val="000000"/>
          <w:szCs w:val="24"/>
        </w:rPr>
        <w:t>was made during the reporting period</w:t>
      </w:r>
      <w:r>
        <w:rPr>
          <w:rFonts w:eastAsia="Calibri" w:cs="Times New Roman"/>
          <w:bCs/>
          <w:noProof/>
          <w:color w:val="000000"/>
          <w:szCs w:val="24"/>
        </w:rPr>
        <w:t xml:space="preserve"> through further alignment with the </w:t>
      </w:r>
      <w:r>
        <w:rPr>
          <w:rFonts w:eastAsia="Times New Roman" w:cs="Times New Roman"/>
          <w:noProof/>
          <w:szCs w:val="24"/>
          <w:lang w:eastAsia="en-GB"/>
        </w:rPr>
        <w:t xml:space="preserve">EU </w:t>
      </w:r>
      <w:r>
        <w:rPr>
          <w:rFonts w:eastAsia="Times New Roman" w:cs="Times New Roman"/>
          <w:noProof/>
          <w:szCs w:val="24"/>
          <w:lang w:eastAsia="en-GB"/>
        </w:rPr>
        <w:t>Services Directive and preparatory activities for the establishment of a point of single contact, while there was no progress on electronic company registration.</w:t>
      </w:r>
      <w:r>
        <w:rPr>
          <w:rFonts w:eastAsia="Calibri" w:cs="Times New Roman"/>
          <w:bCs/>
          <w:noProof/>
          <w:color w:val="000000"/>
          <w:szCs w:val="24"/>
        </w:rPr>
        <w:t xml:space="preserve">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in particular: </w:t>
      </w:r>
    </w:p>
    <w:p w:rsidR="003C2144" w:rsidRDefault="00FB7959">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 xml:space="preserve">continue inter-ministerial coordination and fully align with the EU Services Directive; </w:t>
      </w:r>
    </w:p>
    <w:p w:rsidR="003C2144" w:rsidRDefault="00FB7959">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Times New Roman" w:cs="Times New Roman"/>
          <w:noProof/>
          <w:color w:val="000000"/>
          <w:szCs w:val="24"/>
          <w:lang w:eastAsia="en-GB"/>
        </w:rPr>
        <w:t>establish a fully operational point of single contact;</w:t>
      </w:r>
    </w:p>
    <w:p w:rsidR="003C2144" w:rsidRDefault="00FB7959">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implement the required electronic systems for the electronic company registration.</w:t>
      </w:r>
    </w:p>
    <w:p w:rsidR="003C2144" w:rsidRDefault="00FB7959">
      <w:pPr>
        <w:autoSpaceDE w:val="0"/>
        <w:autoSpaceDN w:val="0"/>
        <w:adjustRightInd w:val="0"/>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the </w:t>
      </w:r>
      <w:r>
        <w:rPr>
          <w:rFonts w:eastAsia="Times New Roman" w:cs="Times New Roman"/>
          <w:b/>
          <w:noProof/>
          <w:szCs w:val="24"/>
          <w:lang w:eastAsia="en-GB"/>
        </w:rPr>
        <w:t>right of establishment</w:t>
      </w:r>
      <w:r>
        <w:rPr>
          <w:rFonts w:eastAsia="Times New Roman" w:cs="Times New Roman"/>
          <w:b/>
          <w:noProof/>
          <w:szCs w:val="24"/>
          <w:lang w:eastAsia="en-GB"/>
        </w:rPr>
        <w:t xml:space="preserve"> and freedom to provide cross border services</w:t>
      </w:r>
      <w:r>
        <w:rPr>
          <w:rFonts w:eastAsia="Times New Roman" w:cs="Times New Roman"/>
          <w:noProof/>
          <w:szCs w:val="24"/>
          <w:lang w:eastAsia="en-GB"/>
        </w:rPr>
        <w:t xml:space="preserve">, further progress remains to be made on full electronic company registration. Alignment of sectoral legislation with the EU Services Directive continued. Establishment of a point of single contact, as provided </w:t>
      </w:r>
      <w:r>
        <w:rPr>
          <w:rFonts w:eastAsia="Times New Roman" w:cs="Times New Roman"/>
          <w:noProof/>
          <w:szCs w:val="24"/>
          <w:lang w:eastAsia="en-GB"/>
        </w:rPr>
        <w:t>for in the EU Services Directive, progressed in accordance with the relevant action plan. However, progress is hampered by the limited administrative capacity of the services department in the Ministry of Economy.</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w:t>
      </w:r>
      <w:r>
        <w:rPr>
          <w:rFonts w:eastAsia="Times New Roman" w:cs="Times New Roman"/>
          <w:b/>
          <w:noProof/>
          <w:szCs w:val="24"/>
          <w:lang w:eastAsia="en-GB"/>
        </w:rPr>
        <w:t>postal services</w:t>
      </w:r>
      <w:r>
        <w:rPr>
          <w:rFonts w:eastAsia="Times New Roman" w:cs="Times New Roman"/>
          <w:noProof/>
          <w:szCs w:val="24"/>
          <w:lang w:eastAsia="en-GB"/>
        </w:rPr>
        <w:t>, the legislation is ali</w:t>
      </w:r>
      <w:r>
        <w:rPr>
          <w:rFonts w:eastAsia="Times New Roman" w:cs="Times New Roman"/>
          <w:noProof/>
          <w:szCs w:val="24"/>
          <w:lang w:eastAsia="en-GB"/>
        </w:rPr>
        <w:t xml:space="preserve">gned with the EU Postal Services Directive. While the postal services market remains fully open to competition, Montenegro should further align its legislation with the EU </w:t>
      </w:r>
      <w:r>
        <w:rPr>
          <w:rFonts w:eastAsia="Times New Roman" w:cs="Times New Roman"/>
          <w:i/>
          <w:noProof/>
          <w:szCs w:val="24"/>
          <w:lang w:eastAsia="en-GB"/>
        </w:rPr>
        <w:t>acquis</w:t>
      </w:r>
      <w:r>
        <w:rPr>
          <w:rFonts w:eastAsia="Times New Roman" w:cs="Times New Roman"/>
          <w:noProof/>
          <w:szCs w:val="24"/>
          <w:lang w:eastAsia="en-GB"/>
        </w:rPr>
        <w:t>, including with the Regulation on cross-border parcel delivery services. Prep</w:t>
      </w:r>
      <w:r>
        <w:rPr>
          <w:rFonts w:eastAsia="Times New Roman" w:cs="Times New Roman"/>
          <w:noProof/>
          <w:szCs w:val="24"/>
          <w:lang w:eastAsia="en-GB"/>
        </w:rPr>
        <w:t>arations have started on an action plan for the postal development strategy 2021-2022.</w:t>
      </w:r>
    </w:p>
    <w:p w:rsidR="003C2144" w:rsidRDefault="00FB7959">
      <w:pPr>
        <w:spacing w:after="120" w:line="240" w:lineRule="auto"/>
        <w:jc w:val="both"/>
        <w:rPr>
          <w:rFonts w:eastAsia="Calibri" w:cs="Times New Roman"/>
          <w:noProof/>
          <w:szCs w:val="24"/>
        </w:rPr>
      </w:pPr>
      <w:r>
        <w:rPr>
          <w:rFonts w:eastAsia="Times New Roman" w:cs="Times New Roman"/>
          <w:noProof/>
          <w:szCs w:val="24"/>
          <w:lang w:eastAsia="en-GB"/>
        </w:rPr>
        <w:t xml:space="preserve">On the </w:t>
      </w:r>
      <w:r>
        <w:rPr>
          <w:rFonts w:eastAsia="Times New Roman" w:cs="Times New Roman"/>
          <w:b/>
          <w:noProof/>
          <w:szCs w:val="24"/>
          <w:lang w:eastAsia="en-GB"/>
        </w:rPr>
        <w:t>mutual recognition of professional qualifications</w:t>
      </w:r>
      <w:r>
        <w:rPr>
          <w:rFonts w:eastAsia="Times New Roman" w:cs="Times New Roman"/>
          <w:noProof/>
          <w:szCs w:val="24"/>
          <w:lang w:eastAsia="en-GB"/>
        </w:rPr>
        <w:t xml:space="preserve">, Montenegro reached a satisfying level of alignment with the EU </w:t>
      </w:r>
      <w:r>
        <w:rPr>
          <w:rFonts w:eastAsia="Times New Roman" w:cs="Times New Roman"/>
          <w:i/>
          <w:noProof/>
          <w:szCs w:val="24"/>
          <w:lang w:eastAsia="en-GB"/>
        </w:rPr>
        <w:t>acquis</w:t>
      </w:r>
      <w:r>
        <w:rPr>
          <w:rFonts w:eastAsia="Times New Roman" w:cs="Times New Roman"/>
          <w:noProof/>
          <w:szCs w:val="24"/>
          <w:lang w:eastAsia="en-GB"/>
        </w:rPr>
        <w:t>. Secondary legislation was adopted pertai</w:t>
      </w:r>
      <w:r>
        <w:rPr>
          <w:rFonts w:eastAsia="Times New Roman" w:cs="Times New Roman"/>
          <w:noProof/>
          <w:szCs w:val="24"/>
          <w:lang w:eastAsia="en-GB"/>
        </w:rPr>
        <w:t>ning to the Law on the recognition of foreign qualifications for regulated professions. Implementation continued under the national plan to develop qualifications for regulated professions. A follow up of the foreseen measures is necessary to ensure a cont</w:t>
      </w:r>
      <w:r>
        <w:rPr>
          <w:rFonts w:eastAsia="Times New Roman" w:cs="Times New Roman"/>
          <w:noProof/>
          <w:szCs w:val="24"/>
          <w:lang w:eastAsia="en-GB"/>
        </w:rPr>
        <w:t xml:space="preserve">inuous alignment with EU </w:t>
      </w:r>
      <w:r>
        <w:rPr>
          <w:rFonts w:eastAsia="Times New Roman" w:cs="Times New Roman"/>
          <w:i/>
          <w:noProof/>
          <w:szCs w:val="24"/>
          <w:lang w:eastAsia="en-GB"/>
        </w:rPr>
        <w:t>acquis</w:t>
      </w:r>
      <w:r>
        <w:rPr>
          <w:rFonts w:eastAsia="Times New Roman" w:cs="Times New Roman"/>
          <w:noProof/>
          <w:szCs w:val="24"/>
          <w:lang w:eastAsia="en-GB"/>
        </w:rPr>
        <w:t>.</w:t>
      </w:r>
    </w:p>
    <w:p w:rsidR="003C2144" w:rsidRDefault="00FB7959">
      <w:pPr>
        <w:pStyle w:val="Heading2"/>
        <w:rPr>
          <w:rFonts w:eastAsia="Times New Roman"/>
          <w:noProof/>
        </w:rPr>
      </w:pPr>
      <w:bookmarkStart w:id="72" w:name="_Toc30080569"/>
      <w:bookmarkStart w:id="73" w:name="_Toc30074131"/>
      <w:bookmarkStart w:id="74" w:name="_Toc30073818"/>
      <w:bookmarkStart w:id="75" w:name="_Toc52744937"/>
      <w:r>
        <w:rPr>
          <w:rFonts w:eastAsia="Times New Roman"/>
          <w:noProof/>
        </w:rPr>
        <w:t>5.4</w:t>
      </w:r>
      <w:r>
        <w:rPr>
          <w:rFonts w:eastAsia="Times New Roman"/>
          <w:noProof/>
        </w:rPr>
        <w:tab/>
        <w:t>Chapter 4: Free movement of capital</w:t>
      </w:r>
      <w:bookmarkEnd w:id="72"/>
      <w:bookmarkEnd w:id="73"/>
      <w:bookmarkEnd w:id="74"/>
      <w:bookmarkEnd w:id="75"/>
      <w:r>
        <w:rPr>
          <w:rFonts w:eastAsia="Times New Roman"/>
          <w:noProof/>
        </w:rPr>
        <w:t xml:space="preserve"> </w:t>
      </w:r>
    </w:p>
    <w:p w:rsidR="003C2144" w:rsidRDefault="00FB7959">
      <w:pPr>
        <w:spacing w:after="120" w:line="240" w:lineRule="auto"/>
        <w:jc w:val="both"/>
        <w:rPr>
          <w:rFonts w:eastAsia="Calibri" w:cs="Times New Roman"/>
          <w:i/>
          <w:noProof/>
          <w:color w:val="000000"/>
          <w:szCs w:val="24"/>
        </w:rPr>
      </w:pPr>
      <w:r>
        <w:rPr>
          <w:rFonts w:eastAsia="Calibri" w:cs="Times New Roman"/>
          <w:i/>
          <w:noProof/>
          <w:color w:val="000000"/>
          <w:szCs w:val="24"/>
        </w:rPr>
        <w:t xml:space="preserve">In the EU, capital and investments must be able to move without restriction and there are common rules for cross-border payments. Banks and other economic operators apply certain </w:t>
      </w:r>
      <w:r>
        <w:rPr>
          <w:rFonts w:eastAsia="Calibri" w:cs="Times New Roman"/>
          <w:i/>
          <w:noProof/>
          <w:color w:val="000000"/>
          <w:szCs w:val="24"/>
        </w:rPr>
        <w:t>rules to support the fight against money laundering and terrorist financing.</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w:t>
      </w:r>
      <w:r>
        <w:rPr>
          <w:rFonts w:eastAsia="Calibri" w:cs="Times New Roman"/>
          <w:b/>
          <w:bCs/>
          <w:noProof/>
          <w:color w:val="000000"/>
          <w:szCs w:val="24"/>
        </w:rPr>
        <w:t xml:space="preserve">moderately prepared </w:t>
      </w:r>
      <w:r>
        <w:rPr>
          <w:rFonts w:eastAsia="Calibri" w:cs="Times New Roman"/>
          <w:noProof/>
          <w:color w:val="000000"/>
          <w:szCs w:val="24"/>
        </w:rPr>
        <w:t xml:space="preserve">in this area. In line with last year’s recommendation, </w:t>
      </w:r>
      <w:r>
        <w:rPr>
          <w:rFonts w:eastAsia="Calibri" w:cs="Times New Roman"/>
          <w:b/>
          <w:noProof/>
          <w:color w:val="000000"/>
          <w:szCs w:val="24"/>
        </w:rPr>
        <w:t>s</w:t>
      </w:r>
      <w:r>
        <w:rPr>
          <w:rFonts w:eastAsia="Calibri" w:cs="Times New Roman"/>
          <w:b/>
          <w:bCs/>
          <w:noProof/>
          <w:color w:val="000000"/>
          <w:szCs w:val="24"/>
        </w:rPr>
        <w:t xml:space="preserve">ome progress </w:t>
      </w:r>
      <w:r>
        <w:rPr>
          <w:rFonts w:eastAsia="Calibri" w:cs="Times New Roman"/>
          <w:noProof/>
          <w:color w:val="000000"/>
          <w:szCs w:val="24"/>
        </w:rPr>
        <w:t>was made on the legal framework relating to the fight against money launderi</w:t>
      </w:r>
      <w:r>
        <w:rPr>
          <w:rFonts w:eastAsia="Calibri" w:cs="Times New Roman"/>
          <w:noProof/>
          <w:color w:val="000000"/>
          <w:szCs w:val="24"/>
        </w:rPr>
        <w:t xml:space="preserve">ng, resulting in the </w:t>
      </w:r>
      <w:r>
        <w:rPr>
          <w:rFonts w:eastAsia="Calibri" w:cs="Times New Roman"/>
          <w:bCs/>
          <w:noProof/>
          <w:color w:val="000000"/>
          <w:szCs w:val="24"/>
        </w:rPr>
        <w:t>formal removal of Montenegro from the fourth round’s regular follow-up process of</w:t>
      </w:r>
      <w:r>
        <w:rPr>
          <w:rFonts w:eastAsia="Calibri" w:cs="Times New Roman"/>
          <w:noProof/>
          <w:color w:val="000000"/>
          <w:szCs w:val="24"/>
        </w:rPr>
        <w:t xml:space="preserve"> MONEYVAL, the Council of Europe’s</w:t>
      </w:r>
      <w:r>
        <w:rPr>
          <w:rFonts w:eastAsia="Calibri" w:cs="Times New Roman"/>
          <w:bCs/>
          <w:noProof/>
          <w:color w:val="000000"/>
          <w:szCs w:val="24"/>
        </w:rPr>
        <w:t xml:space="preserve"> Committee of Experts on the Evaluation of Anti-Money Laundering Measures</w:t>
      </w:r>
      <w:r>
        <w:rPr>
          <w:rFonts w:eastAsia="Calibri" w:cs="Times New Roman"/>
          <w:noProof/>
          <w:color w:val="000000"/>
          <w:szCs w:val="24"/>
        </w:rPr>
        <w:t>.</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Some progress was also made on the capacity t</w:t>
      </w:r>
      <w:r>
        <w:rPr>
          <w:rFonts w:eastAsia="Calibri" w:cs="Times New Roman"/>
          <w:noProof/>
          <w:color w:val="000000"/>
          <w:szCs w:val="24"/>
        </w:rPr>
        <w:t xml:space="preserve">o prevent and detect money laundering. Last year’s recommendations remain valid.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still: </w:t>
      </w:r>
    </w:p>
    <w:p w:rsidR="003C2144" w:rsidRDefault="00FB7959">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 xml:space="preserve">align with the EU </w:t>
      </w:r>
      <w:r>
        <w:rPr>
          <w:rFonts w:eastAsia="Calibri" w:cs="Times New Roman"/>
          <w:i/>
          <w:noProof/>
          <w:color w:val="000000"/>
          <w:szCs w:val="24"/>
        </w:rPr>
        <w:t>acquis</w:t>
      </w:r>
      <w:r>
        <w:rPr>
          <w:rFonts w:eastAsia="Calibri" w:cs="Times New Roman"/>
          <w:noProof/>
          <w:color w:val="000000"/>
          <w:szCs w:val="24"/>
        </w:rPr>
        <w:t xml:space="preserve"> on capital movements and payments, including on the acquisition of property rights and on payment systems;</w:t>
      </w:r>
    </w:p>
    <w:p w:rsidR="003C2144" w:rsidRDefault="00FB7959">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 xml:space="preserve">update the strategic framework on the </w:t>
      </w:r>
      <w:r>
        <w:rPr>
          <w:rFonts w:eastAsia="Calibri" w:cs="Times New Roman"/>
          <w:bCs/>
          <w:noProof/>
          <w:color w:val="000000"/>
          <w:szCs w:val="24"/>
        </w:rPr>
        <w:t xml:space="preserve">prevention of terrorism, money laundering and terrorism financing, </w:t>
      </w:r>
      <w:r>
        <w:rPr>
          <w:rFonts w:eastAsia="Calibri" w:cs="Times New Roman"/>
          <w:noProof/>
          <w:color w:val="000000"/>
          <w:szCs w:val="24"/>
        </w:rPr>
        <w:t>continue to strengthen the capacity to perf</w:t>
      </w:r>
      <w:r>
        <w:rPr>
          <w:rFonts w:eastAsia="Calibri" w:cs="Times New Roman"/>
          <w:noProof/>
          <w:color w:val="000000"/>
          <w:szCs w:val="24"/>
        </w:rPr>
        <w:t>orm checks on all reporting entities, enhance the quality of reporting, ensure the independence and efficiency of the relevant institutions;</w:t>
      </w:r>
    </w:p>
    <w:p w:rsidR="003C2144" w:rsidRDefault="00FB7959">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take into account potential risks of money laundering linked to the investor scheme in the national risk assessment</w:t>
      </w:r>
      <w:r>
        <w:rPr>
          <w:rFonts w:eastAsia="Calibri" w:cs="Times New Roman"/>
          <w:noProof/>
          <w:color w:val="000000"/>
          <w:szCs w:val="24"/>
        </w:rPr>
        <w:t>, basing this on the EU anti-money laundering rules, and take the necessary mitigating measures.</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capital movements and payments</w:t>
      </w:r>
      <w:r>
        <w:rPr>
          <w:rFonts w:eastAsia="Calibri" w:cs="Times New Roman"/>
          <w:noProof/>
          <w:szCs w:val="24"/>
        </w:rPr>
        <w:t>, since 2017 Montenegro has a regime of free movement of capital, no limitation on the transfer of property, and no foreign ex</w:t>
      </w:r>
      <w:r>
        <w:rPr>
          <w:rFonts w:eastAsia="Calibri" w:cs="Times New Roman"/>
          <w:noProof/>
          <w:szCs w:val="24"/>
        </w:rPr>
        <w:t xml:space="preserve">change or currency control. However, full alignment with the EU </w:t>
      </w:r>
      <w:r>
        <w:rPr>
          <w:rFonts w:eastAsia="Calibri" w:cs="Times New Roman"/>
          <w:i/>
          <w:noProof/>
          <w:szCs w:val="24"/>
        </w:rPr>
        <w:t>acquis</w:t>
      </w:r>
      <w:r>
        <w:rPr>
          <w:rFonts w:eastAsia="Calibri" w:cs="Times New Roman"/>
          <w:noProof/>
          <w:szCs w:val="24"/>
        </w:rPr>
        <w:t xml:space="preserve"> has not been achieved. A new insurance law and amendments to the law on ownership rights, removing preferential treatments, are yet to be adopted.</w:t>
      </w:r>
    </w:p>
    <w:p w:rsidR="003C2144" w:rsidRDefault="00FB7959">
      <w:pPr>
        <w:spacing w:after="120" w:line="240" w:lineRule="auto"/>
        <w:jc w:val="both"/>
        <w:rPr>
          <w:rFonts w:eastAsia="Calibri" w:cs="Times New Roman"/>
          <w:bCs/>
          <w:noProof/>
          <w:color w:val="000000"/>
          <w:szCs w:val="24"/>
        </w:rPr>
      </w:pPr>
      <w:r>
        <w:rPr>
          <w:rFonts w:eastAsia="Calibri" w:cs="Times New Roman"/>
          <w:bCs/>
          <w:noProof/>
          <w:color w:val="000000"/>
          <w:szCs w:val="24"/>
        </w:rPr>
        <w:t xml:space="preserve">As regards the </w:t>
      </w:r>
      <w:r>
        <w:rPr>
          <w:rFonts w:eastAsia="Calibri" w:cs="Times New Roman"/>
          <w:b/>
          <w:bCs/>
          <w:noProof/>
          <w:color w:val="000000"/>
          <w:szCs w:val="24"/>
        </w:rPr>
        <w:t>payment system</w:t>
      </w:r>
      <w:r>
        <w:rPr>
          <w:rFonts w:eastAsia="Calibri" w:cs="Times New Roman"/>
          <w:bCs/>
          <w:noProof/>
          <w:color w:val="000000"/>
          <w:szCs w:val="24"/>
        </w:rPr>
        <w:t xml:space="preserve">, although the legislation is largely in place, further alignment with the EU </w:t>
      </w:r>
      <w:r>
        <w:rPr>
          <w:rFonts w:eastAsia="Calibri" w:cs="Times New Roman"/>
          <w:bCs/>
          <w:i/>
          <w:noProof/>
          <w:color w:val="000000"/>
          <w:szCs w:val="24"/>
        </w:rPr>
        <w:t>acquis</w:t>
      </w:r>
      <w:r>
        <w:rPr>
          <w:rFonts w:eastAsia="Calibri" w:cs="Times New Roman"/>
          <w:bCs/>
          <w:noProof/>
          <w:color w:val="000000"/>
          <w:szCs w:val="24"/>
        </w:rPr>
        <w:t xml:space="preserve"> is needed. Montenegro finalised draft laws on: (i) comparability of fees charged to customers, payment account switching and access to payment accounts with basic features</w:t>
      </w:r>
      <w:r>
        <w:rPr>
          <w:rFonts w:eastAsia="Calibri" w:cs="Times New Roman"/>
          <w:bCs/>
          <w:noProof/>
          <w:color w:val="000000"/>
          <w:szCs w:val="24"/>
        </w:rPr>
        <w:t xml:space="preserve">, and (ii) on interchange fees and card-based payment transactions, with the aim of achieving further alignment with the EU </w:t>
      </w:r>
      <w:r>
        <w:rPr>
          <w:rFonts w:eastAsia="Calibri" w:cs="Times New Roman"/>
          <w:bCs/>
          <w:i/>
          <w:noProof/>
          <w:color w:val="000000"/>
          <w:szCs w:val="24"/>
        </w:rPr>
        <w:t>acquis</w:t>
      </w:r>
      <w:r>
        <w:rPr>
          <w:rFonts w:eastAsia="Calibri" w:cs="Times New Roman"/>
          <w:bCs/>
          <w:noProof/>
          <w:color w:val="000000"/>
          <w:szCs w:val="24"/>
        </w:rPr>
        <w:t>. There are five licensed payment institutions in Montenegro, including one for electronic payments. The total number of regis</w:t>
      </w:r>
      <w:r>
        <w:rPr>
          <w:rFonts w:eastAsia="Calibri" w:cs="Times New Roman"/>
          <w:bCs/>
          <w:noProof/>
          <w:color w:val="000000"/>
          <w:szCs w:val="24"/>
        </w:rPr>
        <w:t>tered agents in payment institutions increased to 22 in the first quarter of 2020.</w:t>
      </w:r>
    </w:p>
    <w:p w:rsidR="003C2144" w:rsidRDefault="00FB7959">
      <w:pPr>
        <w:spacing w:after="120" w:line="240" w:lineRule="auto"/>
        <w:jc w:val="both"/>
        <w:rPr>
          <w:rFonts w:eastAsia="Calibri" w:cs="Times New Roman"/>
          <w:bCs/>
          <w:noProof/>
          <w:color w:val="000000"/>
          <w:szCs w:val="24"/>
        </w:rPr>
      </w:pPr>
      <w:r>
        <w:rPr>
          <w:rFonts w:eastAsia="Calibri" w:cs="Times New Roman"/>
          <w:b/>
          <w:bCs/>
          <w:noProof/>
          <w:color w:val="000000"/>
          <w:szCs w:val="24"/>
        </w:rPr>
        <w:t>The strategy for the prevention of terrorism, money laundering and terrorism financing</w:t>
      </w:r>
      <w:r>
        <w:rPr>
          <w:rFonts w:eastAsia="Calibri" w:cs="Times New Roman"/>
          <w:bCs/>
          <w:noProof/>
          <w:color w:val="000000"/>
          <w:szCs w:val="24"/>
        </w:rPr>
        <w:t xml:space="preserve"> expired in 2018, and a new strategy is yet be adopted. </w:t>
      </w:r>
      <w:r>
        <w:rPr>
          <w:rFonts w:eastAsia="Calibri" w:cs="Times New Roman"/>
          <w:b/>
          <w:bCs/>
          <w:noProof/>
          <w:color w:val="000000"/>
          <w:szCs w:val="24"/>
        </w:rPr>
        <w:t>The Law on the prevention of mo</w:t>
      </w:r>
      <w:r>
        <w:rPr>
          <w:rFonts w:eastAsia="Calibri" w:cs="Times New Roman"/>
          <w:b/>
          <w:bCs/>
          <w:noProof/>
          <w:color w:val="000000"/>
          <w:szCs w:val="24"/>
        </w:rPr>
        <w:t xml:space="preserve">ney laundering and terrorist financing </w:t>
      </w:r>
      <w:r>
        <w:rPr>
          <w:rFonts w:eastAsia="Calibri" w:cs="Times New Roman"/>
          <w:bCs/>
          <w:noProof/>
          <w:color w:val="000000"/>
          <w:szCs w:val="24"/>
        </w:rPr>
        <w:t>was amended in December 2019 to reflect the changes in the institutional setting of the financial intelligence unit (FIU) and to strengthen its operational autonomy and independence, despite the fact that it is admini</w:t>
      </w:r>
      <w:r>
        <w:rPr>
          <w:rFonts w:eastAsia="Calibri" w:cs="Times New Roman"/>
          <w:bCs/>
          <w:noProof/>
          <w:color w:val="000000"/>
          <w:szCs w:val="24"/>
        </w:rPr>
        <w:t xml:space="preserve">stratively a department of the police. The amendments refer to the competencies, powers, affairs and organisation of the FIU, including data protection issues and aim at ensuring the compliance with some of the recommendations of the Financial Action Task </w:t>
      </w:r>
      <w:r>
        <w:rPr>
          <w:rFonts w:eastAsia="Calibri" w:cs="Times New Roman"/>
          <w:bCs/>
          <w:noProof/>
          <w:color w:val="000000"/>
          <w:szCs w:val="24"/>
        </w:rPr>
        <w:t>Force (FATF) and international standards. However, the law will need to be amended again, to address remaining shortcomings and to align it with the 5</w:t>
      </w:r>
      <w:r>
        <w:rPr>
          <w:rFonts w:eastAsia="Calibri" w:cs="Times New Roman"/>
          <w:bCs/>
          <w:noProof/>
          <w:color w:val="000000"/>
          <w:szCs w:val="24"/>
          <w:vertAlign w:val="superscript"/>
        </w:rPr>
        <w:t>th</w:t>
      </w:r>
      <w:r>
        <w:rPr>
          <w:rFonts w:eastAsia="Calibri" w:cs="Times New Roman"/>
          <w:bCs/>
          <w:noProof/>
          <w:color w:val="000000"/>
          <w:szCs w:val="24"/>
        </w:rPr>
        <w:t xml:space="preserve"> EU Anti-Money Laundering Directive. In December 2019, the Montenegrin FIU applied to restore its member</w:t>
      </w:r>
      <w:r>
        <w:rPr>
          <w:rFonts w:eastAsia="Calibri" w:cs="Times New Roman"/>
          <w:bCs/>
          <w:noProof/>
          <w:color w:val="000000"/>
          <w:szCs w:val="24"/>
        </w:rPr>
        <w:t>ship in the Egmont Group, which was cancelled when the FIU ceased to exist under its previous legal form. In May 2020, the Committee of experts on the evaluation of anti-money laundering measures and the financing of terrorism (MONEYVAL) formally removed M</w:t>
      </w:r>
      <w:r>
        <w:rPr>
          <w:rFonts w:eastAsia="Calibri" w:cs="Times New Roman"/>
          <w:bCs/>
          <w:noProof/>
          <w:color w:val="000000"/>
          <w:szCs w:val="24"/>
        </w:rPr>
        <w:t xml:space="preserve">ontenegro from the fourth round’s regular follow-up process, considering that the country had taken sufficient steps to remedy deficiencies that had been identified in 2015. </w:t>
      </w:r>
    </w:p>
    <w:p w:rsidR="003C2144" w:rsidRDefault="00FB7959">
      <w:pPr>
        <w:spacing w:after="120" w:line="240" w:lineRule="auto"/>
        <w:jc w:val="both"/>
        <w:rPr>
          <w:rFonts w:eastAsia="Calibri" w:cs="Times New Roman"/>
          <w:noProof/>
          <w:szCs w:val="24"/>
        </w:rPr>
      </w:pPr>
      <w:r>
        <w:rPr>
          <w:rFonts w:eastAsia="Calibri" w:cs="Times New Roman"/>
          <w:bCs/>
          <w:noProof/>
          <w:color w:val="000000"/>
          <w:szCs w:val="24"/>
        </w:rPr>
        <w:t>A new directorate dealing with the prevention of money laundering and terrorism f</w:t>
      </w:r>
      <w:r>
        <w:rPr>
          <w:rFonts w:eastAsia="Calibri" w:cs="Times New Roman"/>
          <w:bCs/>
          <w:noProof/>
          <w:color w:val="000000"/>
          <w:szCs w:val="24"/>
        </w:rPr>
        <w:t xml:space="preserve">inancing was established within the central bank, with four staff members. </w:t>
      </w:r>
      <w:r>
        <w:rPr>
          <w:rFonts w:eastAsia="Calibri" w:cs="Times New Roman"/>
          <w:noProof/>
          <w:szCs w:val="24"/>
        </w:rPr>
        <w:t>In 2019 and the first three months of 2020, the central bank carried out 7 planned bank inspections, 4 targeted on-site bank inspections, one check of a payment institution, 2 check</w:t>
      </w:r>
      <w:r>
        <w:rPr>
          <w:rFonts w:eastAsia="Calibri" w:cs="Times New Roman"/>
          <w:noProof/>
          <w:szCs w:val="24"/>
        </w:rPr>
        <w:t>s of a micro-finance institution and one check of a financial leasing company.</w:t>
      </w:r>
    </w:p>
    <w:p w:rsidR="003C2144" w:rsidRDefault="00FB7959">
      <w:pPr>
        <w:spacing w:after="120" w:line="240" w:lineRule="auto"/>
        <w:jc w:val="both"/>
        <w:rPr>
          <w:rFonts w:eastAsia="Calibri" w:cs="Times New Roman"/>
          <w:bCs/>
          <w:noProof/>
          <w:color w:val="000000"/>
          <w:szCs w:val="24"/>
        </w:rPr>
      </w:pPr>
      <w:bookmarkStart w:id="76" w:name="_Toc30073820"/>
      <w:bookmarkStart w:id="77" w:name="_Toc30074133"/>
      <w:r>
        <w:rPr>
          <w:rFonts w:eastAsia="Calibri" w:cs="Times New Roman"/>
          <w:bCs/>
          <w:noProof/>
          <w:color w:val="000000"/>
          <w:szCs w:val="24"/>
        </w:rPr>
        <w:t>In September 2019, the Capital Market Authority, the body in charge of regulating, licensing and monitoring the capital market,</w:t>
      </w:r>
      <w:r>
        <w:rPr>
          <w:rFonts w:eastAsia="Calibri" w:cs="Times New Roman"/>
          <w:noProof/>
          <w:szCs w:val="24"/>
        </w:rPr>
        <w:t xml:space="preserve"> </w:t>
      </w:r>
      <w:r>
        <w:rPr>
          <w:rFonts w:eastAsia="Calibri" w:cs="Times New Roman"/>
          <w:bCs/>
          <w:noProof/>
          <w:color w:val="000000"/>
          <w:szCs w:val="24"/>
        </w:rPr>
        <w:t>developed a rulebook to implement risk-based surv</w:t>
      </w:r>
      <w:r>
        <w:rPr>
          <w:rFonts w:eastAsia="Calibri" w:cs="Times New Roman"/>
          <w:bCs/>
          <w:noProof/>
          <w:color w:val="000000"/>
          <w:szCs w:val="24"/>
        </w:rPr>
        <w:t>eillance measures on the prevention of money laundering and terrorism financing. In November 2019, it adopted guidelines for risk-based analysis of capital market participants.</w:t>
      </w:r>
      <w:bookmarkEnd w:id="76"/>
      <w:bookmarkEnd w:id="77"/>
    </w:p>
    <w:p w:rsidR="003C2144" w:rsidRDefault="00FB7959">
      <w:pPr>
        <w:spacing w:after="120" w:line="240" w:lineRule="auto"/>
        <w:jc w:val="both"/>
        <w:rPr>
          <w:rFonts w:eastAsia="Calibri" w:cs="Times New Roman"/>
          <w:noProof/>
          <w:szCs w:val="24"/>
        </w:rPr>
      </w:pPr>
      <w:bookmarkStart w:id="78" w:name="_Toc30073819"/>
      <w:bookmarkStart w:id="79" w:name="_Toc30074132"/>
      <w:r>
        <w:rPr>
          <w:rFonts w:eastAsia="Calibri" w:cs="Times New Roman"/>
          <w:noProof/>
          <w:szCs w:val="24"/>
        </w:rPr>
        <w:t>The FIU’s enhanced capacity, including its direct access to police intelligence</w:t>
      </w:r>
      <w:r>
        <w:rPr>
          <w:rFonts w:eastAsia="Calibri" w:cs="Times New Roman"/>
          <w:noProof/>
          <w:szCs w:val="24"/>
        </w:rPr>
        <w:t xml:space="preserve"> in addition to financial intelligence, resulted in a substantial increase in the number of cases processed and of suspicious transactions prevented. The number of transaction reports received by reporting entities rose to 264 in 2019 (a 14% increase compa</w:t>
      </w:r>
      <w:r>
        <w:rPr>
          <w:rFonts w:eastAsia="Calibri" w:cs="Times New Roman"/>
          <w:noProof/>
          <w:szCs w:val="24"/>
        </w:rPr>
        <w:t>red with 2018), reflecting a stronger ability to engage with reporting entities and clarify reporting rules. Reporting from non-financial entities such as notaries, improved. However, the absence of reporting from lawyers still needs to be addressed. In 20</w:t>
      </w:r>
      <w:r>
        <w:rPr>
          <w:rFonts w:eastAsia="Calibri" w:cs="Times New Roman"/>
          <w:noProof/>
          <w:szCs w:val="24"/>
        </w:rPr>
        <w:t xml:space="preserve">19, the FIU carried out only 11 controls of reporting entities (compared with 94 in 2018), due to the fact that the supervision competence was transferred from the FIU to the Ministry of Interior in April, but endorsed in the revised anti-money laundering </w:t>
      </w:r>
      <w:r>
        <w:rPr>
          <w:rFonts w:eastAsia="Calibri" w:cs="Times New Roman"/>
          <w:noProof/>
          <w:szCs w:val="24"/>
        </w:rPr>
        <w:t>legislation in December. From January to September 2020, the ministry of Interior performed 37 controls of reporting entities. Twenty-four suspicious transaction were identified (compared with 22 in 2018), and 17 in the first quarter of 2020. Nine orders f</w:t>
      </w:r>
      <w:r>
        <w:rPr>
          <w:rFonts w:eastAsia="Calibri" w:cs="Times New Roman"/>
          <w:noProof/>
          <w:szCs w:val="24"/>
        </w:rPr>
        <w:t xml:space="preserve">or temporary suspension of transaction were issued in 2019, amounting to EUR 7.6 million and 53 orders in the first quarters of 2020, amounting to EUR 2.2 million. </w:t>
      </w:r>
    </w:p>
    <w:bookmarkEnd w:id="78"/>
    <w:bookmarkEnd w:id="79"/>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Since January 2019, Montenegro has been running </w:t>
      </w:r>
      <w:r>
        <w:rPr>
          <w:rFonts w:eastAsia="Calibri" w:cs="Times New Roman"/>
          <w:b/>
          <w:noProof/>
          <w:szCs w:val="24"/>
        </w:rPr>
        <w:t>an investor citizenship scheme</w:t>
      </w:r>
      <w:r>
        <w:rPr>
          <w:rFonts w:eastAsia="Calibri" w:cs="Times New Roman"/>
          <w:noProof/>
          <w:szCs w:val="24"/>
        </w:rPr>
        <w:t>, allowing fo</w:t>
      </w:r>
      <w:r>
        <w:rPr>
          <w:rFonts w:eastAsia="Calibri" w:cs="Times New Roman"/>
          <w:noProof/>
          <w:szCs w:val="24"/>
        </w:rPr>
        <w:t>reign investors to acquire Montenegrin citizenship for an investment of minimum EUR 350 000 in the local economy. Of the 24 applications received so far, 5 were rejected after due diligence procedure, while for 5 applications final decisions on citizenship</w:t>
      </w:r>
      <w:r>
        <w:rPr>
          <w:rFonts w:eastAsia="Calibri" w:cs="Times New Roman"/>
          <w:noProof/>
          <w:szCs w:val="24"/>
        </w:rPr>
        <w:t xml:space="preserve"> were issued with one passport having been issued so far in 2020 to a citizen of the Russian Federation. To the other applications and their family members, passports have not been issued yet due to the COVID-19 outbreak and the respective travel ban. This</w:t>
      </w:r>
      <w:r>
        <w:rPr>
          <w:rFonts w:eastAsia="Calibri" w:cs="Times New Roman"/>
          <w:noProof/>
          <w:szCs w:val="24"/>
        </w:rPr>
        <w:t xml:space="preserve"> scheme needs to be closely monitored as it poses risks as regards security, money laundering, tax evasion, terrorist financing, corruption and infiltration by organised crime. As provided for by new EU anti-money laundering rules, Montenegro should devote</w:t>
      </w:r>
      <w:r>
        <w:rPr>
          <w:rFonts w:eastAsia="Calibri" w:cs="Times New Roman"/>
          <w:noProof/>
          <w:szCs w:val="24"/>
        </w:rPr>
        <w:t xml:space="preserve"> particular attention to enhanced customer due diligence in the context of the investors’ citizenship programme.</w:t>
      </w:r>
    </w:p>
    <w:p w:rsidR="003C2144" w:rsidRDefault="00FB7959">
      <w:pPr>
        <w:pStyle w:val="Heading2"/>
        <w:rPr>
          <w:rFonts w:eastAsia="Calibri" w:cs="Times New Roman"/>
          <w:b w:val="0"/>
          <w:noProof/>
          <w:color w:val="000000"/>
          <w:szCs w:val="24"/>
        </w:rPr>
      </w:pPr>
      <w:bookmarkStart w:id="80" w:name="_Toc30080570"/>
      <w:bookmarkStart w:id="81" w:name="_Toc30074134"/>
      <w:bookmarkStart w:id="82" w:name="_Toc30073821"/>
      <w:bookmarkStart w:id="83" w:name="_Toc52744938"/>
      <w:r>
        <w:rPr>
          <w:rFonts w:eastAsia="Times New Roman" w:cs="Times New Roman"/>
          <w:noProof/>
          <w:szCs w:val="24"/>
        </w:rPr>
        <w:t>5.5</w:t>
      </w:r>
      <w:r>
        <w:rPr>
          <w:rFonts w:eastAsia="Times New Roman" w:cs="Times New Roman"/>
          <w:b w:val="0"/>
          <w:noProof/>
          <w:szCs w:val="24"/>
        </w:rPr>
        <w:tab/>
      </w:r>
      <w:r>
        <w:rPr>
          <w:rStyle w:val="Heading2Char"/>
          <w:b/>
          <w:noProof/>
        </w:rPr>
        <w:t>Chapter 5: Public procurement</w:t>
      </w:r>
      <w:bookmarkEnd w:id="80"/>
      <w:bookmarkEnd w:id="81"/>
      <w:bookmarkEnd w:id="82"/>
      <w:bookmarkEnd w:id="83"/>
      <w:r>
        <w:rPr>
          <w:rFonts w:eastAsia="Times New Roman" w:cs="Times New Roman"/>
          <w:b w:val="0"/>
          <w:noProof/>
          <w:szCs w:val="24"/>
        </w:rPr>
        <w:t xml:space="preserve"> </w:t>
      </w:r>
    </w:p>
    <w:p w:rsidR="003C2144" w:rsidRDefault="00FB7959">
      <w:pPr>
        <w:widowControl w:val="0"/>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 xml:space="preserve">EU rules ensure that public sector procurement of goods, services </w:t>
      </w:r>
      <w:r>
        <w:rPr>
          <w:rFonts w:eastAsia="Calibri" w:cs="Times New Roman"/>
          <w:i/>
          <w:iCs/>
          <w:noProof/>
          <w:color w:val="000000"/>
          <w:szCs w:val="24"/>
          <w:lang w:eastAsia="en-GB" w:bidi="en-US"/>
        </w:rPr>
        <w:t xml:space="preserve">and works </w:t>
      </w:r>
      <w:r>
        <w:rPr>
          <w:rFonts w:eastAsia="Calibri" w:cs="Times New Roman"/>
          <w:i/>
          <w:iCs/>
          <w:noProof/>
          <w:color w:val="000000"/>
          <w:szCs w:val="24"/>
          <w:lang w:eastAsia="en-GB"/>
        </w:rPr>
        <w:t xml:space="preserve">in any Member State is </w:t>
      </w:r>
      <w:r>
        <w:rPr>
          <w:rFonts w:eastAsia="Calibri" w:cs="Times New Roman"/>
          <w:i/>
          <w:iCs/>
          <w:noProof/>
          <w:color w:val="000000"/>
          <w:szCs w:val="24"/>
          <w:lang w:eastAsia="en-GB"/>
        </w:rPr>
        <w:t>transparent and open to all EU companies on the basis of non-discrimination and equal treatment.</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bCs/>
          <w:noProof/>
          <w:color w:val="000000"/>
          <w:szCs w:val="24"/>
        </w:rPr>
        <w:t xml:space="preserve">moderately prepared </w:t>
      </w:r>
      <w:r>
        <w:rPr>
          <w:rFonts w:eastAsia="Calibri" w:cs="Times New Roman"/>
          <w:noProof/>
          <w:color w:val="000000"/>
          <w:szCs w:val="24"/>
        </w:rPr>
        <w:t xml:space="preserve">on public procurement. </w:t>
      </w:r>
      <w:r>
        <w:rPr>
          <w:rFonts w:eastAsia="Calibri" w:cs="Times New Roman"/>
          <w:b/>
          <w:noProof/>
          <w:color w:val="000000"/>
          <w:szCs w:val="24"/>
        </w:rPr>
        <w:t>Some progress</w:t>
      </w:r>
      <w:r>
        <w:rPr>
          <w:rFonts w:eastAsia="Calibri" w:cs="Times New Roman"/>
          <w:noProof/>
          <w:color w:val="000000"/>
          <w:szCs w:val="24"/>
        </w:rPr>
        <w:t xml:space="preserve"> was achieved in 2019, with the adoption of the laws on public-private partnerships and public procurement. Last year’s recommendations were partially fulfilled.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w:t>
      </w:r>
    </w:p>
    <w:p w:rsidR="003C2144" w:rsidRDefault="00FB795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start implementing the laws on public-private partner</w:t>
      </w:r>
      <w:r>
        <w:rPr>
          <w:rFonts w:ascii="Times New Roman" w:eastAsia="Calibri" w:hAnsi="Times New Roman" w:cs="Times New Roman"/>
          <w:noProof/>
          <w:color w:val="000000"/>
          <w:sz w:val="24"/>
          <w:szCs w:val="24"/>
        </w:rPr>
        <w:t>ships and public procurement and adopt implementing legislation on public procurement, including on defence procurement;</w:t>
      </w:r>
    </w:p>
    <w:p w:rsidR="003C2144" w:rsidRDefault="00FB795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fully respect the EU public procurement principles when awarding the concession to operate Airports of Montenegro;</w:t>
      </w:r>
    </w:p>
    <w:p w:rsidR="003C2144" w:rsidRDefault="00FB795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further improve the </w:t>
      </w:r>
      <w:r>
        <w:rPr>
          <w:rFonts w:ascii="Times New Roman" w:eastAsia="Calibri" w:hAnsi="Times New Roman" w:cs="Times New Roman"/>
          <w:noProof/>
          <w:color w:val="000000"/>
          <w:sz w:val="24"/>
          <w:szCs w:val="24"/>
        </w:rPr>
        <w:t xml:space="preserve">functioning of the remedy system. </w:t>
      </w:r>
    </w:p>
    <w:p w:rsidR="003C2144" w:rsidRDefault="00FB7959">
      <w:pPr>
        <w:widowControl w:val="0"/>
        <w:autoSpaceDE w:val="0"/>
        <w:autoSpaceDN w:val="0"/>
        <w:adjustRightInd w:val="0"/>
        <w:spacing w:after="120" w:line="240" w:lineRule="auto"/>
        <w:jc w:val="both"/>
        <w:rPr>
          <w:rFonts w:eastAsia="Calibri" w:cs="Times New Roman"/>
          <w:noProof/>
          <w:color w:val="000000"/>
          <w:szCs w:val="24"/>
          <w:u w:val="single"/>
          <w:lang w:eastAsia="en-GB"/>
        </w:rPr>
      </w:pPr>
      <w:r>
        <w:rPr>
          <w:rFonts w:eastAsia="Calibri" w:cs="Times New Roman"/>
          <w:noProof/>
          <w:color w:val="000000"/>
          <w:szCs w:val="24"/>
          <w:u w:val="single"/>
          <w:lang w:eastAsia="en-GB"/>
        </w:rPr>
        <w:t>Institutional set-up and legal alignment</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bookmarkStart w:id="84" w:name="_Toc30074135"/>
      <w:bookmarkStart w:id="85" w:name="_Toc30073822"/>
      <w:r>
        <w:rPr>
          <w:rFonts w:eastAsia="Calibri" w:cs="Times New Roman"/>
          <w:noProof/>
          <w:color w:val="000000"/>
          <w:szCs w:val="24"/>
          <w:lang w:eastAsia="en-GB"/>
        </w:rPr>
        <w:t xml:space="preserve">The </w:t>
      </w:r>
      <w:r>
        <w:rPr>
          <w:rFonts w:eastAsia="Calibri" w:cs="Times New Roman"/>
          <w:b/>
          <w:noProof/>
          <w:color w:val="000000"/>
          <w:szCs w:val="24"/>
          <w:lang w:eastAsia="en-GB"/>
        </w:rPr>
        <w:t xml:space="preserve">legal framework </w:t>
      </w:r>
      <w:r>
        <w:rPr>
          <w:rFonts w:eastAsia="Calibri" w:cs="Times New Roman"/>
          <w:noProof/>
          <w:color w:val="000000"/>
          <w:szCs w:val="24"/>
          <w:lang w:eastAsia="en-GB"/>
        </w:rPr>
        <w:t xml:space="preserve">on public procurement is broadly aligned with the </w:t>
      </w:r>
      <w:r>
        <w:rPr>
          <w:rFonts w:eastAsia="Calibri" w:cs="Times New Roman"/>
          <w:i/>
          <w:noProof/>
          <w:color w:val="000000"/>
          <w:szCs w:val="24"/>
          <w:lang w:eastAsia="en-GB"/>
        </w:rPr>
        <w:t xml:space="preserve">acquis. </w:t>
      </w:r>
      <w:r>
        <w:rPr>
          <w:rFonts w:eastAsia="Calibri" w:cs="Times New Roman"/>
          <w:noProof/>
          <w:color w:val="000000"/>
          <w:szCs w:val="24"/>
          <w:lang w:eastAsia="en-GB"/>
        </w:rPr>
        <w:t xml:space="preserve">In December 2019, Parliament enacted an amended law on public procurement and a new law on </w:t>
      </w:r>
      <w:r>
        <w:rPr>
          <w:rFonts w:eastAsia="Calibri" w:cs="Times New Roman"/>
          <w:noProof/>
          <w:color w:val="000000"/>
          <w:szCs w:val="24"/>
          <w:lang w:eastAsia="en-GB"/>
        </w:rPr>
        <w:t>public-private partnership, both aimed at alignment with 2014 EU Procurement Directives</w:t>
      </w:r>
      <w:r>
        <w:rPr>
          <w:rFonts w:eastAsia="Calibri" w:cs="Times New Roman"/>
          <w:noProof/>
          <w:szCs w:val="24"/>
        </w:rPr>
        <w:t xml:space="preserve"> </w:t>
      </w:r>
      <w:r>
        <w:rPr>
          <w:rFonts w:eastAsia="Calibri" w:cs="Times New Roman"/>
          <w:noProof/>
          <w:color w:val="000000"/>
          <w:szCs w:val="24"/>
          <w:lang w:eastAsia="en-GB"/>
        </w:rPr>
        <w:t>on classical procurement, utilities and concessions. Work on related implementing legislation has started.</w:t>
      </w:r>
      <w:bookmarkEnd w:id="84"/>
      <w:bookmarkEnd w:id="85"/>
      <w:r>
        <w:rPr>
          <w:rFonts w:eastAsia="Calibri" w:cs="Times New Roman"/>
          <w:noProof/>
          <w:color w:val="000000"/>
          <w:szCs w:val="24"/>
          <w:lang w:eastAsia="en-GB"/>
        </w:rPr>
        <w:t xml:space="preserve"> </w:t>
      </w:r>
      <w:bookmarkStart w:id="86" w:name="_Toc30074136"/>
      <w:bookmarkStart w:id="87" w:name="_Toc30073823"/>
      <w:r>
        <w:rPr>
          <w:rFonts w:eastAsia="Calibri" w:cs="Times New Roman"/>
          <w:noProof/>
          <w:color w:val="000000"/>
          <w:szCs w:val="24"/>
          <w:lang w:eastAsia="en-GB"/>
        </w:rPr>
        <w:t>In total, 38 different legal acts are to be adopted during th</w:t>
      </w:r>
      <w:r>
        <w:rPr>
          <w:rFonts w:eastAsia="Calibri" w:cs="Times New Roman"/>
          <w:noProof/>
          <w:color w:val="000000"/>
          <w:szCs w:val="24"/>
          <w:lang w:eastAsia="en-GB"/>
        </w:rPr>
        <w:t xml:space="preserve">e year, including implementing legislation on central purchasing, defence procurement and e-procurement. </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Given the comprehensive regulatory, organisational and institutional changes over the last year, Montenegro adopted in July 2019 a detailed </w:t>
      </w:r>
      <w:r>
        <w:rPr>
          <w:rFonts w:eastAsia="Calibri" w:cs="Times New Roman"/>
          <w:b/>
          <w:noProof/>
          <w:color w:val="000000"/>
          <w:szCs w:val="24"/>
          <w:lang w:eastAsia="en-GB"/>
        </w:rPr>
        <w:t>action pla</w:t>
      </w:r>
      <w:r>
        <w:rPr>
          <w:rFonts w:eastAsia="Calibri" w:cs="Times New Roman"/>
          <w:b/>
          <w:noProof/>
          <w:color w:val="000000"/>
          <w:szCs w:val="24"/>
          <w:lang w:eastAsia="en-GB"/>
        </w:rPr>
        <w:t>n</w:t>
      </w:r>
      <w:r>
        <w:rPr>
          <w:rFonts w:eastAsia="Calibri" w:cs="Times New Roman"/>
          <w:noProof/>
          <w:color w:val="000000"/>
          <w:szCs w:val="24"/>
          <w:lang w:eastAsia="en-GB"/>
        </w:rPr>
        <w:t xml:space="preserve"> for reforms in this area. The plan covers the period until December 2020 and consists of 37 different measures, among them the adoption of a new strategy on public procurement.</w:t>
      </w:r>
      <w:bookmarkEnd w:id="86"/>
      <w:bookmarkEnd w:id="87"/>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88" w:name="_Toc30074138"/>
      <w:bookmarkStart w:id="89" w:name="_Toc30073825"/>
      <w:r>
        <w:rPr>
          <w:rFonts w:eastAsia="Calibri" w:cs="Times New Roman"/>
          <w:noProof/>
          <w:color w:val="000000"/>
          <w:szCs w:val="24"/>
          <w:lang w:eastAsia="en-GB"/>
        </w:rPr>
        <w:t>A high-profile tender for the concession to operate Airports of Montenegro wa</w:t>
      </w:r>
      <w:r>
        <w:rPr>
          <w:rFonts w:eastAsia="Calibri" w:cs="Times New Roman"/>
          <w:noProof/>
          <w:color w:val="000000"/>
          <w:szCs w:val="24"/>
          <w:lang w:eastAsia="en-GB"/>
        </w:rPr>
        <w:t>s launched by the government in October 2019. The process constitutes a test for the government’s determination to follow the EU standards of fair and transparent public procurement, providing value for money, competition and strong safeguards against corr</w:t>
      </w:r>
      <w:r>
        <w:rPr>
          <w:rFonts w:eastAsia="Calibri" w:cs="Times New Roman"/>
          <w:noProof/>
          <w:color w:val="000000"/>
          <w:szCs w:val="24"/>
          <w:lang w:eastAsia="en-GB"/>
        </w:rPr>
        <w:t>uption. Full compliance with the EU public procurement principles would be essential for Montenegro in line with the requirements of this negotiating chapter.</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rPr>
        <w:t xml:space="preserve">The </w:t>
      </w:r>
      <w:r>
        <w:rPr>
          <w:rFonts w:eastAsia="Calibri" w:cs="Times New Roman"/>
          <w:b/>
          <w:noProof/>
          <w:color w:val="000000"/>
          <w:szCs w:val="24"/>
        </w:rPr>
        <w:t>Public Procurement Administration</w:t>
      </w:r>
      <w:r>
        <w:rPr>
          <w:rFonts w:eastAsia="Calibri" w:cs="Times New Roman"/>
          <w:noProof/>
          <w:color w:val="000000"/>
          <w:szCs w:val="24"/>
        </w:rPr>
        <w:t xml:space="preserve"> is now a part of the Ministry of Finance’s Department for P</w:t>
      </w:r>
      <w:r>
        <w:rPr>
          <w:rFonts w:eastAsia="Calibri" w:cs="Times New Roman"/>
          <w:noProof/>
          <w:color w:val="000000"/>
          <w:szCs w:val="24"/>
        </w:rPr>
        <w:t xml:space="preserve">ublic Procurement, which has a lead role in developing public procurement policy. </w:t>
      </w:r>
    </w:p>
    <w:p w:rsidR="003C2144" w:rsidRDefault="00FB7959">
      <w:pPr>
        <w:autoSpaceDE w:val="0"/>
        <w:autoSpaceDN w:val="0"/>
        <w:adjustRightInd w:val="0"/>
        <w:spacing w:after="120" w:line="240" w:lineRule="auto"/>
        <w:jc w:val="both"/>
        <w:rPr>
          <w:rFonts w:eastAsia="Calibri" w:cs="Times New Roman"/>
          <w:noProof/>
          <w:color w:val="000000"/>
          <w:szCs w:val="24"/>
          <w:u w:val="single"/>
          <w:lang w:eastAsia="en-GB"/>
        </w:rPr>
      </w:pPr>
      <w:r>
        <w:rPr>
          <w:rFonts w:eastAsia="Calibri" w:cs="Times New Roman"/>
          <w:noProof/>
          <w:color w:val="000000"/>
          <w:szCs w:val="24"/>
          <w:u w:val="single"/>
          <w:lang w:eastAsia="en-GB"/>
        </w:rPr>
        <w:t>Implementation and enforcement capacity</w:t>
      </w:r>
      <w:bookmarkEnd w:id="88"/>
      <w:bookmarkEnd w:id="89"/>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bookmarkStart w:id="90" w:name="_Toc30074139"/>
      <w:bookmarkStart w:id="91" w:name="_Toc30073826"/>
      <w:r>
        <w:rPr>
          <w:rFonts w:eastAsia="Calibri" w:cs="Times New Roman"/>
          <w:noProof/>
          <w:color w:val="000000"/>
          <w:szCs w:val="24"/>
          <w:lang w:eastAsia="en-GB"/>
        </w:rPr>
        <w:t xml:space="preserve">Montenegro’s </w:t>
      </w:r>
      <w:r>
        <w:rPr>
          <w:rFonts w:eastAsia="Calibri" w:cs="Times New Roman"/>
          <w:b/>
          <w:noProof/>
          <w:color w:val="000000"/>
          <w:szCs w:val="24"/>
          <w:lang w:eastAsia="en-GB"/>
        </w:rPr>
        <w:t>public procurement market</w:t>
      </w:r>
      <w:r>
        <w:rPr>
          <w:rFonts w:eastAsia="Calibri" w:cs="Times New Roman"/>
          <w:noProof/>
          <w:color w:val="000000"/>
          <w:szCs w:val="24"/>
          <w:lang w:eastAsia="en-GB"/>
        </w:rPr>
        <w:t xml:space="preserve"> corresponded to 12.4% of GDP in 2019 and the value of all public procurement procedures amount</w:t>
      </w:r>
      <w:r>
        <w:rPr>
          <w:rFonts w:eastAsia="Calibri" w:cs="Times New Roman"/>
          <w:noProof/>
          <w:color w:val="000000"/>
          <w:szCs w:val="24"/>
          <w:lang w:eastAsia="en-GB"/>
        </w:rPr>
        <w:t xml:space="preserve">ed to some EUR 608 million. </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the </w:t>
      </w:r>
      <w:r>
        <w:rPr>
          <w:rFonts w:eastAsia="Calibri" w:cs="Times New Roman"/>
          <w:b/>
          <w:noProof/>
          <w:color w:val="000000"/>
          <w:szCs w:val="24"/>
          <w:lang w:eastAsia="en-GB"/>
        </w:rPr>
        <w:t>monitoring of contract award and implementation</w:t>
      </w:r>
      <w:r>
        <w:rPr>
          <w:rFonts w:eastAsia="Calibri" w:cs="Times New Roman"/>
          <w:noProof/>
          <w:color w:val="000000"/>
          <w:szCs w:val="24"/>
          <w:lang w:eastAsia="en-GB"/>
        </w:rPr>
        <w:t xml:space="preserve">, the Public Procurement Inspectorate executed 425 controls by October 2019, up 12% on the same period of 2018. Most controls relate to contract conclusion and execution phases. The number of controled entities increased by 28% to 393. </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b/>
          <w:noProof/>
          <w:color w:val="000000"/>
          <w:szCs w:val="24"/>
          <w:lang w:eastAsia="en-GB"/>
        </w:rPr>
        <w:t xml:space="preserve">Capacity to manage </w:t>
      </w:r>
      <w:r>
        <w:rPr>
          <w:rFonts w:eastAsia="Calibri" w:cs="Times New Roman"/>
          <w:b/>
          <w:noProof/>
          <w:color w:val="000000"/>
          <w:szCs w:val="24"/>
          <w:lang w:eastAsia="en-GB"/>
        </w:rPr>
        <w:t>public procurement processes</w:t>
      </w:r>
      <w:r>
        <w:rPr>
          <w:rFonts w:eastAsia="Calibri" w:cs="Times New Roman"/>
          <w:noProof/>
          <w:color w:val="000000"/>
          <w:szCs w:val="24"/>
          <w:lang w:eastAsia="en-GB"/>
        </w:rPr>
        <w:t xml:space="preserve"> has improved, although the high number of contracting authorities is not conducive to efficiency. Smaller municipalities with limited own capacities may receive assistance for their public procurement infrastructure projects re</w:t>
      </w:r>
      <w:r>
        <w:rPr>
          <w:rFonts w:eastAsia="Calibri" w:cs="Times New Roman"/>
          <w:noProof/>
          <w:color w:val="000000"/>
          <w:szCs w:val="24"/>
          <w:lang w:eastAsia="en-GB"/>
        </w:rPr>
        <w:t>lated to water, communal services and environment from two public-owned companies, PROCON and VODACOM. Centralised purchasing has become more widely used for certain standard procurements, but contract management and ex-post evaluation of procurement proce</w:t>
      </w:r>
      <w:r>
        <w:rPr>
          <w:rFonts w:eastAsia="Calibri" w:cs="Times New Roman"/>
          <w:noProof/>
          <w:color w:val="000000"/>
          <w:szCs w:val="24"/>
          <w:lang w:eastAsia="en-GB"/>
        </w:rPr>
        <w:t xml:space="preserve">sses is still very rare. Lowest price as the only award criterion was applied in 66% of all procedures in 2019. </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rPr>
        <w:t xml:space="preserve">A regulatory and institutional framework is in place on </w:t>
      </w:r>
      <w:r>
        <w:rPr>
          <w:rFonts w:eastAsia="Calibri" w:cs="Times New Roman"/>
          <w:b/>
          <w:noProof/>
          <w:color w:val="000000"/>
          <w:szCs w:val="24"/>
        </w:rPr>
        <w:t xml:space="preserve">integrity and conflict of interest </w:t>
      </w:r>
      <w:r>
        <w:rPr>
          <w:rFonts w:eastAsia="Calibri" w:cs="Times New Roman"/>
          <w:noProof/>
          <w:color w:val="000000"/>
          <w:szCs w:val="24"/>
        </w:rPr>
        <w:t>mechanisms in public procurement. On data management</w:t>
      </w:r>
      <w:r>
        <w:rPr>
          <w:rFonts w:eastAsia="Calibri" w:cs="Times New Roman"/>
          <w:noProof/>
          <w:color w:val="000000"/>
          <w:szCs w:val="24"/>
        </w:rPr>
        <w:t xml:space="preserve"> systems,</w:t>
      </w:r>
      <w:r>
        <w:rPr>
          <w:rFonts w:eastAsia="Calibri" w:cs="Times New Roman"/>
          <w:noProof/>
          <w:color w:val="000000"/>
          <w:szCs w:val="24"/>
          <w:lang w:eastAsia="en-GB"/>
        </w:rPr>
        <w:t xml:space="preserve"> </w:t>
      </w:r>
      <w:bookmarkStart w:id="92" w:name="_Toc30074140"/>
      <w:bookmarkStart w:id="93" w:name="_Toc30073827"/>
      <w:bookmarkEnd w:id="90"/>
      <w:bookmarkEnd w:id="91"/>
      <w:r>
        <w:rPr>
          <w:rFonts w:eastAsia="Calibri" w:cs="Times New Roman"/>
          <w:noProof/>
          <w:color w:val="000000"/>
          <w:szCs w:val="24"/>
          <w:lang w:eastAsia="en-GB"/>
        </w:rPr>
        <w:t>the new regulatory framework for public procurement provides a basis for the introduction of an electronic public procurement system in Montenegro. As of 2021, the current public procurement portal and traditional, paper-based procurement procedures should</w:t>
      </w:r>
      <w:r>
        <w:rPr>
          <w:rFonts w:eastAsia="Calibri" w:cs="Times New Roman"/>
          <w:noProof/>
          <w:color w:val="000000"/>
          <w:szCs w:val="24"/>
          <w:lang w:eastAsia="en-GB"/>
        </w:rPr>
        <w:t xml:space="preserve"> be replaced by the e-procurement system (EPPS). Activities for the implementation of EPPS, </w:t>
      </w:r>
      <w:r>
        <w:rPr>
          <w:rFonts w:eastAsia="Calibri" w:cs="Times New Roman"/>
          <w:i/>
          <w:noProof/>
          <w:color w:val="000000"/>
          <w:szCs w:val="24"/>
          <w:lang w:eastAsia="en-GB"/>
        </w:rPr>
        <w:t>financed by an EU project</w:t>
      </w:r>
      <w:r>
        <w:rPr>
          <w:rFonts w:eastAsia="Calibri" w:cs="Times New Roman"/>
          <w:noProof/>
          <w:color w:val="000000"/>
          <w:szCs w:val="24"/>
          <w:lang w:eastAsia="en-GB"/>
        </w:rPr>
        <w:t xml:space="preserve">, are progressing smoothly, with a test-version of the new software made available in September 2019. The pilot phase of the e-procurement </w:t>
      </w:r>
      <w:r>
        <w:rPr>
          <w:rFonts w:eastAsia="Calibri" w:cs="Times New Roman"/>
          <w:noProof/>
          <w:color w:val="000000"/>
          <w:szCs w:val="24"/>
          <w:lang w:eastAsia="en-GB"/>
        </w:rPr>
        <w:t>system is to be launched in the third quarter of 2020, with the participation of selected contracting authorities.</w:t>
      </w:r>
    </w:p>
    <w:bookmarkEnd w:id="92"/>
    <w:bookmarkEnd w:id="93"/>
    <w:p w:rsidR="003C2144" w:rsidRDefault="00FB7959">
      <w:pPr>
        <w:keepNext/>
        <w:autoSpaceDE w:val="0"/>
        <w:autoSpaceDN w:val="0"/>
        <w:adjustRightInd w:val="0"/>
        <w:spacing w:after="120" w:line="240" w:lineRule="auto"/>
        <w:jc w:val="both"/>
        <w:rPr>
          <w:rFonts w:eastAsia="Calibri" w:cs="Times New Roman"/>
          <w:noProof/>
          <w:color w:val="000000"/>
          <w:szCs w:val="24"/>
          <w:u w:val="single"/>
        </w:rPr>
      </w:pPr>
      <w:r>
        <w:rPr>
          <w:rFonts w:eastAsia="Calibri" w:cs="Times New Roman"/>
          <w:noProof/>
          <w:color w:val="000000"/>
          <w:szCs w:val="24"/>
          <w:u w:val="single"/>
        </w:rPr>
        <w:t>Efficient remedy system</w:t>
      </w:r>
    </w:p>
    <w:p w:rsidR="003C2144" w:rsidRDefault="00FB7959">
      <w:pPr>
        <w:autoSpaceDE w:val="0"/>
        <w:autoSpaceDN w:val="0"/>
        <w:adjustRightInd w:val="0"/>
        <w:spacing w:after="120" w:line="240" w:lineRule="auto"/>
        <w:jc w:val="both"/>
        <w:rPr>
          <w:rFonts w:eastAsia="Calibri" w:cs="Times New Roman"/>
          <w:bCs/>
          <w:noProof/>
          <w:color w:val="000000"/>
          <w:szCs w:val="24"/>
        </w:rPr>
      </w:pPr>
      <w:r>
        <w:rPr>
          <w:rFonts w:eastAsia="Calibri" w:cs="Times New Roman"/>
          <w:bCs/>
          <w:noProof/>
          <w:color w:val="000000"/>
          <w:szCs w:val="24"/>
        </w:rPr>
        <w:t xml:space="preserve">The legislation on the </w:t>
      </w:r>
      <w:r>
        <w:rPr>
          <w:rFonts w:eastAsia="Calibri" w:cs="Times New Roman"/>
          <w:b/>
          <w:bCs/>
          <w:noProof/>
          <w:color w:val="000000"/>
          <w:szCs w:val="24"/>
        </w:rPr>
        <w:t xml:space="preserve">right to appeal </w:t>
      </w:r>
      <w:r>
        <w:rPr>
          <w:rFonts w:eastAsia="Calibri" w:cs="Times New Roman"/>
          <w:bCs/>
          <w:noProof/>
          <w:color w:val="000000"/>
          <w:szCs w:val="24"/>
        </w:rPr>
        <w:t xml:space="preserve">is broadly in line with the </w:t>
      </w:r>
      <w:r>
        <w:rPr>
          <w:rFonts w:eastAsia="Calibri" w:cs="Times New Roman"/>
          <w:bCs/>
          <w:i/>
          <w:noProof/>
          <w:color w:val="000000"/>
          <w:szCs w:val="24"/>
        </w:rPr>
        <w:t>acquis</w:t>
      </w:r>
      <w:r>
        <w:rPr>
          <w:rFonts w:eastAsia="Calibri" w:cs="Times New Roman"/>
          <w:bCs/>
          <w:noProof/>
          <w:color w:val="000000"/>
          <w:szCs w:val="24"/>
        </w:rPr>
        <w:t>.The remedy system is based on a review of a</w:t>
      </w:r>
      <w:r>
        <w:rPr>
          <w:rFonts w:eastAsia="Calibri" w:cs="Times New Roman"/>
          <w:bCs/>
          <w:noProof/>
          <w:color w:val="000000"/>
          <w:szCs w:val="24"/>
        </w:rPr>
        <w:t>ppeals by the State Commission for the Control of Public Procurement (PPC), an independent administrative body reporting directly to Parliament. Appeals against the PPC decisions can be made to the Administrative Court. The number of appeals related to pro</w:t>
      </w:r>
      <w:r>
        <w:rPr>
          <w:rFonts w:eastAsia="Calibri" w:cs="Times New Roman"/>
          <w:bCs/>
          <w:noProof/>
          <w:color w:val="000000"/>
          <w:szCs w:val="24"/>
        </w:rPr>
        <w:t xml:space="preserve">curement procedures decreased further to 55 by the end of 2019. For the first time, the PPC did not report any case backlogs. This was the result of legal and procedural changes introduced in 2017 and thanks to significant increase of the </w:t>
      </w:r>
      <w:r>
        <w:rPr>
          <w:rFonts w:eastAsia="Calibri" w:cs="Times New Roman"/>
          <w:b/>
          <w:bCs/>
          <w:noProof/>
          <w:color w:val="000000"/>
          <w:szCs w:val="24"/>
        </w:rPr>
        <w:t>implementation</w:t>
      </w:r>
      <w:r>
        <w:rPr>
          <w:rFonts w:eastAsia="Calibri" w:cs="Times New Roman"/>
          <w:bCs/>
          <w:noProof/>
          <w:color w:val="000000"/>
          <w:szCs w:val="24"/>
        </w:rPr>
        <w:t xml:space="preserve"> </w:t>
      </w:r>
      <w:r>
        <w:rPr>
          <w:rFonts w:eastAsia="Calibri" w:cs="Times New Roman"/>
          <w:b/>
          <w:bCs/>
          <w:noProof/>
          <w:color w:val="000000"/>
          <w:szCs w:val="24"/>
        </w:rPr>
        <w:t>ca</w:t>
      </w:r>
      <w:r>
        <w:rPr>
          <w:rFonts w:eastAsia="Calibri" w:cs="Times New Roman"/>
          <w:b/>
          <w:bCs/>
          <w:noProof/>
          <w:color w:val="000000"/>
          <w:szCs w:val="24"/>
        </w:rPr>
        <w:t>pacity</w:t>
      </w:r>
      <w:r>
        <w:rPr>
          <w:rFonts w:eastAsia="Calibri" w:cs="Times New Roman"/>
          <w:bCs/>
          <w:noProof/>
          <w:color w:val="000000"/>
          <w:szCs w:val="24"/>
        </w:rPr>
        <w:t xml:space="preserve"> (new recruitments).</w:t>
      </w:r>
    </w:p>
    <w:p w:rsidR="003C2144" w:rsidRDefault="00FB7959">
      <w:pPr>
        <w:autoSpaceDE w:val="0"/>
        <w:autoSpaceDN w:val="0"/>
        <w:adjustRightInd w:val="0"/>
        <w:spacing w:after="120" w:line="240" w:lineRule="auto"/>
        <w:jc w:val="both"/>
        <w:rPr>
          <w:rFonts w:eastAsia="Calibri" w:cs="Times New Roman"/>
          <w:bCs/>
          <w:noProof/>
          <w:color w:val="000000"/>
          <w:szCs w:val="24"/>
        </w:rPr>
      </w:pPr>
      <w:r>
        <w:rPr>
          <w:rFonts w:eastAsia="Calibri" w:cs="Times New Roman"/>
          <w:bCs/>
          <w:noProof/>
          <w:color w:val="000000"/>
          <w:szCs w:val="24"/>
        </w:rPr>
        <w:t>In 2019, some 8% of the PPC decisions were further contested in the Administrative Court by the contracting parties. The number of Administrative Court rulings changing the decisions of the PPC remains persistently high at some 4</w:t>
      </w:r>
      <w:r>
        <w:rPr>
          <w:rFonts w:eastAsia="Calibri" w:cs="Times New Roman"/>
          <w:bCs/>
          <w:noProof/>
          <w:color w:val="000000"/>
          <w:szCs w:val="24"/>
        </w:rPr>
        <w:t xml:space="preserve">1%, indicating that decision-making processes could be improved. This was highlighted in the findings and recommendations of </w:t>
      </w:r>
      <w:r>
        <w:rPr>
          <w:rFonts w:eastAsia="Calibri" w:cs="Times New Roman"/>
          <w:bCs/>
          <w:i/>
          <w:noProof/>
          <w:color w:val="000000"/>
          <w:szCs w:val="24"/>
        </w:rPr>
        <w:t>Taiex</w:t>
      </w:r>
      <w:r>
        <w:rPr>
          <w:rFonts w:eastAsia="Calibri" w:cs="Times New Roman"/>
          <w:bCs/>
          <w:noProof/>
          <w:color w:val="000000"/>
          <w:szCs w:val="24"/>
        </w:rPr>
        <w:t xml:space="preserve"> peer review, which took place in November 2019. </w:t>
      </w:r>
    </w:p>
    <w:p w:rsidR="003C2144" w:rsidRDefault="00FB7959">
      <w:pPr>
        <w:pStyle w:val="Heading2"/>
        <w:rPr>
          <w:rFonts w:eastAsia="Times New Roman" w:cs="Times New Roman"/>
          <w:noProof/>
          <w:szCs w:val="24"/>
        </w:rPr>
      </w:pPr>
      <w:bookmarkStart w:id="94" w:name="_Toc30073828"/>
      <w:bookmarkStart w:id="95" w:name="_Toc30074141"/>
      <w:bookmarkStart w:id="96" w:name="_Toc30080571"/>
      <w:bookmarkStart w:id="97" w:name="_Toc52744939"/>
      <w:r>
        <w:rPr>
          <w:rFonts w:eastAsia="Times New Roman" w:cs="Times New Roman"/>
          <w:noProof/>
          <w:szCs w:val="24"/>
        </w:rPr>
        <w:t>5.6</w:t>
      </w:r>
      <w:r>
        <w:rPr>
          <w:rFonts w:eastAsia="Times New Roman" w:cs="Times New Roman"/>
          <w:noProof/>
          <w:szCs w:val="24"/>
        </w:rPr>
        <w:tab/>
        <w:t>Chapter 6: Company law</w:t>
      </w:r>
      <w:bookmarkEnd w:id="94"/>
      <w:bookmarkEnd w:id="95"/>
      <w:bookmarkEnd w:id="96"/>
      <w:bookmarkEnd w:id="97"/>
      <w:r>
        <w:rPr>
          <w:rFonts w:eastAsia="Times New Roman" w:cs="Times New Roman"/>
          <w:noProof/>
          <w:szCs w:val="24"/>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The EU has common rules on the formation, regist</w:t>
      </w:r>
      <w:r>
        <w:rPr>
          <w:rFonts w:eastAsia="Calibri" w:cs="Times New Roman"/>
          <w:i/>
          <w:iCs/>
          <w:noProof/>
          <w:color w:val="000000"/>
          <w:szCs w:val="24"/>
          <w:lang w:eastAsia="en-GB"/>
        </w:rPr>
        <w:t>ration and disclosure requirements of a company, with complementary rules for accounting and financial reporting, and statutory audit.</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has reached a </w:t>
      </w:r>
      <w:r>
        <w:rPr>
          <w:rFonts w:eastAsia="Calibri" w:cs="Times New Roman"/>
          <w:b/>
          <w:bCs/>
          <w:noProof/>
          <w:color w:val="000000"/>
          <w:szCs w:val="24"/>
        </w:rPr>
        <w:t xml:space="preserve">good level of preparation </w:t>
      </w:r>
      <w:r>
        <w:rPr>
          <w:rFonts w:eastAsia="Calibri" w:cs="Times New Roman"/>
          <w:noProof/>
          <w:color w:val="000000"/>
          <w:szCs w:val="24"/>
        </w:rPr>
        <w:t xml:space="preserve">on company law. </w:t>
      </w:r>
      <w:r>
        <w:rPr>
          <w:rFonts w:eastAsia="Calibri" w:cs="Times New Roman"/>
          <w:b/>
          <w:bCs/>
          <w:noProof/>
          <w:color w:val="000000"/>
          <w:szCs w:val="24"/>
        </w:rPr>
        <w:t xml:space="preserve">Good progress </w:t>
      </w:r>
      <w:r>
        <w:rPr>
          <w:rFonts w:eastAsia="Calibri" w:cs="Times New Roman"/>
          <w:noProof/>
          <w:color w:val="000000"/>
          <w:szCs w:val="24"/>
        </w:rPr>
        <w:t xml:space="preserve">was made on one 2019 recommendation, by adopting the Law on companies. The 2019 recommendation on accounting however remains valid, as the draft legislation has yet to be adopted by parliament.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the coming year, Montenegro should therefore, in particula</w:t>
      </w:r>
      <w:r>
        <w:rPr>
          <w:rFonts w:eastAsia="Calibri" w:cs="Times New Roman"/>
          <w:noProof/>
          <w:color w:val="000000"/>
          <w:szCs w:val="24"/>
        </w:rPr>
        <w:t>r:</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adopt the rulebook on the workings of the Central Register of Economic Entities;</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 adopt the amended Law on accounting and the rulebook on company financial statements. </w:t>
      </w:r>
    </w:p>
    <w:p w:rsidR="003C2144" w:rsidRDefault="00FB7959">
      <w:pPr>
        <w:autoSpaceDE w:val="0"/>
        <w:autoSpaceDN w:val="0"/>
        <w:adjustRightInd w:val="0"/>
        <w:spacing w:after="120" w:line="240" w:lineRule="auto"/>
        <w:jc w:val="both"/>
        <w:rPr>
          <w:rFonts w:eastAsia="Calibri" w:cs="Times New Roman"/>
          <w:noProof/>
          <w:szCs w:val="24"/>
          <w:lang w:eastAsia="en-GB"/>
        </w:rPr>
      </w:pPr>
      <w:r>
        <w:rPr>
          <w:rFonts w:eastAsia="Calibri" w:cs="Times New Roman"/>
          <w:noProof/>
          <w:szCs w:val="24"/>
          <w:lang w:eastAsia="en-GB"/>
        </w:rPr>
        <w:t xml:space="preserve">On </w:t>
      </w:r>
      <w:r>
        <w:rPr>
          <w:rFonts w:eastAsia="Calibri" w:cs="Times New Roman"/>
          <w:b/>
          <w:noProof/>
          <w:szCs w:val="24"/>
          <w:lang w:eastAsia="en-GB"/>
        </w:rPr>
        <w:t>company law</w:t>
      </w:r>
      <w:r>
        <w:rPr>
          <w:rFonts w:eastAsia="Calibri" w:cs="Times New Roman"/>
          <w:noProof/>
          <w:szCs w:val="24"/>
          <w:lang w:eastAsia="en-GB"/>
        </w:rPr>
        <w:t>, the Law on companies was adopted in June 2020, making further pro</w:t>
      </w:r>
      <w:r>
        <w:rPr>
          <w:rFonts w:eastAsia="Calibri" w:cs="Times New Roman"/>
          <w:noProof/>
          <w:szCs w:val="24"/>
          <w:lang w:eastAsia="en-GB"/>
        </w:rPr>
        <w:t xml:space="preserve">gress with </w:t>
      </w:r>
      <w:r>
        <w:rPr>
          <w:rFonts w:eastAsia="Calibri" w:cs="Times New Roman"/>
          <w:i/>
          <w:noProof/>
          <w:szCs w:val="24"/>
          <w:lang w:eastAsia="en-GB"/>
        </w:rPr>
        <w:t>acquis</w:t>
      </w:r>
      <w:r>
        <w:rPr>
          <w:rFonts w:eastAsia="Calibri" w:cs="Times New Roman"/>
          <w:noProof/>
          <w:szCs w:val="24"/>
          <w:lang w:eastAsia="en-GB"/>
        </w:rPr>
        <w:t xml:space="preserve"> alignment on a number of issues, including cross-border mergers, single-member companies and a number of shareholder rights provisions. However, further legislative alignment is necessary with the remaining rules on shareholder rights. A</w:t>
      </w:r>
      <w:r>
        <w:rPr>
          <w:rFonts w:eastAsia="Times New Roman" w:cs="Times New Roman"/>
          <w:noProof/>
          <w:szCs w:val="24"/>
          <w:lang w:val="en-IE" w:eastAsia="en-IE"/>
        </w:rPr>
        <w:t xml:space="preserve"> </w:t>
      </w:r>
      <w:r>
        <w:rPr>
          <w:rFonts w:eastAsia="Times New Roman" w:cs="Times New Roman"/>
          <w:noProof/>
          <w:szCs w:val="24"/>
          <w:lang w:val="en-IE" w:eastAsia="en-IE"/>
        </w:rPr>
        <w:t>draft rulebook on the workings of the Central Register of Economic Entities (CREE), including the legal and technical provisions to develop online electronic company registration (enabled through CREE), has been prepared and will be adopted following the e</w:t>
      </w:r>
      <w:r>
        <w:rPr>
          <w:rFonts w:eastAsia="Times New Roman" w:cs="Times New Roman"/>
          <w:noProof/>
          <w:szCs w:val="24"/>
          <w:lang w:val="en-IE" w:eastAsia="en-IE"/>
        </w:rPr>
        <w:t>ntry into force of the Law on companies</w:t>
      </w:r>
      <w:r>
        <w:rPr>
          <w:rFonts w:eastAsia="Calibri" w:cs="Times New Roman"/>
          <w:i/>
          <w:iCs/>
          <w:noProof/>
          <w:color w:val="1F497D"/>
          <w:szCs w:val="24"/>
          <w:lang w:val="en-US"/>
        </w:rPr>
        <w:t>.</w:t>
      </w:r>
      <w:r>
        <w:rPr>
          <w:rFonts w:eastAsia="Times New Roman" w:cs="Times New Roman"/>
          <w:noProof/>
          <w:szCs w:val="24"/>
          <w:lang w:val="en-IE" w:eastAsia="en-IE"/>
        </w:rPr>
        <w:t xml:space="preserve">  National legislation on company takeovers is in line with main EU </w:t>
      </w:r>
      <w:r>
        <w:rPr>
          <w:rFonts w:eastAsia="Times New Roman" w:cs="Times New Roman"/>
          <w:i/>
          <w:noProof/>
          <w:szCs w:val="24"/>
          <w:lang w:val="en-IE" w:eastAsia="en-IE"/>
        </w:rPr>
        <w:t xml:space="preserve">acquis </w:t>
      </w:r>
      <w:r>
        <w:rPr>
          <w:rFonts w:eastAsia="Times New Roman" w:cs="Times New Roman"/>
          <w:noProof/>
          <w:szCs w:val="24"/>
          <w:lang w:val="en-IE" w:eastAsia="en-IE"/>
        </w:rPr>
        <w:t>provisions. Montenegro’s Capital Market Authority is considering revisions to the Corporate Governance Code to better align with EU principle</w:t>
      </w:r>
      <w:r>
        <w:rPr>
          <w:rFonts w:eastAsia="Times New Roman" w:cs="Times New Roman"/>
          <w:noProof/>
          <w:szCs w:val="24"/>
          <w:lang w:val="en-IE" w:eastAsia="en-IE"/>
        </w:rPr>
        <w:t>s. The database of companies in the business register should be ready to interconnect with EU Member States’ business registers in the future</w:t>
      </w:r>
      <w:r>
        <w:rPr>
          <w:rFonts w:eastAsia="Calibri" w:cs="Times New Roman"/>
          <w:noProof/>
          <w:szCs w:val="24"/>
          <w:lang w:eastAsia="en-GB"/>
        </w:rPr>
        <w:t xml:space="preserve">. </w:t>
      </w:r>
      <w:r>
        <w:rPr>
          <w:rFonts w:eastAsia="Times New Roman" w:cs="Times New Roman"/>
          <w:noProof/>
          <w:szCs w:val="24"/>
          <w:lang w:val="en-IE" w:eastAsia="en-IE"/>
        </w:rPr>
        <w:t xml:space="preserve">Montenegro is </w:t>
      </w:r>
      <w:r>
        <w:rPr>
          <w:rFonts w:eastAsia="Calibri" w:cs="Times New Roman"/>
          <w:noProof/>
          <w:color w:val="000000"/>
          <w:szCs w:val="24"/>
          <w:lang w:val="en-US" w:bidi="en-US"/>
        </w:rPr>
        <w:t xml:space="preserve">developing the </w:t>
      </w:r>
      <w:r>
        <w:rPr>
          <w:rFonts w:eastAsia="Cambria" w:cs="Times New Roman"/>
          <w:noProof/>
          <w:color w:val="000000"/>
          <w:szCs w:val="24"/>
          <w:lang w:val="en-US" w:bidi="en-US"/>
        </w:rPr>
        <w:t>Central Registry of Regulated Information</w:t>
      </w:r>
      <w:r>
        <w:rPr>
          <w:rFonts w:eastAsia="Calibri" w:cs="Times New Roman"/>
          <w:noProof/>
          <w:color w:val="000000"/>
          <w:szCs w:val="24"/>
          <w:lang w:val="en-US" w:bidi="en-US"/>
        </w:rPr>
        <w:t xml:space="preserve"> to be the official mechanism </w:t>
      </w:r>
      <w:r>
        <w:rPr>
          <w:rFonts w:eastAsia="Calibri" w:cs="Times New Roman"/>
          <w:noProof/>
          <w:color w:val="000000"/>
          <w:szCs w:val="24"/>
          <w:lang w:val="hr-HR" w:eastAsia="hr-HR" w:bidi="hr-HR"/>
        </w:rPr>
        <w:t xml:space="preserve">to </w:t>
      </w:r>
      <w:r>
        <w:rPr>
          <w:rFonts w:eastAsia="Calibri" w:cs="Times New Roman"/>
          <w:noProof/>
          <w:color w:val="000000"/>
          <w:szCs w:val="24"/>
          <w:lang w:eastAsia="hr-HR" w:bidi="hr-HR"/>
        </w:rPr>
        <w:t xml:space="preserve">collect </w:t>
      </w:r>
      <w:r>
        <w:rPr>
          <w:rFonts w:eastAsia="Calibri" w:cs="Times New Roman"/>
          <w:noProof/>
          <w:color w:val="000000"/>
          <w:szCs w:val="24"/>
          <w:lang w:eastAsia="hr-HR" w:bidi="hr-HR"/>
        </w:rPr>
        <w:t>and publish</w:t>
      </w:r>
      <w:r>
        <w:rPr>
          <w:rFonts w:eastAsia="Calibri" w:cs="Times New Roman"/>
          <w:noProof/>
          <w:color w:val="000000"/>
          <w:szCs w:val="24"/>
          <w:lang w:val="hr-HR" w:eastAsia="hr-HR" w:bidi="hr-HR"/>
        </w:rPr>
        <w:t xml:space="preserve"> </w:t>
      </w:r>
      <w:r>
        <w:rPr>
          <w:rFonts w:eastAsia="Calibri" w:cs="Times New Roman"/>
          <w:noProof/>
          <w:color w:val="000000"/>
          <w:szCs w:val="24"/>
          <w:lang w:val="en-US" w:bidi="en-US"/>
        </w:rPr>
        <w:t>regulated information in accordance with the EU Transparency Directive.</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lang w:eastAsia="en-GB"/>
        </w:rPr>
        <w:t xml:space="preserve">On </w:t>
      </w:r>
      <w:r>
        <w:rPr>
          <w:rFonts w:eastAsia="Calibri" w:cs="Times New Roman"/>
          <w:b/>
          <w:noProof/>
          <w:szCs w:val="24"/>
          <w:lang w:eastAsia="en-GB"/>
        </w:rPr>
        <w:t>corporate accounting and statutory audit</w:t>
      </w:r>
      <w:r>
        <w:rPr>
          <w:rFonts w:eastAsia="Calibri" w:cs="Times New Roman"/>
          <w:noProof/>
          <w:szCs w:val="24"/>
          <w:lang w:eastAsia="en-GB"/>
        </w:rPr>
        <w:t xml:space="preserve">, draft amendments to the Law on accounting hold provisions in line with </w:t>
      </w:r>
      <w:r>
        <w:rPr>
          <w:rFonts w:eastAsia="Calibri" w:cs="Times New Roman"/>
          <w:i/>
          <w:noProof/>
          <w:szCs w:val="24"/>
          <w:lang w:eastAsia="en-GB"/>
        </w:rPr>
        <w:t>acquis</w:t>
      </w:r>
      <w:r>
        <w:rPr>
          <w:rFonts w:eastAsia="Calibri" w:cs="Times New Roman"/>
          <w:noProof/>
          <w:szCs w:val="24"/>
          <w:lang w:eastAsia="en-GB"/>
        </w:rPr>
        <w:t xml:space="preserve"> requirements, </w:t>
      </w:r>
      <w:r>
        <w:rPr>
          <w:rFonts w:eastAsia="Calibri" w:cs="Times New Roman"/>
          <w:noProof/>
          <w:szCs w:val="24"/>
        </w:rPr>
        <w:t>including those on non-financial re</w:t>
      </w:r>
      <w:r>
        <w:rPr>
          <w:rFonts w:eastAsia="Calibri" w:cs="Times New Roman"/>
          <w:noProof/>
          <w:szCs w:val="24"/>
        </w:rPr>
        <w:t xml:space="preserve">porting. The law </w:t>
      </w:r>
      <w:r>
        <w:rPr>
          <w:rFonts w:eastAsia="Calibri" w:cs="Times New Roman"/>
          <w:noProof/>
          <w:szCs w:val="24"/>
          <w:lang w:eastAsia="en-GB"/>
        </w:rPr>
        <w:t>is yet to be adopted by parliament. While the new rulebook on the content and layout of company financial statements is partially aligned with the acquis, further amendments will be made at a later stage to appropriately reflect the ‘think</w:t>
      </w:r>
      <w:r>
        <w:rPr>
          <w:rFonts w:eastAsia="Calibri" w:cs="Times New Roman"/>
          <w:noProof/>
          <w:szCs w:val="24"/>
          <w:lang w:eastAsia="en-GB"/>
        </w:rPr>
        <w:t xml:space="preserve"> small first’</w:t>
      </w:r>
      <w:r>
        <w:rPr>
          <w:rFonts w:eastAsia="Calibri" w:cs="Times New Roman"/>
          <w:i/>
          <w:noProof/>
          <w:szCs w:val="24"/>
          <w:lang w:eastAsia="en-GB"/>
        </w:rPr>
        <w:t xml:space="preserve"> </w:t>
      </w:r>
      <w:r>
        <w:rPr>
          <w:rFonts w:eastAsia="Calibri" w:cs="Times New Roman"/>
          <w:noProof/>
          <w:szCs w:val="24"/>
          <w:lang w:eastAsia="en-GB"/>
        </w:rPr>
        <w:t>principle of the EU Accounting Directive. Currently, a</w:t>
      </w:r>
      <w:r>
        <w:rPr>
          <w:rFonts w:eastAsia="Times New Roman" w:cs="Times New Roman"/>
          <w:noProof/>
          <w:szCs w:val="24"/>
          <w:lang w:val="en-IE" w:eastAsia="en-IE"/>
        </w:rPr>
        <w:t>ll companies must comply with international financial reporting standards (IFRS), while reduced obligations exist for micro and small companies (balance sheet and profit and loss account o</w:t>
      </w:r>
      <w:r>
        <w:rPr>
          <w:rFonts w:eastAsia="Times New Roman" w:cs="Times New Roman"/>
          <w:noProof/>
          <w:szCs w:val="24"/>
          <w:lang w:val="en-IE" w:eastAsia="en-IE"/>
        </w:rPr>
        <w:t xml:space="preserve">nly). </w:t>
      </w:r>
      <w:r>
        <w:rPr>
          <w:rFonts w:eastAsia="Calibri" w:cs="Times New Roman"/>
          <w:noProof/>
          <w:szCs w:val="24"/>
        </w:rPr>
        <w:t>Montenegro’s Law on Auditing contains the essential elements in line with EU requirements, including a public audit oversight body (POB) which is independent of the profession. The POB is fully funded by the government. </w:t>
      </w:r>
      <w:r>
        <w:rPr>
          <w:rFonts w:eastAsia="Times New Roman" w:cs="Times New Roman"/>
          <w:noProof/>
          <w:szCs w:val="24"/>
          <w:lang w:val="en-IE" w:eastAsia="en-IE"/>
        </w:rPr>
        <w:t>Statutory audits are performed</w:t>
      </w:r>
      <w:r>
        <w:rPr>
          <w:rFonts w:eastAsia="Times New Roman" w:cs="Times New Roman"/>
          <w:noProof/>
          <w:szCs w:val="24"/>
          <w:lang w:val="en-IE" w:eastAsia="en-IE"/>
        </w:rPr>
        <w:t xml:space="preserve"> based on international auditing standards (IAS) and are mandatory for public-interest entities. </w:t>
      </w:r>
      <w:r>
        <w:rPr>
          <w:rFonts w:eastAsia="Calibri" w:cs="Times New Roman"/>
          <w:noProof/>
          <w:szCs w:val="24"/>
        </w:rPr>
        <w:t>Some good results from audit quality inspections have been achieved since 2019, in some instances requiring licence revocation. T</w:t>
      </w:r>
      <w:r>
        <w:rPr>
          <w:rFonts w:eastAsia="Times New Roman" w:cs="Times New Roman"/>
          <w:noProof/>
          <w:szCs w:val="24"/>
          <w:lang w:val="en-IE" w:eastAsia="en-IE"/>
        </w:rPr>
        <w:t>he government approved plans t</w:t>
      </w:r>
      <w:r>
        <w:rPr>
          <w:rFonts w:eastAsia="Times New Roman" w:cs="Times New Roman"/>
          <w:noProof/>
          <w:szCs w:val="24"/>
          <w:lang w:val="en-IE" w:eastAsia="en-IE"/>
        </w:rPr>
        <w:t>o increase the number of audit quality inspectors at the POB (from 2 to 3)</w:t>
      </w:r>
      <w:r>
        <w:rPr>
          <w:rFonts w:eastAsia="Calibri" w:cs="Times New Roman"/>
          <w:noProof/>
          <w:szCs w:val="24"/>
        </w:rPr>
        <w:t xml:space="preserve">. </w:t>
      </w:r>
    </w:p>
    <w:p w:rsidR="003C2144" w:rsidRDefault="00FB7959">
      <w:pPr>
        <w:pStyle w:val="Heading2"/>
        <w:rPr>
          <w:rFonts w:eastAsia="Times New Roman"/>
          <w:noProof/>
        </w:rPr>
      </w:pPr>
      <w:bookmarkStart w:id="98" w:name="_Toc30073829"/>
      <w:bookmarkStart w:id="99" w:name="_Toc30074142"/>
      <w:bookmarkStart w:id="100" w:name="_Toc30080572"/>
      <w:bookmarkStart w:id="101" w:name="_Toc52744940"/>
      <w:r>
        <w:rPr>
          <w:rFonts w:eastAsia="Times New Roman"/>
          <w:noProof/>
        </w:rPr>
        <w:t>5.7</w:t>
      </w:r>
      <w:r>
        <w:rPr>
          <w:rFonts w:eastAsia="Times New Roman"/>
          <w:noProof/>
        </w:rPr>
        <w:tab/>
        <w:t>Chapter 7: Intellectual property law</w:t>
      </w:r>
      <w:bookmarkEnd w:id="98"/>
      <w:bookmarkEnd w:id="99"/>
      <w:bookmarkEnd w:id="100"/>
      <w:bookmarkEnd w:id="101"/>
      <w:r>
        <w:rPr>
          <w:rFonts w:eastAsia="Times New Roman"/>
          <w:noProof/>
        </w:rPr>
        <w:t xml:space="preserve"> </w:t>
      </w:r>
    </w:p>
    <w:p w:rsidR="003C2144" w:rsidRDefault="00FB7959">
      <w:pPr>
        <w:keepNext/>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The EU has harmonised rules for the legal protection of intellectual property rights (IPR), as well as rules for the legal protection of </w:t>
      </w:r>
      <w:r>
        <w:rPr>
          <w:rFonts w:eastAsia="Calibri" w:cs="Times New Roman"/>
          <w:i/>
          <w:iCs/>
          <w:noProof/>
          <w:color w:val="000000"/>
          <w:szCs w:val="24"/>
        </w:rPr>
        <w:t xml:space="preserve">copyright and related rights. Rules for the legal protection of IPRs cover, for instance, patents and trademarks, designs, biotechnological inventions and pharmaceuticals. Rules for the legal protection of copyright and related rights cover, for instance, </w:t>
      </w:r>
      <w:r>
        <w:rPr>
          <w:rFonts w:eastAsia="Calibri" w:cs="Times New Roman"/>
          <w:i/>
          <w:iCs/>
          <w:noProof/>
          <w:color w:val="000000"/>
          <w:szCs w:val="24"/>
        </w:rPr>
        <w:t xml:space="preserve">books, films, computer programmes and broadcasting.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has a </w:t>
      </w:r>
      <w:r>
        <w:rPr>
          <w:rFonts w:eastAsia="Calibri" w:cs="Times New Roman"/>
          <w:b/>
          <w:noProof/>
          <w:color w:val="000000"/>
          <w:szCs w:val="24"/>
        </w:rPr>
        <w:t>good level of preparation</w:t>
      </w:r>
      <w:r>
        <w:rPr>
          <w:rFonts w:eastAsia="Calibri" w:cs="Times New Roman"/>
          <w:noProof/>
          <w:color w:val="000000"/>
          <w:szCs w:val="24"/>
        </w:rPr>
        <w:t xml:space="preserve"> on intellectual property law. </w:t>
      </w:r>
      <w:r>
        <w:rPr>
          <w:rFonts w:eastAsia="Calibri" w:cs="Times New Roman"/>
          <w:b/>
          <w:noProof/>
          <w:color w:val="000000"/>
          <w:szCs w:val="24"/>
        </w:rPr>
        <w:t>Some progress</w:t>
      </w:r>
      <w:r>
        <w:rPr>
          <w:rFonts w:eastAsia="Calibri" w:cs="Times New Roman"/>
          <w:noProof/>
          <w:color w:val="000000"/>
          <w:szCs w:val="24"/>
        </w:rPr>
        <w:t xml:space="preserve"> was made, in particular as regards alignment with the EU </w:t>
      </w:r>
      <w:r>
        <w:rPr>
          <w:rFonts w:eastAsia="Calibri" w:cs="Times New Roman"/>
          <w:i/>
          <w:noProof/>
          <w:color w:val="000000"/>
          <w:szCs w:val="24"/>
        </w:rPr>
        <w:t>acquis</w:t>
      </w:r>
      <w:r>
        <w:rPr>
          <w:rFonts w:eastAsia="Calibri" w:cs="Times New Roman"/>
          <w:noProof/>
          <w:color w:val="000000"/>
          <w:szCs w:val="24"/>
        </w:rPr>
        <w:t xml:space="preserve"> on collective management of copyright and related rights and, establishing an enforcement track record, the coordination of concerned bodies, joint operations and reporting.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the coming year, Montenegro should in particular:</w:t>
      </w:r>
    </w:p>
    <w:p w:rsidR="003C2144" w:rsidRDefault="00FB795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adopt a new national </w:t>
      </w:r>
      <w:r>
        <w:rPr>
          <w:rFonts w:ascii="Times New Roman" w:eastAsia="Calibri" w:hAnsi="Times New Roman" w:cs="Times New Roman"/>
          <w:noProof/>
          <w:color w:val="000000"/>
          <w:sz w:val="24"/>
          <w:szCs w:val="24"/>
        </w:rPr>
        <w:t>intellectual property strategy for 2021-2024;</w:t>
      </w:r>
    </w:p>
    <w:p w:rsidR="003C2144" w:rsidRDefault="00FB795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continue legislative alignment in particular with the Trade Secrets Directive and ensure alignment with the Enforcement Directive as concerns measures against intermediaries;</w:t>
      </w:r>
    </w:p>
    <w:p w:rsidR="003C2144" w:rsidRDefault="00FB795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improve its track record on investi</w:t>
      </w:r>
      <w:r>
        <w:rPr>
          <w:rFonts w:ascii="Times New Roman" w:eastAsia="Calibri" w:hAnsi="Times New Roman" w:cs="Times New Roman"/>
          <w:noProof/>
          <w:color w:val="000000"/>
          <w:sz w:val="24"/>
          <w:szCs w:val="24"/>
        </w:rPr>
        <w:t>gations, prosecutions and judicial follow-up.</w:t>
      </w:r>
    </w:p>
    <w:p w:rsidR="003C2144" w:rsidRDefault="00FB7959">
      <w:pPr>
        <w:keepNext/>
        <w:autoSpaceDE w:val="0"/>
        <w:autoSpaceDN w:val="0"/>
        <w:adjustRightInd w:val="0"/>
        <w:spacing w:after="120" w:line="240" w:lineRule="auto"/>
        <w:jc w:val="both"/>
        <w:rPr>
          <w:rFonts w:eastAsia="Calibri" w:cs="Times New Roman"/>
          <w:noProof/>
          <w:color w:val="000000"/>
          <w:szCs w:val="24"/>
        </w:rPr>
      </w:pPr>
      <w:r>
        <w:rPr>
          <w:rFonts w:eastAsia="Calibri" w:cs="Times New Roman"/>
          <w:bCs/>
          <w:noProof/>
          <w:color w:val="000000"/>
          <w:szCs w:val="24"/>
        </w:rPr>
        <w:t>On</w:t>
      </w:r>
      <w:r>
        <w:rPr>
          <w:rFonts w:eastAsia="Calibri" w:cs="Times New Roman"/>
          <w:b/>
          <w:bCs/>
          <w:noProof/>
          <w:color w:val="000000"/>
          <w:szCs w:val="24"/>
        </w:rPr>
        <w:t xml:space="preserve"> copyright and neighbouring rights</w:t>
      </w:r>
      <w:r>
        <w:rPr>
          <w:rFonts w:eastAsia="Calibri" w:cs="Times New Roman"/>
          <w:noProof/>
          <w:color w:val="000000"/>
          <w:szCs w:val="24"/>
        </w:rPr>
        <w:t xml:space="preserve">, Parliament is yet to enact legislation to align with the EU </w:t>
      </w:r>
      <w:r>
        <w:rPr>
          <w:rFonts w:eastAsia="Calibri" w:cs="Times New Roman"/>
          <w:i/>
          <w:noProof/>
          <w:color w:val="000000"/>
          <w:szCs w:val="24"/>
        </w:rPr>
        <w:t>acqui</w:t>
      </w:r>
      <w:r>
        <w:rPr>
          <w:rFonts w:eastAsia="Calibri" w:cs="Times New Roman"/>
          <w:noProof/>
          <w:color w:val="000000"/>
          <w:szCs w:val="24"/>
        </w:rPr>
        <w:t>s on collective management of copyright and related rights and multi-territorial licensing of rights in mus</w:t>
      </w:r>
      <w:r>
        <w:rPr>
          <w:rFonts w:eastAsia="Calibri" w:cs="Times New Roman"/>
          <w:noProof/>
          <w:color w:val="000000"/>
          <w:szCs w:val="24"/>
        </w:rPr>
        <w:t xml:space="preserve">ical works for online use. Ratification of the Marrakesh Treaty remains to be completed.  </w:t>
      </w:r>
    </w:p>
    <w:p w:rsidR="003C2144" w:rsidRDefault="00FB7959">
      <w:pPr>
        <w:autoSpaceDE w:val="0"/>
        <w:autoSpaceDN w:val="0"/>
        <w:adjustRightInd w:val="0"/>
        <w:spacing w:after="120" w:line="240" w:lineRule="auto"/>
        <w:jc w:val="both"/>
        <w:rPr>
          <w:rFonts w:eastAsia="Times New Roman" w:cs="Times New Roman"/>
          <w:noProof/>
          <w:szCs w:val="24"/>
          <w:lang w:eastAsia="en-GB"/>
        </w:rPr>
      </w:pPr>
      <w:r>
        <w:rPr>
          <w:rFonts w:eastAsia="Calibri" w:cs="Times New Roman"/>
          <w:noProof/>
          <w:color w:val="000000"/>
          <w:szCs w:val="24"/>
        </w:rPr>
        <w:t xml:space="preserve">On </w:t>
      </w:r>
      <w:r>
        <w:rPr>
          <w:rFonts w:eastAsia="Calibri" w:cs="Times New Roman"/>
          <w:b/>
          <w:bCs/>
          <w:noProof/>
          <w:color w:val="000000"/>
          <w:szCs w:val="24"/>
        </w:rPr>
        <w:t>industrial property rights</w:t>
      </w:r>
      <w:r>
        <w:rPr>
          <w:rFonts w:eastAsia="Calibri" w:cs="Times New Roman"/>
          <w:noProof/>
          <w:color w:val="000000"/>
          <w:szCs w:val="24"/>
        </w:rPr>
        <w:t xml:space="preserve">, existing IT tools and search </w:t>
      </w:r>
      <w:r>
        <w:rPr>
          <w:rFonts w:eastAsia="Calibri" w:cs="Times New Roman"/>
          <w:noProof/>
          <w:szCs w:val="24"/>
        </w:rPr>
        <w:t xml:space="preserve">engines TmView, DesignView, DesignClass and the European Union Intellectual Property Office (EUIPO) User </w:t>
      </w:r>
      <w:r>
        <w:rPr>
          <w:rFonts w:eastAsia="Calibri" w:cs="Times New Roman"/>
          <w:noProof/>
          <w:szCs w:val="24"/>
        </w:rPr>
        <w:t xml:space="preserve">Satisfaction Survey (USS) as well as the Industrial Property Automation System (IPAS) for trademarks </w:t>
      </w:r>
      <w:r>
        <w:rPr>
          <w:rFonts w:eastAsia="Calibri" w:cs="Times New Roman"/>
          <w:noProof/>
          <w:color w:val="000000"/>
          <w:szCs w:val="24"/>
        </w:rPr>
        <w:t>are fully functional. Furthermore, the World Intellectual Property Office (WIPO) Publish IT application has been implemented</w:t>
      </w:r>
      <w:r>
        <w:rPr>
          <w:rFonts w:eastAsia="Calibri" w:cs="Times New Roman"/>
          <w:noProof/>
          <w:szCs w:val="24"/>
        </w:rPr>
        <w:t>. Legislative alignment with th</w:t>
      </w:r>
      <w:r>
        <w:rPr>
          <w:rFonts w:eastAsia="Calibri" w:cs="Times New Roman"/>
          <w:noProof/>
          <w:szCs w:val="24"/>
        </w:rPr>
        <w:t xml:space="preserve">e EU </w:t>
      </w:r>
      <w:r>
        <w:rPr>
          <w:rFonts w:eastAsia="Calibri" w:cs="Times New Roman"/>
          <w:i/>
          <w:noProof/>
          <w:szCs w:val="24"/>
        </w:rPr>
        <w:t>acquis</w:t>
      </w:r>
      <w:r>
        <w:rPr>
          <w:rFonts w:eastAsia="Calibri" w:cs="Times New Roman"/>
          <w:noProof/>
          <w:szCs w:val="24"/>
        </w:rPr>
        <w:t xml:space="preserve"> continued on patents, trademarks and trade secrets and in preparation for Montenegro’s future membership of the European Patent Convention and the European Patent Organisation (EPO), expected by the end of 2020.</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bCs/>
          <w:noProof/>
          <w:szCs w:val="24"/>
        </w:rPr>
        <w:t>enforcement</w:t>
      </w:r>
      <w:r>
        <w:rPr>
          <w:rFonts w:eastAsia="Calibri" w:cs="Times New Roman"/>
          <w:noProof/>
          <w:szCs w:val="24"/>
        </w:rPr>
        <w:t xml:space="preserve">, Montenegro </w:t>
      </w:r>
      <w:r>
        <w:rPr>
          <w:rFonts w:eastAsia="Calibri" w:cs="Times New Roman"/>
          <w:noProof/>
          <w:szCs w:val="24"/>
        </w:rPr>
        <w:t>provides quarterly updates of its statistics. Reporting is yet to be fully aligned with Montenegro’s future reporting obligations to the European Commission on customs enforcement of intellectual property rights</w:t>
      </w:r>
      <w:r>
        <w:rPr>
          <w:rFonts w:eastAsia="Calibri" w:cs="Times New Roman"/>
          <w:noProof/>
          <w:color w:val="000000"/>
          <w:szCs w:val="24"/>
        </w:rPr>
        <w:t xml:space="preserve">. </w:t>
      </w:r>
      <w:r>
        <w:rPr>
          <w:rFonts w:eastAsia="Calibri" w:cs="Times New Roman"/>
          <w:noProof/>
          <w:szCs w:val="24"/>
        </w:rPr>
        <w:t xml:space="preserve">The track record on criminal investigation </w:t>
      </w:r>
      <w:r>
        <w:rPr>
          <w:rFonts w:eastAsia="Calibri" w:cs="Times New Roman"/>
          <w:noProof/>
          <w:szCs w:val="24"/>
        </w:rPr>
        <w:t xml:space="preserve">and prosecution needs to improve in line with EU and international standards. </w:t>
      </w:r>
      <w:r>
        <w:rPr>
          <w:rFonts w:eastAsia="Calibri" w:cs="Times New Roman"/>
          <w:i/>
          <w:noProof/>
          <w:szCs w:val="24"/>
        </w:rPr>
        <w:t>Ex-officio</w:t>
      </w:r>
      <w:r>
        <w:rPr>
          <w:rFonts w:eastAsia="Calibri" w:cs="Times New Roman"/>
          <w:noProof/>
          <w:szCs w:val="24"/>
        </w:rPr>
        <w:t xml:space="preserve"> powers should be reinforced in this respect. </w:t>
      </w:r>
      <w:r>
        <w:rPr>
          <w:rFonts w:eastAsia="Calibri" w:cs="Times New Roman"/>
          <w:noProof/>
          <w:color w:val="000000"/>
          <w:szCs w:val="24"/>
        </w:rPr>
        <w:t xml:space="preserve">Preparation of Montenegro’s new national intellectual property strategy is ongoing, and cooperation with the WIPO in this </w:t>
      </w:r>
      <w:r>
        <w:rPr>
          <w:rFonts w:eastAsia="Calibri" w:cs="Times New Roman"/>
          <w:noProof/>
          <w:color w:val="000000"/>
          <w:szCs w:val="24"/>
        </w:rPr>
        <w:t xml:space="preserve">regard needs to intensify. </w:t>
      </w:r>
      <w:r>
        <w:rPr>
          <w:rFonts w:eastAsia="Calibri" w:cs="Times New Roman"/>
          <w:noProof/>
          <w:szCs w:val="24"/>
        </w:rPr>
        <w:t xml:space="preserve">The intellectual property rights coordination team meets regularly and the established interdisciplinary working group </w:t>
      </w:r>
      <w:r>
        <w:rPr>
          <w:rFonts w:eastAsia="Times New Roman" w:cs="Times New Roman"/>
          <w:noProof/>
          <w:szCs w:val="24"/>
          <w:lang w:eastAsia="en-GB"/>
        </w:rPr>
        <w:t>has organised six joint actions focused on awareness raising and strengthening cooperation between IPR authori</w:t>
      </w:r>
      <w:r>
        <w:rPr>
          <w:rFonts w:eastAsia="Times New Roman" w:cs="Times New Roman"/>
          <w:noProof/>
          <w:szCs w:val="24"/>
          <w:lang w:eastAsia="en-GB"/>
        </w:rPr>
        <w:t>ties and right holders</w:t>
      </w:r>
      <w:r>
        <w:rPr>
          <w:rFonts w:eastAsia="Calibri" w:cs="Times New Roman"/>
          <w:noProof/>
          <w:szCs w:val="24"/>
        </w:rPr>
        <w:t xml:space="preserve">. The Ministry of Health continued to monitor trafficking in counterfeit medicinal products.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Following restructuring of the state administration, the intellectual property service has been part of the Ministry of Economy since Decemb</w:t>
      </w:r>
      <w:r>
        <w:rPr>
          <w:rFonts w:eastAsia="Calibri" w:cs="Times New Roman"/>
          <w:noProof/>
          <w:szCs w:val="24"/>
        </w:rPr>
        <w:t xml:space="preserve">er 2018. </w:t>
      </w:r>
      <w:r>
        <w:rPr>
          <w:rFonts w:eastAsia="Calibri" w:cs="Times New Roman"/>
          <w:b/>
          <w:noProof/>
          <w:szCs w:val="24"/>
        </w:rPr>
        <w:t>Staffing</w:t>
      </w:r>
      <w:r>
        <w:rPr>
          <w:rFonts w:eastAsia="Calibri" w:cs="Times New Roman"/>
          <w:noProof/>
          <w:szCs w:val="24"/>
        </w:rPr>
        <w:t xml:space="preserve"> decreased, compared to that of the Intellectual Property Office in 2018.</w:t>
      </w:r>
      <w:bookmarkStart w:id="102" w:name="_Toc30073830"/>
      <w:bookmarkStart w:id="103" w:name="_Toc30074143"/>
      <w:r>
        <w:rPr>
          <w:rFonts w:eastAsia="Calibri" w:cs="Times New Roman"/>
          <w:noProof/>
          <w:szCs w:val="24"/>
        </w:rPr>
        <w:t xml:space="preserve"> Cooperation continued with international organisations, namely WIPO, EUIPO and the European Patent Office, as well as with economic operators and right holders. Coop</w:t>
      </w:r>
      <w:r>
        <w:rPr>
          <w:rFonts w:eastAsia="Calibri" w:cs="Times New Roman"/>
          <w:noProof/>
          <w:szCs w:val="24"/>
        </w:rPr>
        <w:t>eration with the EUIPO Observatory on the Infringement of IPR intensified.</w:t>
      </w:r>
      <w:bookmarkEnd w:id="102"/>
      <w:bookmarkEnd w:id="103"/>
    </w:p>
    <w:p w:rsidR="003C2144" w:rsidRDefault="00FB7959">
      <w:pPr>
        <w:pStyle w:val="Heading2"/>
        <w:rPr>
          <w:rFonts w:eastAsia="Times New Roman"/>
          <w:noProof/>
        </w:rPr>
      </w:pPr>
      <w:bookmarkStart w:id="104" w:name="_Toc30073831"/>
      <w:bookmarkStart w:id="105" w:name="_Toc30074144"/>
      <w:bookmarkStart w:id="106" w:name="_Toc30080573"/>
      <w:bookmarkStart w:id="107" w:name="_Toc52744941"/>
      <w:r>
        <w:rPr>
          <w:rFonts w:eastAsia="Times New Roman"/>
          <w:noProof/>
        </w:rPr>
        <w:t>5.8</w:t>
      </w:r>
      <w:r>
        <w:rPr>
          <w:rFonts w:eastAsia="Times New Roman"/>
          <w:noProof/>
        </w:rPr>
        <w:tab/>
        <w:t>Chapter 8: Competition policy</w:t>
      </w:r>
      <w:bookmarkEnd w:id="104"/>
      <w:bookmarkEnd w:id="105"/>
      <w:bookmarkEnd w:id="106"/>
      <w:bookmarkEnd w:id="107"/>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i/>
          <w:iCs/>
          <w:noProof/>
          <w:color w:val="000000"/>
          <w:szCs w:val="24"/>
        </w:rPr>
        <w:t>EU rules protect free competition. They include antitrust rules against restrictive agreements between companies and abuse of dominant position, a</w:t>
      </w:r>
      <w:r>
        <w:rPr>
          <w:rFonts w:eastAsia="Calibri" w:cs="Times New Roman"/>
          <w:i/>
          <w:iCs/>
          <w:noProof/>
          <w:color w:val="000000"/>
          <w:szCs w:val="24"/>
        </w:rPr>
        <w:t>nd also include rules on concentrations between companies which would significantly impede competition. EU rules also set out a system of State aid control. Governments are only allowed to grant State aid if restrictive conditions are met, with a view to p</w:t>
      </w:r>
      <w:r>
        <w:rPr>
          <w:rFonts w:eastAsia="Calibri" w:cs="Times New Roman"/>
          <w:i/>
          <w:iCs/>
          <w:noProof/>
          <w:color w:val="000000"/>
          <w:szCs w:val="24"/>
        </w:rPr>
        <w:t xml:space="preserve">reventing distortion of competition. </w:t>
      </w:r>
    </w:p>
    <w:tbl>
      <w:tblPr>
        <w:tblStyle w:val="TableGrid1"/>
        <w:tblW w:w="0" w:type="auto"/>
        <w:shd w:val="clear" w:color="auto" w:fill="D9D9D9" w:themeFill="background1" w:themeFillShade="D9"/>
        <w:tblLook w:val="04A0" w:firstRow="1" w:lastRow="0" w:firstColumn="1" w:lastColumn="0" w:noHBand="0" w:noVBand="1"/>
      </w:tblPr>
      <w:tblGrid>
        <w:gridCol w:w="9288"/>
      </w:tblGrid>
      <w:tr w:rsidR="003C214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autoSpaceDE w:val="0"/>
              <w:autoSpaceDN w:val="0"/>
              <w:adjustRightInd w:val="0"/>
              <w:spacing w:after="120" w:line="240" w:lineRule="auto"/>
              <w:jc w:val="both"/>
              <w:rPr>
                <w:rFonts w:cs="Times New Roman"/>
                <w:noProof/>
                <w:color w:val="000000"/>
                <w:szCs w:val="24"/>
              </w:rPr>
            </w:pPr>
            <w:r>
              <w:rPr>
                <w:rFonts w:cs="Times New Roman"/>
                <w:noProof/>
                <w:color w:val="000000"/>
                <w:szCs w:val="24"/>
              </w:rPr>
              <w:t xml:space="preserve">Montenegro is </w:t>
            </w:r>
            <w:r>
              <w:rPr>
                <w:rFonts w:cs="Times New Roman"/>
                <w:b/>
                <w:bCs/>
                <w:noProof/>
                <w:color w:val="000000"/>
                <w:szCs w:val="24"/>
              </w:rPr>
              <w:t xml:space="preserve">moderately prepared </w:t>
            </w:r>
            <w:r>
              <w:rPr>
                <w:rFonts w:cs="Times New Roman"/>
                <w:noProof/>
                <w:color w:val="000000"/>
                <w:szCs w:val="24"/>
              </w:rPr>
              <w:t xml:space="preserve">in this area. </w:t>
            </w:r>
            <w:r>
              <w:rPr>
                <w:rFonts w:cs="Times New Roman"/>
                <w:b/>
                <w:noProof/>
                <w:color w:val="000000"/>
                <w:szCs w:val="24"/>
              </w:rPr>
              <w:t xml:space="preserve">Limited progress </w:t>
            </w:r>
            <w:r>
              <w:rPr>
                <w:rFonts w:cs="Times New Roman"/>
                <w:noProof/>
                <w:color w:val="000000"/>
                <w:szCs w:val="24"/>
              </w:rPr>
              <w:t>was registered overall. In the state aid area, EUR 155 million of State funding were granted to Montenegro Airlines without a prior informed opinion of t</w:t>
            </w:r>
            <w:r>
              <w:rPr>
                <w:rFonts w:cs="Times New Roman"/>
                <w:noProof/>
                <w:color w:val="000000"/>
                <w:szCs w:val="24"/>
              </w:rPr>
              <w:t>he State aid authority. This raised serious concerns. T</w:t>
            </w:r>
            <w:r>
              <w:rPr>
                <w:rFonts w:eastAsia="Times New Roman" w:cs="Times New Roman"/>
                <w:noProof/>
                <w:szCs w:val="24"/>
                <w:lang w:eastAsia="en-GB"/>
              </w:rPr>
              <w:t>he proper handling of this case is an important test for the functioning of Montenegro’s State aid control system</w:t>
            </w:r>
            <w:r>
              <w:rPr>
                <w:rFonts w:cs="Times New Roman"/>
                <w:noProof/>
                <w:szCs w:val="24"/>
              </w:rPr>
              <w:t>.</w:t>
            </w:r>
            <w:r>
              <w:rPr>
                <w:rFonts w:cs="Times New Roman"/>
                <w:noProof/>
                <w:color w:val="000000"/>
                <w:szCs w:val="24"/>
              </w:rPr>
              <w:t xml:space="preserve"> Under the 2018 Law on State aid control, the first two </w:t>
            </w:r>
            <w:r>
              <w:rPr>
                <w:rFonts w:cs="Times New Roman"/>
                <w:i/>
                <w:noProof/>
                <w:color w:val="000000"/>
                <w:szCs w:val="24"/>
              </w:rPr>
              <w:t>ex-officio</w:t>
            </w:r>
            <w:r>
              <w:rPr>
                <w:rFonts w:cs="Times New Roman"/>
                <w:noProof/>
                <w:color w:val="000000"/>
                <w:szCs w:val="24"/>
              </w:rPr>
              <w:t xml:space="preserve"> investigations on non-notified aid were launched, being the first since 2012. Last year's recommendations remain valid and in the coming year Montenegro should in particular: </w:t>
            </w:r>
          </w:p>
          <w:p w:rsidR="003C2144" w:rsidRDefault="00FB7959">
            <w:pPr>
              <w:numPr>
                <w:ilvl w:val="0"/>
                <w:numId w:val="13"/>
              </w:numPr>
              <w:autoSpaceDE w:val="0"/>
              <w:autoSpaceDN w:val="0"/>
              <w:adjustRightInd w:val="0"/>
              <w:spacing w:after="120" w:line="240" w:lineRule="auto"/>
              <w:ind w:left="426" w:hanging="425"/>
              <w:jc w:val="both"/>
              <w:rPr>
                <w:rFonts w:cs="Times New Roman"/>
                <w:noProof/>
                <w:color w:val="000000"/>
                <w:szCs w:val="24"/>
              </w:rPr>
            </w:pPr>
            <w:r>
              <w:rPr>
                <w:rFonts w:eastAsia="Times New Roman" w:cs="Times New Roman"/>
                <w:noProof/>
                <w:szCs w:val="24"/>
                <w:lang w:eastAsia="en-GB"/>
              </w:rPr>
              <w:t xml:space="preserve">provide the State aid authority with the means and information to follow up on </w:t>
            </w:r>
            <w:r>
              <w:rPr>
                <w:rFonts w:eastAsia="Times New Roman" w:cs="Times New Roman"/>
                <w:noProof/>
                <w:szCs w:val="24"/>
                <w:lang w:eastAsia="en-GB"/>
              </w:rPr>
              <w:t>the Montenegro Airlines case and to adopt an informed decision, in line with Montenegro’s legislation, as well as its Stabilisation and Association Agreement obligations, on which Montenegro will then need to follow-up;</w:t>
            </w:r>
          </w:p>
          <w:p w:rsidR="003C2144" w:rsidRDefault="00FB7959">
            <w:pPr>
              <w:numPr>
                <w:ilvl w:val="0"/>
                <w:numId w:val="13"/>
              </w:numPr>
              <w:autoSpaceDE w:val="0"/>
              <w:autoSpaceDN w:val="0"/>
              <w:adjustRightInd w:val="0"/>
              <w:spacing w:after="120" w:line="240" w:lineRule="auto"/>
              <w:ind w:left="426" w:hanging="425"/>
              <w:jc w:val="both"/>
              <w:rPr>
                <w:rFonts w:cs="Times New Roman"/>
                <w:noProof/>
                <w:color w:val="000000"/>
                <w:szCs w:val="24"/>
              </w:rPr>
            </w:pPr>
            <w:r>
              <w:rPr>
                <w:rFonts w:eastAsia="Times New Roman" w:cs="Times New Roman"/>
                <w:noProof/>
                <w:szCs w:val="24"/>
                <w:lang w:eastAsia="en-GB"/>
              </w:rPr>
              <w:t>e</w:t>
            </w:r>
            <w:r>
              <w:rPr>
                <w:rFonts w:cs="Times New Roman"/>
                <w:noProof/>
                <w:color w:val="000000"/>
                <w:szCs w:val="24"/>
              </w:rPr>
              <w:t xml:space="preserve">nsure transparency on all state aid decisions and operational independence of the State aid authority as well as effectiveness of its control on State aid at all levels, including the building up of an enforcement record; </w:t>
            </w:r>
          </w:p>
          <w:p w:rsidR="003C2144" w:rsidRDefault="00FB7959">
            <w:pPr>
              <w:numPr>
                <w:ilvl w:val="0"/>
                <w:numId w:val="13"/>
              </w:numPr>
              <w:autoSpaceDE w:val="0"/>
              <w:autoSpaceDN w:val="0"/>
              <w:adjustRightInd w:val="0"/>
              <w:spacing w:after="120" w:line="240" w:lineRule="auto"/>
              <w:ind w:left="426" w:hanging="425"/>
              <w:jc w:val="both"/>
              <w:rPr>
                <w:rFonts w:cs="Times New Roman"/>
                <w:noProof/>
                <w:color w:val="000000"/>
                <w:szCs w:val="24"/>
              </w:rPr>
            </w:pPr>
            <w:r>
              <w:rPr>
                <w:rFonts w:cs="Times New Roman"/>
                <w:noProof/>
                <w:color w:val="000000"/>
                <w:szCs w:val="24"/>
              </w:rPr>
              <w:t>improve the track record of the A</w:t>
            </w:r>
            <w:r>
              <w:rPr>
                <w:rFonts w:cs="Times New Roman"/>
                <w:noProof/>
                <w:color w:val="000000"/>
                <w:szCs w:val="24"/>
              </w:rPr>
              <w:t xml:space="preserve">gency for the Protection of Competition on antitrust and mergers. </w:t>
            </w:r>
          </w:p>
        </w:tc>
      </w:tr>
    </w:tbl>
    <w:p w:rsidR="003C2144" w:rsidRDefault="00FB7959">
      <w:pPr>
        <w:autoSpaceDE w:val="0"/>
        <w:autoSpaceDN w:val="0"/>
        <w:adjustRightInd w:val="0"/>
        <w:spacing w:after="120" w:line="240" w:lineRule="auto"/>
        <w:jc w:val="both"/>
        <w:rPr>
          <w:rFonts w:eastAsia="Calibri" w:cs="Times New Roman"/>
          <w:noProof/>
          <w:color w:val="000000"/>
          <w:szCs w:val="24"/>
          <w:u w:val="single"/>
        </w:rPr>
      </w:pPr>
      <w:r>
        <w:rPr>
          <w:rFonts w:eastAsia="Calibri" w:cs="Times New Roman"/>
          <w:noProof/>
          <w:color w:val="000000"/>
          <w:szCs w:val="24"/>
          <w:u w:val="single"/>
        </w:rPr>
        <w:t>Antitrust and mergers</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The legislative framework provides a good level of alignment with the EU acquis and the Stabilisation and Association Agreement (SAA). The Law on protection of compet</w:t>
      </w:r>
      <w:r>
        <w:rPr>
          <w:rFonts w:eastAsia="Calibri" w:cs="Times New Roman"/>
          <w:noProof/>
          <w:color w:val="000000"/>
          <w:szCs w:val="24"/>
        </w:rPr>
        <w:t>ition is largely aligned with Article 101 TFEU on restrictive agreements and Article 102 TFEU on abuses of dominant position. The law also provides for ex ante control of mergers above certain turnover thresholds, in line with the principles of the EU Merg</w:t>
      </w:r>
      <w:r>
        <w:rPr>
          <w:rFonts w:eastAsia="Calibri" w:cs="Times New Roman"/>
          <w:noProof/>
          <w:color w:val="000000"/>
          <w:szCs w:val="24"/>
        </w:rPr>
        <w:t xml:space="preserve">er Regulation. A good level of implementing legislation is in place. The implementing legislation is largely in line with the relevant EU acquis regulations and Commission guidelines. There were no developments during the reporting period.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the </w:t>
      </w:r>
      <w:r>
        <w:rPr>
          <w:rFonts w:eastAsia="Calibri" w:cs="Times New Roman"/>
          <w:b/>
          <w:bCs/>
          <w:noProof/>
          <w:color w:val="000000"/>
          <w:szCs w:val="24"/>
        </w:rPr>
        <w:t>institut</w:t>
      </w:r>
      <w:r>
        <w:rPr>
          <w:rFonts w:eastAsia="Calibri" w:cs="Times New Roman"/>
          <w:b/>
          <w:bCs/>
          <w:noProof/>
          <w:color w:val="000000"/>
          <w:szCs w:val="24"/>
        </w:rPr>
        <w:t>ional framework</w:t>
      </w:r>
      <w:r>
        <w:rPr>
          <w:rFonts w:eastAsia="Calibri" w:cs="Times New Roman"/>
          <w:noProof/>
          <w:color w:val="000000"/>
          <w:szCs w:val="24"/>
        </w:rPr>
        <w:t>, the Agency for Protection of Competition (APC) is responsible for implementing the legal framework. It is an operationally independent authority and the responsible director is appointed by the government. Decisions on antitrust and merger</w:t>
      </w:r>
      <w:r>
        <w:rPr>
          <w:rFonts w:eastAsia="Calibri" w:cs="Times New Roman"/>
          <w:noProof/>
          <w:color w:val="000000"/>
          <w:szCs w:val="24"/>
        </w:rPr>
        <w:t xml:space="preserve">s are taken by the Council of the APC, appointed by the government.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The powers of the APC are broadly comparable to those of the European Commission in the area of competition. It may (i) act upon a complaint or a notification (e.g. for mergers) or on its</w:t>
      </w:r>
      <w:r>
        <w:rPr>
          <w:rFonts w:eastAsia="Calibri" w:cs="Times New Roman"/>
          <w:noProof/>
          <w:color w:val="000000"/>
          <w:szCs w:val="24"/>
        </w:rPr>
        <w:t xml:space="preserve"> own initiative, request information and perform on-site investigations; (ii) approve mergers, with or without conditions, or prohibit them; and (iii) comment on draft legislation that may affect competition. The APC’s decisions may be appealed before the </w:t>
      </w:r>
      <w:r>
        <w:rPr>
          <w:rFonts w:eastAsia="Calibri" w:cs="Times New Roman"/>
          <w:noProof/>
          <w:color w:val="000000"/>
          <w:szCs w:val="24"/>
        </w:rPr>
        <w:t>Administrative Court. A leniency policy for self-reporting cartel members is in place. However, fines can still only be imposed by a decision of misdemeanour courts, not directly by the APC. Amendments to the Law on the protection of competition, to confir</w:t>
      </w:r>
      <w:r>
        <w:rPr>
          <w:rFonts w:eastAsia="Calibri" w:cs="Times New Roman"/>
          <w:noProof/>
          <w:color w:val="000000"/>
          <w:szCs w:val="24"/>
        </w:rPr>
        <w:t xml:space="preserve">m the APC’s set up under the 2018 Law on state administration are overdue since December 2019.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szCs w:val="24"/>
        </w:rPr>
        <w:t xml:space="preserve">On </w:t>
      </w:r>
      <w:r>
        <w:rPr>
          <w:rFonts w:eastAsia="Calibri" w:cs="Times New Roman"/>
          <w:b/>
          <w:bCs/>
          <w:noProof/>
          <w:szCs w:val="24"/>
        </w:rPr>
        <w:t>enforcement capacity</w:t>
      </w:r>
      <w:r>
        <w:rPr>
          <w:rFonts w:eastAsia="Calibri" w:cs="Times New Roman"/>
          <w:noProof/>
          <w:szCs w:val="24"/>
        </w:rPr>
        <w:t>, the APC's administrative and financial capacities are yet to be strengthened. The APC currently has 16 staff, including 9 case-handlers</w:t>
      </w:r>
      <w:r>
        <w:rPr>
          <w:rFonts w:eastAsia="Calibri" w:cs="Times New Roman"/>
          <w:noProof/>
          <w:szCs w:val="24"/>
        </w:rPr>
        <w:t xml:space="preserve">. On </w:t>
      </w:r>
      <w:r>
        <w:rPr>
          <w:rFonts w:eastAsia="Calibri" w:cs="Times New Roman"/>
          <w:b/>
          <w:bCs/>
          <w:noProof/>
          <w:szCs w:val="24"/>
        </w:rPr>
        <w:t>implementation</w:t>
      </w:r>
      <w:r>
        <w:rPr>
          <w:rFonts w:eastAsia="Calibri" w:cs="Times New Roman"/>
          <w:noProof/>
          <w:szCs w:val="24"/>
        </w:rPr>
        <w:t xml:space="preserve">, the number of decisions on cartels and abuses of dominant position has stagnated over time, with only one taken in 2019. In spite of the increased number of decisions on mergers (62 in 2019), </w:t>
      </w:r>
      <w:r>
        <w:rPr>
          <w:rFonts w:eastAsia="Calibri" w:cs="Times New Roman"/>
          <w:noProof/>
          <w:color w:val="000000"/>
          <w:szCs w:val="24"/>
        </w:rPr>
        <w:t xml:space="preserve">the APC has not prohibited any of them. </w:t>
      </w:r>
      <w:r>
        <w:rPr>
          <w:rFonts w:eastAsia="Calibri" w:cs="Times New Roman"/>
          <w:noProof/>
          <w:szCs w:val="24"/>
        </w:rPr>
        <w:t xml:space="preserve">In </w:t>
      </w:r>
      <w:r>
        <w:rPr>
          <w:rFonts w:eastAsia="Calibri" w:cs="Times New Roman"/>
          <w:noProof/>
          <w:szCs w:val="24"/>
        </w:rPr>
        <w:t>2019, two in-depth investigations of a merger were reported by the APC. The amount and number of fines imposed by the Misdemeanour court (4 fines totalling EUR 2200 in 24 procedures in 2019) are not sufficient.. The leniency policy was not applied in 2019,</w:t>
      </w:r>
      <w:r>
        <w:rPr>
          <w:rFonts w:eastAsia="Calibri" w:cs="Times New Roman"/>
          <w:noProof/>
          <w:szCs w:val="24"/>
        </w:rPr>
        <w:t xml:space="preserve"> as in the years before. The APC has only conducted four on-site inspections, two of which during the reporting period. No opinion on primary legislation was issued in 2019. The APC was not consulted for the new draft concession act for port services in th</w:t>
      </w:r>
      <w:r>
        <w:rPr>
          <w:rFonts w:eastAsia="Calibri" w:cs="Times New Roman"/>
          <w:noProof/>
          <w:szCs w:val="24"/>
        </w:rPr>
        <w:t xml:space="preserve">e port of Bar. In order </w:t>
      </w:r>
      <w:r>
        <w:rPr>
          <w:rFonts w:eastAsia="Calibri" w:cs="Times New Roman"/>
          <w:noProof/>
          <w:color w:val="000000"/>
          <w:szCs w:val="24"/>
        </w:rPr>
        <w:t>to demonstrate that the APC is stepping up its enforcement policy, it needs to make full use of its enforcement powers, by carrying out more on-site inspections, and further promoting the use of its leniency policy as a means to unc</w:t>
      </w:r>
      <w:r>
        <w:rPr>
          <w:rFonts w:eastAsia="Calibri" w:cs="Times New Roman"/>
          <w:noProof/>
          <w:color w:val="000000"/>
          <w:szCs w:val="24"/>
        </w:rPr>
        <w:t>over cartels. To this end, the ACP should consider increasing its advocacy activities. Finally, the courts’ capacity to handle complex competition cases must be significantly strengthened.</w:t>
      </w:r>
    </w:p>
    <w:p w:rsidR="003C2144" w:rsidRDefault="00FB7959">
      <w:pPr>
        <w:autoSpaceDE w:val="0"/>
        <w:autoSpaceDN w:val="0"/>
        <w:adjustRightInd w:val="0"/>
        <w:spacing w:after="120" w:line="240" w:lineRule="auto"/>
        <w:jc w:val="both"/>
        <w:rPr>
          <w:rFonts w:eastAsia="Calibri" w:cs="Times New Roman"/>
          <w:noProof/>
          <w:szCs w:val="24"/>
          <w:u w:val="single"/>
        </w:rPr>
      </w:pPr>
      <w:r>
        <w:rPr>
          <w:rFonts w:eastAsia="Calibri" w:cs="Times New Roman"/>
          <w:noProof/>
          <w:szCs w:val="24"/>
          <w:u w:val="single"/>
        </w:rPr>
        <w:t xml:space="preserve">State aid </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The </w:t>
      </w:r>
      <w:r>
        <w:rPr>
          <w:rFonts w:eastAsia="Calibri" w:cs="Times New Roman"/>
          <w:b/>
          <w:bCs/>
          <w:noProof/>
          <w:color w:val="000000"/>
          <w:szCs w:val="24"/>
        </w:rPr>
        <w:t xml:space="preserve">legislative framework </w:t>
      </w:r>
      <w:r>
        <w:rPr>
          <w:rFonts w:eastAsia="Calibri" w:cs="Times New Roman"/>
          <w:noProof/>
          <w:color w:val="000000"/>
          <w:szCs w:val="24"/>
        </w:rPr>
        <w:t xml:space="preserve">is to a large extent in line with the EU </w:t>
      </w:r>
      <w:r>
        <w:rPr>
          <w:rFonts w:eastAsia="Calibri" w:cs="Times New Roman"/>
          <w:i/>
          <w:iCs/>
          <w:noProof/>
          <w:color w:val="000000"/>
          <w:szCs w:val="24"/>
        </w:rPr>
        <w:t xml:space="preserve">acquis </w:t>
      </w:r>
      <w:r>
        <w:rPr>
          <w:rFonts w:eastAsia="Calibri" w:cs="Times New Roman"/>
          <w:noProof/>
          <w:color w:val="000000"/>
          <w:szCs w:val="24"/>
        </w:rPr>
        <w:t>and the SAA as well as with Articles 107 and 108 TFEU. The 2018 Law on State aid control sets out the notion of aid as well as procedural State aid rules. In April 2020, important secondary legislation was ad</w:t>
      </w:r>
      <w:r>
        <w:rPr>
          <w:rFonts w:eastAsia="Calibri" w:cs="Times New Roman"/>
          <w:noProof/>
          <w:color w:val="000000"/>
          <w:szCs w:val="24"/>
        </w:rPr>
        <w:t>opted, aimed at alignment with the banking communication, notion of state aid and the Temporary Framework for state aid measures to support the economy in the context of COVID-19 outbreak and its first amendments. A second and a third set of measures to su</w:t>
      </w:r>
      <w:r>
        <w:rPr>
          <w:rFonts w:eastAsia="Calibri" w:cs="Times New Roman"/>
          <w:noProof/>
          <w:color w:val="000000"/>
          <w:szCs w:val="24"/>
        </w:rPr>
        <w:t xml:space="preserve">pport the economy have been adopted respectively in May and July 2020. Some secondary EU </w:t>
      </w:r>
      <w:r>
        <w:rPr>
          <w:rFonts w:eastAsia="Calibri" w:cs="Times New Roman"/>
          <w:i/>
          <w:noProof/>
          <w:color w:val="000000"/>
          <w:szCs w:val="24"/>
        </w:rPr>
        <w:t>acquis</w:t>
      </w:r>
      <w:r>
        <w:rPr>
          <w:rFonts w:eastAsia="Calibri" w:cs="Times New Roman"/>
          <w:noProof/>
          <w:color w:val="000000"/>
          <w:szCs w:val="24"/>
        </w:rPr>
        <w:t xml:space="preserve"> is still awaiting alignment, such as notification forms and information sheets (Regulation 2015/2282) and aid for port and airport infrastructure. The rules on </w:t>
      </w:r>
      <w:r>
        <w:rPr>
          <w:rFonts w:eastAsia="Calibri" w:cs="Times New Roman"/>
          <w:noProof/>
          <w:color w:val="000000"/>
          <w:szCs w:val="24"/>
        </w:rPr>
        <w:t xml:space="preserve">the financing of services of general economic interest are largely aligned with the EU State aid </w:t>
      </w:r>
      <w:r>
        <w:rPr>
          <w:rFonts w:eastAsia="Calibri" w:cs="Times New Roman"/>
          <w:i/>
          <w:noProof/>
          <w:color w:val="000000"/>
          <w:szCs w:val="24"/>
        </w:rPr>
        <w:t>acquis</w:t>
      </w:r>
      <w:r>
        <w:rPr>
          <w:rFonts w:eastAsia="Calibri" w:cs="Times New Roman"/>
          <w:noProof/>
          <w:color w:val="000000"/>
          <w:szCs w:val="24"/>
        </w:rPr>
        <w:t xml:space="preserve">. However, Montenegro needs to demonstrate their proper enforcement.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As regards the </w:t>
      </w:r>
      <w:r>
        <w:rPr>
          <w:rFonts w:eastAsia="Calibri" w:cs="Times New Roman"/>
          <w:b/>
          <w:bCs/>
          <w:noProof/>
          <w:szCs w:val="24"/>
        </w:rPr>
        <w:t>institutional framework</w:t>
      </w:r>
      <w:r>
        <w:rPr>
          <w:rFonts w:eastAsia="Calibri" w:cs="Times New Roman"/>
          <w:noProof/>
          <w:szCs w:val="24"/>
        </w:rPr>
        <w:t xml:space="preserve">, </w:t>
      </w:r>
      <w:r>
        <w:rPr>
          <w:rFonts w:eastAsia="Calibri" w:cs="Times New Roman"/>
          <w:noProof/>
          <w:color w:val="000000"/>
          <w:szCs w:val="24"/>
        </w:rPr>
        <w:t>the Agency for Protection of Competition (A</w:t>
      </w:r>
      <w:r>
        <w:rPr>
          <w:rFonts w:eastAsia="Calibri" w:cs="Times New Roman"/>
          <w:noProof/>
          <w:color w:val="000000"/>
          <w:szCs w:val="24"/>
        </w:rPr>
        <w:t>PC) is responsible for implementing the legal framework.</w:t>
      </w:r>
      <w:r>
        <w:rPr>
          <w:rFonts w:eastAsia="Calibri" w:cs="Times New Roman"/>
          <w:noProof/>
          <w:szCs w:val="24"/>
        </w:rPr>
        <w:t xml:space="preserve"> </w:t>
      </w:r>
      <w:r>
        <w:rPr>
          <w:rFonts w:eastAsia="Calibri" w:cs="Times New Roman"/>
          <w:noProof/>
          <w:color w:val="000000"/>
          <w:szCs w:val="24"/>
        </w:rPr>
        <w:t>It is an operationally independent authority, whose responsible director is appointed by the government. Decisions on state aid are taken by the Council of the APC, appointed by the government.</w:t>
      </w:r>
      <w:r>
        <w:rPr>
          <w:rFonts w:eastAsia="Calibri" w:cs="Times New Roman"/>
          <w:noProof/>
          <w:szCs w:val="24"/>
        </w:rPr>
        <w:t xml:space="preserve"> Adopt</w:t>
      </w:r>
      <w:r>
        <w:rPr>
          <w:rFonts w:eastAsia="Calibri" w:cs="Times New Roman"/>
          <w:noProof/>
          <w:szCs w:val="24"/>
        </w:rPr>
        <w:t xml:space="preserve">ed State aid decisions can be appealed before the Administrative Court. However, a solid track record on enforcement by the State aid authority is yet to be proven. While the Ministry of Finance remains responsible for legislative proposals in the area of </w:t>
      </w:r>
      <w:r>
        <w:rPr>
          <w:rFonts w:eastAsia="Calibri" w:cs="Times New Roman"/>
          <w:noProof/>
          <w:szCs w:val="24"/>
        </w:rPr>
        <w:t xml:space="preserve">State aid, since the transfer of the State Aid Control Unit to APC in January 2019, there is no dedicated staff within the Ministry.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The </w:t>
      </w:r>
      <w:r>
        <w:rPr>
          <w:rFonts w:eastAsia="Calibri" w:cs="Times New Roman"/>
          <w:b/>
          <w:bCs/>
          <w:noProof/>
          <w:szCs w:val="24"/>
        </w:rPr>
        <w:t xml:space="preserve">enforcement capacity </w:t>
      </w:r>
      <w:r>
        <w:rPr>
          <w:rFonts w:eastAsia="Calibri" w:cs="Times New Roman"/>
          <w:bCs/>
          <w:noProof/>
          <w:szCs w:val="24"/>
        </w:rPr>
        <w:t xml:space="preserve">of </w:t>
      </w:r>
      <w:r>
        <w:rPr>
          <w:rFonts w:eastAsia="Calibri" w:cs="Times New Roman"/>
          <w:noProof/>
          <w:szCs w:val="24"/>
        </w:rPr>
        <w:t>the APC Council remains significantly insufficient. Two new staff were recruited during the re</w:t>
      </w:r>
      <w:r>
        <w:rPr>
          <w:rFonts w:eastAsia="Calibri" w:cs="Times New Roman"/>
          <w:noProof/>
          <w:szCs w:val="24"/>
        </w:rPr>
        <w:t>porting period. However, other staff resigned, leading to considerable loss of knowledge. As of now, there are eight employees in the field of State aid. To strengthen its expertise and enforcement capacity, the APC should undertake significant efforts tow</w:t>
      </w:r>
      <w:r>
        <w:rPr>
          <w:rFonts w:eastAsia="Calibri" w:cs="Times New Roman"/>
          <w:noProof/>
          <w:szCs w:val="24"/>
        </w:rPr>
        <w:t xml:space="preserve">ards new recruitments and related capacity building.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szCs w:val="24"/>
        </w:rPr>
        <w:t xml:space="preserve">On </w:t>
      </w:r>
      <w:r>
        <w:rPr>
          <w:rFonts w:eastAsia="Calibri" w:cs="Times New Roman"/>
          <w:b/>
          <w:bCs/>
          <w:noProof/>
          <w:szCs w:val="24"/>
        </w:rPr>
        <w:t>implementation</w:t>
      </w:r>
      <w:r>
        <w:rPr>
          <w:rFonts w:eastAsia="Calibri" w:cs="Times New Roman"/>
          <w:noProof/>
          <w:szCs w:val="24"/>
        </w:rPr>
        <w:t>, the number of decisions adopted by the APC Council increased to 33 in 2019 from 22 in 2018</w:t>
      </w:r>
      <w:bookmarkStart w:id="108" w:name="_Hlk30001092"/>
      <w:r>
        <w:rPr>
          <w:rFonts w:eastAsia="Calibri" w:cs="Times New Roman"/>
          <w:noProof/>
          <w:szCs w:val="24"/>
        </w:rPr>
        <w:t xml:space="preserve">. </w:t>
      </w:r>
      <w:bookmarkEnd w:id="108"/>
      <w:r>
        <w:rPr>
          <w:rFonts w:eastAsia="Calibri" w:cs="Times New Roman"/>
          <w:noProof/>
          <w:szCs w:val="24"/>
        </w:rPr>
        <w:t>For the first time since 2015, three negative decisions were taken by the State aid authori</w:t>
      </w:r>
      <w:r>
        <w:rPr>
          <w:rFonts w:eastAsia="Calibri" w:cs="Times New Roman"/>
          <w:noProof/>
          <w:szCs w:val="24"/>
        </w:rPr>
        <w:t xml:space="preserve">ty in 2019. </w:t>
      </w:r>
      <w:r>
        <w:rPr>
          <w:rFonts w:eastAsia="Calibri" w:cs="Times New Roman"/>
          <w:noProof/>
          <w:color w:val="000000"/>
          <w:szCs w:val="24"/>
        </w:rPr>
        <w:t>In response to the COVID-19 outbreak, the APC Council, in April 2020, assessed the second set of socio-economic measures prepared by government as compliant with state aid rules, while the first and third sets of measures are yet to be assessed</w:t>
      </w:r>
      <w:r>
        <w:rPr>
          <w:rFonts w:eastAsia="Calibri" w:cs="Times New Roman"/>
          <w:noProof/>
          <w:color w:val="000000"/>
          <w:szCs w:val="24"/>
        </w:rPr>
        <w:t xml:space="preserve"> for compliance. </w:t>
      </w:r>
      <w:r>
        <w:rPr>
          <w:rFonts w:eastAsia="Calibri" w:cs="Times New Roman"/>
          <w:noProof/>
          <w:szCs w:val="24"/>
        </w:rPr>
        <w:t>The State aid authority received no complaint between 2013 and 2019</w:t>
      </w:r>
      <w:r>
        <w:rPr>
          <w:rFonts w:eastAsia="Calibri" w:cs="Times New Roman"/>
          <w:noProof/>
          <w:color w:val="000000"/>
          <w:szCs w:val="24"/>
        </w:rPr>
        <w:t>, which could indicate a low awareness of State aid r</w:t>
      </w:r>
      <w:r>
        <w:rPr>
          <w:rFonts w:eastAsia="Calibri" w:cs="Times New Roman"/>
          <w:noProof/>
          <w:szCs w:val="24"/>
        </w:rPr>
        <w:t xml:space="preserve">ules among stakeholders. The APC’s comprehensive 2018 report on state aid identified nine non-notified state aid cases </w:t>
      </w:r>
      <w:r>
        <w:rPr>
          <w:rFonts w:eastAsia="Calibri" w:cs="Times New Roman"/>
          <w:noProof/>
          <w:szCs w:val="24"/>
        </w:rPr>
        <w:t>at central and local levels.</w:t>
      </w:r>
      <w:r>
        <w:rPr>
          <w:rFonts w:eastAsia="Calibri" w:cs="Times New Roman"/>
          <w:noProof/>
          <w:color w:val="000000"/>
          <w:szCs w:val="24"/>
        </w:rPr>
        <w:t xml:space="preserve"> Consequently as per 2018 Law on State aid control, two </w:t>
      </w:r>
      <w:r>
        <w:rPr>
          <w:rFonts w:eastAsia="Calibri" w:cs="Times New Roman"/>
          <w:i/>
          <w:noProof/>
          <w:color w:val="000000"/>
          <w:szCs w:val="24"/>
        </w:rPr>
        <w:t>ex-officio</w:t>
      </w:r>
      <w:r>
        <w:rPr>
          <w:rFonts w:eastAsia="Calibri" w:cs="Times New Roman"/>
          <w:noProof/>
          <w:color w:val="000000"/>
          <w:szCs w:val="24"/>
        </w:rPr>
        <w:t xml:space="preserve"> investigations, were launched in October 2019 and remain to be finalised by the APC. They are the first </w:t>
      </w:r>
      <w:r>
        <w:rPr>
          <w:rFonts w:eastAsia="Calibri" w:cs="Times New Roman"/>
          <w:i/>
          <w:noProof/>
          <w:color w:val="000000"/>
          <w:szCs w:val="24"/>
        </w:rPr>
        <w:t>ex-officio</w:t>
      </w:r>
      <w:r>
        <w:rPr>
          <w:rFonts w:eastAsia="Calibri" w:cs="Times New Roman"/>
          <w:noProof/>
          <w:color w:val="000000"/>
          <w:szCs w:val="24"/>
        </w:rPr>
        <w:t xml:space="preserve"> investigations since 2012, Monitoring of compl</w:t>
      </w:r>
      <w:r>
        <w:rPr>
          <w:rFonts w:eastAsia="Calibri" w:cs="Times New Roman"/>
          <w:noProof/>
          <w:color w:val="000000"/>
          <w:szCs w:val="24"/>
        </w:rPr>
        <w:t xml:space="preserve">iance in this area needs to be significantly strengthened, including compliance with the conditions for cumulation of aid. A proper State aid register, including the </w:t>
      </w:r>
      <w:r>
        <w:rPr>
          <w:rFonts w:eastAsia="Calibri" w:cs="Times New Roman"/>
          <w:i/>
          <w:noProof/>
          <w:color w:val="000000"/>
          <w:szCs w:val="24"/>
        </w:rPr>
        <w:t>de minimis</w:t>
      </w:r>
      <w:r>
        <w:rPr>
          <w:rFonts w:eastAsia="Calibri" w:cs="Times New Roman"/>
          <w:noProof/>
          <w:color w:val="000000"/>
          <w:szCs w:val="24"/>
        </w:rPr>
        <w:t xml:space="preserve"> register, is yet to be set up. The State aid authority needs to be systematical</w:t>
      </w:r>
      <w:r>
        <w:rPr>
          <w:rFonts w:eastAsia="Calibri" w:cs="Times New Roman"/>
          <w:noProof/>
          <w:color w:val="000000"/>
          <w:szCs w:val="24"/>
        </w:rPr>
        <w:t xml:space="preserve">ly consulted on any concession act. For example, the government launched a 30-year concession for the airports of Montenegro (Podgorica and Tivat) in 2019. The procedure needs to be in full compliance with State aid rules. </w:t>
      </w:r>
    </w:p>
    <w:p w:rsidR="003C2144" w:rsidRDefault="00FB7959">
      <w:pPr>
        <w:spacing w:after="120" w:line="240" w:lineRule="auto"/>
        <w:jc w:val="both"/>
        <w:rPr>
          <w:rFonts w:eastAsia="Times New Roman" w:cs="Times New Roman"/>
          <w:noProof/>
          <w:szCs w:val="24"/>
          <w:lang w:val="en-IE" w:eastAsia="en-GB"/>
        </w:rPr>
      </w:pPr>
      <w:r>
        <w:rPr>
          <w:rFonts w:eastAsia="Calibri" w:cs="Times New Roman"/>
          <w:noProof/>
          <w:color w:val="000000"/>
          <w:szCs w:val="24"/>
        </w:rPr>
        <w:t xml:space="preserve">In 2019, the most important State aid case is </w:t>
      </w:r>
      <w:r>
        <w:rPr>
          <w:rFonts w:eastAsia="Calibri" w:cs="Times New Roman"/>
          <w:noProof/>
          <w:szCs w:val="24"/>
        </w:rPr>
        <w:t>the Law on investing in consolidation and development of Montenegro Airlines of December 2019, providing for up to EUR 155 million in state funding to the airline. The law was adopted without a prior decision f</w:t>
      </w:r>
      <w:r>
        <w:rPr>
          <w:rFonts w:eastAsia="Calibri" w:cs="Times New Roman"/>
          <w:noProof/>
          <w:szCs w:val="24"/>
        </w:rPr>
        <w:t xml:space="preserve">rom the State aid authority, even though this is provided for under national legislation and the Stabilisation and Association Agreement. </w:t>
      </w:r>
      <w:r>
        <w:rPr>
          <w:rFonts w:eastAsia="Times New Roman" w:cs="Times New Roman"/>
          <w:noProof/>
          <w:szCs w:val="24"/>
          <w:lang w:eastAsia="en-GB"/>
        </w:rPr>
        <w:t xml:space="preserve">This raised concerns over compliance with the relevant provisions of Montenegrin law and the SAA, which require State </w:t>
      </w:r>
      <w:r>
        <w:rPr>
          <w:rFonts w:eastAsia="Times New Roman" w:cs="Times New Roman"/>
          <w:noProof/>
          <w:szCs w:val="24"/>
          <w:lang w:eastAsia="en-GB"/>
        </w:rPr>
        <w:t>aid measures to be assessed by an operationally independent authority (i.e. by the APC Council</w:t>
      </w:r>
      <w:r>
        <w:rPr>
          <w:rFonts w:eastAsia="Calibri" w:cs="Times New Roman"/>
          <w:noProof/>
          <w:szCs w:val="24"/>
        </w:rPr>
        <w:t xml:space="preserve">). Montenegro however stated to currently apply the standstill clause and to not have made payments on the basis of the law. </w:t>
      </w:r>
      <w:r>
        <w:rPr>
          <w:rFonts w:eastAsia="Times New Roman" w:cs="Times New Roman"/>
          <w:noProof/>
          <w:szCs w:val="24"/>
          <w:lang w:val="en-IE" w:eastAsia="en-GB"/>
        </w:rPr>
        <w:t>It is now important for Montenegro to</w:t>
      </w:r>
      <w:r>
        <w:rPr>
          <w:rFonts w:eastAsia="Times New Roman" w:cs="Times New Roman"/>
          <w:noProof/>
          <w:szCs w:val="24"/>
          <w:lang w:val="en-IE" w:eastAsia="en-GB"/>
        </w:rPr>
        <w:t xml:space="preserve"> demonstrate that there is a functioning and independent State aid authority. For this, the government, as the initiator of the aid, needs to provide the APC with the necessary information and time to take a qualified decision as concerns this law and the </w:t>
      </w:r>
      <w:r>
        <w:rPr>
          <w:rFonts w:eastAsia="Times New Roman" w:cs="Times New Roman"/>
          <w:noProof/>
          <w:szCs w:val="24"/>
          <w:lang w:val="en-IE" w:eastAsia="en-GB"/>
        </w:rPr>
        <w:t xml:space="preserve">state funding envisaged. To do so, the government </w:t>
      </w:r>
      <w:r>
        <w:rPr>
          <w:rFonts w:eastAsia="Calibri" w:cs="Times New Roman"/>
          <w:noProof/>
          <w:szCs w:val="24"/>
        </w:rPr>
        <w:t>has supplied further information to the APC in May 2020.</w:t>
      </w:r>
      <w:r>
        <w:rPr>
          <w:rFonts w:eastAsia="Calibri" w:cs="Times New Roman"/>
          <w:noProof/>
          <w:szCs w:val="24"/>
          <w:lang w:val="en-IE" w:eastAsia="en-IE"/>
        </w:rPr>
        <w:t xml:space="preserve"> </w:t>
      </w:r>
    </w:p>
    <w:p w:rsidR="003C2144" w:rsidRDefault="00FB7959">
      <w:pPr>
        <w:spacing w:after="120" w:line="240" w:lineRule="auto"/>
        <w:jc w:val="both"/>
        <w:rPr>
          <w:rFonts w:eastAsia="Calibri" w:cs="Times New Roman"/>
          <w:noProof/>
          <w:szCs w:val="24"/>
        </w:rPr>
      </w:pPr>
      <w:r>
        <w:rPr>
          <w:rFonts w:eastAsia="Times New Roman" w:cs="Times New Roman"/>
          <w:noProof/>
          <w:szCs w:val="24"/>
          <w:lang w:val="en-IE" w:eastAsia="en-GB"/>
        </w:rPr>
        <w:t xml:space="preserve">The State aid authority should investigate possible State aid cases in the energy sector. </w:t>
      </w:r>
      <w:r>
        <w:rPr>
          <w:rFonts w:eastAsia="Calibri" w:cs="Times New Roman"/>
          <w:noProof/>
          <w:szCs w:val="24"/>
        </w:rPr>
        <w:t>The State aid authority should also monitor implementation</w:t>
      </w:r>
      <w:r>
        <w:rPr>
          <w:rFonts w:eastAsia="Calibri" w:cs="Times New Roman"/>
          <w:noProof/>
          <w:szCs w:val="24"/>
        </w:rPr>
        <w:t xml:space="preserve"> of State aid rules in large projects undertaken in cooperation with third countries. For this, the State aid authority needs to have access to all necessary information to provide opinions and take binding decisions. Awareness of state aid rules among aid</w:t>
      </w:r>
      <w:r>
        <w:rPr>
          <w:rFonts w:eastAsia="Calibri" w:cs="Times New Roman"/>
          <w:noProof/>
          <w:szCs w:val="24"/>
        </w:rPr>
        <w:t xml:space="preserve"> grantors at both central and local levels remains insufficient and advocacy must be considerably stepped up, despite numerous training sessions organised in the reporting period. </w:t>
      </w:r>
    </w:p>
    <w:p w:rsidR="003C2144" w:rsidRDefault="00FB7959">
      <w:pPr>
        <w:autoSpaceDE w:val="0"/>
        <w:autoSpaceDN w:val="0"/>
        <w:adjustRightInd w:val="0"/>
        <w:spacing w:after="120" w:line="240" w:lineRule="auto"/>
        <w:jc w:val="both"/>
        <w:rPr>
          <w:rFonts w:eastAsia="Calibri" w:cs="Times New Roman"/>
          <w:noProof/>
          <w:szCs w:val="24"/>
          <w:u w:val="single"/>
        </w:rPr>
      </w:pPr>
      <w:r>
        <w:rPr>
          <w:rFonts w:eastAsia="Calibri" w:cs="Times New Roman"/>
          <w:noProof/>
          <w:szCs w:val="24"/>
          <w:u w:val="single"/>
        </w:rPr>
        <w:t xml:space="preserve">Liberalisation </w:t>
      </w:r>
    </w:p>
    <w:p w:rsidR="003C2144" w:rsidRDefault="00FB7959">
      <w:pPr>
        <w:keepNext/>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The Law on the protection of competition and the Law on </w:t>
      </w:r>
      <w:r>
        <w:rPr>
          <w:rFonts w:eastAsia="Calibri" w:cs="Times New Roman"/>
          <w:noProof/>
          <w:szCs w:val="24"/>
        </w:rPr>
        <w:t xml:space="preserve">State aid control apply to public undertakings and undertakings with special or exclusive rights. This does not include cases where  applying the laws would obstruct the performance of the particular tasks of services of general economic interest assigned </w:t>
      </w:r>
      <w:r>
        <w:rPr>
          <w:rFonts w:eastAsia="Calibri" w:cs="Times New Roman"/>
          <w:noProof/>
          <w:szCs w:val="24"/>
        </w:rPr>
        <w:t>to such undertakings, in line with Article 106 TFEU and with the SAA. There are no monopolies of a commercial character as provided for in Article 37 TFEU. There were no developments in the reporting period.</w:t>
      </w:r>
    </w:p>
    <w:p w:rsidR="003C2144" w:rsidRDefault="00FB7959">
      <w:pPr>
        <w:pStyle w:val="Heading2"/>
        <w:rPr>
          <w:rFonts w:eastAsia="Times New Roman"/>
          <w:noProof/>
        </w:rPr>
      </w:pPr>
      <w:bookmarkStart w:id="109" w:name="_Toc30073832"/>
      <w:bookmarkStart w:id="110" w:name="_Toc30074145"/>
      <w:bookmarkStart w:id="111" w:name="_Toc30080574"/>
      <w:bookmarkStart w:id="112" w:name="_Toc52744942"/>
      <w:r>
        <w:rPr>
          <w:rFonts w:eastAsia="Times New Roman"/>
          <w:noProof/>
        </w:rPr>
        <w:t>5.9</w:t>
      </w:r>
      <w:r>
        <w:rPr>
          <w:rFonts w:eastAsia="Times New Roman"/>
          <w:noProof/>
        </w:rPr>
        <w:tab/>
        <w:t>Chapter 9: Financial services</w:t>
      </w:r>
      <w:bookmarkEnd w:id="109"/>
      <w:bookmarkEnd w:id="110"/>
      <w:bookmarkEnd w:id="111"/>
      <w:bookmarkEnd w:id="112"/>
      <w:r>
        <w:rPr>
          <w:rFonts w:eastAsia="Times New Roman"/>
          <w:noProof/>
        </w:rPr>
        <w:t xml:space="preserve"> </w:t>
      </w:r>
    </w:p>
    <w:p w:rsidR="003C2144" w:rsidRDefault="00FB7959">
      <w:pPr>
        <w:spacing w:after="120" w:line="240" w:lineRule="auto"/>
        <w:jc w:val="both"/>
        <w:rPr>
          <w:rFonts w:eastAsia="Calibri" w:cs="Times New Roman"/>
          <w:i/>
          <w:noProof/>
          <w:color w:val="000000"/>
          <w:szCs w:val="24"/>
        </w:rPr>
      </w:pPr>
      <w:r>
        <w:rPr>
          <w:rFonts w:eastAsia="Calibri" w:cs="Times New Roman"/>
          <w:i/>
          <w:noProof/>
          <w:color w:val="000000"/>
          <w:szCs w:val="24"/>
        </w:rPr>
        <w:t xml:space="preserve">EU rules aim </w:t>
      </w:r>
      <w:r>
        <w:rPr>
          <w:rFonts w:eastAsia="Calibri" w:cs="Times New Roman"/>
          <w:i/>
          <w:noProof/>
          <w:color w:val="000000"/>
          <w:szCs w:val="24"/>
        </w:rPr>
        <w:t>to ensure fair competition between and the stability of financial institutions, namely banking, insurance, supplementary pensions, investment services and securities markets. They include rules on authorisation, operation and supervision of these instituti</w:t>
      </w:r>
      <w:r>
        <w:rPr>
          <w:rFonts w:eastAsia="Calibri" w:cs="Times New Roman"/>
          <w:i/>
          <w:noProof/>
          <w:color w:val="000000"/>
          <w:szCs w:val="24"/>
        </w:rPr>
        <w:t xml:space="preserve">ons. </w:t>
      </w:r>
    </w:p>
    <w:tbl>
      <w:tblPr>
        <w:tblStyle w:val="TableGrid2"/>
        <w:tblW w:w="0" w:type="auto"/>
        <w:shd w:val="clear" w:color="auto" w:fill="D9D9D9" w:themeFill="background1" w:themeFillShade="D9"/>
        <w:tblLook w:val="04A0" w:firstRow="1" w:lastRow="0" w:firstColumn="1" w:lastColumn="0" w:noHBand="0" w:noVBand="1"/>
      </w:tblPr>
      <w:tblGrid>
        <w:gridCol w:w="9288"/>
      </w:tblGrid>
      <w:tr w:rsidR="003C2144">
        <w:tc>
          <w:tcPr>
            <w:tcW w:w="9288" w:type="dxa"/>
            <w:shd w:val="clear" w:color="auto" w:fill="D9D9D9" w:themeFill="background1" w:themeFillShade="D9"/>
          </w:tcPr>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is </w:t>
            </w:r>
            <w:r>
              <w:rPr>
                <w:rFonts w:eastAsia="Calibri" w:cs="Times New Roman"/>
                <w:b/>
                <w:noProof/>
                <w:szCs w:val="24"/>
              </w:rPr>
              <w:t>moderately prepared</w:t>
            </w:r>
            <w:r>
              <w:rPr>
                <w:rFonts w:eastAsia="Calibri" w:cs="Times New Roman"/>
                <w:noProof/>
                <w:szCs w:val="24"/>
              </w:rPr>
              <w:t xml:space="preserve"> in the area of financial services, with </w:t>
            </w:r>
            <w:r>
              <w:rPr>
                <w:rFonts w:eastAsia="Calibri" w:cs="Times New Roman"/>
                <w:b/>
                <w:noProof/>
                <w:szCs w:val="24"/>
              </w:rPr>
              <w:t>good progress</w:t>
            </w:r>
            <w:r>
              <w:rPr>
                <w:rFonts w:eastAsia="Calibri" w:cs="Times New Roman"/>
                <w:noProof/>
                <w:szCs w:val="24"/>
              </w:rPr>
              <w:t xml:space="preserve"> made in the reporting period, notably on the alignment with the EU </w:t>
            </w:r>
            <w:r>
              <w:rPr>
                <w:rFonts w:eastAsia="Calibri" w:cs="Times New Roman"/>
                <w:i/>
                <w:noProof/>
                <w:szCs w:val="24"/>
              </w:rPr>
              <w:t xml:space="preserve">acquis </w:t>
            </w:r>
            <w:r>
              <w:rPr>
                <w:rFonts w:eastAsia="Calibri" w:cs="Times New Roman"/>
                <w:noProof/>
                <w:szCs w:val="24"/>
              </w:rPr>
              <w:t>in the field of banking and financial conglomerates, fulfilling last year’s recommendati</w:t>
            </w:r>
            <w:r>
              <w:rPr>
                <w:rFonts w:eastAsia="Calibri" w:cs="Times New Roman"/>
                <w:noProof/>
                <w:szCs w:val="24"/>
              </w:rPr>
              <w:t>on. In the coming year, Montenegro should in particular:</w:t>
            </w:r>
          </w:p>
          <w:p w:rsidR="003C2144" w:rsidRDefault="00FB7959">
            <w:pPr>
              <w:numPr>
                <w:ilvl w:val="0"/>
                <w:numId w:val="14"/>
              </w:numPr>
              <w:spacing w:after="120" w:line="240" w:lineRule="auto"/>
              <w:ind w:left="567" w:hanging="425"/>
              <w:jc w:val="both"/>
              <w:rPr>
                <w:rFonts w:eastAsia="Calibri" w:cs="Times New Roman"/>
                <w:noProof/>
                <w:szCs w:val="24"/>
              </w:rPr>
            </w:pPr>
            <w:r>
              <w:rPr>
                <w:rFonts w:eastAsia="Calibri" w:cs="Times New Roman"/>
                <w:noProof/>
                <w:szCs w:val="24"/>
              </w:rPr>
              <w:t>adopt and start implementing secondary legislation related to the Capital Requirements Directive and the Capital Requirements Regulation;</w:t>
            </w:r>
          </w:p>
          <w:p w:rsidR="003C2144" w:rsidRDefault="00FB7959">
            <w:pPr>
              <w:numPr>
                <w:ilvl w:val="0"/>
                <w:numId w:val="14"/>
              </w:numPr>
              <w:spacing w:after="120" w:line="240" w:lineRule="auto"/>
              <w:ind w:left="567" w:hanging="425"/>
              <w:jc w:val="both"/>
              <w:rPr>
                <w:rFonts w:eastAsia="Calibri" w:cs="Times New Roman"/>
                <w:noProof/>
                <w:color w:val="000000"/>
                <w:szCs w:val="24"/>
              </w:rPr>
            </w:pPr>
            <w:r>
              <w:rPr>
                <w:rFonts w:eastAsia="Calibri" w:cs="Times New Roman"/>
                <w:noProof/>
                <w:color w:val="000000"/>
                <w:szCs w:val="24"/>
              </w:rPr>
              <w:t xml:space="preserve">perform an independent review of the asset quality in the </w:t>
            </w:r>
            <w:r>
              <w:rPr>
                <w:rFonts w:eastAsia="Calibri" w:cs="Times New Roman"/>
                <w:noProof/>
                <w:color w:val="000000"/>
                <w:szCs w:val="24"/>
              </w:rPr>
              <w:t>banking system, analyse its results and prepare plans for corrective actions, if necessary.</w:t>
            </w:r>
          </w:p>
        </w:tc>
      </w:tr>
    </w:tbl>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banks and financial conglomerates</w:t>
      </w:r>
      <w:r>
        <w:rPr>
          <w:rFonts w:eastAsia="Calibri" w:cs="Times New Roman"/>
          <w:noProof/>
          <w:szCs w:val="24"/>
        </w:rPr>
        <w:t xml:space="preserve">, the legislation is partially aligned with the EU </w:t>
      </w:r>
      <w:r>
        <w:rPr>
          <w:rFonts w:eastAsia="Calibri" w:cs="Times New Roman"/>
          <w:i/>
          <w:noProof/>
          <w:szCs w:val="24"/>
        </w:rPr>
        <w:t>acquis</w:t>
      </w:r>
      <w:r>
        <w:rPr>
          <w:rFonts w:eastAsia="Calibri" w:cs="Times New Roman"/>
          <w:noProof/>
          <w:szCs w:val="24"/>
        </w:rPr>
        <w:t>. In December 2019, Parliament adopted laws on deposit protection, cre</w:t>
      </w:r>
      <w:r>
        <w:rPr>
          <w:rFonts w:eastAsia="Calibri" w:cs="Times New Roman"/>
          <w:noProof/>
          <w:szCs w:val="24"/>
        </w:rPr>
        <w:t xml:space="preserve">dit institutions, resolution of credit institutions and amendments to the law on bank bankruptcy and liquidation. This aims to align the legal framework with the Capital Requirements Directive (CRD IV) and Regulation (CRR) as well as the Bank Recovery and </w:t>
      </w:r>
      <w:r>
        <w:rPr>
          <w:rFonts w:eastAsia="Calibri" w:cs="Times New Roman"/>
          <w:noProof/>
          <w:szCs w:val="24"/>
        </w:rPr>
        <w:t>Resolution Directive (BRRD). Work on implementing legislation, necessary for the full implementation of these laws, will continue in 2020. The new legal framework, once implemented, will significantly improve the supervision of credit institutions and allo</w:t>
      </w:r>
      <w:r>
        <w:rPr>
          <w:rFonts w:eastAsia="Calibri" w:cs="Times New Roman"/>
          <w:noProof/>
          <w:szCs w:val="24"/>
        </w:rPr>
        <w:t>w for timely interventions in troubled credit institutions.</w:t>
      </w:r>
    </w:p>
    <w:p w:rsidR="003C2144" w:rsidRDefault="00FB7959">
      <w:pPr>
        <w:spacing w:after="120" w:line="240" w:lineRule="auto"/>
        <w:jc w:val="both"/>
        <w:rPr>
          <w:rFonts w:eastAsia="Calibri" w:cs="Times New Roman"/>
          <w:noProof/>
          <w:szCs w:val="24"/>
        </w:rPr>
      </w:pPr>
      <w:r>
        <w:rPr>
          <w:rFonts w:eastAsia="Calibri" w:cs="Times New Roman"/>
          <w:noProof/>
          <w:szCs w:val="24"/>
        </w:rPr>
        <w:t>During the reporting period, the Central Bank of Montenegro amended a number of implementing acts on the credit registry, reporting, and minimum standards for credit risk management in banks. It a</w:t>
      </w:r>
      <w:r>
        <w:rPr>
          <w:rFonts w:eastAsia="Calibri" w:cs="Times New Roman"/>
          <w:noProof/>
          <w:szCs w:val="24"/>
        </w:rPr>
        <w:t>lso adopted implementing legislation on macro-prudential measures related to retail banking loans. July 2019 saw the establishment of the Committee for Banking Supervision, a standing advisory body to the governor of the central bank. The internal organisa</w:t>
      </w:r>
      <w:r>
        <w:rPr>
          <w:rFonts w:eastAsia="Calibri" w:cs="Times New Roman"/>
          <w:noProof/>
          <w:szCs w:val="24"/>
        </w:rPr>
        <w:t>tion of the central bank was also changed in order to strengthen its institutional and supervisory capacities. Montenegro established units for off-site supervision of credit institutions, supervision of operational risk of credit institutions, a new depar</w:t>
      </w:r>
      <w:r>
        <w:rPr>
          <w:rFonts w:eastAsia="Calibri" w:cs="Times New Roman"/>
          <w:noProof/>
          <w:szCs w:val="24"/>
        </w:rPr>
        <w:t>tment for the resolution of credit institutions and the Resolution Fund.</w:t>
      </w:r>
    </w:p>
    <w:p w:rsidR="003C2144" w:rsidRDefault="00FB7959">
      <w:pPr>
        <w:spacing w:after="120" w:line="240" w:lineRule="auto"/>
        <w:jc w:val="both"/>
        <w:rPr>
          <w:rFonts w:eastAsia="Calibri" w:cs="Times New Roman"/>
          <w:noProof/>
          <w:szCs w:val="24"/>
        </w:rPr>
      </w:pPr>
      <w:r>
        <w:rPr>
          <w:rFonts w:eastAsia="Calibri" w:cs="Times New Roman"/>
          <w:noProof/>
          <w:szCs w:val="24"/>
        </w:rPr>
        <w:t>These actions, taken in the wake of the bankruptcy of two small credit institutions at the beginning of 2019, increased the level of supervision and enhanced safeguards against credit</w:t>
      </w:r>
      <w:r>
        <w:rPr>
          <w:rFonts w:eastAsia="Calibri" w:cs="Times New Roman"/>
          <w:noProof/>
          <w:szCs w:val="24"/>
        </w:rPr>
        <w:t xml:space="preserve"> risk. The main indicators for the banking sector remain positive, with the ratio of non-performing loans dropping to 5.1% of total loans in February 2020 and solvency ratio reaching 17.7% at the end of 2019, well above the statutory minimum of 10%. Noneth</w:t>
      </w:r>
      <w:r>
        <w:rPr>
          <w:rFonts w:eastAsia="Calibri" w:cs="Times New Roman"/>
          <w:noProof/>
          <w:szCs w:val="24"/>
        </w:rPr>
        <w:t>eless, an external, independent review of the asset quality in all 13 banks present on the Montenegrin market started in February 2020, with a view to strengthening stability in the banking system and confidence in the banking system. The review should con</w:t>
      </w:r>
      <w:r>
        <w:rPr>
          <w:rFonts w:eastAsia="Calibri" w:cs="Times New Roman"/>
          <w:noProof/>
          <w:szCs w:val="24"/>
        </w:rPr>
        <w:t xml:space="preserve">clude in 2021. </w:t>
      </w:r>
    </w:p>
    <w:p w:rsidR="003C2144" w:rsidRDefault="00FB7959">
      <w:pPr>
        <w:spacing w:after="120" w:line="240" w:lineRule="auto"/>
        <w:jc w:val="both"/>
        <w:rPr>
          <w:rFonts w:eastAsia="Calibri" w:cs="Times New Roman"/>
          <w:noProof/>
          <w:szCs w:val="24"/>
        </w:rPr>
      </w:pPr>
      <w:r>
        <w:rPr>
          <w:rFonts w:eastAsia="Calibri" w:cs="Times New Roman"/>
          <w:noProof/>
          <w:szCs w:val="24"/>
        </w:rPr>
        <w:t>The Central Bank adopted in March 2020, in cooperation with the Government and commercial banks, the decision on temporary measures for the financial system in order to mitigate negative effects of COVID-19 pandemic to citizens and financia</w:t>
      </w:r>
      <w:r>
        <w:rPr>
          <w:rFonts w:eastAsia="Calibri" w:cs="Times New Roman"/>
          <w:noProof/>
          <w:szCs w:val="24"/>
        </w:rPr>
        <w:t>l system of Montenegro. The measures include</w:t>
      </w:r>
      <w:r>
        <w:rPr>
          <w:rFonts w:cs="Times New Roman"/>
          <w:noProof/>
          <w:szCs w:val="24"/>
        </w:rPr>
        <w:t xml:space="preserve"> notably a 90 days </w:t>
      </w:r>
      <w:r>
        <w:rPr>
          <w:rFonts w:eastAsia="Calibri" w:cs="Times New Roman"/>
          <w:noProof/>
          <w:szCs w:val="24"/>
        </w:rPr>
        <w:t>moratorium on repayment of loans, possibility to restructure and prolong loans</w:t>
      </w:r>
      <w:r>
        <w:rPr>
          <w:rFonts w:cs="Times New Roman"/>
          <w:noProof/>
          <w:szCs w:val="24"/>
        </w:rPr>
        <w:t xml:space="preserve"> and a </w:t>
      </w:r>
      <w:r>
        <w:rPr>
          <w:rFonts w:eastAsia="Calibri" w:cs="Times New Roman"/>
          <w:noProof/>
          <w:szCs w:val="24"/>
        </w:rPr>
        <w:t>temporary prohibition to pay out the dividends to shareholders of banks. Another decision from May 2020 intr</w:t>
      </w:r>
      <w:r>
        <w:rPr>
          <w:rFonts w:eastAsia="Calibri" w:cs="Times New Roman"/>
          <w:noProof/>
          <w:szCs w:val="24"/>
        </w:rPr>
        <w:t xml:space="preserve">oduced further measures that banks may take to restructure loans of borrowers affected by the crisis and the possibility to prolong moratorium on repayments of loans for another 90 days.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Montenegro’s rules on</w:t>
      </w:r>
      <w:r>
        <w:rPr>
          <w:rFonts w:eastAsia="Calibri" w:cs="Times New Roman"/>
          <w:b/>
          <w:noProof/>
          <w:szCs w:val="24"/>
        </w:rPr>
        <w:t xml:space="preserve"> insurance and occupational pensions</w:t>
      </w:r>
      <w:r>
        <w:rPr>
          <w:rFonts w:eastAsia="Calibri" w:cs="Times New Roman"/>
          <w:noProof/>
          <w:szCs w:val="24"/>
        </w:rPr>
        <w:t xml:space="preserve"> are partia</w:t>
      </w:r>
      <w:r>
        <w:rPr>
          <w:rFonts w:eastAsia="Calibri" w:cs="Times New Roman"/>
          <w:noProof/>
          <w:szCs w:val="24"/>
        </w:rPr>
        <w:t xml:space="preserve">lly aligned with those of the EU and are primarily based on Solvency I rules. The Insurance Supervision Agency </w:t>
      </w:r>
      <w:r>
        <w:rPr>
          <w:rFonts w:eastAsia="Calibri" w:cs="Times New Roman"/>
          <w:noProof/>
          <w:color w:val="000000"/>
          <w:szCs w:val="24"/>
          <w:lang w:eastAsia="en-GB"/>
        </w:rPr>
        <w:t xml:space="preserve">continued working on further alignment </w:t>
      </w:r>
      <w:r>
        <w:rPr>
          <w:rFonts w:eastAsia="Calibri" w:cs="Times New Roman"/>
          <w:noProof/>
          <w:color w:val="000000"/>
          <w:szCs w:val="24"/>
        </w:rPr>
        <w:t xml:space="preserve">with the EU </w:t>
      </w:r>
      <w:r>
        <w:rPr>
          <w:rFonts w:eastAsia="Calibri" w:cs="Times New Roman"/>
          <w:i/>
          <w:noProof/>
          <w:color w:val="000000"/>
          <w:szCs w:val="24"/>
        </w:rPr>
        <w:t>acquis,</w:t>
      </w:r>
      <w:r>
        <w:rPr>
          <w:rFonts w:eastAsia="Calibri" w:cs="Times New Roman"/>
          <w:noProof/>
          <w:szCs w:val="24"/>
        </w:rPr>
        <w:t xml:space="preserve"> notably the Solvency II Directive. Implementing legislation on the content and method </w:t>
      </w:r>
      <w:r>
        <w:rPr>
          <w:rFonts w:eastAsia="Calibri" w:cs="Times New Roman"/>
          <w:noProof/>
          <w:szCs w:val="24"/>
        </w:rPr>
        <w:t>of maintaining data registers of insurance companies was also adopted, as well as some amendments to three implementing legislation acts.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financial market infrastructure</w:t>
      </w:r>
      <w:r>
        <w:rPr>
          <w:rFonts w:eastAsia="Calibri" w:cs="Times New Roman"/>
          <w:noProof/>
          <w:szCs w:val="24"/>
        </w:rPr>
        <w:t xml:space="preserve">, </w:t>
      </w:r>
      <w:r>
        <w:rPr>
          <w:rFonts w:eastAsia="Calibri" w:cs="Times New Roman"/>
          <w:b/>
          <w:noProof/>
          <w:szCs w:val="24"/>
        </w:rPr>
        <w:t>securities markets and investment services</w:t>
      </w:r>
      <w:r>
        <w:rPr>
          <w:rFonts w:eastAsia="Calibri" w:cs="Times New Roman"/>
          <w:noProof/>
          <w:szCs w:val="24"/>
        </w:rPr>
        <w:t>, the Capital Market Authority adopted i</w:t>
      </w:r>
      <w:r>
        <w:rPr>
          <w:rFonts w:eastAsia="Calibri" w:cs="Times New Roman"/>
          <w:noProof/>
          <w:szCs w:val="24"/>
        </w:rPr>
        <w:t>mplementing legislation on the submission of regulated information in this field to the governmental Central Registry of Regulated Information. Implementing legislation and guidelines were also adopted on prevention of anti-money laundering and terrorist f</w:t>
      </w:r>
      <w:r>
        <w:rPr>
          <w:rFonts w:eastAsia="Calibri" w:cs="Times New Roman"/>
          <w:noProof/>
          <w:szCs w:val="24"/>
        </w:rPr>
        <w:t xml:space="preserve">inancing in relation to risk-based surveillance by capital market participants. Preparations continued for alignment with the EU </w:t>
      </w:r>
      <w:r>
        <w:rPr>
          <w:rFonts w:eastAsia="Calibri" w:cs="Times New Roman"/>
          <w:i/>
          <w:noProof/>
          <w:szCs w:val="24"/>
        </w:rPr>
        <w:t>acquis</w:t>
      </w:r>
      <w:r>
        <w:rPr>
          <w:rFonts w:eastAsia="Calibri" w:cs="Times New Roman"/>
          <w:noProof/>
          <w:szCs w:val="24"/>
        </w:rPr>
        <w:t xml:space="preserve"> on investment funds (UCITS Directive), alternative investment funds (AIFMD Directive) and pension funds (IORP Directive)</w:t>
      </w:r>
      <w:r>
        <w:rPr>
          <w:rFonts w:eastAsia="Calibri" w:cs="Times New Roman"/>
          <w:noProof/>
          <w:szCs w:val="24"/>
        </w:rPr>
        <w:t xml:space="preserve">. </w:t>
      </w:r>
    </w:p>
    <w:p w:rsidR="003C2144" w:rsidRDefault="00FB7959">
      <w:pPr>
        <w:pStyle w:val="Heading2"/>
        <w:rPr>
          <w:rFonts w:eastAsia="Times New Roman"/>
          <w:noProof/>
        </w:rPr>
      </w:pPr>
      <w:bookmarkStart w:id="113" w:name="_Toc30080575"/>
      <w:bookmarkStart w:id="114" w:name="_Toc30074146"/>
      <w:bookmarkStart w:id="115" w:name="_Toc30073833"/>
      <w:bookmarkStart w:id="116" w:name="_Toc52744943"/>
      <w:r>
        <w:rPr>
          <w:rFonts w:eastAsia="Times New Roman"/>
          <w:noProof/>
        </w:rPr>
        <w:t>5.10</w:t>
      </w:r>
      <w:r>
        <w:rPr>
          <w:rFonts w:eastAsia="Times New Roman"/>
          <w:noProof/>
        </w:rPr>
        <w:tab/>
        <w:t>Chapter 10: Information society and media</w:t>
      </w:r>
      <w:bookmarkEnd w:id="113"/>
      <w:bookmarkEnd w:id="114"/>
      <w:bookmarkEnd w:id="115"/>
      <w:bookmarkEnd w:id="116"/>
    </w:p>
    <w:p w:rsidR="003C2144" w:rsidRDefault="00FB7959">
      <w:pPr>
        <w:widowControl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The </w:t>
      </w:r>
      <w:r>
        <w:rPr>
          <w:rFonts w:eastAsia="Calibri" w:cs="Times New Roman"/>
          <w:i/>
          <w:iCs/>
          <w:noProof/>
          <w:color w:val="000000"/>
          <w:szCs w:val="24"/>
          <w:lang w:eastAsia="fr-FR" w:bidi="fr-FR"/>
        </w:rPr>
        <w:t xml:space="preserve">EU </w:t>
      </w:r>
      <w:r>
        <w:rPr>
          <w:rFonts w:eastAsia="Calibri" w:cs="Times New Roman"/>
          <w:i/>
          <w:iCs/>
          <w:noProof/>
          <w:color w:val="000000"/>
          <w:szCs w:val="24"/>
        </w:rPr>
        <w:t xml:space="preserve">supports the smooth functioning of the internal market for electronic communications, electronic commerce and audio-visual services. The rules protect consumers and support universal availability of </w:t>
      </w:r>
      <w:r>
        <w:rPr>
          <w:rFonts w:eastAsia="Calibri" w:cs="Times New Roman"/>
          <w:i/>
          <w:iCs/>
          <w:noProof/>
          <w:color w:val="000000"/>
          <w:szCs w:val="24"/>
          <w:lang w:eastAsia="da-DK" w:bidi="da-DK"/>
        </w:rPr>
        <w:t xml:space="preserve">modern </w:t>
      </w:r>
      <w:r>
        <w:rPr>
          <w:rFonts w:eastAsia="Calibri" w:cs="Times New Roman"/>
          <w:i/>
          <w:iCs/>
          <w:noProof/>
          <w:color w:val="000000"/>
          <w:szCs w:val="24"/>
        </w:rPr>
        <w:t xml:space="preserve">services.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bCs/>
          <w:noProof/>
          <w:color w:val="000000"/>
          <w:szCs w:val="24"/>
          <w:shd w:val="clear" w:color="auto" w:fill="D9D9D9"/>
          <w:lang w:bidi="en-US"/>
        </w:rPr>
        <w:t xml:space="preserve">moderately prepared </w:t>
      </w:r>
      <w:r>
        <w:rPr>
          <w:rFonts w:eastAsia="Calibri" w:cs="Times New Roman"/>
          <w:noProof/>
          <w:color w:val="000000"/>
          <w:szCs w:val="24"/>
          <w:shd w:val="clear" w:color="auto" w:fill="D9D9D9"/>
        </w:rPr>
        <w:t>in</w:t>
      </w:r>
      <w:r>
        <w:rPr>
          <w:rFonts w:eastAsia="Calibri" w:cs="Times New Roman"/>
          <w:noProof/>
          <w:color w:val="000000"/>
          <w:szCs w:val="24"/>
        </w:rPr>
        <w:t xml:space="preserve"> the area of information society and media. There was </w:t>
      </w:r>
      <w:r>
        <w:rPr>
          <w:rFonts w:eastAsia="Calibri" w:cs="Times New Roman"/>
          <w:b/>
          <w:noProof/>
          <w:color w:val="000000"/>
          <w:szCs w:val="24"/>
        </w:rPr>
        <w:t>limited</w:t>
      </w:r>
      <w:r>
        <w:rPr>
          <w:rFonts w:eastAsia="Calibri" w:cs="Times New Roman"/>
          <w:b/>
          <w:bCs/>
          <w:noProof/>
          <w:color w:val="000000"/>
          <w:szCs w:val="24"/>
          <w:shd w:val="clear" w:color="auto" w:fill="D9D9D9"/>
          <w:lang w:bidi="en-US"/>
        </w:rPr>
        <w:t xml:space="preserve"> progress </w:t>
      </w:r>
      <w:r>
        <w:rPr>
          <w:rFonts w:eastAsia="Calibri" w:cs="Times New Roman"/>
          <w:noProof/>
          <w:color w:val="000000"/>
          <w:szCs w:val="24"/>
        </w:rPr>
        <w:t xml:space="preserve">during the reporting period. The recommendations of the previous report remain to be fully met, however new media legislation </w:t>
      </w:r>
      <w:r>
        <w:rPr>
          <w:rFonts w:eastAsia="Calibri" w:cs="Times New Roman"/>
          <w:noProof/>
          <w:color w:val="000000"/>
          <w:szCs w:val="24"/>
        </w:rPr>
        <w:t>provides a good basis for this. Montenegro prepared and partly adopted a new set of media laws, which was also extensively discussed with the media community and civil society.  The regulatory authorities’ capacity and independence remain to be strengthene</w:t>
      </w:r>
      <w:r>
        <w:rPr>
          <w:rFonts w:eastAsia="Calibri" w:cs="Times New Roman"/>
          <w:noProof/>
          <w:color w:val="000000"/>
          <w:szCs w:val="24"/>
        </w:rPr>
        <w:t xml:space="preserve">d to implement the new media legislation and the recommendations. </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Pr>
          <w:rFonts w:eastAsia="Calibri" w:cs="Times New Roman"/>
          <w:noProof/>
          <w:color w:val="000000"/>
          <w:szCs w:val="24"/>
        </w:rPr>
        <w:t>In the coming year, Montenegro should in particular:</w:t>
      </w:r>
    </w:p>
    <w:p w:rsidR="003C2144" w:rsidRDefault="00FB7959">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ensure operational independence of the media regulators and public service broadcaster from undue political interference;</w:t>
      </w:r>
    </w:p>
    <w:p w:rsidR="003C2144" w:rsidRDefault="00FB7959">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grant the Agen</w:t>
      </w:r>
      <w:r>
        <w:rPr>
          <w:rFonts w:eastAsia="Calibri" w:cs="Times New Roman"/>
          <w:noProof/>
          <w:color w:val="000000"/>
          <w:szCs w:val="24"/>
        </w:rPr>
        <w:t>cy for Electronic Media (AEM) powers to impose a complete set of measures, including warnings, fines, suspensions and revocation of licences ensuring proportionality and effectiveness;</w:t>
      </w:r>
    </w:p>
    <w:p w:rsidR="003C2144" w:rsidRDefault="00FB7959">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eastAsia="Calibri" w:cs="Times New Roman"/>
          <w:noProof/>
          <w:color w:val="000000"/>
          <w:szCs w:val="24"/>
        </w:rPr>
      </w:pPr>
      <w:r>
        <w:rPr>
          <w:rFonts w:eastAsia="Calibri" w:cs="Times New Roman"/>
          <w:noProof/>
          <w:color w:val="000000"/>
          <w:szCs w:val="24"/>
        </w:rPr>
        <w:t>establish a track record to demonstrate administrative capacity to enfo</w:t>
      </w:r>
      <w:r>
        <w:rPr>
          <w:rFonts w:eastAsia="Calibri" w:cs="Times New Roman"/>
          <w:noProof/>
          <w:color w:val="000000"/>
          <w:szCs w:val="24"/>
        </w:rPr>
        <w:t xml:space="preserve">rce the EU </w:t>
      </w:r>
      <w:r>
        <w:rPr>
          <w:rFonts w:eastAsia="Calibri" w:cs="Times New Roman"/>
          <w:i/>
          <w:iCs/>
          <w:noProof/>
          <w:color w:val="000000"/>
          <w:szCs w:val="24"/>
          <w:shd w:val="clear" w:color="auto" w:fill="D9D9D9"/>
          <w:lang w:bidi="en-US"/>
        </w:rPr>
        <w:t>acquis</w:t>
      </w:r>
      <w:r>
        <w:rPr>
          <w:rFonts w:eastAsia="Calibri" w:cs="Times New Roman"/>
          <w:noProof/>
          <w:color w:val="000000"/>
          <w:szCs w:val="24"/>
        </w:rPr>
        <w:t xml:space="preserve"> for electronic communications, information society services and audio-visual media services, including as regards regulatory independence.</w:t>
      </w:r>
    </w:p>
    <w:p w:rsidR="003C2144" w:rsidRDefault="00FB7959">
      <w:pPr>
        <w:widowControl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w:t>
      </w:r>
      <w:r>
        <w:rPr>
          <w:rFonts w:eastAsia="Calibri" w:cs="Times New Roman"/>
          <w:b/>
          <w:bCs/>
          <w:noProof/>
          <w:color w:val="000000"/>
          <w:szCs w:val="24"/>
          <w:shd w:val="clear" w:color="auto" w:fill="FFFFFF"/>
          <w:lang w:bidi="en-US"/>
        </w:rPr>
        <w:t xml:space="preserve">electronic communications and information and communication technologies </w:t>
      </w:r>
      <w:r>
        <w:rPr>
          <w:rFonts w:eastAsia="Calibri" w:cs="Times New Roman"/>
          <w:noProof/>
          <w:color w:val="000000"/>
          <w:szCs w:val="24"/>
        </w:rPr>
        <w:t xml:space="preserve">sector, progress </w:t>
      </w:r>
      <w:r>
        <w:rPr>
          <w:rFonts w:eastAsia="Calibri" w:cs="Times New Roman"/>
          <w:noProof/>
          <w:color w:val="000000"/>
          <w:szCs w:val="24"/>
        </w:rPr>
        <w:t>was made on the mapping of the national broadband infrastructure The  aim is to reduce broadband deployment costs, as recommended in the economic reform programme (ERP). In spring 2019, the Constitutional Court ruled that the blocking of freeware and cross</w:t>
      </w:r>
      <w:r>
        <w:rPr>
          <w:rFonts w:eastAsia="Calibri" w:cs="Times New Roman"/>
          <w:noProof/>
          <w:color w:val="000000"/>
          <w:szCs w:val="24"/>
        </w:rPr>
        <w:t>-platform instant messaging services on the October 2016 Election Day was unconstitutional. As a result, the Court annulled the respective provision of the Law on electronic communication.</w:t>
      </w:r>
    </w:p>
    <w:p w:rsidR="003C2144" w:rsidRDefault="00FB7959">
      <w:pPr>
        <w:widowControl w:val="0"/>
        <w:spacing w:after="120" w:line="240" w:lineRule="auto"/>
        <w:jc w:val="both"/>
        <w:rPr>
          <w:rFonts w:eastAsia="Calibri" w:cs="Times New Roman"/>
          <w:noProof/>
          <w:color w:val="000000"/>
          <w:szCs w:val="24"/>
        </w:rPr>
      </w:pPr>
      <w:r>
        <w:rPr>
          <w:rFonts w:eastAsia="Calibri" w:cs="Times New Roman"/>
          <w:noProof/>
          <w:color w:val="000000"/>
          <w:szCs w:val="24"/>
        </w:rPr>
        <w:t>The 112 European emergency number is functioning.</w:t>
      </w:r>
    </w:p>
    <w:p w:rsidR="003C2144" w:rsidRDefault="00FB7959">
      <w:pPr>
        <w:widowControl w:val="0"/>
        <w:spacing w:after="120" w:line="240" w:lineRule="auto"/>
        <w:jc w:val="both"/>
        <w:rPr>
          <w:rFonts w:eastAsia="Calibri" w:cs="Times New Roman"/>
          <w:noProof/>
          <w:color w:val="000000"/>
          <w:szCs w:val="24"/>
        </w:rPr>
      </w:pPr>
      <w:r>
        <w:rPr>
          <w:rFonts w:eastAsia="Calibri" w:cs="Times New Roman"/>
          <w:b/>
          <w:bCs/>
          <w:noProof/>
          <w:color w:val="000000"/>
          <w:szCs w:val="24"/>
          <w:shd w:val="clear" w:color="auto" w:fill="FFFFFF"/>
          <w:lang w:bidi="en-US"/>
        </w:rPr>
        <w:t>Information socie</w:t>
      </w:r>
      <w:r>
        <w:rPr>
          <w:rFonts w:eastAsia="Calibri" w:cs="Times New Roman"/>
          <w:b/>
          <w:bCs/>
          <w:noProof/>
          <w:color w:val="000000"/>
          <w:szCs w:val="24"/>
          <w:shd w:val="clear" w:color="auto" w:fill="FFFFFF"/>
          <w:lang w:bidi="en-US"/>
        </w:rPr>
        <w:t>ty</w:t>
      </w:r>
      <w:r>
        <w:rPr>
          <w:rFonts w:eastAsia="Calibri" w:cs="Times New Roman"/>
          <w:bCs/>
          <w:noProof/>
          <w:color w:val="000000"/>
          <w:szCs w:val="24"/>
          <w:shd w:val="clear" w:color="auto" w:fill="FFFFFF"/>
          <w:lang w:bidi="en-US"/>
        </w:rPr>
        <w:t xml:space="preserve"> is under the responsibility of the </w:t>
      </w:r>
      <w:r>
        <w:rPr>
          <w:rFonts w:eastAsia="Calibri" w:cs="Times New Roman"/>
          <w:noProof/>
          <w:color w:val="000000"/>
          <w:szCs w:val="24"/>
        </w:rPr>
        <w:t xml:space="preserve">Ministry for Public Administration. The 2019 action plan implementing the information society development strategy was adopted. The strategy, which is based on the digital agenda for Europe and the digital </w:t>
      </w:r>
      <w:r>
        <w:rPr>
          <w:rFonts w:eastAsia="Calibri" w:cs="Times New Roman"/>
          <w:noProof/>
          <w:color w:val="000000"/>
          <w:szCs w:val="24"/>
          <w:lang w:eastAsia="cs-CZ" w:bidi="cs-CZ"/>
        </w:rPr>
        <w:t xml:space="preserve">single </w:t>
      </w:r>
      <w:r>
        <w:rPr>
          <w:rFonts w:eastAsia="Calibri" w:cs="Times New Roman"/>
          <w:noProof/>
          <w:color w:val="000000"/>
          <w:szCs w:val="24"/>
        </w:rPr>
        <w:t>marke</w:t>
      </w:r>
      <w:r>
        <w:rPr>
          <w:rFonts w:eastAsia="Calibri" w:cs="Times New Roman"/>
          <w:noProof/>
          <w:color w:val="000000"/>
          <w:szCs w:val="24"/>
        </w:rPr>
        <w:t xml:space="preserve">t strategy, identifies key steps to achieve necessary standards, such as accessibility of broadband services, </w:t>
      </w:r>
      <w:r>
        <w:rPr>
          <w:rFonts w:eastAsia="Calibri" w:cs="Times New Roman"/>
          <w:noProof/>
          <w:color w:val="000000"/>
          <w:szCs w:val="24"/>
          <w:lang w:eastAsia="nl-NL" w:bidi="nl-NL"/>
        </w:rPr>
        <w:t xml:space="preserve">cyber </w:t>
      </w:r>
      <w:r>
        <w:rPr>
          <w:rFonts w:eastAsia="Calibri" w:cs="Times New Roman"/>
          <w:noProof/>
          <w:color w:val="000000"/>
          <w:szCs w:val="24"/>
        </w:rPr>
        <w:t>security, digital business, eHealth and e-education. The Regional Roaming Agreement signed in April 2019 paves the way for the removal of ro</w:t>
      </w:r>
      <w:r>
        <w:rPr>
          <w:rFonts w:eastAsia="Calibri" w:cs="Times New Roman"/>
          <w:noProof/>
          <w:color w:val="000000"/>
          <w:szCs w:val="24"/>
        </w:rPr>
        <w:t xml:space="preserve">aming tariffs in July 2021. </w:t>
      </w:r>
      <w:r>
        <w:rPr>
          <w:rFonts w:eastAsia="Calibri" w:cs="Times New Roman"/>
          <w:noProof/>
          <w:szCs w:val="24"/>
        </w:rPr>
        <w:t xml:space="preserve">The Ministry for Public Administration continued to expand the number of e-services available to citizens. The e-government portal currently supports 598 electronic services under the competence of 52 institutions. </w:t>
      </w:r>
    </w:p>
    <w:p w:rsidR="003C2144" w:rsidRDefault="00FB7959">
      <w:pPr>
        <w:widowControl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shd w:val="clear" w:color="auto" w:fill="FFFFFF"/>
          <w:lang w:bidi="en-US"/>
        </w:rPr>
        <w:t>audio-vis</w:t>
      </w:r>
      <w:r>
        <w:rPr>
          <w:rFonts w:eastAsia="Calibri" w:cs="Times New Roman"/>
          <w:b/>
          <w:bCs/>
          <w:noProof/>
          <w:color w:val="000000"/>
          <w:szCs w:val="24"/>
          <w:shd w:val="clear" w:color="auto" w:fill="FFFFFF"/>
          <w:lang w:bidi="en-US"/>
        </w:rPr>
        <w:t>ual policy</w:t>
      </w:r>
      <w:r>
        <w:rPr>
          <w:rFonts w:eastAsia="Calibri" w:cs="Times New Roman"/>
          <w:bCs/>
          <w:noProof/>
          <w:color w:val="000000"/>
          <w:szCs w:val="24"/>
          <w:shd w:val="clear" w:color="auto" w:fill="FFFFFF"/>
          <w:lang w:bidi="en-US"/>
        </w:rPr>
        <w:t xml:space="preserve">, AEM, </w:t>
      </w:r>
      <w:r>
        <w:rPr>
          <w:rFonts w:eastAsia="Calibri" w:cs="Times New Roman"/>
          <w:noProof/>
          <w:color w:val="000000"/>
          <w:szCs w:val="24"/>
        </w:rPr>
        <w:t>the regulatory agency for electronic media, continued to exercise its mandate in a professional manner. The agency is responsible for overseeing the media during elections, although by law this should be done by an ad-hoc parliamentary com</w:t>
      </w:r>
      <w:r>
        <w:rPr>
          <w:rFonts w:eastAsia="Calibri" w:cs="Times New Roman"/>
          <w:noProof/>
          <w:color w:val="000000"/>
          <w:szCs w:val="24"/>
        </w:rPr>
        <w:t>mittee, thus creating an overlapping jurisdiction. During elections, candidates lodging media-related complaints with broadcasters can appeal against their decisions directly to the AEM, which has to respond within 24 hours. However, the AEM lacks the auth</w:t>
      </w:r>
      <w:r>
        <w:rPr>
          <w:rFonts w:eastAsia="Calibri" w:cs="Times New Roman"/>
          <w:noProof/>
          <w:color w:val="000000"/>
          <w:szCs w:val="24"/>
        </w:rPr>
        <w:t>ority to effectively monitor and penalise broadcasters. Related legal provisions and AEM operational capacity should be strengthened. AEM should be the only body responsible for supervising broadcasters during elections.</w:t>
      </w:r>
    </w:p>
    <w:p w:rsidR="003C2144" w:rsidRDefault="00FB7959">
      <w:pPr>
        <w:widowControl w:val="0"/>
        <w:spacing w:after="120" w:line="240" w:lineRule="auto"/>
        <w:jc w:val="both"/>
        <w:rPr>
          <w:rFonts w:eastAsia="Calibri" w:cs="Times New Roman"/>
          <w:noProof/>
          <w:color w:val="000000"/>
          <w:szCs w:val="24"/>
        </w:rPr>
      </w:pPr>
      <w:r>
        <w:rPr>
          <w:rFonts w:eastAsia="Calibri" w:cs="Times New Roman"/>
          <w:noProof/>
          <w:color w:val="000000"/>
          <w:szCs w:val="24"/>
        </w:rPr>
        <w:t>In February 2020 the AEM limited th</w:t>
      </w:r>
      <w:r>
        <w:rPr>
          <w:rFonts w:eastAsia="Calibri" w:cs="Times New Roman"/>
          <w:noProof/>
          <w:color w:val="000000"/>
          <w:szCs w:val="24"/>
        </w:rPr>
        <w:t xml:space="preserve">e broadcasting of two Serbian TV broadcasters.   </w:t>
      </w:r>
      <w:r>
        <w:rPr>
          <w:rFonts w:cs="Times New Roman"/>
          <w:noProof/>
          <w:color w:val="000000"/>
          <w:szCs w:val="24"/>
        </w:rPr>
        <w:t>Reason was the alleged use of discriminatory language in relation to Montenegro, featured in their TV shows and promoting hate,</w:t>
      </w:r>
      <w:r>
        <w:rPr>
          <w:rFonts w:cs="Times New Roman"/>
          <w:noProof/>
          <w:szCs w:val="24"/>
        </w:rPr>
        <w:t xml:space="preserve"> intolerance, and discrimination against Montenegrins</w:t>
      </w:r>
      <w:r>
        <w:rPr>
          <w:rFonts w:eastAsia="Calibri" w:cs="Times New Roman"/>
          <w:noProof/>
          <w:color w:val="000000"/>
          <w:szCs w:val="24"/>
        </w:rPr>
        <w:t>.</w:t>
      </w:r>
    </w:p>
    <w:p w:rsidR="003C2144" w:rsidRDefault="00FB7959">
      <w:pPr>
        <w:spacing w:after="120" w:line="240" w:lineRule="auto"/>
        <w:jc w:val="both"/>
        <w:rPr>
          <w:rFonts w:eastAsia="Calibri" w:cs="Times New Roman"/>
          <w:noProof/>
          <w:szCs w:val="24"/>
        </w:rPr>
      </w:pPr>
      <w:r>
        <w:rPr>
          <w:rFonts w:eastAsia="Calibri" w:cs="Times New Roman"/>
          <w:noProof/>
          <w:color w:val="000000"/>
          <w:szCs w:val="24"/>
        </w:rPr>
        <w:t xml:space="preserve">A new set of three media </w:t>
      </w:r>
      <w:r>
        <w:rPr>
          <w:rFonts w:eastAsia="Calibri" w:cs="Times New Roman"/>
          <w:noProof/>
          <w:color w:val="000000"/>
          <w:szCs w:val="24"/>
        </w:rPr>
        <w:t>laws was drafted and two of them adopted by Parliament on 27 July 2020: the Law on media and the Law on the national public broadcaster RTCG. The Law on the public broadcaster should ensure stable financial resources and the restoration of the public broad</w:t>
      </w:r>
      <w:r>
        <w:rPr>
          <w:rFonts w:eastAsia="Calibri" w:cs="Times New Roman"/>
          <w:noProof/>
          <w:color w:val="000000"/>
          <w:szCs w:val="24"/>
        </w:rPr>
        <w:t>caster’s editorial independence and professional standards. The third law, the Law on audio-visual media services, needs to comply with the EU's 2018 revision of the Audiovisual Media Services Directive. It remains to be completed and the consistency of th</w:t>
      </w:r>
      <w:r>
        <w:rPr>
          <w:rFonts w:eastAsia="Calibri" w:cs="Times New Roman"/>
          <w:noProof/>
          <w:color w:val="000000"/>
          <w:szCs w:val="24"/>
        </w:rPr>
        <w:t xml:space="preserve">e three laws needs to be ensured. </w:t>
      </w:r>
    </w:p>
    <w:p w:rsidR="003C2144" w:rsidRDefault="00FB7959">
      <w:pPr>
        <w:pStyle w:val="Heading2"/>
        <w:rPr>
          <w:rFonts w:eastAsia="Calibri"/>
          <w:noProof/>
        </w:rPr>
      </w:pPr>
      <w:bookmarkStart w:id="117" w:name="_Toc52744944"/>
      <w:r>
        <w:rPr>
          <w:rFonts w:eastAsia="Calibri"/>
          <w:noProof/>
        </w:rPr>
        <w:t>5.11</w:t>
      </w:r>
      <w:r>
        <w:rPr>
          <w:rFonts w:eastAsia="Calibri"/>
          <w:noProof/>
        </w:rPr>
        <w:tab/>
        <w:t>Chapter 11: Agriculture and rural development</w:t>
      </w:r>
      <w:bookmarkEnd w:id="117"/>
      <w:r>
        <w:rPr>
          <w:rFonts w:eastAsia="Calibri"/>
          <w:noProof/>
        </w:rPr>
        <w:t xml:space="preserve"> </w:t>
      </w:r>
    </w:p>
    <w:p w:rsidR="003C2144" w:rsidRDefault="00FB7959">
      <w:pPr>
        <w:keepNext/>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The common agricultural policy (CAP) supports farmers and rural development. This requires strong management and control systems. There are also common EU rules for quality policy and organic farming.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noProof/>
          <w:color w:val="000000"/>
          <w:szCs w:val="24"/>
        </w:rPr>
        <w:t>moderately prepared</w:t>
      </w:r>
      <w:r>
        <w:rPr>
          <w:rFonts w:eastAsia="Calibri" w:cs="Times New Roman"/>
          <w:noProof/>
          <w:color w:val="000000"/>
          <w:szCs w:val="24"/>
        </w:rPr>
        <w:t xml:space="preserve"> in the area of </w:t>
      </w:r>
      <w:r>
        <w:rPr>
          <w:rFonts w:eastAsia="Calibri" w:cs="Times New Roman"/>
          <w:noProof/>
          <w:color w:val="000000"/>
          <w:szCs w:val="24"/>
        </w:rPr>
        <w:t xml:space="preserve">agriculture and rural development. </w:t>
      </w:r>
      <w:r>
        <w:rPr>
          <w:rFonts w:eastAsia="Calibri" w:cs="Times New Roman"/>
          <w:b/>
          <w:noProof/>
          <w:color w:val="000000"/>
          <w:szCs w:val="24"/>
        </w:rPr>
        <w:t>Good progress</w:t>
      </w:r>
      <w:r>
        <w:rPr>
          <w:rFonts w:eastAsia="Calibri" w:cs="Times New Roman"/>
          <w:noProof/>
          <w:color w:val="000000"/>
          <w:szCs w:val="24"/>
        </w:rPr>
        <w:t xml:space="preserve"> continued in particular regarding the implementation of the instrument for pre-accession assistance for rural development programme (IPARD II) through 2 calls and applying for entrustment in one further meas</w:t>
      </w:r>
      <w:r>
        <w:rPr>
          <w:rFonts w:eastAsia="Calibri" w:cs="Times New Roman"/>
          <w:noProof/>
          <w:color w:val="000000"/>
          <w:szCs w:val="24"/>
        </w:rPr>
        <w:t xml:space="preserve">ure and in implementing and updating the action plan for EU </w:t>
      </w:r>
      <w:r>
        <w:rPr>
          <w:rFonts w:eastAsia="Calibri" w:cs="Times New Roman"/>
          <w:i/>
          <w:noProof/>
          <w:color w:val="000000"/>
          <w:szCs w:val="24"/>
        </w:rPr>
        <w:t>acquis</w:t>
      </w:r>
      <w:r>
        <w:rPr>
          <w:rFonts w:eastAsia="Calibri" w:cs="Times New Roman"/>
          <w:noProof/>
          <w:color w:val="000000"/>
          <w:szCs w:val="24"/>
        </w:rPr>
        <w:t xml:space="preserve"> alignment in chapter 11.</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period, Montenegro should in particular: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sym w:font="Symbol" w:char="F0AE"/>
      </w:r>
      <w:r>
        <w:rPr>
          <w:rFonts w:eastAsia="Calibri" w:cs="Times New Roman"/>
          <w:noProof/>
          <w:color w:val="000000"/>
          <w:szCs w:val="24"/>
        </w:rPr>
        <w:t xml:space="preserve"> continue to implement the measures entrusted to it under the IPARD II programme and seek to be entrusted w</w:t>
      </w:r>
      <w:r>
        <w:rPr>
          <w:rFonts w:eastAsia="Calibri" w:cs="Times New Roman"/>
          <w:noProof/>
          <w:color w:val="000000"/>
          <w:szCs w:val="24"/>
        </w:rPr>
        <w:t>ith budget implementation tasks for the Technical assistance measure;</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sym w:font="Symbol" w:char="F0AE"/>
      </w:r>
      <w:r>
        <w:rPr>
          <w:rFonts w:eastAsia="Calibri" w:cs="Times New Roman"/>
          <w:noProof/>
          <w:color w:val="000000"/>
          <w:szCs w:val="24"/>
        </w:rPr>
        <w:t xml:space="preserve"> continue to implement the action plan to ensure alignment with the EU </w:t>
      </w:r>
      <w:r>
        <w:rPr>
          <w:rFonts w:eastAsia="Calibri" w:cs="Times New Roman"/>
          <w:i/>
          <w:noProof/>
          <w:color w:val="000000"/>
          <w:szCs w:val="24"/>
        </w:rPr>
        <w:t>acquis</w:t>
      </w:r>
      <w:r>
        <w:rPr>
          <w:rFonts w:eastAsia="Calibri" w:cs="Times New Roman"/>
          <w:noProof/>
          <w:color w:val="000000"/>
          <w:szCs w:val="24"/>
        </w:rPr>
        <w:t xml:space="preserve"> on agriculture and rural development.</w:t>
      </w:r>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118" w:name="_Toc30074147"/>
      <w:bookmarkStart w:id="119" w:name="_Toc30073834"/>
      <w:r>
        <w:rPr>
          <w:rFonts w:eastAsia="Calibri" w:cs="Times New Roman"/>
          <w:noProof/>
          <w:color w:val="000000"/>
          <w:szCs w:val="24"/>
        </w:rPr>
        <w:t xml:space="preserve">On </w:t>
      </w:r>
      <w:r>
        <w:rPr>
          <w:rFonts w:eastAsia="Calibri" w:cs="Times New Roman"/>
          <w:b/>
          <w:noProof/>
          <w:color w:val="000000"/>
          <w:szCs w:val="24"/>
        </w:rPr>
        <w:t>horizontal issues</w:t>
      </w:r>
      <w:r>
        <w:rPr>
          <w:rFonts w:eastAsia="Calibri" w:cs="Times New Roman"/>
          <w:noProof/>
          <w:color w:val="000000"/>
          <w:szCs w:val="24"/>
        </w:rPr>
        <w:t xml:space="preserve">, the action plan for harmonisation with the EU </w:t>
      </w:r>
      <w:r>
        <w:rPr>
          <w:rFonts w:eastAsia="Calibri" w:cs="Times New Roman"/>
          <w:i/>
          <w:noProof/>
          <w:color w:val="000000"/>
          <w:szCs w:val="24"/>
        </w:rPr>
        <w:t>a</w:t>
      </w:r>
      <w:r>
        <w:rPr>
          <w:rFonts w:eastAsia="Calibri" w:cs="Times New Roman"/>
          <w:i/>
          <w:noProof/>
          <w:color w:val="000000"/>
          <w:szCs w:val="24"/>
        </w:rPr>
        <w:t xml:space="preserve">cquis </w:t>
      </w:r>
      <w:r>
        <w:rPr>
          <w:rFonts w:eastAsia="Calibri" w:cs="Times New Roman"/>
          <w:noProof/>
          <w:color w:val="000000"/>
          <w:szCs w:val="24"/>
        </w:rPr>
        <w:t xml:space="preserve">was revised and legislative alignment continued. Further progress remains to be made to bring direct support measures in line with the EU </w:t>
      </w:r>
      <w:r>
        <w:rPr>
          <w:rFonts w:eastAsia="Calibri" w:cs="Times New Roman"/>
          <w:i/>
          <w:noProof/>
          <w:color w:val="000000"/>
          <w:szCs w:val="24"/>
        </w:rPr>
        <w:t>acquis</w:t>
      </w:r>
      <w:r>
        <w:rPr>
          <w:rFonts w:eastAsia="Calibri" w:cs="Times New Roman"/>
          <w:noProof/>
          <w:color w:val="000000"/>
          <w:szCs w:val="24"/>
        </w:rPr>
        <w:t xml:space="preserve"> by fully decoupling them from production and linking payments to cross-compliance. Preparatory steps were</w:t>
      </w:r>
      <w:r>
        <w:rPr>
          <w:rFonts w:eastAsia="Calibri" w:cs="Times New Roman"/>
          <w:noProof/>
          <w:color w:val="000000"/>
          <w:szCs w:val="24"/>
        </w:rPr>
        <w:t xml:space="preserve"> taken to establish a decentralised branch for the future paying agency in Bijelo Pole. As concerns the integrated administration and control system (IACS), further development of the land parcel identification system (LPIS) needs to continue and be rolled</w:t>
      </w:r>
      <w:r>
        <w:rPr>
          <w:rFonts w:eastAsia="Calibri" w:cs="Times New Roman"/>
          <w:noProof/>
          <w:color w:val="000000"/>
          <w:szCs w:val="24"/>
        </w:rPr>
        <w:t>-out to cover the whole territory. Preparations continued to develop a pilot for the farm accountancy data network (FADN). Farm advisory services need to be further strengthened.</w:t>
      </w:r>
      <w:bookmarkEnd w:id="118"/>
      <w:bookmarkEnd w:id="119"/>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120" w:name="_Toc30074148"/>
      <w:bookmarkStart w:id="121" w:name="_Toc30073835"/>
      <w:r>
        <w:rPr>
          <w:rFonts w:eastAsia="Calibri" w:cs="Times New Roman"/>
          <w:noProof/>
          <w:color w:val="000000"/>
          <w:szCs w:val="24"/>
        </w:rPr>
        <w:t xml:space="preserve">On </w:t>
      </w:r>
      <w:r>
        <w:rPr>
          <w:rFonts w:eastAsia="Calibri" w:cs="Times New Roman"/>
          <w:b/>
          <w:noProof/>
          <w:color w:val="000000"/>
          <w:szCs w:val="24"/>
        </w:rPr>
        <w:t>common market organisation (CMO)</w:t>
      </w:r>
      <w:r>
        <w:rPr>
          <w:rFonts w:eastAsia="Calibri" w:cs="Times New Roman"/>
          <w:noProof/>
          <w:color w:val="000000"/>
          <w:szCs w:val="24"/>
        </w:rPr>
        <w:t xml:space="preserve">, Montenegro started a pilot programme of </w:t>
      </w:r>
      <w:r>
        <w:rPr>
          <w:rFonts w:eastAsia="Calibri" w:cs="Times New Roman"/>
          <w:noProof/>
          <w:color w:val="000000"/>
          <w:szCs w:val="24"/>
        </w:rPr>
        <w:t xml:space="preserve">a school scheme for fruits, vegetables and dairy products for the 2019/2020 school year. New measures to align with the CMO were introduced for the wine and olive oil sectors and on producer organisations. A peer review on wine and quality policy provided </w:t>
      </w:r>
      <w:r>
        <w:rPr>
          <w:rFonts w:eastAsia="Calibri" w:cs="Times New Roman"/>
          <w:noProof/>
          <w:color w:val="000000"/>
          <w:szCs w:val="24"/>
        </w:rPr>
        <w:t xml:space="preserve">important recommendations on the designation of wine growing zones and geographical origins as well as on aligning quality policy with the EU </w:t>
      </w:r>
      <w:r>
        <w:rPr>
          <w:rFonts w:eastAsia="Calibri" w:cs="Times New Roman"/>
          <w:i/>
          <w:noProof/>
          <w:color w:val="000000"/>
          <w:szCs w:val="24"/>
        </w:rPr>
        <w:t>acquis</w:t>
      </w:r>
      <w:bookmarkEnd w:id="120"/>
      <w:bookmarkEnd w:id="121"/>
      <w:r>
        <w:rPr>
          <w:rFonts w:eastAsia="Calibri" w:cs="Times New Roman"/>
          <w:noProof/>
          <w:color w:val="000000"/>
          <w:szCs w:val="24"/>
        </w:rPr>
        <w:t>.</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rural development</w:t>
      </w:r>
      <w:r>
        <w:rPr>
          <w:rFonts w:eastAsia="Calibri" w:cs="Times New Roman"/>
          <w:bCs/>
          <w:noProof/>
          <w:color w:val="000000"/>
          <w:szCs w:val="24"/>
        </w:rPr>
        <w:t xml:space="preserve">, </w:t>
      </w:r>
      <w:r>
        <w:rPr>
          <w:rFonts w:eastAsia="Calibri" w:cs="Times New Roman"/>
          <w:noProof/>
          <w:color w:val="000000"/>
          <w:szCs w:val="24"/>
        </w:rPr>
        <w:t xml:space="preserve">contracting was finalised for the first two IPARD II calls, on the measures related </w:t>
      </w:r>
      <w:r>
        <w:rPr>
          <w:rFonts w:eastAsia="Calibri" w:cs="Times New Roman"/>
          <w:noProof/>
          <w:color w:val="000000"/>
          <w:szCs w:val="24"/>
        </w:rPr>
        <w:t>to ‘</w:t>
      </w:r>
      <w:r>
        <w:rPr>
          <w:rFonts w:eastAsia="Calibri" w:cs="Times New Roman"/>
          <w:i/>
          <w:noProof/>
          <w:color w:val="000000"/>
          <w:szCs w:val="24"/>
        </w:rPr>
        <w:t>Investments in physical assets of agricultural holdings</w:t>
      </w:r>
      <w:r>
        <w:rPr>
          <w:rFonts w:eastAsia="Calibri" w:cs="Times New Roman"/>
          <w:noProof/>
          <w:color w:val="000000"/>
          <w:szCs w:val="24"/>
        </w:rPr>
        <w:t>’ and ‘</w:t>
      </w:r>
      <w:r>
        <w:rPr>
          <w:rFonts w:eastAsia="Calibri" w:cs="Times New Roman"/>
          <w:i/>
          <w:iCs/>
          <w:noProof/>
          <w:color w:val="000000"/>
          <w:szCs w:val="24"/>
        </w:rPr>
        <w:t>Investments in physical assets concerning processing and marketing of agricultural and fishery products</w:t>
      </w:r>
      <w:r>
        <w:rPr>
          <w:rFonts w:eastAsia="Calibri" w:cs="Times New Roman"/>
          <w:noProof/>
          <w:color w:val="000000"/>
          <w:szCs w:val="24"/>
        </w:rPr>
        <w:t>’. Second calls for above measures were published in September 2019 and February 2020 a</w:t>
      </w:r>
      <w:r>
        <w:rPr>
          <w:rFonts w:eastAsia="Calibri" w:cs="Times New Roman"/>
          <w:noProof/>
          <w:color w:val="000000"/>
          <w:szCs w:val="24"/>
        </w:rPr>
        <w:t xml:space="preserve">nd applications, for the latter, are currently being evaluated. Montenegro got conditional entrustment of budget implementation tasks for the IPARD measure </w:t>
      </w:r>
      <w:r>
        <w:rPr>
          <w:rFonts w:eastAsia="Calibri" w:cs="Times New Roman"/>
          <w:i/>
          <w:noProof/>
          <w:color w:val="000000"/>
          <w:szCs w:val="24"/>
        </w:rPr>
        <w:t>‘Farm diversification and businesses development’</w:t>
      </w:r>
      <w:r>
        <w:rPr>
          <w:rFonts w:eastAsia="Calibri" w:cs="Times New Roman"/>
          <w:noProof/>
          <w:color w:val="000000"/>
          <w:szCs w:val="24"/>
        </w:rPr>
        <w:t xml:space="preserve"> and launched the preparations for the </w:t>
      </w:r>
      <w:r>
        <w:rPr>
          <w:rFonts w:eastAsia="Calibri" w:cs="Times New Roman"/>
          <w:i/>
          <w:iCs/>
          <w:noProof/>
          <w:color w:val="000000"/>
          <w:szCs w:val="24"/>
        </w:rPr>
        <w:t xml:space="preserve">‘Technical </w:t>
      </w:r>
      <w:r>
        <w:rPr>
          <w:rFonts w:eastAsia="Calibri" w:cs="Times New Roman"/>
          <w:i/>
          <w:iCs/>
          <w:noProof/>
          <w:color w:val="000000"/>
          <w:szCs w:val="24"/>
        </w:rPr>
        <w:t>assistance’</w:t>
      </w:r>
      <w:r>
        <w:rPr>
          <w:rFonts w:eastAsia="Calibri" w:cs="Times New Roman"/>
          <w:iCs/>
          <w:noProof/>
          <w:color w:val="000000"/>
          <w:szCs w:val="24"/>
        </w:rPr>
        <w:t xml:space="preserve"> package</w:t>
      </w:r>
      <w:r>
        <w:rPr>
          <w:rFonts w:eastAsia="Calibri" w:cs="Times New Roman"/>
          <w:noProof/>
          <w:color w:val="000000"/>
          <w:szCs w:val="24"/>
        </w:rPr>
        <w:t>. In 2019, the capacity of the IPARD Agency increased by 10 employees on permanent contracts and 15 employees on temporary contracts</w:t>
      </w:r>
      <w:r>
        <w:rPr>
          <w:rFonts w:eastAsia="Calibri" w:cs="Times New Roman"/>
          <w:i/>
          <w:noProof/>
          <w:color w:val="000000"/>
          <w:szCs w:val="24"/>
        </w:rPr>
        <w:t>.</w:t>
      </w:r>
      <w:r>
        <w:rPr>
          <w:rFonts w:eastAsia="Calibri" w:cs="Times New Roman"/>
          <w:noProof/>
          <w:color w:val="000000"/>
          <w:szCs w:val="24"/>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w:t>
      </w:r>
      <w:r>
        <w:rPr>
          <w:rFonts w:eastAsia="Calibri" w:cs="Times New Roman"/>
          <w:b/>
          <w:noProof/>
          <w:color w:val="000000"/>
          <w:szCs w:val="24"/>
        </w:rPr>
        <w:t>quality policy</w:t>
      </w:r>
      <w:r>
        <w:rPr>
          <w:rFonts w:eastAsia="Calibri" w:cs="Times New Roman"/>
          <w:noProof/>
          <w:color w:val="000000"/>
          <w:szCs w:val="24"/>
        </w:rPr>
        <w:t>, further secondary legislation was adopted and efforts continue to develop and imple</w:t>
      </w:r>
      <w:r>
        <w:rPr>
          <w:rFonts w:eastAsia="Calibri" w:cs="Times New Roman"/>
          <w:noProof/>
          <w:color w:val="000000"/>
          <w:szCs w:val="24"/>
        </w:rPr>
        <w:t>ment the policy. Efforts are needed to ensure that strong procedures and systems are established and a robust control system put in place.</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w:t>
      </w:r>
      <w:r>
        <w:rPr>
          <w:rFonts w:eastAsia="Calibri" w:cs="Times New Roman"/>
          <w:b/>
          <w:noProof/>
          <w:szCs w:val="24"/>
        </w:rPr>
        <w:t>organic farming</w:t>
      </w:r>
      <w:r>
        <w:rPr>
          <w:rFonts w:eastAsia="Calibri" w:cs="Times New Roman"/>
          <w:noProof/>
          <w:szCs w:val="24"/>
        </w:rPr>
        <w:t xml:space="preserve"> sector has the required infrastructure in place (i.e. the competent authority, an accreditation s</w:t>
      </w:r>
      <w:r>
        <w:rPr>
          <w:rFonts w:eastAsia="Calibri" w:cs="Times New Roman"/>
          <w:noProof/>
          <w:szCs w:val="24"/>
        </w:rPr>
        <w:t>ystem for control bodies and a certification system). The number of registered organic producers increased by 22% to 400. A number of educational workshops were organised for producers. There is potential for further development of the sector and for the o</w:t>
      </w:r>
      <w:r>
        <w:rPr>
          <w:rFonts w:eastAsia="Calibri" w:cs="Times New Roman"/>
          <w:noProof/>
          <w:szCs w:val="24"/>
        </w:rPr>
        <w:t>pportunities under the IPARD programme to be fully used.</w:t>
      </w:r>
    </w:p>
    <w:p w:rsidR="003C2144" w:rsidRDefault="00FB7959">
      <w:pPr>
        <w:pStyle w:val="Heading2"/>
        <w:rPr>
          <w:rFonts w:eastAsia="Times New Roman"/>
          <w:noProof/>
        </w:rPr>
      </w:pPr>
      <w:bookmarkStart w:id="122" w:name="_Toc30080576"/>
      <w:bookmarkStart w:id="123" w:name="_Toc30074149"/>
      <w:bookmarkStart w:id="124" w:name="_Toc30073836"/>
      <w:bookmarkStart w:id="125" w:name="_Toc52744945"/>
      <w:r>
        <w:rPr>
          <w:rFonts w:eastAsia="Times New Roman"/>
          <w:noProof/>
        </w:rPr>
        <w:t>5.12</w:t>
      </w:r>
      <w:r>
        <w:rPr>
          <w:rFonts w:eastAsia="Times New Roman"/>
          <w:noProof/>
        </w:rPr>
        <w:tab/>
        <w:t>Chapter 12: Food safety, veterinary and phytosanitary policy</w:t>
      </w:r>
      <w:bookmarkEnd w:id="122"/>
      <w:bookmarkEnd w:id="123"/>
      <w:bookmarkEnd w:id="124"/>
      <w:bookmarkEnd w:id="125"/>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EU hygiene rules for foodstuff production ensure a high level of food safety. Animal health and welfare and the safety of food of ani</w:t>
      </w:r>
      <w:r>
        <w:rPr>
          <w:rFonts w:eastAsia="Calibri" w:cs="Times New Roman"/>
          <w:i/>
          <w:iCs/>
          <w:noProof/>
          <w:color w:val="000000"/>
          <w:szCs w:val="24"/>
        </w:rPr>
        <w:t xml:space="preserve">mal origin are safeguarded together with quality of seed, plant protection material, protection against harmful organisms and animal nutrition. </w:t>
      </w:r>
    </w:p>
    <w:tbl>
      <w:tblPr>
        <w:tblStyle w:val="TableGrid2"/>
        <w:tblW w:w="0" w:type="auto"/>
        <w:shd w:val="clear" w:color="auto" w:fill="D9D9D9" w:themeFill="background1" w:themeFillShade="D9"/>
        <w:tblLook w:val="04A0" w:firstRow="1" w:lastRow="0" w:firstColumn="1" w:lastColumn="0" w:noHBand="0" w:noVBand="1"/>
      </w:tblPr>
      <w:tblGrid>
        <w:gridCol w:w="9288"/>
      </w:tblGrid>
      <w:tr w:rsidR="003C214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 remains </w:t>
            </w:r>
            <w:r>
              <w:rPr>
                <w:rFonts w:eastAsia="Calibri" w:cs="Times New Roman"/>
                <w:b/>
                <w:noProof/>
                <w:szCs w:val="24"/>
              </w:rPr>
              <w:t>moderately prepared</w:t>
            </w:r>
            <w:r>
              <w:rPr>
                <w:rFonts w:eastAsia="Calibri" w:cs="Times New Roman"/>
                <w:noProof/>
                <w:szCs w:val="24"/>
              </w:rPr>
              <w:t xml:space="preserve"> on this chapter. </w:t>
            </w:r>
            <w:r>
              <w:rPr>
                <w:rFonts w:eastAsia="Calibri" w:cs="Times New Roman"/>
                <w:b/>
                <w:noProof/>
                <w:szCs w:val="24"/>
              </w:rPr>
              <w:t>Good progress</w:t>
            </w:r>
            <w:r>
              <w:rPr>
                <w:rFonts w:eastAsia="Calibri" w:cs="Times New Roman"/>
                <w:noProof/>
                <w:szCs w:val="24"/>
              </w:rPr>
              <w:t xml:space="preserve"> was made in particular in legislative ali</w:t>
            </w:r>
            <w:r>
              <w:rPr>
                <w:rFonts w:eastAsia="Calibri" w:cs="Times New Roman"/>
                <w:noProof/>
                <w:szCs w:val="24"/>
              </w:rPr>
              <w:t xml:space="preserve">gnment, implementing the national strategy, including its update. On raw milk quality improvement, the recommendations of the 2017 food audit continued to be implemented. The upgrading of establishments continued.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In the coming year, Montenegro should in </w:t>
            </w:r>
            <w:r>
              <w:rPr>
                <w:rFonts w:eastAsia="Calibri" w:cs="Times New Roman"/>
                <w:noProof/>
                <w:szCs w:val="24"/>
              </w:rPr>
              <w:t xml:space="preserve">particular: </w:t>
            </w:r>
          </w:p>
          <w:p w:rsidR="003C2144" w:rsidRDefault="00FB7959">
            <w:pPr>
              <w:numPr>
                <w:ilvl w:val="0"/>
                <w:numId w:val="16"/>
              </w:numPr>
              <w:spacing w:after="120" w:line="240" w:lineRule="auto"/>
              <w:ind w:left="426"/>
              <w:jc w:val="both"/>
              <w:rPr>
                <w:rFonts w:eastAsia="Calibri" w:cs="Times New Roman"/>
                <w:noProof/>
                <w:szCs w:val="24"/>
              </w:rPr>
            </w:pPr>
            <w:r>
              <w:rPr>
                <w:rFonts w:eastAsia="Calibri" w:cs="Times New Roman"/>
                <w:noProof/>
                <w:szCs w:val="24"/>
              </w:rPr>
              <w:t xml:space="preserve">start implementing the revised strategy for aligning with and implementing the EU </w:t>
            </w:r>
            <w:r>
              <w:rPr>
                <w:rFonts w:eastAsia="Calibri" w:cs="Times New Roman"/>
                <w:i/>
                <w:noProof/>
                <w:szCs w:val="24"/>
              </w:rPr>
              <w:t>acquis</w:t>
            </w:r>
            <w:r>
              <w:rPr>
                <w:rFonts w:eastAsia="Calibri" w:cs="Times New Roman"/>
                <w:noProof/>
                <w:szCs w:val="24"/>
              </w:rPr>
              <w:t>;</w:t>
            </w:r>
          </w:p>
          <w:p w:rsidR="003C2144" w:rsidRDefault="00FB7959">
            <w:pPr>
              <w:numPr>
                <w:ilvl w:val="0"/>
                <w:numId w:val="16"/>
              </w:numPr>
              <w:spacing w:after="120" w:line="240" w:lineRule="auto"/>
              <w:ind w:left="426"/>
              <w:jc w:val="both"/>
              <w:rPr>
                <w:rFonts w:eastAsia="Calibri" w:cs="Times New Roman"/>
                <w:noProof/>
                <w:szCs w:val="24"/>
              </w:rPr>
            </w:pPr>
            <w:r>
              <w:rPr>
                <w:rFonts w:eastAsia="Calibri" w:cs="Times New Roman"/>
                <w:noProof/>
                <w:color w:val="000000"/>
                <w:szCs w:val="24"/>
              </w:rPr>
              <w:t>support the ongoing process of upgrading food establishments;</w:t>
            </w:r>
          </w:p>
          <w:p w:rsidR="003C2144" w:rsidRDefault="00FB7959">
            <w:pPr>
              <w:numPr>
                <w:ilvl w:val="0"/>
                <w:numId w:val="16"/>
              </w:numPr>
              <w:spacing w:after="120" w:line="240" w:lineRule="auto"/>
              <w:ind w:left="426"/>
              <w:jc w:val="both"/>
              <w:rPr>
                <w:rFonts w:eastAsia="Calibri" w:cs="Times New Roman"/>
                <w:noProof/>
                <w:szCs w:val="24"/>
              </w:rPr>
            </w:pPr>
            <w:r>
              <w:rPr>
                <w:rFonts w:eastAsia="Calibri" w:cs="Times New Roman"/>
                <w:noProof/>
                <w:szCs w:val="24"/>
              </w:rPr>
              <w:t xml:space="preserve">continue to strengthen administrative capacity and infrastructures, in particular on food </w:t>
            </w:r>
            <w:r>
              <w:rPr>
                <w:rFonts w:eastAsia="Calibri" w:cs="Times New Roman"/>
                <w:noProof/>
                <w:szCs w:val="24"/>
              </w:rPr>
              <w:t>safety controls.</w:t>
            </w:r>
          </w:p>
        </w:tc>
      </w:tr>
    </w:tbl>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bCs/>
          <w:noProof/>
          <w:szCs w:val="24"/>
        </w:rPr>
        <w:t>general food safety</w:t>
      </w:r>
      <w:r>
        <w:rPr>
          <w:rFonts w:eastAsia="Calibri" w:cs="Times New Roman"/>
          <w:noProof/>
          <w:szCs w:val="24"/>
        </w:rPr>
        <w:t xml:space="preserve">, a thorough update of Montenegro’s strategy </w:t>
      </w:r>
      <w:r>
        <w:rPr>
          <w:rFonts w:eastAsia="Calibri" w:cs="Times New Roman"/>
          <w:noProof/>
          <w:color w:val="000000"/>
          <w:szCs w:val="24"/>
        </w:rPr>
        <w:t xml:space="preserve">for aligning with and implementing the EU </w:t>
      </w:r>
      <w:r>
        <w:rPr>
          <w:rFonts w:eastAsia="Calibri" w:cs="Times New Roman"/>
          <w:i/>
          <w:noProof/>
          <w:color w:val="000000"/>
          <w:szCs w:val="24"/>
        </w:rPr>
        <w:t>acquis</w:t>
      </w:r>
      <w:r>
        <w:rPr>
          <w:rFonts w:eastAsia="Calibri" w:cs="Times New Roman"/>
          <w:noProof/>
          <w:color w:val="000000"/>
          <w:szCs w:val="24"/>
        </w:rPr>
        <w:t xml:space="preserve"> was adopted, including the action plan and the specific action plan for classical swine fever. Implementation of the actio</w:t>
      </w:r>
      <w:r>
        <w:rPr>
          <w:rFonts w:eastAsia="Calibri" w:cs="Times New Roman"/>
          <w:noProof/>
          <w:color w:val="000000"/>
          <w:szCs w:val="24"/>
        </w:rPr>
        <w:t>n plans continued.</w:t>
      </w:r>
      <w:r>
        <w:rPr>
          <w:rFonts w:eastAsia="Calibri" w:cs="Times New Roman"/>
          <w:noProof/>
          <w:szCs w:val="24"/>
        </w:rPr>
        <w:t xml:space="preserve"> The 2019 programme for food and feed safety safeguard measures was adopted and implemented. The programme for 2020 has been adopted and its implementation has started. Montenegro intends to fully align with the EU’s revised Plant Health </w:t>
      </w:r>
      <w:r>
        <w:rPr>
          <w:rFonts w:eastAsia="Calibri" w:cs="Times New Roman"/>
          <w:noProof/>
          <w:szCs w:val="24"/>
        </w:rPr>
        <w:t>Law (2016) and Official Controls Regulation (2017) by 2023.</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bCs/>
          <w:noProof/>
          <w:szCs w:val="24"/>
        </w:rPr>
        <w:t>veterinary policy</w:t>
      </w:r>
      <w:r>
        <w:rPr>
          <w:rFonts w:eastAsia="Calibri" w:cs="Times New Roman"/>
          <w:noProof/>
          <w:szCs w:val="24"/>
        </w:rPr>
        <w:t>, the implementation of the multiannual programme for the eradication of rabies successfully continued, and the spring and autumn 2019 and spring 2020 vaccination campaigns wer</w:t>
      </w:r>
      <w:r>
        <w:rPr>
          <w:rFonts w:eastAsia="Calibri" w:cs="Times New Roman"/>
          <w:noProof/>
          <w:szCs w:val="24"/>
        </w:rPr>
        <w:t xml:space="preserve">e completed. </w:t>
      </w:r>
      <w:r>
        <w:rPr>
          <w:rFonts w:eastAsia="Calibri" w:cs="Times New Roman"/>
          <w:iCs/>
          <w:noProof/>
          <w:color w:val="000000"/>
          <w:szCs w:val="24"/>
        </w:rPr>
        <w:t>Since 2012, no cases of rabies have been reported</w:t>
      </w:r>
      <w:r>
        <w:rPr>
          <w:rFonts w:eastAsia="Calibri" w:cs="Times New Roman"/>
          <w:noProof/>
          <w:szCs w:val="24"/>
        </w:rPr>
        <w:t xml:space="preserve">. Vaccination of bovines against lumpy skin disease and bluetongue disease were implemented. </w:t>
      </w:r>
      <w:r>
        <w:rPr>
          <w:rFonts w:eastAsia="Calibri" w:cs="Times New Roman"/>
          <w:iCs/>
          <w:noProof/>
          <w:color w:val="000000"/>
          <w:szCs w:val="24"/>
        </w:rPr>
        <w:t>There have been no cases of lumpy skin disease since September 2016 and no reported cases of bluetong</w:t>
      </w:r>
      <w:r>
        <w:rPr>
          <w:rFonts w:eastAsia="Calibri" w:cs="Times New Roman"/>
          <w:iCs/>
          <w:noProof/>
          <w:color w:val="000000"/>
          <w:szCs w:val="24"/>
        </w:rPr>
        <w:t>ue disease since May 2017</w:t>
      </w:r>
      <w:r>
        <w:rPr>
          <w:rFonts w:eastAsia="Calibri" w:cs="Times New Roman"/>
          <w:noProof/>
          <w:szCs w:val="24"/>
        </w:rPr>
        <w:t>. The relevant programmes for the monitoring and control of these diseases for 2020, as well as for African swine fever were prepared. The programme of compulsory measures for animal health protection for 2019 was implemented and t</w:t>
      </w:r>
      <w:r>
        <w:rPr>
          <w:rFonts w:eastAsia="Calibri" w:cs="Times New Roman"/>
          <w:noProof/>
          <w:szCs w:val="24"/>
        </w:rPr>
        <w:t>he programme for 2020 has been adopted and its implementation has started. The national programme to improve facilities dealing with products or by-products of animal origin was further pursued. Identification (microchipping) and registration of pets (dogs</w:t>
      </w:r>
      <w:r>
        <w:rPr>
          <w:rFonts w:eastAsia="Calibri" w:cs="Times New Roman"/>
          <w:noProof/>
          <w:szCs w:val="24"/>
        </w:rPr>
        <w:t xml:space="preserve"> and cats) started in September 2019. A strategy for the control of stray dogs is awaiting adoption by the government. Capacity building for veterinary services continued.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the </w:t>
      </w:r>
      <w:r>
        <w:rPr>
          <w:rFonts w:eastAsia="Calibri" w:cs="Times New Roman"/>
          <w:b/>
          <w:bCs/>
          <w:noProof/>
          <w:szCs w:val="24"/>
        </w:rPr>
        <w:t>placing on the market of food, feed and animal by-products</w:t>
      </w:r>
      <w:r>
        <w:rPr>
          <w:rFonts w:eastAsia="Calibri" w:cs="Times New Roman"/>
          <w:noProof/>
          <w:szCs w:val="24"/>
        </w:rPr>
        <w:t>, implementation c</w:t>
      </w:r>
      <w:r>
        <w:rPr>
          <w:rFonts w:eastAsia="Calibri" w:cs="Times New Roman"/>
          <w:noProof/>
          <w:szCs w:val="24"/>
        </w:rPr>
        <w:t>ontinued of the national programme for improving raw milk quality and accompanying plan for handling non-compliant raw milk. Implementation of the national programme for the upgrading of food-processing establishments also continued, with some consolidatio</w:t>
      </w:r>
      <w:r>
        <w:rPr>
          <w:rFonts w:eastAsia="Calibri" w:cs="Times New Roman"/>
          <w:noProof/>
          <w:szCs w:val="24"/>
        </w:rPr>
        <w:t xml:space="preserve">n of companies. Some </w:t>
      </w:r>
      <w:r>
        <w:rPr>
          <w:rFonts w:eastAsia="Calibri" w:cs="Times New Roman"/>
          <w:noProof/>
          <w:color w:val="000000"/>
          <w:szCs w:val="24"/>
        </w:rPr>
        <w:t>63 establishments producing food of animal origin were compliant with EU regulations, and 11 of them were licensed to export to the EU.</w:t>
      </w:r>
      <w:r>
        <w:rPr>
          <w:rFonts w:eastAsia="Calibri" w:cs="Times New Roman"/>
          <w:noProof/>
          <w:szCs w:val="24"/>
        </w:rPr>
        <w:t xml:space="preserve"> The plan for the management of animal by-products not intended for human consumption continued to b</w:t>
      </w:r>
      <w:r>
        <w:rPr>
          <w:rFonts w:eastAsia="Calibri" w:cs="Times New Roman"/>
          <w:noProof/>
          <w:szCs w:val="24"/>
        </w:rPr>
        <w:t>e implemented. Strengthening administrative capacity and infrastructure, in particular on food safety controls, needs to remain a priority.</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Further implementing legislation on </w:t>
      </w:r>
      <w:r>
        <w:rPr>
          <w:rFonts w:eastAsia="Calibri" w:cs="Times New Roman"/>
          <w:b/>
          <w:bCs/>
          <w:noProof/>
          <w:szCs w:val="24"/>
        </w:rPr>
        <w:t xml:space="preserve">food safety rules </w:t>
      </w:r>
      <w:r>
        <w:rPr>
          <w:rFonts w:eastAsia="Calibri" w:cs="Times New Roman"/>
          <w:noProof/>
          <w:szCs w:val="24"/>
        </w:rPr>
        <w:t xml:space="preserve">and on </w:t>
      </w:r>
      <w:r>
        <w:rPr>
          <w:rFonts w:eastAsia="Calibri" w:cs="Times New Roman"/>
          <w:b/>
          <w:bCs/>
          <w:noProof/>
          <w:szCs w:val="24"/>
        </w:rPr>
        <w:t xml:space="preserve">specific rules for feed </w:t>
      </w:r>
      <w:r>
        <w:rPr>
          <w:rFonts w:eastAsia="Calibri" w:cs="Times New Roman"/>
          <w:noProof/>
          <w:szCs w:val="24"/>
        </w:rPr>
        <w:t xml:space="preserve">was adopted.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 xml:space="preserve">phytosanitary </w:t>
      </w:r>
      <w:r>
        <w:rPr>
          <w:rFonts w:eastAsia="Calibri" w:cs="Times New Roman"/>
          <w:b/>
          <w:noProof/>
          <w:szCs w:val="24"/>
        </w:rPr>
        <w:t>policy</w:t>
      </w:r>
      <w:r>
        <w:rPr>
          <w:rFonts w:eastAsia="Calibri" w:cs="Times New Roman"/>
          <w:noProof/>
          <w:szCs w:val="24"/>
        </w:rPr>
        <w:t>, implementing legislation was adopted. 2019 saw the implementation of programmes on phytosanitary measures and on the monitoring of pesticide residues in food of plant and animal origin. The programmes for 2020 have been adopted and the implementati</w:t>
      </w:r>
      <w:r>
        <w:rPr>
          <w:rFonts w:eastAsia="Calibri" w:cs="Times New Roman"/>
          <w:noProof/>
          <w:szCs w:val="24"/>
        </w:rPr>
        <w:t>on has started.</w:t>
      </w:r>
    </w:p>
    <w:p w:rsidR="003C2144" w:rsidRDefault="00FB7959">
      <w:pPr>
        <w:spacing w:after="120" w:line="240" w:lineRule="auto"/>
        <w:jc w:val="both"/>
        <w:rPr>
          <w:rFonts w:eastAsia="Calibri" w:cs="Times New Roman"/>
          <w:noProof/>
          <w:szCs w:val="24"/>
        </w:rPr>
      </w:pPr>
      <w:r>
        <w:rPr>
          <w:rFonts w:eastAsia="Calibri" w:cs="Times New Roman"/>
          <w:noProof/>
          <w:szCs w:val="24"/>
        </w:rPr>
        <w:t>The implementation of the national plan for the sustainable use of plant protection products continued, in line with the 2016-2021 action plan. The first and the second sittings of the Committee on Registration of Pesticides took place in D</w:t>
      </w:r>
      <w:r>
        <w:rPr>
          <w:rFonts w:eastAsia="Calibri" w:cs="Times New Roman"/>
          <w:noProof/>
          <w:szCs w:val="24"/>
        </w:rPr>
        <w:t xml:space="preserve">ecember 2019 resulting in registration of 6 out of 17 submitted requests. In March 2020, six new additional requests were submitted to the members of the Committee for consideration. Capacity building for phytosanitary services was further pursued. </w:t>
      </w:r>
    </w:p>
    <w:p w:rsidR="003C2144" w:rsidRDefault="00FB7959">
      <w:pPr>
        <w:spacing w:after="120" w:line="240" w:lineRule="auto"/>
        <w:rPr>
          <w:rFonts w:eastAsia="Calibri" w:cs="Times New Roman"/>
          <w:noProof/>
          <w:szCs w:val="24"/>
        </w:rPr>
      </w:pPr>
      <w:r>
        <w:rPr>
          <w:rFonts w:eastAsia="Calibri" w:cs="Times New Roman"/>
          <w:noProof/>
          <w:szCs w:val="24"/>
        </w:rPr>
        <w:t xml:space="preserve">On </w:t>
      </w:r>
      <w:r>
        <w:rPr>
          <w:rFonts w:eastAsia="Calibri" w:cs="Times New Roman"/>
          <w:b/>
          <w:bCs/>
          <w:noProof/>
          <w:szCs w:val="24"/>
        </w:rPr>
        <w:t>gen</w:t>
      </w:r>
      <w:r>
        <w:rPr>
          <w:rFonts w:eastAsia="Calibri" w:cs="Times New Roman"/>
          <w:b/>
          <w:bCs/>
          <w:noProof/>
          <w:szCs w:val="24"/>
        </w:rPr>
        <w:t>etically modified organisms</w:t>
      </w:r>
      <w:r>
        <w:rPr>
          <w:rFonts w:eastAsia="Calibri" w:cs="Times New Roman"/>
          <w:noProof/>
          <w:szCs w:val="24"/>
        </w:rPr>
        <w:t>, the 2019 programme for genetically modified food and feed monitoring was implemented.</w:t>
      </w:r>
    </w:p>
    <w:p w:rsidR="003C2144" w:rsidRDefault="00FB7959">
      <w:pPr>
        <w:pStyle w:val="Heading2"/>
        <w:rPr>
          <w:rFonts w:eastAsia="Times New Roman"/>
          <w:noProof/>
        </w:rPr>
      </w:pPr>
      <w:bookmarkStart w:id="126" w:name="_Toc30080577"/>
      <w:bookmarkStart w:id="127" w:name="_Toc30074150"/>
      <w:bookmarkStart w:id="128" w:name="_Toc30073837"/>
      <w:bookmarkStart w:id="129" w:name="_Toc52744946"/>
      <w:r>
        <w:rPr>
          <w:rFonts w:eastAsia="Times New Roman"/>
          <w:noProof/>
        </w:rPr>
        <w:t>5.13</w:t>
      </w:r>
      <w:r>
        <w:rPr>
          <w:rFonts w:eastAsia="Times New Roman"/>
          <w:noProof/>
        </w:rPr>
        <w:tab/>
        <w:t>Chapter 13: Fisheries</w:t>
      </w:r>
      <w:bookmarkEnd w:id="126"/>
      <w:bookmarkEnd w:id="127"/>
      <w:bookmarkEnd w:id="128"/>
      <w:bookmarkEnd w:id="129"/>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The common fisheries policy lays down rules on fisheries management, protects living resources of the sea and lim</w:t>
      </w:r>
      <w:r>
        <w:rPr>
          <w:rFonts w:eastAsia="Calibri" w:cs="Times New Roman"/>
          <w:i/>
          <w:iCs/>
          <w:noProof/>
          <w:color w:val="000000"/>
          <w:szCs w:val="24"/>
        </w:rPr>
        <w:t xml:space="preserve">its the environmental impact of fisheries. This includes setting catch quotas, managing fleet capacity, rules on markets and aquaculture and support for fisheries and coastal communities. </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Montenegro has </w:t>
      </w:r>
      <w:r>
        <w:rPr>
          <w:rFonts w:eastAsia="Calibri" w:cs="Times New Roman"/>
          <w:b/>
          <w:noProof/>
          <w:color w:val="000000"/>
          <w:szCs w:val="24"/>
          <w:lang w:eastAsia="en-GB"/>
        </w:rPr>
        <w:t>some level of preparation</w:t>
      </w:r>
      <w:r>
        <w:rPr>
          <w:rFonts w:eastAsia="Calibri" w:cs="Times New Roman"/>
          <w:noProof/>
          <w:color w:val="000000"/>
          <w:szCs w:val="24"/>
          <w:lang w:eastAsia="en-GB"/>
        </w:rPr>
        <w:t xml:space="preserve"> in this area. </w:t>
      </w:r>
      <w:r>
        <w:rPr>
          <w:rFonts w:eastAsia="Calibri" w:cs="Times New Roman"/>
          <w:b/>
          <w:noProof/>
          <w:color w:val="000000"/>
          <w:szCs w:val="24"/>
          <w:lang w:eastAsia="en-GB"/>
        </w:rPr>
        <w:t xml:space="preserve">Some </w:t>
      </w:r>
      <w:r>
        <w:rPr>
          <w:rFonts w:eastAsia="Calibri" w:cs="Times New Roman"/>
          <w:b/>
          <w:noProof/>
          <w:color w:val="000000"/>
          <w:szCs w:val="24"/>
          <w:lang w:eastAsia="en-GB"/>
        </w:rPr>
        <w:t>progress</w:t>
      </w:r>
      <w:r>
        <w:rPr>
          <w:rFonts w:eastAsia="Calibri" w:cs="Times New Roman"/>
          <w:noProof/>
          <w:color w:val="000000"/>
          <w:szCs w:val="24"/>
          <w:lang w:eastAsia="en-GB"/>
        </w:rPr>
        <w:t xml:space="preserve"> was made on the 3 recommendations in the last report: implementing the action plan on the EU </w:t>
      </w:r>
      <w:r>
        <w:rPr>
          <w:rFonts w:eastAsia="Calibri" w:cs="Times New Roman"/>
          <w:i/>
          <w:noProof/>
          <w:color w:val="000000"/>
          <w:szCs w:val="24"/>
          <w:lang w:eastAsia="en-GB"/>
        </w:rPr>
        <w:t>acquis</w:t>
      </w:r>
      <w:r>
        <w:rPr>
          <w:rFonts w:eastAsia="Calibri" w:cs="Times New Roman"/>
          <w:noProof/>
          <w:color w:val="000000"/>
          <w:szCs w:val="24"/>
          <w:lang w:eastAsia="en-GB"/>
        </w:rPr>
        <w:t>, capacity strengthening and international collaboration. Montenegro is a reliable partner in international fora. However the below two recommendati</w:t>
      </w:r>
      <w:r>
        <w:rPr>
          <w:rFonts w:eastAsia="Calibri" w:cs="Times New Roman"/>
          <w:noProof/>
          <w:color w:val="000000"/>
          <w:szCs w:val="24"/>
          <w:lang w:eastAsia="en-GB"/>
        </w:rPr>
        <w:t>ons remain to be fully addressed.</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In the coming year, Montenegro should in particular:</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 revise and implement its action plan on aligning with, implementing and enforcing the EU </w:t>
      </w:r>
      <w:r>
        <w:rPr>
          <w:rFonts w:eastAsia="Calibri" w:cs="Times New Roman"/>
          <w:i/>
          <w:noProof/>
          <w:color w:val="000000"/>
          <w:szCs w:val="24"/>
          <w:lang w:eastAsia="en-GB"/>
        </w:rPr>
        <w:t>acquis</w:t>
      </w:r>
      <w:r>
        <w:rPr>
          <w:rFonts w:eastAsia="Calibri" w:cs="Times New Roman"/>
          <w:noProof/>
          <w:color w:val="000000"/>
          <w:szCs w:val="24"/>
          <w:lang w:eastAsia="en-GB"/>
        </w:rPr>
        <w:t>;</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noProof/>
          <w:color w:val="000000"/>
          <w:szCs w:val="24"/>
          <w:lang w:eastAsia="en-GB"/>
        </w:rPr>
      </w:pPr>
      <w:r>
        <w:rPr>
          <w:rFonts w:eastAsia="Calibri" w:cs="Times New Roman"/>
          <w:noProof/>
          <w:color w:val="000000"/>
          <w:szCs w:val="24"/>
          <w:lang w:eastAsia="en-GB"/>
        </w:rPr>
        <w:t>→ continue to strengthen administrative, data collection, scientific a</w:t>
      </w:r>
      <w:r>
        <w:rPr>
          <w:rFonts w:eastAsia="Calibri" w:cs="Times New Roman"/>
          <w:noProof/>
          <w:color w:val="000000"/>
          <w:szCs w:val="24"/>
          <w:lang w:eastAsia="en-GB"/>
        </w:rPr>
        <w:t>dvice, inspection and control capacities.</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continued to implement its action plan on aligning with, implementing and enforcing the EU </w:t>
      </w:r>
      <w:r>
        <w:rPr>
          <w:rFonts w:eastAsia="Calibri" w:cs="Times New Roman"/>
          <w:i/>
          <w:iCs/>
          <w:noProof/>
          <w:color w:val="000000"/>
          <w:szCs w:val="24"/>
        </w:rPr>
        <w:t>acquis</w:t>
      </w:r>
      <w:r>
        <w:rPr>
          <w:rFonts w:eastAsia="Calibri" w:cs="Times New Roman"/>
          <w:iCs/>
          <w:noProof/>
          <w:color w:val="000000"/>
          <w:szCs w:val="24"/>
        </w:rPr>
        <w:t xml:space="preserve"> under this chapter</w:t>
      </w:r>
      <w:r>
        <w:rPr>
          <w:rFonts w:eastAsia="Calibri" w:cs="Times New Roman"/>
          <w:noProof/>
          <w:color w:val="000000"/>
          <w:szCs w:val="24"/>
        </w:rPr>
        <w:t xml:space="preserve">. Law on structural measures and State aid in fisheries and aquaculture and Law on the </w:t>
      </w:r>
      <w:r>
        <w:rPr>
          <w:rFonts w:eastAsia="Calibri" w:cs="Times New Roman"/>
          <w:noProof/>
          <w:color w:val="000000"/>
          <w:szCs w:val="24"/>
        </w:rPr>
        <w:t xml:space="preserve">organisation of markets in fisheries and aquaculture were adopted by the government in December 2019 and are pending adoption by Parliament. The two laws aim to achieve wide alignment with the EU </w:t>
      </w:r>
      <w:r>
        <w:rPr>
          <w:rFonts w:eastAsia="Calibri" w:cs="Times New Roman"/>
          <w:i/>
          <w:noProof/>
          <w:color w:val="000000"/>
          <w:szCs w:val="24"/>
        </w:rPr>
        <w:t>acquis</w:t>
      </w:r>
      <w:r>
        <w:rPr>
          <w:rFonts w:eastAsia="Calibri" w:cs="Times New Roman"/>
          <w:noProof/>
          <w:color w:val="000000"/>
          <w:szCs w:val="24"/>
        </w:rPr>
        <w:t>. Administrative and scientific capacity were strength</w:t>
      </w:r>
      <w:r>
        <w:rPr>
          <w:rFonts w:eastAsia="Calibri" w:cs="Times New Roman"/>
          <w:noProof/>
          <w:color w:val="000000"/>
          <w:szCs w:val="24"/>
        </w:rPr>
        <w:t>ened through further staff training within the Directorate General for Fisheries in the Ministry of Agriculture and Rural Development.</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resource and fleet management</w:t>
      </w:r>
      <w:r>
        <w:rPr>
          <w:rFonts w:eastAsia="Calibri" w:cs="Times New Roman"/>
          <w:noProof/>
          <w:color w:val="000000"/>
          <w:szCs w:val="24"/>
        </w:rPr>
        <w:t>, the annual data collection programme on Montenegrin fisheries continued.</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color w:val="000000"/>
          <w:szCs w:val="24"/>
        </w:rPr>
        <w:t xml:space="preserve">The </w:t>
      </w:r>
      <w:r>
        <w:rPr>
          <w:rFonts w:eastAsia="Calibri" w:cs="Times New Roman"/>
          <w:b/>
          <w:noProof/>
          <w:color w:val="000000"/>
          <w:szCs w:val="24"/>
        </w:rPr>
        <w:t>inspection</w:t>
      </w:r>
      <w:r>
        <w:rPr>
          <w:rFonts w:eastAsia="Calibri" w:cs="Times New Roman"/>
          <w:b/>
          <w:noProof/>
          <w:color w:val="000000"/>
          <w:szCs w:val="24"/>
        </w:rPr>
        <w:t xml:space="preserve"> and control</w:t>
      </w:r>
      <w:r>
        <w:rPr>
          <w:rFonts w:eastAsia="Calibri" w:cs="Times New Roman"/>
          <w:noProof/>
          <w:color w:val="000000"/>
          <w:szCs w:val="24"/>
        </w:rPr>
        <w:t xml:space="preserve"> capacity of the Administration for Inspection Affairs was strengthened, with the engagement of one additional inspector and the procurement of a vessel for inspection and </w:t>
      </w:r>
      <w:r>
        <w:rPr>
          <w:rFonts w:eastAsia="Calibri" w:cs="Times New Roman"/>
          <w:bCs/>
          <w:noProof/>
          <w:color w:val="000000"/>
          <w:szCs w:val="24"/>
        </w:rPr>
        <w:t>monitoring of fishing activities at sea.</w:t>
      </w:r>
      <w:bookmarkStart w:id="130" w:name="_Toc30074151"/>
      <w:bookmarkStart w:id="131" w:name="_Toc30073838"/>
      <w:r>
        <w:rPr>
          <w:rFonts w:eastAsia="Calibri" w:cs="Times New Roman"/>
          <w:noProof/>
          <w:szCs w:val="24"/>
        </w:rPr>
        <w:t xml:space="preserve"> Fisheries control on Lake Skada</w:t>
      </w:r>
      <w:r>
        <w:rPr>
          <w:rFonts w:eastAsia="Calibri" w:cs="Times New Roman"/>
          <w:noProof/>
          <w:szCs w:val="24"/>
        </w:rPr>
        <w:t>r was reinforced through installation of surveillance technique. Solar panels were installed on fishing vessels exceeding 10 m in length to ensure the secure functioning of the Vessel Monitoring System (VMS) and of the devices for the automatic location an</w:t>
      </w:r>
      <w:r>
        <w:rPr>
          <w:rFonts w:eastAsia="Calibri" w:cs="Times New Roman"/>
          <w:noProof/>
          <w:szCs w:val="24"/>
        </w:rPr>
        <w:t>d identification system (AIS).</w:t>
      </w:r>
      <w:bookmarkEnd w:id="130"/>
      <w:bookmarkEnd w:id="131"/>
    </w:p>
    <w:p w:rsidR="003C2144" w:rsidRDefault="00FB7959">
      <w:pPr>
        <w:spacing w:after="120" w:line="240" w:lineRule="auto"/>
        <w:jc w:val="both"/>
        <w:rPr>
          <w:rFonts w:eastAsia="Calibri" w:cs="Times New Roman"/>
          <w:bCs/>
          <w:noProof/>
          <w:color w:val="000000"/>
          <w:szCs w:val="24"/>
        </w:rPr>
      </w:pPr>
      <w:bookmarkStart w:id="132" w:name="_Toc30074152"/>
      <w:bookmarkStart w:id="133" w:name="_Toc30073839"/>
      <w:r>
        <w:rPr>
          <w:rFonts w:eastAsia="Calibri" w:cs="Times New Roman"/>
          <w:noProof/>
          <w:color w:val="000000"/>
          <w:szCs w:val="24"/>
        </w:rPr>
        <w:t xml:space="preserve">There were no substantial developments on </w:t>
      </w:r>
      <w:r>
        <w:rPr>
          <w:rFonts w:eastAsia="Calibri" w:cs="Times New Roman"/>
          <w:b/>
          <w:bCs/>
          <w:noProof/>
          <w:color w:val="000000"/>
          <w:szCs w:val="24"/>
        </w:rPr>
        <w:t>structural measures</w:t>
      </w:r>
      <w:r>
        <w:rPr>
          <w:rFonts w:eastAsia="Calibri" w:cs="Times New Roman"/>
          <w:bCs/>
          <w:noProof/>
          <w:color w:val="000000"/>
          <w:szCs w:val="24"/>
        </w:rPr>
        <w:t xml:space="preserve"> and </w:t>
      </w:r>
      <w:r>
        <w:rPr>
          <w:rFonts w:eastAsia="Calibri" w:cs="Times New Roman"/>
          <w:b/>
          <w:bCs/>
          <w:noProof/>
          <w:color w:val="000000"/>
          <w:szCs w:val="24"/>
        </w:rPr>
        <w:t>State aid</w:t>
      </w:r>
      <w:r>
        <w:rPr>
          <w:rFonts w:eastAsia="Calibri" w:cs="Times New Roman"/>
          <w:bCs/>
          <w:noProof/>
          <w:color w:val="000000"/>
          <w:szCs w:val="24"/>
        </w:rPr>
        <w:t xml:space="preserve">, </w:t>
      </w:r>
      <w:r>
        <w:rPr>
          <w:rFonts w:eastAsia="Calibri" w:cs="Times New Roman"/>
          <w:noProof/>
          <w:color w:val="000000"/>
          <w:szCs w:val="24"/>
        </w:rPr>
        <w:t>further to the drafting of above primary legislation.</w:t>
      </w:r>
      <w:r>
        <w:rPr>
          <w:rFonts w:eastAsia="Calibri" w:cs="Times New Roman"/>
          <w:bCs/>
          <w:noProof/>
          <w:color w:val="000000"/>
          <w:szCs w:val="24"/>
        </w:rPr>
        <w:t xml:space="preserve"> </w:t>
      </w:r>
      <w:bookmarkEnd w:id="132"/>
      <w:bookmarkEnd w:id="133"/>
      <w:r>
        <w:rPr>
          <w:rFonts w:eastAsia="Calibri" w:cs="Times New Roman"/>
          <w:bCs/>
          <w:noProof/>
          <w:color w:val="000000"/>
          <w:szCs w:val="24"/>
        </w:rPr>
        <w:t xml:space="preserve">On </w:t>
      </w:r>
      <w:r>
        <w:rPr>
          <w:rFonts w:eastAsia="Calibri" w:cs="Times New Roman"/>
          <w:b/>
          <w:bCs/>
          <w:noProof/>
          <w:color w:val="000000"/>
          <w:szCs w:val="24"/>
        </w:rPr>
        <w:t>market policy</w:t>
      </w:r>
      <w:r>
        <w:rPr>
          <w:rFonts w:eastAsia="Calibri" w:cs="Times New Roman"/>
          <w:bCs/>
          <w:noProof/>
          <w:color w:val="000000"/>
          <w:szCs w:val="24"/>
        </w:rPr>
        <w:t>, preparatory steps for the establishment of producer organisations were taken</w:t>
      </w:r>
      <w:r>
        <w:rPr>
          <w:rFonts w:eastAsia="Calibri" w:cs="Times New Roman"/>
          <w:bCs/>
          <w:noProof/>
          <w:color w:val="000000"/>
          <w:szCs w:val="24"/>
        </w:rPr>
        <w:t>. At</w:t>
      </w:r>
      <w:r>
        <w:rPr>
          <w:rFonts w:eastAsia="Calibri" w:cs="Times New Roman"/>
          <w:b/>
          <w:bCs/>
          <w:noProof/>
          <w:color w:val="000000"/>
          <w:szCs w:val="24"/>
        </w:rPr>
        <w:t xml:space="preserve"> international level</w:t>
      </w:r>
      <w:r>
        <w:rPr>
          <w:rFonts w:eastAsia="Calibri" w:cs="Times New Roman"/>
          <w:bCs/>
          <w:noProof/>
          <w:color w:val="000000"/>
          <w:szCs w:val="24"/>
        </w:rPr>
        <w:t xml:space="preserve">, Montenegro continued its contribution to MedFish4Ever, the INTERREG programmes and the </w:t>
      </w:r>
      <w:r>
        <w:rPr>
          <w:rFonts w:eastAsia="Calibri" w:cs="Times New Roman"/>
          <w:noProof/>
          <w:color w:val="000000"/>
          <w:szCs w:val="24"/>
        </w:rPr>
        <w:t>General Fisheries Commission for Mediterranean</w:t>
      </w:r>
      <w:r>
        <w:rPr>
          <w:rFonts w:eastAsia="Calibri" w:cs="Times New Roman"/>
          <w:bCs/>
          <w:noProof/>
          <w:color w:val="000000"/>
          <w:szCs w:val="24"/>
        </w:rPr>
        <w:t xml:space="preserve"> (GFCM). Under its presidency, in May 2019 Montenegro succesfully hosted the fourth annual forum </w:t>
      </w:r>
      <w:r>
        <w:rPr>
          <w:rFonts w:eastAsia="Calibri" w:cs="Times New Roman"/>
          <w:bCs/>
          <w:noProof/>
          <w:color w:val="000000"/>
          <w:szCs w:val="24"/>
        </w:rPr>
        <w:t>on the EU strategy for the Adriatic and Ionian Region (EUSAIR), for which it had set fisheries, aquaculture and tourism as priority topics.</w:t>
      </w:r>
    </w:p>
    <w:p w:rsidR="003C2144" w:rsidRDefault="00FB7959">
      <w:pPr>
        <w:pStyle w:val="Heading2"/>
        <w:rPr>
          <w:rFonts w:eastAsia="Times New Roman"/>
          <w:noProof/>
        </w:rPr>
      </w:pPr>
      <w:bookmarkStart w:id="134" w:name="_Toc30073840"/>
      <w:bookmarkStart w:id="135" w:name="_Toc30074153"/>
      <w:bookmarkStart w:id="136" w:name="_Toc30080578"/>
      <w:bookmarkStart w:id="137" w:name="_Toc52744947"/>
      <w:r>
        <w:rPr>
          <w:rFonts w:eastAsia="Times New Roman"/>
          <w:noProof/>
        </w:rPr>
        <w:t>5.14</w:t>
      </w:r>
      <w:r>
        <w:rPr>
          <w:rFonts w:eastAsia="Times New Roman"/>
          <w:noProof/>
        </w:rPr>
        <w:tab/>
        <w:t>Chapter 14: Transport policy</w:t>
      </w:r>
      <w:bookmarkEnd w:id="134"/>
      <w:bookmarkEnd w:id="135"/>
      <w:bookmarkEnd w:id="136"/>
      <w:bookmarkEnd w:id="137"/>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The EU has common rules for technical and safety standards, security, social stan</w:t>
      </w:r>
      <w:r>
        <w:rPr>
          <w:rFonts w:eastAsia="Calibri" w:cs="Times New Roman"/>
          <w:i/>
          <w:iCs/>
          <w:noProof/>
          <w:color w:val="000000"/>
          <w:szCs w:val="24"/>
          <w:lang w:eastAsia="en-GB"/>
        </w:rPr>
        <w:t>dards, state aid and market liberalisation in road transport, railways, inland waterways, combined transport, aviation and maritime transport.</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lang w:eastAsia="en-GB"/>
        </w:rPr>
      </w:pPr>
      <w:bookmarkStart w:id="138" w:name="_Hlk30002412"/>
      <w:r>
        <w:rPr>
          <w:rFonts w:eastAsia="Calibri" w:cs="Times New Roman"/>
          <w:noProof/>
          <w:color w:val="000000"/>
          <w:szCs w:val="24"/>
          <w:lang w:eastAsia="en-GB"/>
        </w:rPr>
        <w:t xml:space="preserve">Montenegro is </w:t>
      </w:r>
      <w:r>
        <w:rPr>
          <w:rFonts w:eastAsia="Calibri" w:cs="Times New Roman"/>
          <w:b/>
          <w:bCs/>
          <w:noProof/>
          <w:color w:val="000000"/>
          <w:szCs w:val="24"/>
          <w:lang w:eastAsia="en-GB"/>
        </w:rPr>
        <w:t>moderately prepared</w:t>
      </w:r>
      <w:r>
        <w:rPr>
          <w:rFonts w:eastAsia="Calibri" w:cs="Times New Roman"/>
          <w:bCs/>
          <w:noProof/>
          <w:color w:val="000000"/>
          <w:szCs w:val="24"/>
          <w:lang w:eastAsia="en-GB"/>
        </w:rPr>
        <w:t>/has a</w:t>
      </w:r>
      <w:r>
        <w:rPr>
          <w:rFonts w:eastAsia="Calibri" w:cs="Times New Roman"/>
          <w:b/>
          <w:bCs/>
          <w:noProof/>
          <w:color w:val="000000"/>
          <w:szCs w:val="24"/>
          <w:lang w:eastAsia="en-GB"/>
        </w:rPr>
        <w:t xml:space="preserve"> good level of preparation</w:t>
      </w:r>
      <w:r>
        <w:rPr>
          <w:rFonts w:eastAsia="Calibri" w:cs="Times New Roman"/>
          <w:noProof/>
          <w:color w:val="000000"/>
          <w:szCs w:val="24"/>
          <w:lang w:eastAsia="en-GB"/>
        </w:rPr>
        <w:t xml:space="preserve"> in the area of transport policy. </w:t>
      </w:r>
      <w:r>
        <w:rPr>
          <w:rFonts w:eastAsia="Calibri" w:cs="Times New Roman"/>
          <w:b/>
          <w:bCs/>
          <w:noProof/>
          <w:color w:val="000000"/>
          <w:szCs w:val="24"/>
          <w:lang w:eastAsia="en-GB"/>
        </w:rPr>
        <w:t>No progress</w:t>
      </w:r>
      <w:r>
        <w:rPr>
          <w:rFonts w:eastAsia="Calibri" w:cs="Times New Roman"/>
          <w:noProof/>
          <w:color w:val="000000"/>
          <w:szCs w:val="24"/>
          <w:lang w:eastAsia="en-GB"/>
        </w:rPr>
        <w:t xml:space="preserve"> was made in the reporting period in completing key sector reforms, and the 2019 recommendations remain valid. In the coming year, Montenegro should in particular:</w:t>
      </w:r>
    </w:p>
    <w:p w:rsidR="003C2144" w:rsidRDefault="00FB795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 xml:space="preserve">ensure the operational independence and appropriate staffing of the railway regulatory body </w:t>
      </w:r>
      <w:r>
        <w:rPr>
          <w:rFonts w:ascii="Times New Roman" w:eastAsia="Times New Roman" w:hAnsi="Times New Roman" w:cs="Times New Roman"/>
          <w:noProof/>
          <w:sz w:val="24"/>
          <w:szCs w:val="24"/>
          <w:lang w:eastAsia="it-IT"/>
        </w:rPr>
        <w:t>and the railway safety authority</w:t>
      </w:r>
      <w:r>
        <w:rPr>
          <w:rFonts w:ascii="Times New Roman" w:eastAsia="Times New Roman" w:hAnsi="Times New Roman" w:cs="Times New Roman"/>
          <w:noProof/>
          <w:sz w:val="24"/>
          <w:szCs w:val="24"/>
          <w:lang w:eastAsia="en-GB"/>
        </w:rPr>
        <w:t>;</w:t>
      </w:r>
    </w:p>
    <w:p w:rsidR="003C2144" w:rsidRDefault="00FB795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color w:val="000000"/>
          <w:sz w:val="24"/>
          <w:szCs w:val="24"/>
          <w:lang w:eastAsia="en-GB"/>
        </w:rPr>
      </w:pPr>
      <w:r>
        <w:rPr>
          <w:rFonts w:ascii="Times New Roman" w:eastAsia="Times New Roman" w:hAnsi="Times New Roman" w:cs="Times New Roman"/>
          <w:noProof/>
          <w:sz w:val="24"/>
          <w:szCs w:val="24"/>
          <w:lang w:eastAsia="it-IT"/>
        </w:rPr>
        <w:t>step up efforts to lay down the strategic framework for implementing Intelligent Transport Systems (ITS) on its core road, rail and maritime network and align with the EU ITS Directive;</w:t>
      </w:r>
    </w:p>
    <w:p w:rsidR="003C2144" w:rsidRDefault="00FB795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achieve full membership to the Paris</w:t>
      </w:r>
      <w:r>
        <w:rPr>
          <w:rFonts w:ascii="Times New Roman" w:eastAsia="Calibri" w:hAnsi="Times New Roman" w:cs="Times New Roman"/>
          <w:noProof/>
          <w:color w:val="000000"/>
          <w:sz w:val="24"/>
          <w:szCs w:val="24"/>
          <w:lang w:eastAsia="en-GB"/>
        </w:rPr>
        <w:t xml:space="preserve"> Memorandum of Understanding (MoU) on port state control.</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bookmarkStart w:id="139" w:name="_Toc453311118"/>
      <w:bookmarkStart w:id="140" w:name="_Toc453311231"/>
      <w:bookmarkStart w:id="141" w:name="_Toc453311363"/>
      <w:bookmarkStart w:id="142" w:name="_Toc453319592"/>
      <w:bookmarkStart w:id="143" w:name="_Toc453329328"/>
      <w:bookmarkStart w:id="144" w:name="_Toc453330268"/>
      <w:bookmarkStart w:id="145" w:name="_Toc453330596"/>
      <w:bookmarkStart w:id="146" w:name="_Toc453330762"/>
      <w:bookmarkStart w:id="147" w:name="_Toc453335631"/>
      <w:bookmarkStart w:id="148" w:name="_Toc30073841"/>
      <w:bookmarkStart w:id="149" w:name="_Toc30074154"/>
      <w:bookmarkEnd w:id="138"/>
      <w:r>
        <w:rPr>
          <w:rFonts w:eastAsia="Calibri" w:cs="Times New Roman"/>
          <w:noProof/>
          <w:color w:val="000000"/>
          <w:szCs w:val="24"/>
          <w:lang w:eastAsia="en-GB"/>
        </w:rPr>
        <w:t xml:space="preserve">On </w:t>
      </w:r>
      <w:r>
        <w:rPr>
          <w:rFonts w:eastAsia="Calibri" w:cs="Times New Roman"/>
          <w:b/>
          <w:noProof/>
          <w:color w:val="000000"/>
          <w:szCs w:val="24"/>
          <w:lang w:eastAsia="en-GB"/>
        </w:rPr>
        <w:t>general transport</w:t>
      </w:r>
      <w:r>
        <w:rPr>
          <w:rFonts w:eastAsia="Calibri" w:cs="Times New Roman"/>
          <w:noProof/>
          <w:color w:val="000000"/>
          <w:szCs w:val="24"/>
          <w:lang w:eastAsia="en-GB"/>
        </w:rPr>
        <w:t xml:space="preserve">, the new 2019-2035 transport development strategy and its related action plan were adopted in June 2019. There was no further alignment with the EU </w:t>
      </w:r>
      <w:r>
        <w:rPr>
          <w:rFonts w:eastAsia="Calibri" w:cs="Times New Roman"/>
          <w:i/>
          <w:noProof/>
          <w:color w:val="000000"/>
          <w:szCs w:val="24"/>
          <w:lang w:eastAsia="en-GB"/>
        </w:rPr>
        <w:t>acquis</w:t>
      </w:r>
      <w:r>
        <w:rPr>
          <w:rFonts w:eastAsia="Calibri" w:cs="Times New Roman"/>
          <w:noProof/>
          <w:color w:val="000000"/>
          <w:szCs w:val="24"/>
          <w:lang w:eastAsia="en-GB"/>
        </w:rPr>
        <w:t xml:space="preserve"> concerning summertime arrangements, public service obligations, procedures and criteria for the award of public service contracts in road, rail and maritime transport. </w:t>
      </w:r>
      <w:bookmarkStart w:id="150" w:name="_Toc453311119"/>
      <w:bookmarkStart w:id="151" w:name="_Toc453311232"/>
      <w:bookmarkStart w:id="152" w:name="_Toc453311364"/>
      <w:bookmarkStart w:id="153" w:name="_Toc453319593"/>
      <w:bookmarkStart w:id="154" w:name="_Toc453329329"/>
      <w:bookmarkStart w:id="155" w:name="_Toc453330269"/>
      <w:bookmarkStart w:id="156" w:name="_Toc453330597"/>
      <w:bookmarkStart w:id="157" w:name="_Toc453330763"/>
      <w:bookmarkStart w:id="158" w:name="_Toc453335632"/>
      <w:bookmarkEnd w:id="139"/>
      <w:bookmarkEnd w:id="140"/>
      <w:bookmarkEnd w:id="141"/>
      <w:bookmarkEnd w:id="142"/>
      <w:bookmarkEnd w:id="143"/>
      <w:bookmarkEnd w:id="144"/>
      <w:bookmarkEnd w:id="145"/>
      <w:bookmarkEnd w:id="146"/>
      <w:bookmarkEnd w:id="147"/>
      <w:r>
        <w:rPr>
          <w:rFonts w:eastAsia="Calibri" w:cs="Times New Roman"/>
          <w:noProof/>
          <w:color w:val="000000"/>
          <w:szCs w:val="24"/>
        </w:rPr>
        <w:t>There is a need to increase administrative capacity and coordination in the Ministry of</w:t>
      </w:r>
      <w:r>
        <w:rPr>
          <w:rFonts w:eastAsia="Calibri" w:cs="Times New Roman"/>
          <w:noProof/>
          <w:color w:val="000000"/>
          <w:szCs w:val="24"/>
        </w:rPr>
        <w:t xml:space="preserve"> Transport and Maritime Affairs. The Commission for Investigation of Accidents in Maritime, Rail and Air Transport continued to work in line with its mandate, but its operational and financial sustainability needs to be strengthened.</w:t>
      </w:r>
      <w:bookmarkEnd w:id="148"/>
      <w:bookmarkEnd w:id="149"/>
      <w:r>
        <w:rPr>
          <w:rFonts w:eastAsia="Calibri" w:cs="Times New Roman"/>
          <w:noProof/>
          <w:color w:val="000000"/>
          <w:szCs w:val="24"/>
        </w:rPr>
        <w:t xml:space="preserve"> Montenegro continues t</w:t>
      </w:r>
      <w:r>
        <w:rPr>
          <w:rFonts w:eastAsia="Calibri" w:cs="Times New Roman"/>
          <w:noProof/>
          <w:color w:val="000000"/>
          <w:szCs w:val="24"/>
        </w:rPr>
        <w:t xml:space="preserve">o participate actively in the EU strategy for the development of the Danube Region (EUSDR) as well as in the EU strategy for the Adriatic and Ionian Region (EUSAIR). </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bookmarkStart w:id="159" w:name="_Toc30073842"/>
      <w:bookmarkStart w:id="160" w:name="_Toc30074155"/>
      <w:r>
        <w:rPr>
          <w:rFonts w:eastAsia="Calibri" w:cs="Times New Roman"/>
          <w:noProof/>
          <w:color w:val="000000"/>
          <w:szCs w:val="24"/>
          <w:lang w:eastAsia="en-GB"/>
        </w:rPr>
        <w:t xml:space="preserve">On </w:t>
      </w:r>
      <w:r>
        <w:rPr>
          <w:rFonts w:eastAsia="Calibri" w:cs="Times New Roman"/>
          <w:b/>
          <w:noProof/>
          <w:color w:val="000000"/>
          <w:szCs w:val="24"/>
          <w:lang w:eastAsia="en-GB"/>
        </w:rPr>
        <w:t>road transport</w:t>
      </w:r>
      <w:r>
        <w:rPr>
          <w:rFonts w:eastAsia="Calibri" w:cs="Times New Roman"/>
          <w:noProof/>
          <w:color w:val="000000"/>
          <w:szCs w:val="24"/>
          <w:lang w:eastAsia="en-GB"/>
        </w:rPr>
        <w:t>, in November 2019 amendments to the Law on road transport were adopted,</w:t>
      </w:r>
      <w:r>
        <w:rPr>
          <w:rFonts w:eastAsia="Calibri" w:cs="Times New Roman"/>
          <w:noProof/>
          <w:color w:val="000000"/>
          <w:szCs w:val="24"/>
          <w:lang w:eastAsia="en-GB"/>
        </w:rPr>
        <w:t xml:space="preserve"> which further strengthened </w:t>
      </w:r>
      <w:r>
        <w:rPr>
          <w:rFonts w:eastAsia="Times New Roman" w:cs="Times New Roman"/>
          <w:noProof/>
          <w:color w:val="000000"/>
          <w:szCs w:val="24"/>
          <w:lang w:val="en-IE" w:eastAsia="en-GB"/>
        </w:rPr>
        <w:t xml:space="preserve">inspections of taxi and limo services. </w:t>
      </w:r>
      <w:r>
        <w:rPr>
          <w:rFonts w:eastAsia="Calibri" w:cs="Times New Roman"/>
          <w:noProof/>
          <w:color w:val="000000"/>
          <w:szCs w:val="24"/>
          <w:lang w:eastAsia="en-GB"/>
        </w:rPr>
        <w:t xml:space="preserve">The amendments to the Law on contracts on carriage in road transport are yet to be adopted. Montenegro is applying digital tachographs, but is not yet aligned with the EU </w:t>
      </w:r>
      <w:r>
        <w:rPr>
          <w:rFonts w:eastAsia="Calibri" w:cs="Times New Roman"/>
          <w:i/>
          <w:noProof/>
          <w:color w:val="000000"/>
          <w:szCs w:val="24"/>
          <w:lang w:eastAsia="en-GB"/>
        </w:rPr>
        <w:t>acquis</w:t>
      </w:r>
      <w:r>
        <w:rPr>
          <w:rFonts w:eastAsia="Calibri" w:cs="Times New Roman"/>
          <w:noProof/>
          <w:color w:val="000000"/>
          <w:szCs w:val="24"/>
          <w:lang w:eastAsia="en-GB"/>
        </w:rPr>
        <w:t xml:space="preserve"> on smart ta</w:t>
      </w:r>
      <w:r>
        <w:rPr>
          <w:rFonts w:eastAsia="Calibri" w:cs="Times New Roman"/>
          <w:noProof/>
          <w:color w:val="000000"/>
          <w:szCs w:val="24"/>
          <w:lang w:eastAsia="en-GB"/>
        </w:rPr>
        <w:t>chographs. The new law on roads is still to be adopted</w:t>
      </w:r>
      <w:r>
        <w:rPr>
          <w:rFonts w:eastAsia="Calibri" w:cs="Times New Roman"/>
          <w:bCs/>
          <w:noProof/>
          <w:color w:val="000000"/>
          <w:szCs w:val="24"/>
          <w:lang w:eastAsia="en-GB"/>
        </w:rPr>
        <w:t xml:space="preserve">, as are </w:t>
      </w:r>
      <w:r>
        <w:rPr>
          <w:rFonts w:eastAsia="Calibri" w:cs="Times New Roman"/>
          <w:noProof/>
          <w:color w:val="000000"/>
          <w:szCs w:val="24"/>
          <w:lang w:eastAsia="en-GB"/>
        </w:rPr>
        <w:t xml:space="preserve">the legislation on </w:t>
      </w:r>
      <w:r>
        <w:rPr>
          <w:rFonts w:eastAsia="Calibri" w:cs="Times New Roman"/>
          <w:bCs/>
          <w:noProof/>
          <w:color w:val="000000"/>
          <w:szCs w:val="24"/>
          <w:lang w:eastAsia="en-GB"/>
        </w:rPr>
        <w:t>intelligent transports system</w:t>
      </w:r>
      <w:r>
        <w:rPr>
          <w:rFonts w:eastAsia="Calibri" w:cs="Times New Roman"/>
          <w:noProof/>
          <w:color w:val="000000"/>
          <w:szCs w:val="24"/>
          <w:lang w:eastAsia="en-GB"/>
        </w:rPr>
        <w:t xml:space="preserve"> and the strategic framework, including the allocation of resources for implementation. The amendments to the Law on transport of dangerous goods</w:t>
      </w:r>
      <w:r>
        <w:rPr>
          <w:rFonts w:eastAsia="Calibri" w:cs="Times New Roman"/>
          <w:noProof/>
          <w:color w:val="000000"/>
          <w:szCs w:val="24"/>
          <w:lang w:eastAsia="en-GB"/>
        </w:rPr>
        <w:t xml:space="preserve"> have not been adopted yet and </w:t>
      </w:r>
      <w:bookmarkEnd w:id="159"/>
      <w:bookmarkEnd w:id="160"/>
      <w:r>
        <w:rPr>
          <w:rFonts w:eastAsia="Calibri" w:cs="Times New Roman"/>
          <w:noProof/>
          <w:color w:val="000000"/>
          <w:szCs w:val="24"/>
          <w:lang w:eastAsia="en-GB"/>
        </w:rPr>
        <w:t xml:space="preserve">the national body for the control of transport of dangerous goods has still not been set up. </w:t>
      </w:r>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161" w:name="_Toc30073843"/>
      <w:bookmarkStart w:id="162" w:name="_Toc30074156"/>
      <w:r>
        <w:rPr>
          <w:rFonts w:eastAsia="Calibri" w:cs="Times New Roman"/>
          <w:noProof/>
          <w:color w:val="000000"/>
          <w:szCs w:val="24"/>
          <w:lang w:eastAsia="en-GB"/>
        </w:rPr>
        <w:t xml:space="preserve">More efforts are needed to align the secondary legislation with the EU social </w:t>
      </w:r>
      <w:r>
        <w:rPr>
          <w:rFonts w:eastAsia="Calibri" w:cs="Times New Roman"/>
          <w:i/>
          <w:noProof/>
          <w:color w:val="000000"/>
          <w:szCs w:val="24"/>
          <w:lang w:eastAsia="en-GB"/>
        </w:rPr>
        <w:t xml:space="preserve">acquis </w:t>
      </w:r>
      <w:r>
        <w:rPr>
          <w:rFonts w:eastAsia="Calibri" w:cs="Times New Roman"/>
          <w:noProof/>
          <w:color w:val="000000"/>
          <w:szCs w:val="24"/>
          <w:lang w:eastAsia="en-GB"/>
        </w:rPr>
        <w:t>and to implement it</w:t>
      </w:r>
      <w:r>
        <w:rPr>
          <w:rFonts w:eastAsia="Calibri" w:cs="Times New Roman"/>
          <w:i/>
          <w:noProof/>
          <w:color w:val="000000"/>
          <w:szCs w:val="24"/>
          <w:lang w:eastAsia="en-GB"/>
        </w:rPr>
        <w:t xml:space="preserve">. </w:t>
      </w:r>
      <w:r>
        <w:rPr>
          <w:rFonts w:eastAsia="Calibri" w:cs="Times New Roman"/>
          <w:noProof/>
          <w:color w:val="000000"/>
          <w:szCs w:val="24"/>
          <w:lang w:eastAsia="en-GB"/>
        </w:rPr>
        <w:t>In November 2019, the Law</w:t>
      </w:r>
      <w:r>
        <w:rPr>
          <w:rFonts w:eastAsia="Calibri" w:cs="Times New Roman"/>
          <w:noProof/>
          <w:color w:val="000000"/>
          <w:szCs w:val="24"/>
          <w:lang w:eastAsia="en-GB"/>
        </w:rPr>
        <w:t xml:space="preserve"> on road traffic safety was adopted, providing further alignment with the road safety </w:t>
      </w:r>
      <w:r>
        <w:rPr>
          <w:rFonts w:eastAsia="Calibri" w:cs="Times New Roman"/>
          <w:i/>
          <w:noProof/>
          <w:color w:val="000000"/>
          <w:szCs w:val="24"/>
          <w:lang w:eastAsia="en-GB"/>
        </w:rPr>
        <w:t>acquis</w:t>
      </w:r>
      <w:r>
        <w:rPr>
          <w:rFonts w:eastAsia="Calibri" w:cs="Times New Roman"/>
          <w:noProof/>
          <w:color w:val="000000"/>
          <w:szCs w:val="24"/>
          <w:lang w:eastAsia="en-GB"/>
        </w:rPr>
        <w:t>, as well as improving road safety enforcement and introducing adjustments to penalty policies. In September 2019, the government adopted the biannual 2020-2022 pro</w:t>
      </w:r>
      <w:r>
        <w:rPr>
          <w:rFonts w:eastAsia="Calibri" w:cs="Times New Roman"/>
          <w:noProof/>
          <w:color w:val="000000"/>
          <w:szCs w:val="24"/>
          <w:lang w:eastAsia="en-GB"/>
        </w:rPr>
        <w:t xml:space="preserve">gramme for road safety improvement. The aim is to further reduce the number of road fatalities, which is still significantly above EU average. According to a recently completed road safety assessment carried out in line with </w:t>
      </w:r>
      <w:r>
        <w:rPr>
          <w:rFonts w:eastAsia="Calibri" w:cs="Times New Roman"/>
          <w:noProof/>
          <w:szCs w:val="24"/>
        </w:rPr>
        <w:t xml:space="preserve">Directive 2008/96/EC, </w:t>
      </w:r>
      <w:r>
        <w:rPr>
          <w:rFonts w:eastAsia="Calibri" w:cs="Times New Roman"/>
          <w:noProof/>
          <w:szCs w:val="24"/>
          <w:lang w:eastAsia="en-GB"/>
        </w:rPr>
        <w:t>5</w:t>
      </w:r>
      <w:r>
        <w:rPr>
          <w:rFonts w:eastAsia="Calibri" w:cs="Times New Roman"/>
          <w:noProof/>
          <w:color w:val="000000"/>
          <w:szCs w:val="24"/>
          <w:lang w:eastAsia="en-GB"/>
        </w:rPr>
        <w:t>5% of th</w:t>
      </w:r>
      <w:r>
        <w:rPr>
          <w:rFonts w:eastAsia="Calibri" w:cs="Times New Roman"/>
          <w:noProof/>
          <w:color w:val="000000"/>
          <w:szCs w:val="24"/>
          <w:lang w:eastAsia="en-GB"/>
        </w:rPr>
        <w:t xml:space="preserve">e roads investigated received the worst rating and feature as the least safe performing roads. </w:t>
      </w:r>
      <w:r>
        <w:rPr>
          <w:rFonts w:eastAsia="Calibri" w:cs="Times New Roman"/>
          <w:noProof/>
          <w:color w:val="000000"/>
          <w:szCs w:val="24"/>
        </w:rPr>
        <w:t>The ongoing 2019-2022 programme for the reconstruction of state roads has the potential to take important steps towards improving Montenegro’s road safety record</w:t>
      </w:r>
      <w:r>
        <w:rPr>
          <w:rFonts w:eastAsia="Calibri" w:cs="Times New Roman"/>
          <w:noProof/>
          <w:color w:val="000000"/>
          <w:szCs w:val="24"/>
        </w:rPr>
        <w:t>s.</w:t>
      </w:r>
      <w:bookmarkEnd w:id="161"/>
      <w:bookmarkEnd w:id="162"/>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bookmarkStart w:id="163" w:name="_Toc453311120"/>
      <w:bookmarkStart w:id="164" w:name="_Toc453311233"/>
      <w:bookmarkStart w:id="165" w:name="_Toc453311365"/>
      <w:bookmarkStart w:id="166" w:name="_Toc453319594"/>
      <w:bookmarkStart w:id="167" w:name="_Toc453330270"/>
      <w:bookmarkStart w:id="168" w:name="_Toc453330598"/>
      <w:bookmarkStart w:id="169" w:name="_Toc453330764"/>
      <w:bookmarkStart w:id="170" w:name="_Toc453335633"/>
      <w:bookmarkEnd w:id="150"/>
      <w:bookmarkEnd w:id="151"/>
      <w:bookmarkEnd w:id="152"/>
      <w:bookmarkEnd w:id="153"/>
      <w:bookmarkEnd w:id="154"/>
      <w:bookmarkEnd w:id="155"/>
      <w:bookmarkEnd w:id="156"/>
      <w:bookmarkEnd w:id="157"/>
      <w:bookmarkEnd w:id="158"/>
      <w:r>
        <w:rPr>
          <w:rFonts w:eastAsia="Calibri" w:cs="Times New Roman"/>
          <w:noProof/>
          <w:color w:val="000000"/>
          <w:szCs w:val="24"/>
          <w:lang w:eastAsia="en-GB"/>
        </w:rPr>
        <w:t xml:space="preserve">On </w:t>
      </w:r>
      <w:r>
        <w:rPr>
          <w:rFonts w:eastAsia="Calibri" w:cs="Times New Roman"/>
          <w:b/>
          <w:noProof/>
          <w:color w:val="000000"/>
          <w:szCs w:val="24"/>
          <w:lang w:eastAsia="en-GB"/>
        </w:rPr>
        <w:t>rail transport</w:t>
      </w:r>
      <w:r>
        <w:rPr>
          <w:rFonts w:eastAsia="Calibri" w:cs="Times New Roman"/>
          <w:noProof/>
          <w:color w:val="000000"/>
          <w:szCs w:val="24"/>
          <w:lang w:eastAsia="en-GB"/>
        </w:rPr>
        <w:t xml:space="preserve">, </w:t>
      </w:r>
      <w:bookmarkEnd w:id="163"/>
      <w:bookmarkEnd w:id="164"/>
      <w:bookmarkEnd w:id="165"/>
      <w:bookmarkEnd w:id="166"/>
      <w:bookmarkEnd w:id="167"/>
      <w:bookmarkEnd w:id="168"/>
      <w:bookmarkEnd w:id="169"/>
      <w:bookmarkEnd w:id="170"/>
      <w:r>
        <w:rPr>
          <w:rFonts w:eastAsia="Calibri" w:cs="Times New Roman"/>
          <w:noProof/>
          <w:color w:val="000000"/>
          <w:szCs w:val="24"/>
          <w:lang w:eastAsia="en-GB"/>
        </w:rPr>
        <w:t xml:space="preserve">a new railway law is yet to be adopted. In April 2019, the Railway Directorate was reorganised into the Railway Administration and now functions as an independent administrative authority. However, the practical safety and regulatory </w:t>
      </w:r>
      <w:r>
        <w:rPr>
          <w:rFonts w:eastAsia="Calibri" w:cs="Times New Roman"/>
          <w:noProof/>
          <w:color w:val="000000"/>
          <w:szCs w:val="24"/>
          <w:lang w:eastAsia="en-GB"/>
        </w:rPr>
        <w:t>tasks still need to be specifically set out in the new planned railway law. Further efforts are needed to improve its administrative capacity and to train its staff.</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Public transport and compliance with passengers’ rights remain a concern. Implementing leg</w:t>
      </w:r>
      <w:r>
        <w:rPr>
          <w:rFonts w:eastAsia="Calibri" w:cs="Times New Roman"/>
          <w:noProof/>
          <w:color w:val="000000"/>
          <w:szCs w:val="24"/>
          <w:lang w:eastAsia="en-GB"/>
        </w:rPr>
        <w:t xml:space="preserve">islation for the interoperability of rail systems in line with the EU </w:t>
      </w:r>
      <w:r>
        <w:rPr>
          <w:rFonts w:eastAsia="Calibri" w:cs="Times New Roman"/>
          <w:i/>
          <w:noProof/>
          <w:color w:val="000000"/>
          <w:szCs w:val="24"/>
          <w:lang w:eastAsia="en-GB"/>
        </w:rPr>
        <w:t>acquis</w:t>
      </w:r>
      <w:r>
        <w:rPr>
          <w:rFonts w:eastAsia="Calibri" w:cs="Times New Roman"/>
          <w:noProof/>
          <w:color w:val="000000"/>
          <w:szCs w:val="24"/>
          <w:lang w:eastAsia="en-GB"/>
        </w:rPr>
        <w:t xml:space="preserve"> was amended in November 2019, bringing in new technical specifications on safety in railway tunnels. The methodology for track access charges needs to be updated. Rail transport s</w:t>
      </w:r>
      <w:r>
        <w:rPr>
          <w:rFonts w:eastAsia="Calibri" w:cs="Times New Roman"/>
          <w:noProof/>
          <w:color w:val="000000"/>
          <w:szCs w:val="24"/>
          <w:lang w:eastAsia="en-GB"/>
        </w:rPr>
        <w:t>ervices for passenger and freight have been liberalised at domestic level, but further efforts are required to ensure the full opening of the rail market. Sustainable and rationalised railway infrastructure reconstruction and maintenance plans need to be d</w:t>
      </w:r>
      <w:r>
        <w:rPr>
          <w:rFonts w:eastAsia="Calibri" w:cs="Times New Roman"/>
          <w:noProof/>
          <w:color w:val="000000"/>
          <w:szCs w:val="24"/>
          <w:lang w:eastAsia="en-GB"/>
        </w:rPr>
        <w:t xml:space="preserve">eveloped. In November 2019, Montenegro signed the Declaration on European Railway Safety Culture, which aims to raise awareness and promote a positive safety culture throughout the industry. </w:t>
      </w:r>
    </w:p>
    <w:p w:rsidR="003C2144" w:rsidRDefault="00FB7959">
      <w:pPr>
        <w:autoSpaceDE w:val="0"/>
        <w:autoSpaceDN w:val="0"/>
        <w:adjustRightInd w:val="0"/>
        <w:spacing w:after="120" w:line="240" w:lineRule="auto"/>
        <w:jc w:val="both"/>
        <w:rPr>
          <w:rFonts w:eastAsia="Calibri" w:cs="Times New Roman"/>
          <w:noProof/>
          <w:color w:val="000000"/>
          <w:szCs w:val="24"/>
        </w:rPr>
      </w:pPr>
      <w:bookmarkStart w:id="171" w:name="_Toc453311121"/>
      <w:bookmarkStart w:id="172" w:name="_Toc453311234"/>
      <w:bookmarkStart w:id="173" w:name="_Toc453311366"/>
      <w:bookmarkStart w:id="174" w:name="_Toc453319595"/>
      <w:bookmarkStart w:id="175" w:name="_Toc453330271"/>
      <w:bookmarkStart w:id="176" w:name="_Toc453330599"/>
      <w:bookmarkStart w:id="177" w:name="_Toc453330765"/>
      <w:bookmarkStart w:id="178" w:name="_Toc453335634"/>
      <w:r>
        <w:rPr>
          <w:rFonts w:eastAsia="Calibri" w:cs="Times New Roman"/>
          <w:noProof/>
          <w:color w:val="000000"/>
          <w:szCs w:val="24"/>
          <w:lang w:eastAsia="en-GB"/>
        </w:rPr>
        <w:t xml:space="preserve">On </w:t>
      </w:r>
      <w:r>
        <w:rPr>
          <w:rFonts w:eastAsia="Calibri" w:cs="Times New Roman"/>
          <w:b/>
          <w:noProof/>
          <w:color w:val="000000"/>
          <w:szCs w:val="24"/>
          <w:lang w:eastAsia="en-GB"/>
        </w:rPr>
        <w:t>maritime transport</w:t>
      </w:r>
      <w:r>
        <w:rPr>
          <w:rFonts w:eastAsia="Calibri" w:cs="Times New Roman"/>
          <w:noProof/>
          <w:color w:val="000000"/>
          <w:szCs w:val="24"/>
          <w:lang w:eastAsia="en-GB"/>
        </w:rPr>
        <w:t xml:space="preserve">, </w:t>
      </w:r>
      <w:bookmarkEnd w:id="171"/>
      <w:bookmarkEnd w:id="172"/>
      <w:bookmarkEnd w:id="173"/>
      <w:bookmarkEnd w:id="174"/>
      <w:bookmarkEnd w:id="175"/>
      <w:bookmarkEnd w:id="176"/>
      <w:bookmarkEnd w:id="177"/>
      <w:bookmarkEnd w:id="178"/>
      <w:r>
        <w:rPr>
          <w:rFonts w:eastAsia="Calibri" w:cs="Times New Roman"/>
          <w:noProof/>
          <w:color w:val="000000"/>
          <w:szCs w:val="24"/>
          <w:lang w:eastAsia="en-GB"/>
        </w:rPr>
        <w:t>no further progress was made on achieving</w:t>
      </w:r>
      <w:r>
        <w:rPr>
          <w:rFonts w:eastAsia="Calibri" w:cs="Times New Roman"/>
          <w:noProof/>
          <w:color w:val="000000"/>
          <w:szCs w:val="24"/>
          <w:lang w:eastAsia="en-GB"/>
        </w:rPr>
        <w:t xml:space="preserve"> full member status of the Paris Memorandum of Understanding on Port State Control. The implementation of the National Maritime Single Window is also lagging behind</w:t>
      </w:r>
      <w:r>
        <w:rPr>
          <w:rFonts w:eastAsia="Calibri" w:cs="Times New Roman"/>
          <w:noProof/>
          <w:color w:val="000000"/>
          <w:szCs w:val="24"/>
        </w:rPr>
        <w:t xml:space="preserve">. The upgrading and extension of the current community vessel traffic monitoring and </w:t>
      </w:r>
      <w:r>
        <w:rPr>
          <w:rFonts w:eastAsia="Calibri" w:cs="Times New Roman"/>
          <w:noProof/>
          <w:color w:val="000000"/>
          <w:szCs w:val="24"/>
        </w:rPr>
        <w:t>information system is under preparation and is planned to be completed by the end of 2021.</w:t>
      </w:r>
      <w:bookmarkStart w:id="179" w:name="_Toc453311122"/>
      <w:bookmarkStart w:id="180" w:name="_Toc453311235"/>
      <w:bookmarkStart w:id="181" w:name="_Toc453311367"/>
      <w:bookmarkStart w:id="182" w:name="_Toc453319596"/>
      <w:bookmarkStart w:id="183" w:name="_Toc453330272"/>
      <w:bookmarkStart w:id="184" w:name="_Toc453330600"/>
      <w:bookmarkStart w:id="185" w:name="_Toc453330766"/>
      <w:bookmarkStart w:id="186" w:name="_Toc453335635"/>
      <w:r>
        <w:rPr>
          <w:rFonts w:eastAsia="Calibri" w:cs="Times New Roman"/>
          <w:noProof/>
          <w:color w:val="000000"/>
          <w:szCs w:val="24"/>
        </w:rPr>
        <w:t xml:space="preserve"> The adoption of the Law on the rights of passengers in maritime and inland navigation is still pending. Two laws on the ratification of international protocols on th</w:t>
      </w:r>
      <w:r>
        <w:rPr>
          <w:rFonts w:eastAsia="Calibri" w:cs="Times New Roman"/>
          <w:noProof/>
          <w:color w:val="000000"/>
          <w:szCs w:val="24"/>
        </w:rPr>
        <w:t>e safety of maritime transport were adopted in July 2019. Despite declining traffic, the government decided to procure a second concession for pilotage services in the port of Bar. Any new activity will need to aim at improving efficiency in ports and be c</w:t>
      </w:r>
      <w:r>
        <w:rPr>
          <w:rFonts w:eastAsia="Calibri" w:cs="Times New Roman"/>
          <w:noProof/>
          <w:color w:val="000000"/>
          <w:szCs w:val="24"/>
        </w:rPr>
        <w:t xml:space="preserve">onducted with due consideration of safety at sea and of the protection of the marine environment. </w:t>
      </w:r>
      <w:r>
        <w:rPr>
          <w:rFonts w:eastAsia="Calibri" w:cs="Times New Roman"/>
          <w:iCs/>
          <w:noProof/>
          <w:color w:val="000000"/>
          <w:szCs w:val="24"/>
        </w:rPr>
        <w:t xml:space="preserve">Montenegro is also recommended to align with the </w:t>
      </w:r>
      <w:r>
        <w:rPr>
          <w:rFonts w:eastAsia="Calibri" w:cs="Times New Roman"/>
          <w:i/>
          <w:iCs/>
          <w:noProof/>
          <w:color w:val="000000"/>
          <w:szCs w:val="24"/>
        </w:rPr>
        <w:t>acquis</w:t>
      </w:r>
      <w:r>
        <w:rPr>
          <w:rFonts w:eastAsia="Calibri" w:cs="Times New Roman"/>
          <w:iCs/>
          <w:noProof/>
          <w:color w:val="000000"/>
          <w:szCs w:val="24"/>
        </w:rPr>
        <w:t xml:space="preserve"> on ports and to adopt legislation based on the Port Services Regulation 2017/352.</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No progress was made</w:t>
      </w:r>
      <w:r>
        <w:rPr>
          <w:rFonts w:eastAsia="Calibri" w:cs="Times New Roman"/>
          <w:noProof/>
          <w:color w:val="000000"/>
          <w:szCs w:val="24"/>
          <w:lang w:eastAsia="en-GB"/>
        </w:rPr>
        <w:t xml:space="preserve"> on the alignment with relevant EU </w:t>
      </w:r>
      <w:r>
        <w:rPr>
          <w:rFonts w:eastAsia="Calibri" w:cs="Times New Roman"/>
          <w:i/>
          <w:noProof/>
          <w:color w:val="000000"/>
          <w:szCs w:val="24"/>
          <w:lang w:eastAsia="en-GB"/>
        </w:rPr>
        <w:t>acquis</w:t>
      </w:r>
      <w:r>
        <w:rPr>
          <w:rFonts w:eastAsia="Calibri" w:cs="Times New Roman"/>
          <w:b/>
          <w:noProof/>
          <w:color w:val="000000"/>
          <w:szCs w:val="24"/>
          <w:lang w:eastAsia="en-GB"/>
        </w:rPr>
        <w:t xml:space="preserve"> </w:t>
      </w:r>
      <w:r>
        <w:rPr>
          <w:rFonts w:eastAsia="Calibri" w:cs="Times New Roman"/>
          <w:noProof/>
          <w:color w:val="000000"/>
          <w:szCs w:val="24"/>
          <w:lang w:eastAsia="en-GB"/>
        </w:rPr>
        <w:t xml:space="preserve">on </w:t>
      </w:r>
      <w:r>
        <w:rPr>
          <w:rFonts w:eastAsia="Calibri" w:cs="Times New Roman"/>
          <w:b/>
          <w:noProof/>
          <w:color w:val="000000"/>
          <w:szCs w:val="24"/>
          <w:lang w:eastAsia="en-GB"/>
        </w:rPr>
        <w:t>inland waterway transport</w:t>
      </w:r>
      <w:r>
        <w:rPr>
          <w:rFonts w:eastAsia="Calibri" w:cs="Times New Roman"/>
          <w:noProof/>
          <w:color w:val="000000"/>
          <w:szCs w:val="24"/>
          <w:lang w:eastAsia="en-GB"/>
        </w:rPr>
        <w:t xml:space="preserve">. </w:t>
      </w:r>
      <w:bookmarkEnd w:id="179"/>
      <w:bookmarkEnd w:id="180"/>
      <w:bookmarkEnd w:id="181"/>
      <w:bookmarkEnd w:id="182"/>
      <w:bookmarkEnd w:id="183"/>
      <w:bookmarkEnd w:id="184"/>
      <w:bookmarkEnd w:id="185"/>
      <w:bookmarkEnd w:id="186"/>
      <w:r>
        <w:rPr>
          <w:rFonts w:eastAsia="Calibri" w:cs="Times New Roman"/>
          <w:noProof/>
          <w:color w:val="000000"/>
          <w:szCs w:val="24"/>
        </w:rPr>
        <w:t xml:space="preserve">Montenegro has not yet adopted the law on merchant shipping. </w:t>
      </w:r>
      <w:r>
        <w:rPr>
          <w:rFonts w:eastAsia="Calibri" w:cs="Times New Roman"/>
          <w:noProof/>
          <w:color w:val="000000"/>
          <w:szCs w:val="24"/>
          <w:lang w:eastAsia="en-GB"/>
        </w:rPr>
        <w:t xml:space="preserve">It takes part in the EU Strategy for the Danube Region and since July 2018 has had a bilateral agreement with neighbouring </w:t>
      </w:r>
      <w:r>
        <w:rPr>
          <w:rFonts w:eastAsia="Calibri" w:cs="Times New Roman"/>
          <w:noProof/>
          <w:color w:val="000000"/>
          <w:szCs w:val="24"/>
          <w:lang w:eastAsia="en-GB"/>
        </w:rPr>
        <w:t>Albania on the Ckla-Zogaj joint lake border crossing.</w:t>
      </w:r>
      <w:bookmarkStart w:id="187" w:name="_Toc453311123"/>
      <w:bookmarkStart w:id="188" w:name="_Toc453311236"/>
      <w:bookmarkStart w:id="189" w:name="_Toc453311368"/>
      <w:bookmarkStart w:id="190" w:name="_Toc453319597"/>
      <w:bookmarkStart w:id="191" w:name="_Toc453330273"/>
      <w:bookmarkStart w:id="192" w:name="_Toc453330601"/>
      <w:bookmarkStart w:id="193" w:name="_Toc453330767"/>
      <w:bookmarkStart w:id="194" w:name="_Toc453335636"/>
      <w:r>
        <w:rPr>
          <w:rFonts w:eastAsia="Calibri" w:cs="Times New Roman"/>
          <w:noProof/>
          <w:color w:val="000000"/>
          <w:szCs w:val="24"/>
          <w:lang w:eastAsia="en-GB"/>
        </w:rPr>
        <w:t xml:space="preserve"> Further efforts are needed to modernise and extend infrastructure in inland waterway transport and to ensure the proper level of navigability and safe navigation.</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aviation</w:t>
      </w:r>
      <w:r>
        <w:rPr>
          <w:rFonts w:eastAsia="Calibri" w:cs="Times New Roman"/>
          <w:noProof/>
          <w:color w:val="000000"/>
          <w:szCs w:val="24"/>
          <w:lang w:eastAsia="en-GB"/>
        </w:rPr>
        <w:t>, amendments to the Law on a</w:t>
      </w:r>
      <w:r>
        <w:rPr>
          <w:rFonts w:eastAsia="Calibri" w:cs="Times New Roman"/>
          <w:noProof/>
          <w:color w:val="000000"/>
          <w:szCs w:val="24"/>
          <w:lang w:eastAsia="en-GB"/>
        </w:rPr>
        <w:t xml:space="preserve">ir transport , which should provide further alignment with the EU </w:t>
      </w:r>
      <w:r>
        <w:rPr>
          <w:rFonts w:eastAsia="Calibri" w:cs="Times New Roman"/>
          <w:i/>
          <w:noProof/>
          <w:color w:val="000000"/>
          <w:szCs w:val="24"/>
          <w:lang w:eastAsia="en-GB"/>
        </w:rPr>
        <w:t>acquis</w:t>
      </w:r>
      <w:r>
        <w:rPr>
          <w:rFonts w:eastAsia="Calibri" w:cs="Times New Roman"/>
          <w:noProof/>
          <w:color w:val="000000"/>
          <w:szCs w:val="24"/>
          <w:lang w:eastAsia="en-GB"/>
        </w:rPr>
        <w:t xml:space="preserve"> on common rules for the operation of air services, are yet to be adopted. The new amendments will be instrumental in the successful completion of the first transitional phase of the E</w:t>
      </w:r>
      <w:r>
        <w:rPr>
          <w:rFonts w:eastAsia="Calibri" w:cs="Times New Roman"/>
          <w:noProof/>
          <w:color w:val="000000"/>
          <w:szCs w:val="24"/>
          <w:lang w:eastAsia="en-GB"/>
        </w:rPr>
        <w:t>uropean Common Aviation Area and the Single European Sky. However, there are still outstanding issues to be addressed on economic regulation</w:t>
      </w:r>
      <w:bookmarkStart w:id="195" w:name="_Toc453311124"/>
      <w:bookmarkStart w:id="196" w:name="_Toc453311237"/>
      <w:bookmarkStart w:id="197" w:name="_Toc453311369"/>
      <w:bookmarkStart w:id="198" w:name="_Toc453319598"/>
      <w:bookmarkStart w:id="199" w:name="_Toc453330274"/>
      <w:bookmarkStart w:id="200" w:name="_Toc453330602"/>
      <w:bookmarkStart w:id="201" w:name="_Toc453330768"/>
      <w:bookmarkStart w:id="202" w:name="_Toc453335637"/>
      <w:bookmarkEnd w:id="187"/>
      <w:bookmarkEnd w:id="188"/>
      <w:bookmarkEnd w:id="189"/>
      <w:bookmarkEnd w:id="190"/>
      <w:bookmarkEnd w:id="191"/>
      <w:bookmarkEnd w:id="192"/>
      <w:bookmarkEnd w:id="193"/>
      <w:bookmarkEnd w:id="194"/>
      <w:r>
        <w:rPr>
          <w:rFonts w:eastAsia="Calibri" w:cs="Times New Roman"/>
          <w:noProof/>
          <w:color w:val="000000"/>
          <w:szCs w:val="24"/>
          <w:lang w:eastAsia="en-GB"/>
        </w:rPr>
        <w:t>. The tender procedure for the 30-year concessions of Tivat and Podgorica airports, launched in October 2019, is sti</w:t>
      </w:r>
      <w:r>
        <w:rPr>
          <w:rFonts w:eastAsia="Calibri" w:cs="Times New Roman"/>
          <w:noProof/>
          <w:color w:val="000000"/>
          <w:szCs w:val="24"/>
          <w:lang w:eastAsia="en-GB"/>
        </w:rPr>
        <w:t xml:space="preserve">ll on-going. The procedure will need to be in full compliance with State aid rules. The law granting EUR 155 000 000 of state funding to Montenegro Airlines was adopted </w:t>
      </w:r>
      <w:r>
        <w:rPr>
          <w:rFonts w:eastAsia="Calibri" w:cs="Times New Roman"/>
          <w:noProof/>
          <w:szCs w:val="24"/>
          <w:lang w:eastAsia="en-GB"/>
        </w:rPr>
        <w:t>without a prior decision from the State aid authority, even though this is provided for</w:t>
      </w:r>
      <w:r>
        <w:rPr>
          <w:rFonts w:eastAsia="Calibri" w:cs="Times New Roman"/>
          <w:noProof/>
          <w:szCs w:val="24"/>
          <w:lang w:eastAsia="en-GB"/>
        </w:rPr>
        <w:t xml:space="preserve"> under national legislation and the Stabilisation and Association Agreement. Montenegro has not yet made payments on the basis of this law. T</w:t>
      </w:r>
      <w:r>
        <w:rPr>
          <w:rFonts w:eastAsia="Calibri" w:cs="Times New Roman"/>
          <w:noProof/>
          <w:szCs w:val="24"/>
          <w:lang w:val="en-IE" w:eastAsia="en-GB"/>
        </w:rPr>
        <w:t>he government, as the initiator of the aid, now needs to provide the State aid authority with the necessary informa</w:t>
      </w:r>
      <w:r>
        <w:rPr>
          <w:rFonts w:eastAsia="Calibri" w:cs="Times New Roman"/>
          <w:noProof/>
          <w:szCs w:val="24"/>
          <w:lang w:val="en-IE" w:eastAsia="en-GB"/>
        </w:rPr>
        <w:t xml:space="preserve">tion and time to take a qualified decision </w:t>
      </w:r>
      <w:r>
        <w:rPr>
          <w:rFonts w:eastAsia="Calibri" w:cs="Times New Roman"/>
          <w:noProof/>
          <w:szCs w:val="24"/>
          <w:lang w:eastAsia="en-GB"/>
        </w:rPr>
        <w:t>and thus to demonstrate its functioning and independence.</w:t>
      </w:r>
      <w:r>
        <w:rPr>
          <w:rFonts w:eastAsia="Calibri" w:cs="Times New Roman"/>
          <w:noProof/>
          <w:szCs w:val="24"/>
        </w:rPr>
        <w:t xml:space="preserve"> </w:t>
      </w:r>
      <w:r>
        <w:rPr>
          <w:rFonts w:eastAsia="Calibri" w:cs="Times New Roman"/>
          <w:noProof/>
          <w:color w:val="000000"/>
          <w:szCs w:val="24"/>
        </w:rPr>
        <w:t>The adoption of several rulebooks provided further alignment on air safety and air traffic operations.</w:t>
      </w:r>
    </w:p>
    <w:p w:rsidR="003C2144" w:rsidRDefault="00FB7959">
      <w:pPr>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As regards </w:t>
      </w:r>
      <w:r>
        <w:rPr>
          <w:rFonts w:eastAsia="Calibri" w:cs="Times New Roman"/>
          <w:b/>
          <w:noProof/>
          <w:color w:val="000000"/>
          <w:szCs w:val="24"/>
          <w:lang w:eastAsia="en-GB"/>
        </w:rPr>
        <w:t>combined transport</w:t>
      </w:r>
      <w:r>
        <w:rPr>
          <w:rFonts w:eastAsia="Calibri" w:cs="Times New Roman"/>
          <w:noProof/>
          <w:color w:val="000000"/>
          <w:szCs w:val="24"/>
          <w:lang w:eastAsia="en-GB"/>
        </w:rPr>
        <w:t xml:space="preserve">, </w:t>
      </w:r>
      <w:bookmarkEnd w:id="195"/>
      <w:bookmarkEnd w:id="196"/>
      <w:bookmarkEnd w:id="197"/>
      <w:bookmarkEnd w:id="198"/>
      <w:bookmarkEnd w:id="199"/>
      <w:bookmarkEnd w:id="200"/>
      <w:bookmarkEnd w:id="201"/>
      <w:bookmarkEnd w:id="202"/>
      <w:r>
        <w:rPr>
          <w:rFonts w:eastAsia="Calibri" w:cs="Times New Roman"/>
          <w:noProof/>
          <w:color w:val="000000"/>
          <w:szCs w:val="24"/>
          <w:lang w:eastAsia="en-GB"/>
        </w:rPr>
        <w:t>the new transport str</w:t>
      </w:r>
      <w:r>
        <w:rPr>
          <w:rFonts w:eastAsia="Calibri" w:cs="Times New Roman"/>
          <w:noProof/>
          <w:color w:val="000000"/>
          <w:szCs w:val="24"/>
          <w:lang w:eastAsia="en-GB"/>
        </w:rPr>
        <w:t>ategy prioritises investment in the main intermodal terminals. The legislation on combined freight transport from 2014 remains the main legal framework, but significant efforts are still needed on implementation and enforcement, in particular on incentives</w:t>
      </w:r>
      <w:r>
        <w:rPr>
          <w:rFonts w:eastAsia="Calibri" w:cs="Times New Roman"/>
          <w:noProof/>
          <w:color w:val="000000"/>
          <w:szCs w:val="24"/>
          <w:lang w:eastAsia="en-GB"/>
        </w:rPr>
        <w:t xml:space="preserve"> to road users and the establishment of intermodal terminals.</w:t>
      </w:r>
    </w:p>
    <w:p w:rsidR="003C2144" w:rsidRDefault="00FB7959">
      <w:pPr>
        <w:pStyle w:val="Heading2"/>
        <w:rPr>
          <w:rFonts w:eastAsia="Times New Roman"/>
          <w:noProof/>
        </w:rPr>
      </w:pPr>
      <w:bookmarkStart w:id="203" w:name="_Toc30073844"/>
      <w:bookmarkStart w:id="204" w:name="_Toc30074157"/>
      <w:bookmarkStart w:id="205" w:name="_Toc30080579"/>
      <w:bookmarkStart w:id="206" w:name="_Toc52744948"/>
      <w:r>
        <w:rPr>
          <w:rFonts w:eastAsia="Times New Roman"/>
          <w:noProof/>
        </w:rPr>
        <w:t>5.15</w:t>
      </w:r>
      <w:r>
        <w:rPr>
          <w:rFonts w:eastAsia="Times New Roman"/>
          <w:noProof/>
        </w:rPr>
        <w:tab/>
        <w:t>Chapter 15: Energy</w:t>
      </w:r>
      <w:bookmarkEnd w:id="203"/>
      <w:bookmarkEnd w:id="204"/>
      <w:bookmarkEnd w:id="205"/>
      <w:bookmarkEnd w:id="206"/>
      <w:r>
        <w:rPr>
          <w:rFonts w:eastAsia="Times New Roman"/>
          <w:noProof/>
        </w:rPr>
        <w:t xml:space="preserve"> </w:t>
      </w:r>
    </w:p>
    <w:p w:rsidR="003C2144" w:rsidRDefault="00FB7959">
      <w:pPr>
        <w:widowControl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EU energy policy covers energy supply, infrastructure, the internal energy market, consumers, renewable energy, energy efficiency, nuclear energy and nuclear safety and radiation protection. </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3C2144">
        <w:trPr>
          <w:trHeight w:val="1002"/>
        </w:trPr>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has reached a </w:t>
            </w:r>
            <w:r>
              <w:rPr>
                <w:rFonts w:eastAsia="Calibri" w:cs="Times New Roman"/>
                <w:b/>
                <w:noProof/>
                <w:color w:val="000000"/>
                <w:szCs w:val="24"/>
              </w:rPr>
              <w:t>good level of preparation</w:t>
            </w:r>
            <w:r>
              <w:rPr>
                <w:rFonts w:eastAsia="Calibri" w:cs="Times New Roman"/>
                <w:noProof/>
                <w:color w:val="000000"/>
                <w:szCs w:val="24"/>
              </w:rPr>
              <w:t xml:space="preserve"> in this area.</w:t>
            </w:r>
            <w:r>
              <w:rPr>
                <w:rFonts w:eastAsia="Calibri" w:cs="Times New Roman"/>
                <w:noProof/>
                <w:color w:val="000000"/>
                <w:szCs w:val="24"/>
              </w:rPr>
              <w:t xml:space="preserve"> </w:t>
            </w:r>
            <w:r>
              <w:rPr>
                <w:rFonts w:eastAsia="Calibri" w:cs="Times New Roman"/>
                <w:b/>
                <w:noProof/>
                <w:color w:val="000000"/>
                <w:szCs w:val="24"/>
              </w:rPr>
              <w:t>Some progress</w:t>
            </w:r>
            <w:r>
              <w:rPr>
                <w:rFonts w:eastAsia="Calibri" w:cs="Times New Roman"/>
                <w:noProof/>
                <w:color w:val="000000"/>
                <w:szCs w:val="24"/>
              </w:rPr>
              <w:t xml:space="preserve"> was made in the reporting period, namely on security of supply, with steps undertaken for modernisation of existing production capacities, on the creation of the day-ahead market as well as on moving renewable electricity production to marke</w:t>
            </w:r>
            <w:r>
              <w:rPr>
                <w:rFonts w:eastAsia="Calibri" w:cs="Times New Roman"/>
                <w:noProof/>
                <w:color w:val="000000"/>
                <w:szCs w:val="24"/>
              </w:rPr>
              <w:t xml:space="preserve">t-based support schemes. </w:t>
            </w:r>
            <w:r>
              <w:rPr>
                <w:rFonts w:eastAsia="Calibri" w:cs="Times New Roman"/>
                <w:noProof/>
                <w:color w:val="000000"/>
                <w:szCs w:val="24"/>
                <w:lang w:eastAsia="en-GB"/>
              </w:rPr>
              <w:t>However, t</w:t>
            </w:r>
            <w:r>
              <w:rPr>
                <w:rFonts w:eastAsia="Calibri" w:cs="Times New Roman"/>
                <w:noProof/>
                <w:color w:val="000000"/>
                <w:szCs w:val="24"/>
              </w:rPr>
              <w:t xml:space="preserve">he 2019 recommendations remain valid. In the coming year Montenegro should, in particular: </w:t>
            </w:r>
          </w:p>
          <w:p w:rsidR="003C2144" w:rsidRDefault="00FB7959">
            <w:pPr>
              <w:pStyle w:val="ListParagraph"/>
              <w:numPr>
                <w:ilvl w:val="0"/>
                <w:numId w:val="31"/>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create or join a functioning day-ahead market and couple with neighbouring markets, including Italy; </w:t>
            </w:r>
          </w:p>
          <w:p w:rsidR="003C2144" w:rsidRDefault="00FB7959">
            <w:pPr>
              <w:pStyle w:val="ListParagraph"/>
              <w:numPr>
                <w:ilvl w:val="0"/>
                <w:numId w:val="31"/>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move to market-based support schemes for renewable energy production and streamline the permitting and connection procedures; </w:t>
            </w:r>
          </w:p>
          <w:p w:rsidR="003C2144" w:rsidRDefault="00FB7959">
            <w:pPr>
              <w:pStyle w:val="ListParagraph"/>
              <w:numPr>
                <w:ilvl w:val="0"/>
                <w:numId w:val="31"/>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adopt the law on security of supply of oil products and set up the stockholding body for the mandatory oil stocks.</w:t>
            </w:r>
          </w:p>
        </w:tc>
      </w:tr>
    </w:tbl>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security o</w:t>
      </w:r>
      <w:r>
        <w:rPr>
          <w:rFonts w:eastAsia="Calibri" w:cs="Times New Roman"/>
          <w:b/>
          <w:noProof/>
          <w:color w:val="000000"/>
          <w:szCs w:val="24"/>
        </w:rPr>
        <w:t>f supply</w:t>
      </w:r>
      <w:r>
        <w:rPr>
          <w:rFonts w:eastAsia="Calibri" w:cs="Times New Roman"/>
          <w:noProof/>
          <w:color w:val="000000"/>
          <w:szCs w:val="24"/>
        </w:rPr>
        <w:t xml:space="preserve">, </w:t>
      </w:r>
      <w:r>
        <w:rPr>
          <w:rFonts w:eastAsia="Calibri" w:cs="Times New Roman"/>
          <w:noProof/>
          <w:szCs w:val="24"/>
        </w:rPr>
        <w:t xml:space="preserve">Montenegro has an energy development strategy up to 2030, with a 2016-2020 action plan and a long-term energy balance for </w:t>
      </w:r>
      <w:r>
        <w:rPr>
          <w:rFonts w:eastAsia="Calibri" w:cs="Times New Roman"/>
          <w:noProof/>
          <w:color w:val="000000"/>
          <w:szCs w:val="24"/>
        </w:rPr>
        <w:t>2020-2022 adopted in July 2019. In December 2019, the government also adopted the energy balance for 2020. The revision of t</w:t>
      </w:r>
      <w:r>
        <w:rPr>
          <w:rFonts w:eastAsia="Calibri" w:cs="Times New Roman"/>
          <w:noProof/>
          <w:color w:val="000000"/>
          <w:szCs w:val="24"/>
        </w:rPr>
        <w:t xml:space="preserve">he 2015 action plan on compulsory strategic reserves of </w:t>
      </w:r>
      <w:r>
        <w:rPr>
          <w:rFonts w:eastAsia="Calibri" w:cs="Times New Roman"/>
          <w:b/>
          <w:noProof/>
          <w:color w:val="000000"/>
          <w:szCs w:val="24"/>
        </w:rPr>
        <w:t>oil and petroleum products</w:t>
      </w:r>
      <w:r>
        <w:rPr>
          <w:rFonts w:eastAsia="Calibri" w:cs="Times New Roman"/>
          <w:noProof/>
          <w:color w:val="000000"/>
          <w:szCs w:val="24"/>
        </w:rPr>
        <w:t xml:space="preserve"> is still pending, nonetheless </w:t>
      </w:r>
      <w:r>
        <w:rPr>
          <w:rFonts w:eastAsia="Calibri" w:cs="Times New Roman"/>
          <w:noProof/>
          <w:szCs w:val="24"/>
        </w:rPr>
        <w:t>Montenegro should commence the monthly reporting of oil data</w:t>
      </w:r>
      <w:r>
        <w:rPr>
          <w:rFonts w:eastAsia="Calibri" w:cs="Times New Roman"/>
          <w:noProof/>
          <w:color w:val="000000"/>
          <w:szCs w:val="24"/>
        </w:rPr>
        <w:t>. The law on security of supply of oil products and the relevant implementing legis</w:t>
      </w:r>
      <w:r>
        <w:rPr>
          <w:rFonts w:eastAsia="Calibri" w:cs="Times New Roman"/>
          <w:noProof/>
          <w:color w:val="000000"/>
          <w:szCs w:val="24"/>
        </w:rPr>
        <w:t xml:space="preserve">lation remains pending, and the central body for strategic oil reserves still needs to be set up. The current level of oil stocks remains close to zero.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An </w:t>
      </w:r>
      <w:r>
        <w:rPr>
          <w:rFonts w:eastAsia="Calibri" w:cs="Times New Roman"/>
          <w:b/>
          <w:noProof/>
          <w:color w:val="000000"/>
          <w:szCs w:val="24"/>
        </w:rPr>
        <w:t>electricity</w:t>
      </w:r>
      <w:r>
        <w:rPr>
          <w:rFonts w:eastAsia="Calibri" w:cs="Times New Roman"/>
          <w:noProof/>
          <w:color w:val="000000"/>
          <w:szCs w:val="24"/>
        </w:rPr>
        <w:t xml:space="preserve"> interconnection with Italy was put into operation in November 2019, while others with S</w:t>
      </w:r>
      <w:r>
        <w:rPr>
          <w:rFonts w:eastAsia="Calibri" w:cs="Times New Roman"/>
          <w:noProof/>
          <w:color w:val="000000"/>
          <w:szCs w:val="24"/>
        </w:rPr>
        <w:t xml:space="preserve">erbia and Bosnia and Herzegovina are planned.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Elektroprivreda Crne Gore </w:t>
      </w:r>
      <w:r>
        <w:rPr>
          <w:rFonts w:eastAsia="Calibri" w:cs="Times New Roman"/>
          <w:noProof/>
          <w:color w:val="5D5D5D"/>
          <w:szCs w:val="24"/>
        </w:rPr>
        <w:t>(</w:t>
      </w:r>
      <w:r>
        <w:rPr>
          <w:rFonts w:eastAsia="Calibri" w:cs="Times New Roman"/>
          <w:noProof/>
          <w:color w:val="000000"/>
          <w:szCs w:val="24"/>
        </w:rPr>
        <w:t>EPCG), national energy producer, and Kreditanstalt für Wiederaufbau (KfW) signed in September 2019 a loan agreement for the reconstruction and modernisation of the Perućica hydropower plant. The development of new projects, particularly on hydropower, shou</w:t>
      </w:r>
      <w:r>
        <w:rPr>
          <w:rFonts w:eastAsia="Calibri" w:cs="Times New Roman"/>
          <w:noProof/>
          <w:color w:val="000000"/>
          <w:szCs w:val="24"/>
        </w:rPr>
        <w:t xml:space="preserve">ld be carried out in conformity with the EU </w:t>
      </w:r>
      <w:r>
        <w:rPr>
          <w:rFonts w:eastAsia="Calibri" w:cs="Times New Roman"/>
          <w:i/>
          <w:noProof/>
          <w:color w:val="000000"/>
          <w:szCs w:val="24"/>
        </w:rPr>
        <w:t>acquis</w:t>
      </w:r>
      <w:r>
        <w:rPr>
          <w:rFonts w:eastAsia="Calibri" w:cs="Times New Roman"/>
          <w:noProof/>
          <w:color w:val="000000"/>
          <w:szCs w:val="24"/>
        </w:rPr>
        <w:t xml:space="preserve"> on concessions, State aid and the environment. The tender for the ecological reconstruction of the Plevlja thermal power plant was awarded to a Chinese-Montenegrin consortium for about EUR 54 000 000 in No</w:t>
      </w:r>
      <w:r>
        <w:rPr>
          <w:rFonts w:eastAsia="Calibri" w:cs="Times New Roman"/>
          <w:noProof/>
          <w:color w:val="000000"/>
          <w:szCs w:val="24"/>
        </w:rPr>
        <w:t>vember 2019 and the contract was signed in June 2020.</w:t>
      </w:r>
      <w:r>
        <w:rPr>
          <w:rFonts w:eastAsia="Calibri" w:cs="Times New Roman"/>
          <w:noProof/>
          <w:szCs w:val="24"/>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April 2019, the BELEN power exchange established a strategic partnership with NordPool; however the relevant agreements are yet to be signed. The launch of a day-ahead market is expected in the seco</w:t>
      </w:r>
      <w:r>
        <w:rPr>
          <w:rFonts w:eastAsia="Calibri" w:cs="Times New Roman"/>
          <w:noProof/>
          <w:color w:val="000000"/>
          <w:szCs w:val="24"/>
        </w:rPr>
        <w:t>nd half of 2020. The operation of a power exchange and market coupling requires changes to the Montenegrin VAT law.</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As part of balancing netting, CGES, the country’s national transmission system operator, became an observer in the International Grid Contro</w:t>
      </w:r>
      <w:r>
        <w:rPr>
          <w:rFonts w:eastAsia="Calibri" w:cs="Times New Roman"/>
          <w:noProof/>
          <w:color w:val="000000"/>
          <w:szCs w:val="24"/>
        </w:rPr>
        <w:t xml:space="preserve">l Cooperation and applied for membership of the European Tertiary balancing energy cooperation during the reporting period. </w:t>
      </w:r>
      <w:r>
        <w:rPr>
          <w:rFonts w:eastAsia="Calibri" w:cs="Times New Roman"/>
          <w:bCs/>
          <w:noProof/>
          <w:color w:val="000000"/>
          <w:szCs w:val="24"/>
        </w:rPr>
        <w:t>Montenegro has been a member of the European Network of Transmission System Operators in Electricity since the network’s inception.</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Further alignment was achieved with the EU </w:t>
      </w:r>
      <w:r>
        <w:rPr>
          <w:rFonts w:eastAsia="Calibri" w:cs="Times New Roman"/>
          <w:i/>
          <w:noProof/>
          <w:color w:val="000000"/>
          <w:szCs w:val="24"/>
        </w:rPr>
        <w:t>acquis</w:t>
      </w:r>
      <w:r>
        <w:rPr>
          <w:rFonts w:eastAsia="Calibri" w:cs="Times New Roman"/>
          <w:noProof/>
          <w:color w:val="000000"/>
          <w:szCs w:val="24"/>
        </w:rPr>
        <w:t xml:space="preserve"> concerning the </w:t>
      </w:r>
      <w:r>
        <w:rPr>
          <w:rFonts w:eastAsia="Calibri" w:cs="Times New Roman"/>
          <w:b/>
          <w:bCs/>
          <w:noProof/>
          <w:color w:val="000000"/>
          <w:szCs w:val="24"/>
        </w:rPr>
        <w:t>internal energy market</w:t>
      </w:r>
      <w:r>
        <w:rPr>
          <w:rFonts w:eastAsia="Calibri" w:cs="Times New Roman"/>
          <w:noProof/>
          <w:color w:val="000000"/>
          <w:szCs w:val="24"/>
        </w:rPr>
        <w:t>, Regulations were adopted on conditions for connecting consumer facilities to the energy transmission system, and for the connection of electricity producers to the tra</w:t>
      </w:r>
      <w:r>
        <w:rPr>
          <w:rFonts w:eastAsia="Calibri" w:cs="Times New Roman"/>
          <w:noProof/>
          <w:color w:val="000000"/>
          <w:szCs w:val="24"/>
        </w:rPr>
        <w:t xml:space="preserve">nsmission and distribution networks, as well as and on the grid connection of high voltage direct current systems and current-connected power par modules. </w:t>
      </w:r>
      <w:r>
        <w:rPr>
          <w:rFonts w:eastAsia="Calibri" w:cs="Times New Roman"/>
          <w:noProof/>
          <w:szCs w:val="24"/>
        </w:rPr>
        <w:t>Montenegro should implement the Regulation on Wholesale Energy Market Integrity and Transparency as s</w:t>
      </w:r>
      <w:r>
        <w:rPr>
          <w:rFonts w:eastAsia="Calibri" w:cs="Times New Roman"/>
          <w:noProof/>
          <w:szCs w:val="24"/>
        </w:rPr>
        <w:t>oon as possible.</w:t>
      </w:r>
    </w:p>
    <w:p w:rsidR="003C2144" w:rsidRDefault="00FB7959">
      <w:pPr>
        <w:spacing w:after="120" w:line="240" w:lineRule="auto"/>
        <w:jc w:val="both"/>
        <w:rPr>
          <w:rFonts w:eastAsia="Calibri" w:cs="Times New Roman"/>
          <w:noProof/>
          <w:szCs w:val="24"/>
        </w:rPr>
      </w:pPr>
      <w:r>
        <w:rPr>
          <w:rFonts w:eastAsia="Calibri" w:cs="Times New Roman"/>
          <w:noProof/>
          <w:szCs w:val="24"/>
        </w:rPr>
        <w:t>In June 2019, the government selected EPCG as the supplier of last resort and for the vulnerable groups; the contract was signed in November 2019.</w:t>
      </w:r>
    </w:p>
    <w:p w:rsidR="003C2144" w:rsidRDefault="00FB7959">
      <w:pPr>
        <w:autoSpaceDE w:val="0"/>
        <w:autoSpaceDN w:val="0"/>
        <w:adjustRightInd w:val="0"/>
        <w:spacing w:after="120" w:line="240" w:lineRule="auto"/>
        <w:jc w:val="both"/>
        <w:rPr>
          <w:rFonts w:eastAsia="Calibri" w:cs="Times New Roman"/>
          <w:noProof/>
          <w:color w:val="1F497D"/>
          <w:szCs w:val="24"/>
          <w:lang w:val="en"/>
        </w:rPr>
      </w:pPr>
      <w:r>
        <w:rPr>
          <w:rFonts w:eastAsia="Calibri" w:cs="Times New Roman"/>
          <w:noProof/>
          <w:color w:val="000000"/>
          <w:szCs w:val="24"/>
          <w:lang w:val="en"/>
        </w:rPr>
        <w:t>The Energy Regulatory Agency (ERA) is an operationally and financially independent authority</w:t>
      </w:r>
      <w:r>
        <w:rPr>
          <w:rFonts w:eastAsia="Calibri" w:cs="Times New Roman"/>
          <w:noProof/>
          <w:color w:val="000000"/>
          <w:szCs w:val="24"/>
          <w:lang w:val="en"/>
        </w:rPr>
        <w:t xml:space="preserve">. It regulates prices </w:t>
      </w:r>
      <w:r>
        <w:rPr>
          <w:rFonts w:eastAsia="Calibri" w:cs="Times New Roman"/>
          <w:noProof/>
          <w:szCs w:val="24"/>
          <w:lang w:val="en"/>
        </w:rPr>
        <w:t>for electricity supplied to small customer and households, which are entitled to universal service b</w:t>
      </w:r>
      <w:r>
        <w:rPr>
          <w:rFonts w:eastAsia="Calibri" w:cs="Times New Roman"/>
          <w:noProof/>
          <w:color w:val="000000"/>
          <w:szCs w:val="24"/>
          <w:lang w:val="en"/>
        </w:rPr>
        <w:t>ased on market prices and prices of grid services. On the other hand, wholesale electricity market prices are freely formed. ERA has b</w:t>
      </w:r>
      <w:r>
        <w:rPr>
          <w:rFonts w:eastAsia="Calibri" w:cs="Times New Roman"/>
          <w:noProof/>
          <w:color w:val="000000"/>
          <w:szCs w:val="24"/>
          <w:lang w:val="en"/>
        </w:rPr>
        <w:t xml:space="preserve">een an </w:t>
      </w:r>
      <w:r>
        <w:rPr>
          <w:rFonts w:eastAsia="Calibri" w:cs="Times New Roman"/>
          <w:noProof/>
          <w:szCs w:val="24"/>
          <w:lang w:val="en"/>
        </w:rPr>
        <w:t xml:space="preserve">observer in the Agency of Cooperation of Energy Regulators since January 2018. </w:t>
      </w:r>
      <w:r>
        <w:rPr>
          <w:rFonts w:eastAsia="Calibri" w:cs="Times New Roman"/>
          <w:noProof/>
          <w:color w:val="000000"/>
          <w:szCs w:val="24"/>
          <w:lang w:val="en"/>
        </w:rPr>
        <w:t xml:space="preserve">ERA’s overall independence still requires further improvement, since its statutes are subject to governmental approval. In addition, the possible penalty levels that ERA </w:t>
      </w:r>
      <w:r>
        <w:rPr>
          <w:rFonts w:eastAsia="Calibri" w:cs="Times New Roman"/>
          <w:noProof/>
          <w:color w:val="000000"/>
          <w:szCs w:val="24"/>
          <w:lang w:val="en"/>
        </w:rPr>
        <w:t>can apply are significantly below the required 10% threshold.</w:t>
      </w:r>
      <w:r>
        <w:rPr>
          <w:rFonts w:eastAsia="Calibri" w:cs="Times New Roman"/>
          <w:noProof/>
          <w:color w:val="1F497D"/>
          <w:szCs w:val="24"/>
          <w:lang w:val="en"/>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 xml:space="preserve">hydrocarbons, </w:t>
      </w:r>
      <w:r>
        <w:rPr>
          <w:rFonts w:eastAsia="Calibri" w:cs="Times New Roman"/>
          <w:noProof/>
          <w:szCs w:val="24"/>
        </w:rPr>
        <w:t xml:space="preserve">national legislation is aligned with the Hydrocarbons Licensing Directive, but the Safety of Offshore Operations Directive is yet to be fully implemented. </w:t>
      </w:r>
      <w:r>
        <w:rPr>
          <w:rFonts w:eastAsia="Calibri" w:cs="Times New Roman"/>
          <w:noProof/>
          <w:color w:val="000000"/>
          <w:szCs w:val="24"/>
        </w:rPr>
        <w:t>Investigation works i</w:t>
      </w:r>
      <w:r>
        <w:rPr>
          <w:rFonts w:eastAsia="Calibri" w:cs="Times New Roman"/>
          <w:noProof/>
          <w:color w:val="000000"/>
          <w:szCs w:val="24"/>
        </w:rPr>
        <w:t xml:space="preserve">n the submarine area started in November 2018 and have continued since then. Progress has been achieved on the preliminary design of the Ionian-Adriatic gas pipeline.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renewable energy</w:t>
      </w:r>
      <w:r>
        <w:rPr>
          <w:rFonts w:eastAsia="Calibri" w:cs="Times New Roman"/>
          <w:noProof/>
          <w:color w:val="000000"/>
          <w:szCs w:val="24"/>
        </w:rPr>
        <w:t xml:space="preserve">, in 2018 38.8% of gross final consumption of energy came from renewable sources, taking into account revision of biomass data. This exceeded the </w:t>
      </w:r>
      <w:r>
        <w:rPr>
          <w:rFonts w:eastAsia="Calibri" w:cs="Times New Roman"/>
          <w:bCs/>
          <w:noProof/>
          <w:color w:val="000000"/>
          <w:szCs w:val="24"/>
        </w:rPr>
        <w:t>33%</w:t>
      </w:r>
      <w:r>
        <w:rPr>
          <w:rFonts w:eastAsia="Calibri" w:cs="Times New Roman"/>
          <w:b/>
          <w:bCs/>
          <w:noProof/>
          <w:color w:val="000000"/>
          <w:szCs w:val="24"/>
        </w:rPr>
        <w:t xml:space="preserve"> </w:t>
      </w:r>
      <w:r>
        <w:rPr>
          <w:rFonts w:eastAsia="Calibri" w:cs="Times New Roman"/>
          <w:noProof/>
          <w:color w:val="000000"/>
          <w:szCs w:val="24"/>
        </w:rPr>
        <w:t xml:space="preserve">target to be achieved by 2020 under Montenegro’s national action plan. While the 38.8% share remains high </w:t>
      </w:r>
      <w:r>
        <w:rPr>
          <w:rFonts w:eastAsia="Calibri" w:cs="Times New Roman"/>
          <w:noProof/>
          <w:color w:val="000000"/>
          <w:szCs w:val="24"/>
        </w:rPr>
        <w:t>by EU and regional standards, it marks a downward trend in Montenegro and is the lowest figure since 2008. Montenegro is yet to adopt rules for auctions granting support to renewable energy producers compliant with the 2014-2020 guidelines on State aid for</w:t>
      </w:r>
      <w:r>
        <w:rPr>
          <w:rFonts w:eastAsia="Calibri" w:cs="Times New Roman"/>
          <w:noProof/>
          <w:color w:val="000000"/>
          <w:szCs w:val="24"/>
        </w:rPr>
        <w:t xml:space="preserve"> environmental protection and energy. A regulation making it easier for individual producers to invest in the creation of small-scale generation facilities is also lacking.</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222222"/>
          <w:szCs w:val="24"/>
        </w:rPr>
        <w:t>I</w:t>
      </w:r>
      <w:r>
        <w:rPr>
          <w:rFonts w:eastAsia="Calibri" w:cs="Times New Roman"/>
          <w:noProof/>
          <w:color w:val="000000"/>
          <w:szCs w:val="24"/>
        </w:rPr>
        <w:t xml:space="preserve">n May 2019, the </w:t>
      </w:r>
      <w:r>
        <w:rPr>
          <w:rFonts w:eastAsia="Calibri" w:cs="Times New Roman"/>
          <w:noProof/>
          <w:color w:val="222222"/>
          <w:szCs w:val="24"/>
        </w:rPr>
        <w:t xml:space="preserve">government adopted </w:t>
      </w:r>
      <w:r>
        <w:rPr>
          <w:rFonts w:eastAsia="Calibri" w:cs="Times New Roman"/>
          <w:noProof/>
          <w:color w:val="000000"/>
          <w:szCs w:val="24"/>
        </w:rPr>
        <w:t xml:space="preserve">a regulation on </w:t>
      </w:r>
      <w:r>
        <w:rPr>
          <w:rFonts w:eastAsia="Calibri" w:cs="Times New Roman"/>
          <w:noProof/>
          <w:color w:val="222222"/>
          <w:szCs w:val="24"/>
        </w:rPr>
        <w:t>incentives for electricity prod</w:t>
      </w:r>
      <w:r>
        <w:rPr>
          <w:rFonts w:eastAsia="Calibri" w:cs="Times New Roman"/>
          <w:noProof/>
          <w:color w:val="222222"/>
          <w:szCs w:val="24"/>
        </w:rPr>
        <w:t>uction from renewable sources and high-efficiency cogeneration. In July 2019, amendments were made to the regulation on implementation and incentives for electricity produced from renewable sources and high-efficiency cogeneration.</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November 2019, the Mi</w:t>
      </w:r>
      <w:r>
        <w:rPr>
          <w:rFonts w:eastAsia="Calibri" w:cs="Times New Roman"/>
          <w:noProof/>
          <w:color w:val="000000"/>
          <w:szCs w:val="24"/>
        </w:rPr>
        <w:t>nistry of Economy awarded a tender for the long-term lease of state-owned land to a consortium led by WPD AG for the construction of a wind farm on the site of Brajići in Budva and Bar municipalities. The wind farm will have a minimum installed capacity of</w:t>
      </w:r>
      <w:r>
        <w:rPr>
          <w:rFonts w:eastAsia="Calibri" w:cs="Times New Roman"/>
          <w:noProof/>
          <w:color w:val="000000"/>
          <w:szCs w:val="24"/>
        </w:rPr>
        <w:t xml:space="preserve"> 70MW. The Možura wind farm with 46MW of installed capacity was put into operation in November 2019.</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energy efficiency</w:t>
      </w:r>
      <w:r>
        <w:rPr>
          <w:rFonts w:eastAsia="Calibri" w:cs="Times New Roman"/>
          <w:noProof/>
          <w:color w:val="000000"/>
          <w:szCs w:val="24"/>
        </w:rPr>
        <w:t>, amendments to the Law on efficient use of energy to ensure further alignment with the EU Energy Efficiency Directive were adopted in April 2019. In June 2019, the government adopted the fourth energy efficiency action plan for 2019-2021. Additional effor</w:t>
      </w:r>
      <w:r>
        <w:rPr>
          <w:rFonts w:eastAsia="Calibri" w:cs="Times New Roman"/>
          <w:noProof/>
          <w:color w:val="000000"/>
          <w:szCs w:val="24"/>
        </w:rPr>
        <w:t>ts are still needed to fully align Montenegro’s regulatory framework with the EU Energy Performance of Buildings Directive and with the Labelling Regulation. That the Directorate for Energy Efficiency is now a department within the Directorate for Energy m</w:t>
      </w:r>
      <w:r>
        <w:rPr>
          <w:rFonts w:eastAsia="Calibri" w:cs="Times New Roman"/>
          <w:noProof/>
          <w:color w:val="000000"/>
          <w:szCs w:val="24"/>
        </w:rPr>
        <w:t>ust not reduce institutional capacity for further energy efficiency reforms, inspection supervision and local administration. The energy efficiency fund has not been established yet. There have been no developments to report on improving statistical data c</w:t>
      </w:r>
      <w:r>
        <w:rPr>
          <w:rFonts w:eastAsia="Calibri" w:cs="Times New Roman"/>
          <w:noProof/>
          <w:color w:val="000000"/>
          <w:szCs w:val="24"/>
        </w:rPr>
        <w:t xml:space="preserve">ollection, on putting in place a functional system for calculating energy efficiency indicators and savings, or on monitoring the implementation of the current 2016-2018 energy efficiency action plan. </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nuclear energy, nuclear safety and radiation protec</w:t>
      </w:r>
      <w:r>
        <w:rPr>
          <w:rFonts w:eastAsia="Calibri" w:cs="Times New Roman"/>
          <w:b/>
          <w:bCs/>
          <w:noProof/>
          <w:color w:val="000000"/>
          <w:szCs w:val="24"/>
        </w:rPr>
        <w:t>tion,</w:t>
      </w:r>
      <w:r>
        <w:rPr>
          <w:rFonts w:eastAsia="Calibri" w:cs="Times New Roman"/>
          <w:noProof/>
          <w:color w:val="000000"/>
          <w:szCs w:val="24"/>
        </w:rPr>
        <w:t xml:space="preserve"> Montenegro does not have a nuclear industry, research reactor or any other facility producing radioactive materials, and national legislation prohibits the construction of nuclear facilities.</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a party to the Convention on Nuclear Safety </w:t>
      </w:r>
      <w:r>
        <w:rPr>
          <w:rFonts w:eastAsia="Calibri" w:cs="Times New Roman"/>
          <w:noProof/>
          <w:color w:val="000000"/>
          <w:szCs w:val="24"/>
        </w:rPr>
        <w:t>and to the Joint Convention on the safety of spent fuel management and on the safety of radioactive waste management. In August 2019, the government adopted the second national report on the implementation of obligations arising from the Convention on Nucl</w:t>
      </w:r>
      <w:r>
        <w:rPr>
          <w:rFonts w:eastAsia="Calibri" w:cs="Times New Roman"/>
          <w:noProof/>
          <w:color w:val="000000"/>
          <w:szCs w:val="24"/>
        </w:rPr>
        <w:t>ear Safety. In July 2019, Parliament adopted the laws on ratification of the 2005 Protocols amending the Protocol on the Suppression of Unlawful Actions against the Security of Fixed Platforms in the Continental Shelf and the Convention for the Suppression</w:t>
      </w:r>
      <w:r>
        <w:rPr>
          <w:rFonts w:eastAsia="Calibri" w:cs="Times New Roman"/>
          <w:noProof/>
          <w:color w:val="000000"/>
          <w:szCs w:val="24"/>
        </w:rPr>
        <w:t xml:space="preserve"> of Unlawful Actions Against the Safety of Maritime Navigation. The International Atomic Energy Agency carried out an inspection of nuclear material in July 2019.</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The 2017-2021 strategy and action plan for protection from ionising radiation, radiation safe</w:t>
      </w:r>
      <w:r>
        <w:rPr>
          <w:rFonts w:eastAsia="Calibri" w:cs="Times New Roman"/>
          <w:noProof/>
          <w:color w:val="000000"/>
          <w:szCs w:val="24"/>
        </w:rPr>
        <w:t>ty and management of radioactive waste is under implementation. The implementation report for 2017-2018 was adopted by the government in December 2019. The Comprehensive Law on protection against ionizing radiation, radiation and nuclear safety and securit</w:t>
      </w:r>
      <w:r>
        <w:rPr>
          <w:rFonts w:eastAsia="Calibri" w:cs="Times New Roman"/>
          <w:noProof/>
          <w:color w:val="000000"/>
          <w:szCs w:val="24"/>
        </w:rPr>
        <w:t>y, which will align with 13 relevant EU legislative acts, is pending adoption.</w:t>
      </w:r>
      <w:r>
        <w:rPr>
          <w:rFonts w:eastAsia="Calibri" w:cs="Times New Roman"/>
          <w:noProof/>
          <w:color w:val="000000"/>
          <w:szCs w:val="24"/>
          <w:vertAlign w:val="superscript"/>
        </w:rPr>
        <w:t xml:space="preserve"> </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On Community arrangements for the early exchange of information in the event of radiological emergency (ECURIE), Montenegro has provided all necessary information and progress </w:t>
      </w:r>
      <w:r>
        <w:rPr>
          <w:rFonts w:eastAsia="Calibri" w:cs="Times New Roman"/>
          <w:noProof/>
          <w:color w:val="000000"/>
          <w:szCs w:val="24"/>
        </w:rPr>
        <w:t>was made towards becoming an operational member. However, Montenegro is yet to join the European Radiological Data Exchange Platform, which is part of the ECURIE arrangements.</w:t>
      </w:r>
    </w:p>
    <w:p w:rsidR="003C2144" w:rsidRDefault="00FB7959">
      <w:pPr>
        <w:spacing w:after="120" w:line="240" w:lineRule="auto"/>
        <w:jc w:val="both"/>
        <w:rPr>
          <w:rFonts w:eastAsia="Calibri" w:cs="Times New Roman"/>
          <w:noProof/>
          <w:szCs w:val="24"/>
        </w:rPr>
      </w:pPr>
      <w:r>
        <w:rPr>
          <w:rFonts w:eastAsia="Calibri" w:cs="Times New Roman"/>
          <w:noProof/>
          <w:color w:val="000000"/>
          <w:szCs w:val="24"/>
        </w:rPr>
        <w:t>The national regulatory body in the field of radiation and nuclear safety and se</w:t>
      </w:r>
      <w:r>
        <w:rPr>
          <w:rFonts w:eastAsia="Calibri" w:cs="Times New Roman"/>
          <w:noProof/>
          <w:color w:val="000000"/>
          <w:szCs w:val="24"/>
        </w:rPr>
        <w:t>curity and ionising radiation is composed of eight members representing the Ministry of Sustainable Development and Tourism, the Ministry of the Interior, the Nature and Environmental Protection Agency and the Administration for Inspection Affairs. Montene</w:t>
      </w:r>
      <w:r>
        <w:rPr>
          <w:rFonts w:eastAsia="Calibri" w:cs="Times New Roman"/>
          <w:noProof/>
          <w:color w:val="000000"/>
          <w:szCs w:val="24"/>
        </w:rPr>
        <w:t>gro has currently no intention to participate in the Capital and Advisory Committee of the Euratom Supply Agency, but is planning to become a member of the European Nuclear Safety Regulators Group.</w:t>
      </w:r>
    </w:p>
    <w:p w:rsidR="003C2144" w:rsidRDefault="00FB7959">
      <w:pPr>
        <w:pStyle w:val="Heading2"/>
        <w:rPr>
          <w:rFonts w:eastAsia="Times New Roman"/>
          <w:noProof/>
        </w:rPr>
      </w:pPr>
      <w:bookmarkStart w:id="207" w:name="_Toc30073845"/>
      <w:bookmarkStart w:id="208" w:name="_Toc30074158"/>
      <w:bookmarkStart w:id="209" w:name="_Toc30080580"/>
      <w:bookmarkStart w:id="210" w:name="_Toc52744949"/>
      <w:r>
        <w:rPr>
          <w:rFonts w:eastAsia="Times New Roman"/>
          <w:noProof/>
        </w:rPr>
        <w:t>5.16</w:t>
      </w:r>
      <w:r>
        <w:rPr>
          <w:rFonts w:eastAsia="Times New Roman"/>
          <w:noProof/>
        </w:rPr>
        <w:tab/>
        <w:t>Chapter 16: Taxation</w:t>
      </w:r>
      <w:bookmarkEnd w:id="207"/>
      <w:bookmarkEnd w:id="208"/>
      <w:bookmarkEnd w:id="209"/>
      <w:bookmarkEnd w:id="210"/>
      <w:r>
        <w:rPr>
          <w:rFonts w:eastAsia="Times New Roman"/>
          <w:noProof/>
        </w:rPr>
        <w:t xml:space="preserve"> </w:t>
      </w:r>
    </w:p>
    <w:p w:rsidR="003C2144" w:rsidRDefault="00FB7959">
      <w:pPr>
        <w:spacing w:after="120" w:line="240" w:lineRule="auto"/>
        <w:jc w:val="both"/>
        <w:rPr>
          <w:rFonts w:eastAsia="Calibri" w:cs="Times New Roman"/>
          <w:i/>
          <w:noProof/>
          <w:color w:val="000000"/>
          <w:szCs w:val="24"/>
        </w:rPr>
      </w:pPr>
      <w:r>
        <w:rPr>
          <w:rFonts w:eastAsia="Calibri" w:cs="Times New Roman"/>
          <w:i/>
          <w:noProof/>
          <w:color w:val="000000"/>
          <w:szCs w:val="24"/>
        </w:rPr>
        <w:t>EU rules on taxation cover valu</w:t>
      </w:r>
      <w:r>
        <w:rPr>
          <w:rFonts w:eastAsia="Calibri" w:cs="Times New Roman"/>
          <w:i/>
          <w:noProof/>
          <w:color w:val="000000"/>
          <w:szCs w:val="24"/>
        </w:rPr>
        <w:t xml:space="preserve">e-added tax and excise duties as well as aspects of corporate taxation. They also deal with cooperation between tax administrations, including the exchange of information to prevent tax evasion. </w:t>
      </w:r>
    </w:p>
    <w:p w:rsidR="003C2144" w:rsidRDefault="00FB7959">
      <w:p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w:t>
      </w:r>
      <w:r>
        <w:rPr>
          <w:rFonts w:eastAsia="Calibri" w:cs="Times New Roman"/>
          <w:b/>
          <w:noProof/>
          <w:color w:val="000000"/>
          <w:szCs w:val="24"/>
        </w:rPr>
        <w:t>moderately prepared</w:t>
      </w:r>
      <w:r>
        <w:rPr>
          <w:rFonts w:eastAsia="Calibri" w:cs="Times New Roman"/>
          <w:noProof/>
          <w:color w:val="000000"/>
          <w:szCs w:val="24"/>
        </w:rPr>
        <w:t xml:space="preserve"> in the area of taxation. </w:t>
      </w:r>
      <w:r>
        <w:rPr>
          <w:rFonts w:eastAsia="Calibri" w:cs="Times New Roman"/>
          <w:b/>
          <w:noProof/>
          <w:color w:val="000000"/>
          <w:szCs w:val="24"/>
        </w:rPr>
        <w:t>Good progress</w:t>
      </w:r>
      <w:r>
        <w:rPr>
          <w:rFonts w:eastAsia="Calibri" w:cs="Times New Roman"/>
          <w:noProof/>
          <w:color w:val="000000"/>
          <w:szCs w:val="24"/>
        </w:rPr>
        <w:t xml:space="preserve"> was made in this area. All but one of last year’s recommendations were met, and there was further progress on the recommendation regarding the implementation of the issues highlighted by the TADAT (tax administration diagnostic assessment too</w:t>
      </w:r>
      <w:r>
        <w:rPr>
          <w:rFonts w:eastAsia="Calibri" w:cs="Times New Roman"/>
          <w:noProof/>
          <w:color w:val="000000"/>
          <w:szCs w:val="24"/>
        </w:rPr>
        <w:t>l) analysis.</w:t>
      </w:r>
    </w:p>
    <w:p w:rsidR="003C2144" w:rsidRDefault="00FB7959">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continue to implement the action plan addressing the issues highlighted by the TADAT analysis;</w:t>
      </w:r>
    </w:p>
    <w:p w:rsidR="003C2144" w:rsidRDefault="00FB7959">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fully implement the WHO Framework Convention on Tobacco Control (FCTC) on marking tobacco products and alcoholic beverages with excise control stamp</w:t>
      </w:r>
      <w:r>
        <w:rPr>
          <w:rFonts w:eastAsia="Calibri" w:cs="Times New Roman"/>
          <w:noProof/>
          <w:color w:val="000000"/>
          <w:szCs w:val="24"/>
        </w:rPr>
        <w:t>;</w:t>
      </w:r>
    </w:p>
    <w:p w:rsidR="003C2144" w:rsidRDefault="00FB7959">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make further progress on removing VAT and other tax excemptions that are not aligned to the EU </w:t>
      </w:r>
      <w:r>
        <w:rPr>
          <w:rFonts w:eastAsia="Calibri" w:cs="Times New Roman"/>
          <w:i/>
          <w:noProof/>
          <w:color w:val="000000"/>
          <w:szCs w:val="24"/>
        </w:rPr>
        <w:t>acquis</w:t>
      </w:r>
      <w:r>
        <w:rPr>
          <w:rFonts w:eastAsia="Calibri" w:cs="Times New Roman"/>
          <w:noProof/>
          <w:color w:val="000000"/>
          <w:szCs w:val="24"/>
        </w:rPr>
        <w:t xml:space="preserve"> (TBC).  </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implementing its action plan to address the issues highlighted by the TADAT analysis. By 27 December 2019, of the 172 activities </w:t>
      </w:r>
      <w:r>
        <w:rPr>
          <w:rFonts w:eastAsia="Calibri" w:cs="Times New Roman"/>
          <w:noProof/>
          <w:color w:val="000000"/>
          <w:szCs w:val="24"/>
        </w:rPr>
        <w:t>foreseen in the action plan, 62 had been completed, 45 were ongoing, 18 were partly implemented, while 25 activities had not yet started. The rest may no longer be possible due to changes in the legal framework.</w:t>
      </w:r>
    </w:p>
    <w:p w:rsidR="003C2144" w:rsidRDefault="00FB7959">
      <w:pPr>
        <w:spacing w:after="120" w:line="240" w:lineRule="auto"/>
        <w:jc w:val="both"/>
        <w:rPr>
          <w:rFonts w:eastAsia="Calibri" w:cs="Times New Roman"/>
          <w:noProof/>
          <w:szCs w:val="24"/>
        </w:rPr>
      </w:pPr>
      <w:r>
        <w:rPr>
          <w:rFonts w:eastAsia="Calibri" w:cs="Times New Roman"/>
          <w:noProof/>
          <w:szCs w:val="24"/>
        </w:rPr>
        <w:t>Laws on the fiscalisation of transactions on</w:t>
      </w:r>
      <w:r>
        <w:rPr>
          <w:rFonts w:eastAsia="Calibri" w:cs="Times New Roman"/>
          <w:noProof/>
          <w:szCs w:val="24"/>
        </w:rPr>
        <w:t xml:space="preserve"> goods and services, on tax advisors, and on contributions for compulsory social insurance were adopted by </w:t>
      </w:r>
      <w:r>
        <w:rPr>
          <w:rFonts w:eastAsia="Calibri" w:cs="Times New Roman"/>
          <w:noProof/>
          <w:color w:val="000000"/>
          <w:szCs w:val="24"/>
        </w:rPr>
        <w:t>Montenegro in July 2019</w:t>
      </w:r>
      <w:r>
        <w:rPr>
          <w:rFonts w:eastAsia="Calibri" w:cs="Times New Roman"/>
          <w:noProof/>
          <w:szCs w:val="24"/>
        </w:rPr>
        <w:t>. However, in December 2019 the changes regarding the fiscalisation of transactions on goods and services were postponed until</w:t>
      </w:r>
      <w:r>
        <w:rPr>
          <w:rFonts w:eastAsia="Calibri" w:cs="Times New Roman"/>
          <w:noProof/>
          <w:szCs w:val="24"/>
        </w:rPr>
        <w:t xml:space="preserve"> January 2021.</w:t>
      </w:r>
    </w:p>
    <w:p w:rsidR="003C2144" w:rsidRDefault="00FB7959">
      <w:pPr>
        <w:spacing w:after="120" w:line="240" w:lineRule="auto"/>
        <w:jc w:val="both"/>
        <w:rPr>
          <w:rFonts w:eastAsia="Calibri" w:cs="Times New Roman"/>
          <w:noProof/>
          <w:szCs w:val="24"/>
        </w:rPr>
      </w:pPr>
      <w:r>
        <w:rPr>
          <w:rFonts w:eastAsia="Calibri" w:cs="Times New Roman"/>
          <w:noProof/>
          <w:szCs w:val="24"/>
        </w:rPr>
        <w:t>The Montenegrin tax administration is implementing its annual action plan for suppression of the grey economy. Between January and December 2019, it conducted 2,646 tax audits, leading to€67 million in tax adjustment, and issued 1,217 misdem</w:t>
      </w:r>
      <w:r>
        <w:rPr>
          <w:rFonts w:eastAsia="Calibri" w:cs="Times New Roman"/>
          <w:noProof/>
          <w:szCs w:val="24"/>
        </w:rPr>
        <w:t>eanour orders for over €1.9 million. The tax administration also updated its 2019-2022 business strategy in accordance with the EU’s fiscal blueprint, and established a reform committee and a risk management board to monitor its implementation.</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indirect</w:t>
      </w:r>
      <w:r>
        <w:rPr>
          <w:rFonts w:eastAsia="Calibri" w:cs="Times New Roman"/>
          <w:b/>
          <w:noProof/>
          <w:szCs w:val="24"/>
        </w:rPr>
        <w:t xml:space="preserve"> taxation, </w:t>
      </w:r>
      <w:r>
        <w:rPr>
          <w:rFonts w:eastAsia="Calibri" w:cs="Times New Roman"/>
          <w:noProof/>
          <w:szCs w:val="24"/>
        </w:rPr>
        <w:t>e</w:t>
      </w:r>
      <w:r>
        <w:rPr>
          <w:rFonts w:eastAsia="Calibri" w:cs="Times New Roman"/>
          <w:noProof/>
          <w:color w:val="000000"/>
          <w:szCs w:val="24"/>
        </w:rPr>
        <w:t xml:space="preserve">xemptions without the right to deduct VAT are still not aligned with the </w:t>
      </w:r>
      <w:r>
        <w:rPr>
          <w:rFonts w:eastAsia="Calibri" w:cs="Times New Roman"/>
          <w:i/>
          <w:noProof/>
          <w:color w:val="000000"/>
          <w:szCs w:val="24"/>
        </w:rPr>
        <w:t xml:space="preserve">acquis </w:t>
      </w:r>
      <w:r>
        <w:rPr>
          <w:rFonts w:eastAsia="Calibri" w:cs="Times New Roman"/>
          <w:noProof/>
          <w:color w:val="000000"/>
          <w:szCs w:val="24"/>
        </w:rPr>
        <w:t xml:space="preserve">and fuel for pleasure boats continues to be excise and VAT exempt. The government also adopted a number of tax measures relevant to COVID, such as establishing VAT </w:t>
      </w:r>
      <w:r>
        <w:rPr>
          <w:rFonts w:eastAsia="Calibri" w:cs="Times New Roman"/>
          <w:noProof/>
          <w:color w:val="000000"/>
          <w:szCs w:val="24"/>
        </w:rPr>
        <w:t>exeptions on imports of donated protective equipment, and deferral of duties, VAT, and tax collection</w:t>
      </w:r>
      <w:r>
        <w:rPr>
          <w:rFonts w:eastAsia="Calibri" w:cs="Times New Roman"/>
          <w:noProof/>
          <w:szCs w:val="24"/>
        </w:rPr>
        <w:t>. Some progress was made in terms of marking tobacco and alcoholic products with excise control stamps. In terms of traceability of tobacco products, due r</w:t>
      </w:r>
      <w:r>
        <w:rPr>
          <w:rFonts w:eastAsia="Calibri" w:cs="Times New Roman"/>
          <w:noProof/>
          <w:szCs w:val="24"/>
        </w:rPr>
        <w:t xml:space="preserve">egard should be had to international obligations under the FCTC Protocol to Eliminate Illicit Trade in Tobacco Products. On 31 March 2020, the government adopted a decree laying down conditions for the deferral of tax collection and non-tax claims, due to </w:t>
      </w:r>
      <w:r>
        <w:rPr>
          <w:rFonts w:eastAsia="Calibri" w:cs="Times New Roman"/>
          <w:noProof/>
          <w:szCs w:val="24"/>
        </w:rPr>
        <w:t>the negative impact on businesses caused by the COVID-19 pandemic.</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administrative cooperation and mutual assistance</w:t>
      </w:r>
      <w:r>
        <w:rPr>
          <w:rFonts w:eastAsia="Calibri" w:cs="Times New Roman"/>
          <w:noProof/>
          <w:szCs w:val="24"/>
        </w:rPr>
        <w:t>, in October 2019 Montenegro signed the Multilateral Convention on mutual administrative assistance in tax matters. Parliament ratified th</w:t>
      </w:r>
      <w:r>
        <w:rPr>
          <w:rFonts w:eastAsia="Calibri" w:cs="Times New Roman"/>
          <w:noProof/>
          <w:szCs w:val="24"/>
        </w:rPr>
        <w:t xml:space="preserve">e Convention in December 2019, when Montenegro also joined the BEPS Inclusive Framework. However, Montenegro still needs to adopt legislation to align with the EU </w:t>
      </w:r>
      <w:r>
        <w:rPr>
          <w:rFonts w:eastAsia="Calibri" w:cs="Times New Roman"/>
          <w:i/>
          <w:noProof/>
          <w:szCs w:val="24"/>
        </w:rPr>
        <w:t>acquis</w:t>
      </w:r>
      <w:r>
        <w:rPr>
          <w:rFonts w:eastAsia="Calibri" w:cs="Times New Roman"/>
          <w:noProof/>
          <w:szCs w:val="24"/>
        </w:rPr>
        <w:t xml:space="preserve"> on the mandatory automatic exchange of tax information.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operational capacity and c</w:t>
      </w:r>
      <w:r>
        <w:rPr>
          <w:rFonts w:eastAsia="Calibri" w:cs="Times New Roman"/>
          <w:b/>
          <w:noProof/>
          <w:szCs w:val="24"/>
        </w:rPr>
        <w:t>omputerisation</w:t>
      </w:r>
      <w:r>
        <w:rPr>
          <w:rFonts w:eastAsia="Calibri" w:cs="Times New Roman"/>
          <w:noProof/>
          <w:szCs w:val="24"/>
        </w:rPr>
        <w:t>, an e-fiscalisation project under a World Bank loan was launched by the tax administration. In 2019, three new departments were added to the tax administration (internal audit, international cooperation and tax police dealing with tax evasio</w:t>
      </w:r>
      <w:r>
        <w:rPr>
          <w:rFonts w:eastAsia="Calibri" w:cs="Times New Roman"/>
          <w:noProof/>
          <w:szCs w:val="24"/>
        </w:rPr>
        <w:t>n).</w:t>
      </w:r>
    </w:p>
    <w:p w:rsidR="003C2144" w:rsidRDefault="00FB7959">
      <w:pPr>
        <w:pStyle w:val="Heading2"/>
        <w:rPr>
          <w:rFonts w:eastAsia="Times New Roman"/>
          <w:noProof/>
        </w:rPr>
      </w:pPr>
      <w:bookmarkStart w:id="211" w:name="_Toc30073846"/>
      <w:bookmarkStart w:id="212" w:name="_Toc30074159"/>
      <w:bookmarkStart w:id="213" w:name="_Toc30080581"/>
      <w:bookmarkStart w:id="214" w:name="_Toc52744950"/>
      <w:r>
        <w:rPr>
          <w:rFonts w:eastAsia="Times New Roman"/>
          <w:noProof/>
        </w:rPr>
        <w:t>5.17</w:t>
      </w:r>
      <w:r>
        <w:rPr>
          <w:rFonts w:eastAsia="Times New Roman"/>
          <w:noProof/>
        </w:rPr>
        <w:tab/>
        <w:t>Chapter 17: Economic and monetary policy</w:t>
      </w:r>
      <w:bookmarkEnd w:id="211"/>
      <w:bookmarkEnd w:id="212"/>
      <w:bookmarkEnd w:id="213"/>
      <w:bookmarkEnd w:id="214"/>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EU rules require the independence of central banks and prohibit them from directly financing the public sector. Member States coordinate their economic policies and are subject to fiscal, economic and finan</w:t>
      </w:r>
      <w:r>
        <w:rPr>
          <w:rFonts w:eastAsia="Calibri" w:cs="Times New Roman"/>
          <w:i/>
          <w:iCs/>
          <w:noProof/>
          <w:color w:val="000000"/>
          <w:szCs w:val="24"/>
        </w:rPr>
        <w:t>cial surveillance.</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bCs/>
          <w:noProof/>
          <w:color w:val="000000"/>
          <w:szCs w:val="24"/>
        </w:rPr>
        <w:t xml:space="preserve">moderately prepared </w:t>
      </w:r>
      <w:r>
        <w:rPr>
          <w:rFonts w:eastAsia="Calibri" w:cs="Times New Roman"/>
          <w:noProof/>
          <w:color w:val="000000"/>
          <w:szCs w:val="24"/>
        </w:rPr>
        <w:t xml:space="preserve">in the area of economic and monetary policy. </w:t>
      </w:r>
      <w:r>
        <w:rPr>
          <w:rFonts w:eastAsia="Calibri" w:cs="Times New Roman"/>
          <w:b/>
          <w:bCs/>
          <w:noProof/>
          <w:color w:val="000000"/>
          <w:szCs w:val="24"/>
        </w:rPr>
        <w:t xml:space="preserve">Limited progress </w:t>
      </w:r>
      <w:r>
        <w:rPr>
          <w:rFonts w:eastAsia="Calibri" w:cs="Times New Roman"/>
          <w:noProof/>
          <w:color w:val="000000"/>
          <w:szCs w:val="24"/>
        </w:rPr>
        <w:t xml:space="preserve">was achieved on meeting last year’s recommendation, mainly in the area of legal alignment and </w:t>
      </w:r>
      <w:r>
        <w:rPr>
          <w:rFonts w:eastAsia="Calibri" w:cs="Times New Roman"/>
          <w:noProof/>
          <w:szCs w:val="24"/>
        </w:rPr>
        <w:t xml:space="preserve">preparedness of the central bank for the </w:t>
      </w:r>
      <w:r>
        <w:rPr>
          <w:rFonts w:eastAsia="Calibri" w:cs="Times New Roman"/>
          <w:noProof/>
          <w:szCs w:val="24"/>
        </w:rPr>
        <w:t>integration with the ESCB</w:t>
      </w:r>
      <w:r>
        <w:rPr>
          <w:rFonts w:eastAsia="Calibri" w:cs="Times New Roman"/>
          <w:noProof/>
          <w:color w:val="000000"/>
          <w:szCs w:val="24"/>
        </w:rPr>
        <w:t xml:space="preserve">. Limited capacity and insufficient resources of the Montenegrin Statistical Office (Monstat) slow down progress in this chapter.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in particular: </w:t>
      </w:r>
    </w:p>
    <w:p w:rsidR="003C2144" w:rsidRDefault="00FB7959">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continue to implement the action plan for alig</w:t>
      </w:r>
      <w:r>
        <w:rPr>
          <w:rFonts w:ascii="Times New Roman" w:eastAsia="Calibri" w:hAnsi="Times New Roman" w:cs="Times New Roman"/>
          <w:noProof/>
          <w:color w:val="000000"/>
          <w:sz w:val="24"/>
          <w:szCs w:val="24"/>
        </w:rPr>
        <w:t xml:space="preserve">nment with the EU </w:t>
      </w:r>
      <w:r>
        <w:rPr>
          <w:rFonts w:ascii="Times New Roman" w:eastAsia="Calibri" w:hAnsi="Times New Roman" w:cs="Times New Roman"/>
          <w:i/>
          <w:iCs/>
          <w:noProof/>
          <w:color w:val="000000"/>
          <w:sz w:val="24"/>
          <w:szCs w:val="24"/>
        </w:rPr>
        <w:t>acquis</w:t>
      </w:r>
      <w:r>
        <w:rPr>
          <w:rFonts w:ascii="Times New Roman" w:eastAsia="Calibri" w:hAnsi="Times New Roman" w:cs="Times New Roman"/>
          <w:noProof/>
          <w:color w:val="000000"/>
          <w:sz w:val="24"/>
          <w:szCs w:val="24"/>
        </w:rPr>
        <w:t>;</w:t>
      </w:r>
    </w:p>
    <w:p w:rsidR="003C2144" w:rsidRDefault="00FB7959">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provide necessary resources and develop capacities of Monstat’s national accounts department;</w:t>
      </w:r>
    </w:p>
    <w:p w:rsidR="003C2144" w:rsidRDefault="00FB7959">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rPr>
          <w:rFonts w:ascii="Times New Roman" w:eastAsia="Calibri" w:hAnsi="Times New Roman" w:cs="Times New Roman"/>
          <w:i/>
          <w:iCs/>
          <w:noProof/>
          <w:color w:val="000000"/>
          <w:sz w:val="24"/>
          <w:szCs w:val="24"/>
        </w:rPr>
      </w:pPr>
      <w:r>
        <w:rPr>
          <w:rFonts w:ascii="Times New Roman" w:eastAsia="Calibri" w:hAnsi="Times New Roman" w:cs="Times New Roman"/>
          <w:noProof/>
          <w:color w:val="000000"/>
          <w:sz w:val="24"/>
          <w:szCs w:val="24"/>
        </w:rPr>
        <w:t>significantly improve cooperation between Ministry of Finance, Central Bank of Montenegro and Monstat on the division of tasks and produ</w:t>
      </w:r>
      <w:r>
        <w:rPr>
          <w:rFonts w:ascii="Times New Roman" w:eastAsia="Calibri" w:hAnsi="Times New Roman" w:cs="Times New Roman"/>
          <w:noProof/>
          <w:color w:val="000000"/>
          <w:sz w:val="24"/>
          <w:szCs w:val="24"/>
        </w:rPr>
        <w:t xml:space="preserve">ction of statistics aligned with the ESA 2010 methodology. </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Montenegro does not have standard </w:t>
      </w:r>
      <w:r>
        <w:rPr>
          <w:rFonts w:eastAsia="Times New Roman" w:cs="Times New Roman"/>
          <w:b/>
          <w:noProof/>
          <w:szCs w:val="24"/>
          <w:lang w:eastAsia="en-GB"/>
        </w:rPr>
        <w:t>monetary policy</w:t>
      </w:r>
      <w:r>
        <w:rPr>
          <w:rFonts w:eastAsia="Times New Roman" w:cs="Times New Roman"/>
          <w:noProof/>
          <w:szCs w:val="24"/>
          <w:lang w:eastAsia="en-GB"/>
        </w:rPr>
        <w:t xml:space="preserve"> tools at its disposal, as it uses the euro as legal tender. This leaves fiscal policy as the main macroeconomic policy instrument. Montenegro’s use of the euro, which was decided by the authorities under exceptional circumstances, is fully distinct from m</w:t>
      </w:r>
      <w:r>
        <w:rPr>
          <w:rFonts w:eastAsia="Times New Roman" w:cs="Times New Roman"/>
          <w:noProof/>
          <w:szCs w:val="24"/>
          <w:lang w:eastAsia="en-GB"/>
        </w:rPr>
        <w:t xml:space="preserve">embership of the euro area. </w:t>
      </w:r>
    </w:p>
    <w:p w:rsidR="003C2144" w:rsidRDefault="00FB7959">
      <w:pPr>
        <w:spacing w:after="120" w:line="240" w:lineRule="auto"/>
        <w:jc w:val="both"/>
        <w:rPr>
          <w:rFonts w:eastAsia="Calibri" w:cs="Times New Roman"/>
          <w:noProof/>
          <w:szCs w:val="24"/>
        </w:rPr>
      </w:pPr>
      <w:r>
        <w:rPr>
          <w:rFonts w:eastAsia="Calibri" w:cs="Times New Roman"/>
          <w:noProof/>
          <w:szCs w:val="24"/>
        </w:rPr>
        <w:t>The Law on deposit protection, adopted in December 2019, ensured alignment with the EU rules prohibiting privileged access by the public sector to financial institutions. However, a similar prohibition in the Law on insurance i</w:t>
      </w:r>
      <w:r>
        <w:rPr>
          <w:rFonts w:eastAsia="Calibri" w:cs="Times New Roman"/>
          <w:noProof/>
          <w:szCs w:val="24"/>
        </w:rPr>
        <w:t xml:space="preserve">s yet to be introduced. </w:t>
      </w:r>
    </w:p>
    <w:p w:rsidR="003C2144" w:rsidRDefault="00FB7959">
      <w:pPr>
        <w:spacing w:after="120" w:line="240" w:lineRule="auto"/>
        <w:jc w:val="both"/>
        <w:rPr>
          <w:rFonts w:eastAsia="Calibri" w:cs="Times New Roman"/>
          <w:noProof/>
          <w:szCs w:val="24"/>
        </w:rPr>
      </w:pPr>
      <w:r>
        <w:rPr>
          <w:rFonts w:eastAsia="Calibri" w:cs="Times New Roman"/>
          <w:noProof/>
          <w:szCs w:val="24"/>
        </w:rPr>
        <w:t>As part of Montenegro’s advancing integration with the European System of Central Banks (ESCB), the Central Bank of Montenegro opened a disaster recovery site in November 2019, with support from EU funds. The role of the site is to</w:t>
      </w:r>
      <w:r>
        <w:rPr>
          <w:rFonts w:eastAsia="Calibri" w:cs="Times New Roman"/>
          <w:noProof/>
          <w:szCs w:val="24"/>
        </w:rPr>
        <w:t xml:space="preserve"> maintain the continuity of the central bank's business functions in cases of serious incidents undermining the functioning of the banking system.</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w:t>
      </w:r>
      <w:r>
        <w:rPr>
          <w:rFonts w:eastAsia="Times New Roman" w:cs="Times New Roman"/>
          <w:b/>
          <w:noProof/>
          <w:szCs w:val="24"/>
          <w:lang w:eastAsia="en-GB"/>
        </w:rPr>
        <w:t>economic policy</w:t>
      </w:r>
      <w:r>
        <w:rPr>
          <w:rFonts w:eastAsia="Times New Roman" w:cs="Times New Roman"/>
          <w:noProof/>
          <w:szCs w:val="24"/>
          <w:lang w:eastAsia="en-GB"/>
        </w:rPr>
        <w:t>, further alignment is needed with the EU Directive on requirements for medium term budgeta</w:t>
      </w:r>
      <w:r>
        <w:rPr>
          <w:rFonts w:eastAsia="Times New Roman" w:cs="Times New Roman"/>
          <w:noProof/>
          <w:szCs w:val="24"/>
          <w:lang w:eastAsia="en-GB"/>
        </w:rPr>
        <w:t xml:space="preserve">ry frameworks. Although the framework is in place, its content and reliability still requires upgrades. There was limited progress under the strategy implementing the 2010 methodology of the European System of National and Regional Accounts standards (ESA </w:t>
      </w:r>
      <w:r>
        <w:rPr>
          <w:rFonts w:eastAsia="Times New Roman" w:cs="Times New Roman"/>
          <w:noProof/>
          <w:szCs w:val="24"/>
          <w:lang w:eastAsia="en-GB"/>
        </w:rPr>
        <w:t>2010). Moreover, Montenegro's fiscal notifications continue to be incomplete, and still require substantial alignment with the EU requirements, particularly as regards excessive deficit procedure data. Progress in all three areas is particularly hampered b</w:t>
      </w:r>
      <w:r>
        <w:rPr>
          <w:rFonts w:eastAsia="Times New Roman" w:cs="Times New Roman"/>
          <w:noProof/>
          <w:szCs w:val="24"/>
          <w:lang w:eastAsia="en-GB"/>
        </w:rPr>
        <w:t>y limited capacity and insufficient resources of the Montenegrin Statistical Office, Monstat. Furthermore, there is no systematic cooperation and coordination of tasks between the Ministry of Finance, the Central Bank of Montenegro and Monstat on the produ</w:t>
      </w:r>
      <w:r>
        <w:rPr>
          <w:rFonts w:eastAsia="Times New Roman" w:cs="Times New Roman"/>
          <w:noProof/>
          <w:szCs w:val="24"/>
          <w:lang w:eastAsia="en-GB"/>
        </w:rPr>
        <w:t xml:space="preserve">ction of necessary statistics.  As a result, implementation deadlines are continuously deferred, while the last update to the national Action Plan on Chapter 17 provides for full alignment with ESA 2010 methodology only at the moment of the accession. </w:t>
      </w:r>
    </w:p>
    <w:p w:rsidR="003C2144" w:rsidRDefault="00FB7959">
      <w:pPr>
        <w:spacing w:after="120" w:line="240" w:lineRule="auto"/>
        <w:jc w:val="both"/>
        <w:rPr>
          <w:rFonts w:cs="Times New Roman"/>
          <w:noProof/>
          <w:szCs w:val="24"/>
          <w:lang w:eastAsia="en-GB"/>
        </w:rPr>
      </w:pPr>
      <w:r>
        <w:rPr>
          <w:rFonts w:eastAsia="Times New Roman" w:cs="Times New Roman"/>
          <w:noProof/>
          <w:szCs w:val="24"/>
          <w:lang w:eastAsia="en-GB"/>
        </w:rPr>
        <w:t>Par</w:t>
      </w:r>
      <w:r>
        <w:rPr>
          <w:rFonts w:eastAsia="Times New Roman" w:cs="Times New Roman"/>
          <w:noProof/>
          <w:szCs w:val="24"/>
          <w:lang w:eastAsia="en-GB"/>
        </w:rPr>
        <w:t>tial implementation of the 2017 medium-term fiscal consolidation strategy maintained the sustainability of public finances primarily by rising budget revenues. Continued efforts are needed to contain public expenditure and reduce the level of public debt i</w:t>
      </w:r>
      <w:r>
        <w:rPr>
          <w:rFonts w:eastAsia="Times New Roman" w:cs="Times New Roman"/>
          <w:noProof/>
          <w:szCs w:val="24"/>
          <w:lang w:eastAsia="en-GB"/>
        </w:rPr>
        <w:t xml:space="preserve">n order to comply with the fiscal rules. </w:t>
      </w:r>
      <w:r>
        <w:rPr>
          <w:rFonts w:eastAsia="Calibri" w:cs="Times New Roman"/>
          <w:noProof/>
          <w:szCs w:val="24"/>
        </w:rPr>
        <w:t>In June 2019, the Central Bank of Montenegro started publishing annual statistics on the international investment position and total external</w:t>
      </w:r>
      <w:bookmarkStart w:id="215" w:name="_Toc30080582"/>
      <w:bookmarkStart w:id="216" w:name="_Toc30074160"/>
      <w:bookmarkStart w:id="217" w:name="_Toc30073847"/>
      <w:r>
        <w:rPr>
          <w:rFonts w:eastAsia="Calibri" w:cs="Times New Roman"/>
          <w:noProof/>
          <w:szCs w:val="24"/>
        </w:rPr>
        <w:t xml:space="preserve"> </w:t>
      </w:r>
      <w:r>
        <w:rPr>
          <w:rFonts w:cs="Times New Roman"/>
          <w:noProof/>
          <w:szCs w:val="24"/>
        </w:rPr>
        <w:t>debt, a part of the data required under EU Macroeconomic Imbalance Proced</w:t>
      </w:r>
      <w:r>
        <w:rPr>
          <w:rFonts w:cs="Times New Roman"/>
          <w:noProof/>
          <w:szCs w:val="24"/>
        </w:rPr>
        <w:t xml:space="preserve">ure rules. </w:t>
      </w:r>
      <w:r>
        <w:rPr>
          <w:rFonts w:cs="Times New Roman"/>
          <w:noProof/>
          <w:szCs w:val="24"/>
          <w:lang w:eastAsia="en-GB"/>
        </w:rPr>
        <w:t xml:space="preserve">Initial steps were also taken to establish an independent fiscal council. In the future, this body would assess and monitor the country’s fiscal policy. </w:t>
      </w:r>
    </w:p>
    <w:p w:rsidR="003C2144" w:rsidRDefault="00FB7959">
      <w:pPr>
        <w:spacing w:after="120" w:line="240" w:lineRule="auto"/>
        <w:jc w:val="both"/>
        <w:rPr>
          <w:rFonts w:cs="Times New Roman"/>
          <w:noProof/>
          <w:szCs w:val="24"/>
          <w:lang w:eastAsia="en-GB"/>
        </w:rPr>
      </w:pPr>
      <w:r>
        <w:rPr>
          <w:rFonts w:cs="Times New Roman"/>
          <w:noProof/>
          <w:szCs w:val="24"/>
          <w:lang w:eastAsia="en-GB"/>
        </w:rPr>
        <w:t xml:space="preserve">The government submitted its 2020-2022 </w:t>
      </w:r>
      <w:r>
        <w:rPr>
          <w:rFonts w:cs="Times New Roman"/>
          <w:b/>
          <w:bCs/>
          <w:noProof/>
          <w:szCs w:val="24"/>
          <w:lang w:eastAsia="en-GB"/>
        </w:rPr>
        <w:t>Economic Reform Programme (ERP)</w:t>
      </w:r>
      <w:r>
        <w:rPr>
          <w:rFonts w:cs="Times New Roman"/>
          <w:noProof/>
          <w:szCs w:val="24"/>
          <w:lang w:eastAsia="en-GB"/>
        </w:rPr>
        <w:t xml:space="preserve"> on time. The reliabi</w:t>
      </w:r>
      <w:r>
        <w:rPr>
          <w:rFonts w:cs="Times New Roman"/>
          <w:noProof/>
          <w:szCs w:val="24"/>
          <w:lang w:eastAsia="en-GB"/>
        </w:rPr>
        <w:t>lity of the ERP fiscal planning and its linkage with 2020 budget has improved. However, additional efforts are needed to further upgrade capacity for the design and timely implementation of the economic policy measures.</w:t>
      </w:r>
    </w:p>
    <w:p w:rsidR="003C2144" w:rsidRDefault="00FB7959">
      <w:pPr>
        <w:pStyle w:val="Heading2"/>
        <w:rPr>
          <w:rFonts w:eastAsia="Times New Roman"/>
          <w:noProof/>
        </w:rPr>
      </w:pPr>
      <w:bookmarkStart w:id="218" w:name="_Toc52744951"/>
      <w:r>
        <w:rPr>
          <w:rFonts w:eastAsia="Times New Roman"/>
          <w:noProof/>
        </w:rPr>
        <w:t>5.18</w:t>
      </w:r>
      <w:r>
        <w:rPr>
          <w:rFonts w:eastAsia="Times New Roman"/>
          <w:noProof/>
        </w:rPr>
        <w:tab/>
        <w:t>Chapter 18: Statistics</w:t>
      </w:r>
      <w:bookmarkEnd w:id="215"/>
      <w:bookmarkEnd w:id="216"/>
      <w:bookmarkEnd w:id="217"/>
      <w:bookmarkEnd w:id="218"/>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EU rule</w:t>
      </w:r>
      <w:r>
        <w:rPr>
          <w:rFonts w:eastAsia="Calibri" w:cs="Times New Roman"/>
          <w:i/>
          <w:iCs/>
          <w:noProof/>
          <w:color w:val="000000"/>
          <w:szCs w:val="24"/>
        </w:rPr>
        <w:t>s require that Member States are able to produce statistics based on professional independence, impartiality, reliability, transparency, and confidentiality. Common rules are provided for the methodology, production and dissemination of statistical informa</w:t>
      </w:r>
      <w:r>
        <w:rPr>
          <w:rFonts w:eastAsia="Calibri" w:cs="Times New Roman"/>
          <w:i/>
          <w:iCs/>
          <w:noProof/>
          <w:color w:val="000000"/>
          <w:szCs w:val="24"/>
        </w:rPr>
        <w:t xml:space="preserve">tion. </w:t>
      </w:r>
    </w:p>
    <w:p w:rsidR="003C2144" w:rsidRDefault="00FB7959">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w:t>
      </w:r>
      <w:r>
        <w:rPr>
          <w:rFonts w:eastAsia="Calibri" w:cs="Times New Roman"/>
          <w:b/>
          <w:noProof/>
          <w:color w:val="000000"/>
          <w:szCs w:val="24"/>
        </w:rPr>
        <w:t>moderately prepared</w:t>
      </w:r>
      <w:r>
        <w:rPr>
          <w:rFonts w:eastAsia="Calibri" w:cs="Times New Roman"/>
          <w:noProof/>
          <w:color w:val="000000"/>
          <w:szCs w:val="24"/>
        </w:rPr>
        <w:t xml:space="preserve"> in the area of statistics. </w:t>
      </w:r>
      <w:r>
        <w:rPr>
          <w:rFonts w:eastAsia="Calibri" w:cs="Times New Roman"/>
          <w:b/>
          <w:noProof/>
          <w:color w:val="000000"/>
          <w:szCs w:val="24"/>
        </w:rPr>
        <w:t>Some progress</w:t>
      </w:r>
      <w:r>
        <w:rPr>
          <w:rFonts w:eastAsia="Calibri" w:cs="Times New Roman"/>
          <w:noProof/>
          <w:color w:val="000000"/>
          <w:szCs w:val="24"/>
        </w:rPr>
        <w:t xml:space="preserve"> was made on last year’s recommendations. While there was some improvement on legislative alignment, on harmonising the statistical methodology with EU standards, and on increased transmission of data, notably in business, social and agricultural statistic</w:t>
      </w:r>
      <w:r>
        <w:rPr>
          <w:rFonts w:eastAsia="Calibri" w:cs="Times New Roman"/>
          <w:noProof/>
          <w:color w:val="000000"/>
          <w:szCs w:val="24"/>
        </w:rPr>
        <w:t xml:space="preserve">s, some of the 2018 and 2019 recommendations remain valid. </w:t>
      </w:r>
    </w:p>
    <w:p w:rsidR="003C2144" w:rsidRDefault="00FB7959">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in particular: </w:t>
      </w:r>
    </w:p>
    <w:p w:rsidR="003C2144" w:rsidRDefault="00FB7959">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considerably strengthen the human and financial resources of the Statistical office of Montenegro (Monstat) so that it can fulfil its respon</w:t>
      </w:r>
      <w:r>
        <w:rPr>
          <w:rFonts w:eastAsia="Calibri" w:cs="Times New Roman"/>
          <w:noProof/>
          <w:color w:val="000000"/>
          <w:szCs w:val="24"/>
        </w:rPr>
        <w:t xml:space="preserve">sibilities and ensure staff retention; </w:t>
      </w:r>
    </w:p>
    <w:p w:rsidR="003C2144" w:rsidRDefault="00FB7959">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make significant progress in aligning with ESA 2010, including providing government finance statistical data and all available excessive deficit procedure data.</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bCs/>
          <w:noProof/>
          <w:szCs w:val="24"/>
        </w:rPr>
        <w:t>statistical infrastructure</w:t>
      </w:r>
      <w:r>
        <w:rPr>
          <w:rFonts w:eastAsia="Calibri" w:cs="Times New Roman"/>
          <w:noProof/>
          <w:szCs w:val="24"/>
        </w:rPr>
        <w:t>, Monstat is the main pr</w:t>
      </w:r>
      <w:r>
        <w:rPr>
          <w:rFonts w:eastAsia="Calibri" w:cs="Times New Roman"/>
          <w:noProof/>
          <w:szCs w:val="24"/>
        </w:rPr>
        <w:t>oducer and overall coordinator of statistics. The professional independence of Monstat's director (appointed for the third mandate in September 2019) is enshrined in law. Amendments to the law on official statistics and statistical system were adopted in A</w:t>
      </w:r>
      <w:r>
        <w:rPr>
          <w:rFonts w:eastAsia="Calibri" w:cs="Times New Roman"/>
          <w:noProof/>
          <w:szCs w:val="24"/>
        </w:rPr>
        <w:t>ugust 2019, enabling the use of the necessary data from administrative sources. This resolved conflicts within national legislation regarding the use of data from administrative sources for statistical purposes and further aligned it with European statisti</w:t>
      </w:r>
      <w:r>
        <w:rPr>
          <w:rFonts w:eastAsia="Calibri" w:cs="Times New Roman"/>
          <w:noProof/>
          <w:szCs w:val="24"/>
        </w:rPr>
        <w:t xml:space="preserve">cal standards. </w:t>
      </w:r>
    </w:p>
    <w:p w:rsidR="003C2144" w:rsidRDefault="00FB7959">
      <w:pPr>
        <w:spacing w:after="120" w:line="240" w:lineRule="auto"/>
        <w:jc w:val="both"/>
        <w:rPr>
          <w:rFonts w:eastAsia="Calibri" w:cs="Times New Roman"/>
          <w:noProof/>
          <w:szCs w:val="24"/>
        </w:rPr>
      </w:pPr>
      <w:r>
        <w:rPr>
          <w:rFonts w:eastAsia="Calibri" w:cs="Times New Roman"/>
          <w:noProof/>
          <w:szCs w:val="24"/>
        </w:rPr>
        <w:t>A new 17-member Council for the statistical system (including representatives from the Ministry of Health for the first time) was appointed in July 2019 for five years. Although the 2019-2023 strategy for official statistics is being implem</w:t>
      </w:r>
      <w:r>
        <w:rPr>
          <w:rFonts w:eastAsia="Calibri" w:cs="Times New Roman"/>
          <w:noProof/>
          <w:szCs w:val="24"/>
        </w:rPr>
        <w:t>ented, Monstat’s financial and administrative capacities remained very limited and deteriorated in the reporting period. Only around 95 of 180 available posts (the staffing plan was reduced from 200 to 180 in the public administration reform optimisation p</w:t>
      </w:r>
      <w:r>
        <w:rPr>
          <w:rFonts w:eastAsia="Calibri" w:cs="Times New Roman"/>
          <w:noProof/>
          <w:szCs w:val="24"/>
        </w:rPr>
        <w:t>rocess) are filled, nine less than the year before, with only seven staff in the Department of National Accounts. The building hosting Monstat remains inadequate and this situation still needs to be addressed.</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reporting period, Monstat continued to </w:t>
      </w:r>
      <w:r>
        <w:rPr>
          <w:rFonts w:eastAsia="Calibri" w:cs="Times New Roman"/>
          <w:noProof/>
          <w:color w:val="000000"/>
          <w:szCs w:val="24"/>
        </w:rPr>
        <w:t>work on a robust basis for the coordination of other national authorities producing official statistics. It also improved its cooperation with administrative data providers by the signature of five new memoranda of understanding (i.e. with the University o</w:t>
      </w:r>
      <w:r>
        <w:rPr>
          <w:rFonts w:eastAsia="Calibri" w:cs="Times New Roman"/>
          <w:noProof/>
          <w:color w:val="000000"/>
          <w:szCs w:val="24"/>
        </w:rPr>
        <w:t>f Donja Gorica (a private University), the Ministry of Public Administration, the Ministry of Science, Chamber of Commerce of Montenegro, and the Ministry of Sport), bringing the total number of memoranda to 24.</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Data transmission to Eurostat continued to i</w:t>
      </w:r>
      <w:r>
        <w:rPr>
          <w:rFonts w:eastAsia="Calibri" w:cs="Times New Roman"/>
          <w:noProof/>
          <w:color w:val="000000"/>
          <w:szCs w:val="24"/>
        </w:rPr>
        <w:t xml:space="preserve">ncrease. Limited progress was achieved on </w:t>
      </w:r>
      <w:r>
        <w:rPr>
          <w:rFonts w:eastAsia="Calibri" w:cs="Times New Roman"/>
          <w:b/>
          <w:bCs/>
          <w:noProof/>
          <w:color w:val="000000"/>
          <w:szCs w:val="24"/>
        </w:rPr>
        <w:t xml:space="preserve">macroeconomic statistics </w:t>
      </w:r>
      <w:r>
        <w:rPr>
          <w:rFonts w:eastAsia="Calibri" w:cs="Times New Roman"/>
          <w:noProof/>
          <w:color w:val="000000"/>
          <w:szCs w:val="24"/>
        </w:rPr>
        <w:t>and alignment with ESA 2010: Monstat has transmitted annual (2006-2018) and quarterly (Q1 2010 to Q2 2019) GDP figures using the output and expenditure approaches in current and previous ye</w:t>
      </w:r>
      <w:r>
        <w:rPr>
          <w:rFonts w:eastAsia="Calibri" w:cs="Times New Roman"/>
          <w:noProof/>
          <w:color w:val="000000"/>
          <w:szCs w:val="24"/>
        </w:rPr>
        <w:t xml:space="preserve">ar’s prices to Eurostat, and started sending partial data for the annual GDP using the income approach (2013-2018). However, considerable work is still needed to improve compliance with the ESA 2010 methodology. </w:t>
      </w:r>
      <w:r>
        <w:rPr>
          <w:rFonts w:eastAsia="Times New Roman" w:cs="Times New Roman"/>
          <w:noProof/>
          <w:szCs w:val="24"/>
          <w:lang w:bidi="en-US"/>
        </w:rPr>
        <w:t>Seasonally adjusted quarterly national accou</w:t>
      </w:r>
      <w:r>
        <w:rPr>
          <w:rFonts w:eastAsia="Times New Roman" w:cs="Times New Roman"/>
          <w:noProof/>
          <w:szCs w:val="24"/>
          <w:lang w:bidi="en-US"/>
        </w:rPr>
        <w:t>nts are not available.</w:t>
      </w:r>
      <w:r>
        <w:rPr>
          <w:rFonts w:eastAsia="Calibri" w:cs="Times New Roman"/>
          <w:noProof/>
          <w:color w:val="000000"/>
          <w:szCs w:val="24"/>
        </w:rPr>
        <w:t xml:space="preserve"> Annual sector accounts have low compliance, though further progress is being supported by EU funding. Some progress was made in national accounts by providing annual and quarterly data on employment in persons. However, the absence o</w:t>
      </w:r>
      <w:r>
        <w:rPr>
          <w:rFonts w:eastAsia="Calibri" w:cs="Times New Roman"/>
          <w:noProof/>
          <w:color w:val="000000"/>
          <w:szCs w:val="24"/>
        </w:rPr>
        <w:t xml:space="preserve">f employment data (hours worked; wages and salaries) is considered a serious gap.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Considerable efforts are also needed to develop government finance statistics (GFS) and financial accounts; there was no progress in the reporting period. Excessive deficit </w:t>
      </w:r>
      <w:r>
        <w:rPr>
          <w:rFonts w:eastAsia="Calibri" w:cs="Times New Roman"/>
          <w:noProof/>
          <w:color w:val="000000"/>
          <w:szCs w:val="24"/>
        </w:rPr>
        <w:t xml:space="preserve">procedure (EDP) tables are sent to Eurostat since October 2014, but several tables remain blank and do not allow meaningful assessment. GFS and EDP are priority areas and also represent a basis for data in other areas (like national accounts). The lack of </w:t>
      </w:r>
      <w:r>
        <w:rPr>
          <w:rFonts w:eastAsia="Calibri" w:cs="Times New Roman"/>
          <w:noProof/>
          <w:color w:val="000000"/>
          <w:szCs w:val="24"/>
        </w:rPr>
        <w:t>this data hinders further development with ESA 2010. The development of the roadmap for the rest of the tables in ESA 2010 needs to be given more attention.</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The central bank compiles statistics on the balance of payments, foreign direct investment, and sta</w:t>
      </w:r>
      <w:r>
        <w:rPr>
          <w:rFonts w:eastAsia="Calibri" w:cs="Times New Roman"/>
          <w:noProof/>
          <w:color w:val="000000"/>
          <w:szCs w:val="24"/>
        </w:rPr>
        <w:t xml:space="preserve">tistics on trade in services, partially aligned with the EU </w:t>
      </w:r>
      <w:r>
        <w:rPr>
          <w:rFonts w:eastAsia="Calibri" w:cs="Times New Roman"/>
          <w:i/>
          <w:iCs/>
          <w:noProof/>
          <w:color w:val="000000"/>
          <w:szCs w:val="24"/>
        </w:rPr>
        <w:t>acquis</w:t>
      </w:r>
      <w:r>
        <w:rPr>
          <w:rFonts w:eastAsia="Calibri" w:cs="Times New Roman"/>
          <w:noProof/>
          <w:color w:val="000000"/>
          <w:szCs w:val="24"/>
        </w:rPr>
        <w:t>. It also released data on external debt (for the period 2010-2018) for the first time as well as net international investment position (NIIP) for 2016-2018. In 2019, Monstat sent Eurostat i</w:t>
      </w:r>
      <w:r>
        <w:rPr>
          <w:rFonts w:eastAsia="Calibri" w:cs="Times New Roman"/>
          <w:noProof/>
          <w:color w:val="000000"/>
          <w:szCs w:val="24"/>
        </w:rPr>
        <w:t>ts first data on international trade in services by country (for 2013-2018). The harmonised indices of consumer prices are medium compliant and aggregation inconsistencies prevent Eurostat from disseminating data. As regards the purchasing power parities f</w:t>
      </w:r>
      <w:r>
        <w:rPr>
          <w:rFonts w:eastAsia="Calibri" w:cs="Times New Roman"/>
          <w:noProof/>
          <w:color w:val="000000"/>
          <w:szCs w:val="24"/>
        </w:rPr>
        <w:t xml:space="preserve">ramework it is largely compliant with EU standards.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 xml:space="preserve">business statistics, </w:t>
      </w:r>
      <w:r>
        <w:rPr>
          <w:rFonts w:eastAsia="Calibri" w:cs="Times New Roman"/>
          <w:noProof/>
          <w:color w:val="000000"/>
          <w:szCs w:val="24"/>
        </w:rPr>
        <w:t>Monstat sends Eurostat a number of structural business statistics, but further work is needed on their compliance. Short-term statistics improved and are now satisfactory, but for</w:t>
      </w:r>
      <w:r>
        <w:rPr>
          <w:rFonts w:eastAsia="Calibri" w:cs="Times New Roman"/>
          <w:noProof/>
          <w:color w:val="000000"/>
          <w:szCs w:val="24"/>
        </w:rPr>
        <w:t>eign affiliates' statistics were not sent to Eurostat. The Business Register is largely compliant and the PRODCOM list is fully compliant with EU standards. Submission of transport statistics to Eurostat continued, including detailed reporting on railway a</w:t>
      </w:r>
      <w:r>
        <w:rPr>
          <w:rFonts w:eastAsia="Calibri" w:cs="Times New Roman"/>
          <w:noProof/>
          <w:color w:val="000000"/>
          <w:szCs w:val="24"/>
        </w:rPr>
        <w:t xml:space="preserve">nd maritime transport statistics and road freight. Research and development data are partially in line with the EU </w:t>
      </w:r>
      <w:r>
        <w:rPr>
          <w:rFonts w:eastAsia="Calibri" w:cs="Times New Roman"/>
          <w:i/>
          <w:iCs/>
          <w:noProof/>
          <w:color w:val="000000"/>
          <w:szCs w:val="24"/>
        </w:rPr>
        <w:t>acquis</w:t>
      </w:r>
      <w:r>
        <w:rPr>
          <w:rFonts w:eastAsia="Calibri" w:cs="Times New Roman"/>
          <w:noProof/>
          <w:color w:val="000000"/>
          <w:szCs w:val="24"/>
        </w:rPr>
        <w:t xml:space="preserve">. Tourism statistics are largely compliant with EU standards.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During the reporting period, in the area of  </w:t>
      </w:r>
      <w:r>
        <w:rPr>
          <w:rFonts w:eastAsia="Calibri" w:cs="Times New Roman"/>
          <w:b/>
          <w:bCs/>
          <w:noProof/>
          <w:color w:val="000000"/>
          <w:szCs w:val="24"/>
        </w:rPr>
        <w:t xml:space="preserve">social statistics, </w:t>
      </w:r>
      <w:r>
        <w:rPr>
          <w:rFonts w:eastAsia="Calibri" w:cs="Times New Roman"/>
          <w:noProof/>
          <w:color w:val="000000"/>
          <w:szCs w:val="24"/>
        </w:rPr>
        <w:t>preparat</w:t>
      </w:r>
      <w:r>
        <w:rPr>
          <w:rFonts w:eastAsia="Calibri" w:cs="Times New Roman"/>
          <w:noProof/>
          <w:color w:val="000000"/>
          <w:szCs w:val="24"/>
        </w:rPr>
        <w:t>ions continued for the 2021 population and housing census. Monstat obtained access to all identifiers of the population register in August 2019; however, the address register is not yet established. Monstat performed a pilot census using traditional method</w:t>
      </w:r>
      <w:r>
        <w:rPr>
          <w:rFonts w:eastAsia="Calibri" w:cs="Times New Roman"/>
          <w:noProof/>
          <w:color w:val="000000"/>
          <w:szCs w:val="24"/>
        </w:rPr>
        <w:t>s in April 2019 - the most likely solution is that a traditional census will be held, along with a pilot register-based census. The survey of income and living conditions (EU-SILC), the Labour Force Survey (LFS) and crime statistics are largely compliant w</w:t>
      </w:r>
      <w:r>
        <w:rPr>
          <w:rFonts w:eastAsia="Calibri" w:cs="Times New Roman"/>
          <w:noProof/>
          <w:color w:val="000000"/>
          <w:szCs w:val="24"/>
        </w:rPr>
        <w:t>ith EU standards. On social protection data (ESSPROS), Monstat is improving in this regard, but there is still work to do. Data availability on migration should be further improved with data on migrant populations, acquisition of citizenship, and on emigra</w:t>
      </w:r>
      <w:r>
        <w:rPr>
          <w:rFonts w:eastAsia="Calibri" w:cs="Times New Roman"/>
          <w:noProof/>
          <w:color w:val="000000"/>
          <w:szCs w:val="24"/>
        </w:rPr>
        <w:t>tion of non-nationals. Transmission of data for the enforcement of immigration legislation (EIL) statistics and residence permit data is yet to start. A gender equality index, based on European Institute for Gender Equality, was published for the first tim</w:t>
      </w:r>
      <w:r>
        <w:rPr>
          <w:rFonts w:eastAsia="Calibri" w:cs="Times New Roman"/>
          <w:noProof/>
          <w:color w:val="000000"/>
          <w:szCs w:val="24"/>
        </w:rPr>
        <w:t>e in January 2020. As for public health statistics, Montenegro is not considered compliant and needs to put efforts to improve.</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Progress continued in </w:t>
      </w:r>
      <w:r>
        <w:rPr>
          <w:rFonts w:eastAsia="Calibri" w:cs="Times New Roman"/>
          <w:b/>
          <w:bCs/>
          <w:noProof/>
          <w:color w:val="000000"/>
          <w:szCs w:val="24"/>
        </w:rPr>
        <w:t>agricultural statistics</w:t>
      </w:r>
      <w:r>
        <w:rPr>
          <w:rFonts w:eastAsia="Calibri" w:cs="Times New Roman"/>
          <w:bCs/>
          <w:noProof/>
          <w:color w:val="000000"/>
          <w:szCs w:val="24"/>
        </w:rPr>
        <w:t>, with the completion in October 2019</w:t>
      </w:r>
      <w:r>
        <w:rPr>
          <w:rFonts w:eastAsia="Calibri" w:cs="Times New Roman"/>
          <w:b/>
          <w:bCs/>
          <w:noProof/>
          <w:color w:val="000000"/>
          <w:szCs w:val="24"/>
        </w:rPr>
        <w:t xml:space="preserve"> </w:t>
      </w:r>
      <w:r>
        <w:rPr>
          <w:rFonts w:eastAsia="Calibri" w:cs="Times New Roman"/>
          <w:bCs/>
          <w:noProof/>
          <w:color w:val="000000"/>
          <w:szCs w:val="24"/>
        </w:rPr>
        <w:t>of</w:t>
      </w:r>
      <w:r>
        <w:rPr>
          <w:rFonts w:eastAsia="Calibri" w:cs="Times New Roman"/>
          <w:b/>
          <w:bCs/>
          <w:noProof/>
          <w:color w:val="000000"/>
          <w:szCs w:val="24"/>
        </w:rPr>
        <w:t xml:space="preserve"> </w:t>
      </w:r>
      <w:r>
        <w:rPr>
          <w:rFonts w:eastAsia="Calibri" w:cs="Times New Roman"/>
          <w:noProof/>
          <w:color w:val="000000"/>
          <w:szCs w:val="24"/>
        </w:rPr>
        <w:t xml:space="preserve">a pilot agricultural census, but a full agricultural census is now only planned for 2022.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b/>
          <w:bCs/>
          <w:noProof/>
          <w:szCs w:val="24"/>
        </w:rPr>
        <w:t xml:space="preserve">Energy </w:t>
      </w:r>
      <w:r>
        <w:rPr>
          <w:rFonts w:eastAsia="Calibri" w:cs="Times New Roman"/>
          <w:noProof/>
          <w:szCs w:val="24"/>
        </w:rPr>
        <w:t xml:space="preserve">statistics are mostly compliant with EU standards. In </w:t>
      </w:r>
      <w:r>
        <w:rPr>
          <w:rFonts w:eastAsia="Calibri" w:cs="Times New Roman"/>
          <w:b/>
          <w:bCs/>
          <w:noProof/>
          <w:szCs w:val="24"/>
        </w:rPr>
        <w:t xml:space="preserve">environmental </w:t>
      </w:r>
      <w:r>
        <w:rPr>
          <w:rFonts w:eastAsia="Calibri" w:cs="Times New Roman"/>
          <w:noProof/>
          <w:szCs w:val="24"/>
        </w:rPr>
        <w:t xml:space="preserve">statistics, waste statistics are </w:t>
      </w:r>
      <w:r>
        <w:rPr>
          <w:rFonts w:eastAsia="Calibri" w:cs="Times New Roman"/>
          <w:noProof/>
          <w:color w:val="000000"/>
          <w:szCs w:val="24"/>
        </w:rPr>
        <w:t>compliant</w:t>
      </w:r>
      <w:r>
        <w:rPr>
          <w:rFonts w:eastAsia="Calibri" w:cs="Times New Roman"/>
          <w:noProof/>
          <w:szCs w:val="24"/>
        </w:rPr>
        <w:t xml:space="preserve"> with Eurostat requirements. </w:t>
      </w:r>
    </w:p>
    <w:p w:rsidR="003C2144" w:rsidRDefault="00FB7959">
      <w:pPr>
        <w:pStyle w:val="Heading2"/>
        <w:rPr>
          <w:rFonts w:eastAsia="Times New Roman"/>
          <w:noProof/>
        </w:rPr>
      </w:pPr>
      <w:bookmarkStart w:id="219" w:name="_Toc30080583"/>
      <w:bookmarkStart w:id="220" w:name="_Toc30074161"/>
      <w:bookmarkStart w:id="221" w:name="_Toc30073848"/>
      <w:bookmarkStart w:id="222" w:name="_Toc52744952"/>
      <w:r>
        <w:rPr>
          <w:rFonts w:eastAsia="Times New Roman"/>
          <w:noProof/>
        </w:rPr>
        <w:t>5.19</w:t>
      </w:r>
      <w:r>
        <w:rPr>
          <w:rFonts w:eastAsia="Times New Roman"/>
          <w:noProof/>
        </w:rPr>
        <w:tab/>
        <w:t>Chapter 19: S</w:t>
      </w:r>
      <w:r>
        <w:rPr>
          <w:rFonts w:eastAsia="Times New Roman"/>
          <w:noProof/>
        </w:rPr>
        <w:t>ocial Policy and employment</w:t>
      </w:r>
      <w:bookmarkEnd w:id="219"/>
      <w:bookmarkEnd w:id="220"/>
      <w:bookmarkEnd w:id="221"/>
      <w:bookmarkEnd w:id="222"/>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EU rules in the social field include minimum legal labour standards, equality, health and safety at work and non-discrimination as well as promote social dialogue. </w:t>
      </w:r>
    </w:p>
    <w:p w:rsidR="003C2144" w:rsidRDefault="00FB79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Pr>
          <w:rFonts w:cs="Times New Roman"/>
          <w:noProof/>
          <w:color w:val="000000" w:themeColor="text1"/>
          <w:szCs w:val="24"/>
        </w:rPr>
        <w:t xml:space="preserve">Montenegro has </w:t>
      </w:r>
      <w:r>
        <w:rPr>
          <w:rFonts w:cs="Times New Roman"/>
          <w:b/>
          <w:bCs/>
          <w:noProof/>
          <w:color w:val="000000" w:themeColor="text1"/>
          <w:szCs w:val="24"/>
        </w:rPr>
        <w:t xml:space="preserve">some level of preparation </w:t>
      </w:r>
      <w:r>
        <w:rPr>
          <w:rFonts w:cs="Times New Roman"/>
          <w:noProof/>
          <w:color w:val="000000" w:themeColor="text1"/>
          <w:szCs w:val="24"/>
        </w:rPr>
        <w:t xml:space="preserve">on social policy and </w:t>
      </w:r>
      <w:r>
        <w:rPr>
          <w:rFonts w:cs="Times New Roman"/>
          <w:noProof/>
          <w:color w:val="000000" w:themeColor="text1"/>
          <w:szCs w:val="24"/>
        </w:rPr>
        <w:t xml:space="preserve">employment. </w:t>
      </w:r>
      <w:r>
        <w:rPr>
          <w:rFonts w:cs="Times New Roman"/>
          <w:b/>
          <w:bCs/>
          <w:noProof/>
          <w:color w:val="000000" w:themeColor="text1"/>
          <w:szCs w:val="24"/>
        </w:rPr>
        <w:t xml:space="preserve">Good progress </w:t>
      </w:r>
      <w:r>
        <w:rPr>
          <w:rFonts w:cs="Times New Roman"/>
          <w:noProof/>
          <w:color w:val="000000" w:themeColor="text1"/>
          <w:szCs w:val="24"/>
        </w:rPr>
        <w:t xml:space="preserve">was made during the reporting period with forward steps being made, illustrated by the adoption of the new labour law. </w:t>
      </w:r>
    </w:p>
    <w:p w:rsidR="003C2144" w:rsidRDefault="00FB79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Pr>
          <w:rFonts w:cs="Times New Roman"/>
          <w:noProof/>
          <w:color w:val="000000" w:themeColor="text1"/>
          <w:szCs w:val="24"/>
        </w:rPr>
        <w:t xml:space="preserve">In the coming year, Montenegro should, in particular: </w:t>
      </w:r>
    </w:p>
    <w:p w:rsidR="003C2144" w:rsidRDefault="00FB7959">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Pr>
          <w:rFonts w:cs="Times New Roman"/>
          <w:noProof/>
          <w:color w:val="000000" w:themeColor="text1"/>
          <w:szCs w:val="24"/>
        </w:rPr>
        <w:t>implement the revised labour law, revise the anti-discr</w:t>
      </w:r>
      <w:r>
        <w:rPr>
          <w:rFonts w:cs="Times New Roman"/>
          <w:noProof/>
          <w:color w:val="000000" w:themeColor="text1"/>
          <w:szCs w:val="24"/>
        </w:rPr>
        <w:t xml:space="preserve">imination law, and introduce better quality employment measures aimed at young people, women, disabled people, and minorities; </w:t>
      </w:r>
    </w:p>
    <w:p w:rsidR="003C2144" w:rsidRDefault="00FB7959">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Pr>
          <w:rFonts w:cs="Times New Roman"/>
          <w:noProof/>
          <w:color w:val="000000" w:themeColor="text1"/>
          <w:szCs w:val="24"/>
        </w:rPr>
        <w:t>make greater efforts to address the grey economy, and more actively address issues related to safety at work;</w:t>
      </w:r>
    </w:p>
    <w:p w:rsidR="003C2144" w:rsidRDefault="00FB7959">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Pr>
          <w:rFonts w:cs="Times New Roman"/>
          <w:noProof/>
          <w:color w:val="000000" w:themeColor="text1"/>
          <w:szCs w:val="24"/>
        </w:rPr>
        <w:t>further the suppor</w:t>
      </w:r>
      <w:r>
        <w:rPr>
          <w:rFonts w:cs="Times New Roman"/>
          <w:noProof/>
          <w:color w:val="000000" w:themeColor="text1"/>
          <w:szCs w:val="24"/>
        </w:rPr>
        <w:t xml:space="preserve">t to, and reform of, social protection, based on evidenced based policies with stronger links to both employment activitation and social inclusion. </w:t>
      </w:r>
    </w:p>
    <w:p w:rsidR="003C2144" w:rsidRDefault="00FB7959">
      <w:pPr>
        <w:spacing w:after="120" w:line="240" w:lineRule="auto"/>
        <w:jc w:val="both"/>
        <w:rPr>
          <w:rFonts w:eastAsia="Calibri" w:cs="Times New Roman"/>
          <w:noProof/>
          <w:szCs w:val="24"/>
        </w:rPr>
      </w:pPr>
      <w:r>
        <w:rPr>
          <w:rFonts w:eastAsia="Calibri" w:cs="Times New Roman"/>
          <w:iCs/>
          <w:noProof/>
          <w:szCs w:val="24"/>
          <w:lang w:eastAsia="en-GB"/>
        </w:rPr>
        <w:t xml:space="preserve">The revised </w:t>
      </w:r>
      <w:r>
        <w:rPr>
          <w:rFonts w:eastAsia="Calibri" w:cs="Times New Roman"/>
          <w:b/>
          <w:iCs/>
          <w:noProof/>
          <w:szCs w:val="24"/>
          <w:lang w:eastAsia="en-GB"/>
        </w:rPr>
        <w:t>labour law,</w:t>
      </w:r>
      <w:r>
        <w:rPr>
          <w:rFonts w:eastAsia="Calibri" w:cs="Times New Roman"/>
          <w:iCs/>
          <w:noProof/>
          <w:szCs w:val="24"/>
          <w:lang w:eastAsia="en-GB"/>
        </w:rPr>
        <w:t xml:space="preserve"> intended to improve the functioning of the labour market was adopted by Parliament in December 2019. </w:t>
      </w:r>
      <w:r>
        <w:rPr>
          <w:rFonts w:eastAsia="Calibri" w:cs="Times New Roman"/>
          <w:noProof/>
          <w:szCs w:val="24"/>
        </w:rPr>
        <w:t xml:space="preserve">The law introduces a range of reforms including, simplification of dismissal procedures and extension of fixed term contacts (from 24 to 36 months), with </w:t>
      </w:r>
      <w:r>
        <w:rPr>
          <w:rFonts w:eastAsia="Calibri" w:cs="Times New Roman"/>
          <w:noProof/>
          <w:szCs w:val="24"/>
        </w:rPr>
        <w:t xml:space="preserve">greater protection of workers, while increased sanctions for undeclared work aims to reduce informality. The labour law and the linked anti-discrimination law are planned to be further aligned with the EU </w:t>
      </w:r>
      <w:r>
        <w:rPr>
          <w:rFonts w:eastAsia="Calibri" w:cs="Times New Roman"/>
          <w:i/>
          <w:noProof/>
          <w:szCs w:val="24"/>
        </w:rPr>
        <w:t>acquis</w:t>
      </w:r>
      <w:r>
        <w:rPr>
          <w:rFonts w:eastAsia="Calibri" w:cs="Times New Roman"/>
          <w:noProof/>
          <w:szCs w:val="24"/>
        </w:rPr>
        <w:t xml:space="preserve"> in this area during 2020</w:t>
      </w:r>
      <w:r>
        <w:rPr>
          <w:rFonts w:eastAsia="Calibri" w:cs="Times New Roman"/>
          <w:noProof/>
          <w:szCs w:val="24"/>
          <w:lang w:eastAsia="en-GB"/>
        </w:rPr>
        <w:t>. Given its relevanc</w:t>
      </w:r>
      <w:r>
        <w:rPr>
          <w:rFonts w:eastAsia="Calibri" w:cs="Times New Roman"/>
          <w:noProof/>
          <w:szCs w:val="24"/>
          <w:lang w:eastAsia="en-GB"/>
        </w:rPr>
        <w:t xml:space="preserve">e both as a structural reform measure, and as one of the key pieces of legislation to align with the EU </w:t>
      </w:r>
      <w:r>
        <w:rPr>
          <w:rFonts w:eastAsia="Calibri" w:cs="Times New Roman"/>
          <w:i/>
          <w:noProof/>
          <w:szCs w:val="24"/>
          <w:lang w:eastAsia="en-GB"/>
        </w:rPr>
        <w:t>acquis</w:t>
      </w:r>
      <w:r>
        <w:rPr>
          <w:rFonts w:eastAsia="Calibri" w:cs="Times New Roman"/>
          <w:noProof/>
          <w:szCs w:val="24"/>
          <w:lang w:eastAsia="en-GB"/>
        </w:rPr>
        <w:t>, implementation and monitoring of the labour law should be a priority. Strengthened capacities of labour inspection services and enhanced coordin</w:t>
      </w:r>
      <w:r>
        <w:rPr>
          <w:rFonts w:eastAsia="Calibri" w:cs="Times New Roman"/>
          <w:noProof/>
          <w:szCs w:val="24"/>
          <w:lang w:eastAsia="en-GB"/>
        </w:rPr>
        <w:t xml:space="preserve">ation between labour inspectors and the Ministry of Labour and Social Welfare will be required in order to ensure that the change of the law will have an impact.  </w:t>
      </w:r>
    </w:p>
    <w:p w:rsidR="003C2144" w:rsidRDefault="00FB7959">
      <w:pPr>
        <w:spacing w:after="120" w:line="240" w:lineRule="auto"/>
        <w:jc w:val="both"/>
        <w:rPr>
          <w:rFonts w:eastAsia="Calibri" w:cs="Times New Roman"/>
          <w:noProof/>
          <w:szCs w:val="24"/>
          <w:lang w:eastAsia="en-GB"/>
        </w:rPr>
      </w:pPr>
      <w:r>
        <w:rPr>
          <w:rFonts w:eastAsia="Calibri" w:cs="Times New Roman"/>
          <w:noProof/>
          <w:szCs w:val="24"/>
          <w:lang w:eastAsia="en-GB"/>
        </w:rPr>
        <w:t xml:space="preserve">On </w:t>
      </w:r>
      <w:r>
        <w:rPr>
          <w:rFonts w:eastAsia="Calibri" w:cs="Times New Roman"/>
          <w:b/>
          <w:noProof/>
          <w:szCs w:val="24"/>
          <w:lang w:eastAsia="en-GB"/>
        </w:rPr>
        <w:t>social dialogue</w:t>
      </w:r>
      <w:r>
        <w:rPr>
          <w:rFonts w:eastAsia="Calibri" w:cs="Times New Roman"/>
          <w:noProof/>
          <w:szCs w:val="24"/>
          <w:lang w:eastAsia="en-GB"/>
        </w:rPr>
        <w:t xml:space="preserve"> the Laws on Social Council and on the on representation of trade unions w</w:t>
      </w:r>
      <w:r>
        <w:rPr>
          <w:rFonts w:eastAsia="Calibri" w:cs="Times New Roman"/>
          <w:noProof/>
          <w:szCs w:val="24"/>
          <w:lang w:eastAsia="en-GB"/>
        </w:rPr>
        <w:t>ere adopted in 2018 and while there was good cooperation on the labour law, more time is needed to see if representation and consultation with social partners improves. Similarly, continuing focus needs to be placed on protecting workers rights, preventing</w:t>
      </w:r>
      <w:r>
        <w:rPr>
          <w:rFonts w:eastAsia="Calibri" w:cs="Times New Roman"/>
          <w:noProof/>
          <w:szCs w:val="24"/>
          <w:lang w:eastAsia="en-GB"/>
        </w:rPr>
        <w:t xml:space="preserve"> discrimination of trade union activities, and in ensuring that the foreseen general collective bargaining agreement is concluded with due consultation process as soon as possible during 2020.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Concerning </w:t>
      </w:r>
      <w:r>
        <w:rPr>
          <w:rFonts w:eastAsia="Calibri" w:cs="Times New Roman"/>
          <w:b/>
          <w:noProof/>
          <w:szCs w:val="24"/>
        </w:rPr>
        <w:t>health and safety at work</w:t>
      </w:r>
      <w:r>
        <w:rPr>
          <w:rFonts w:eastAsia="Calibri" w:cs="Times New Roman"/>
          <w:noProof/>
          <w:szCs w:val="24"/>
        </w:rPr>
        <w:t>, the first ever Centre fo</w:t>
      </w:r>
      <w:r>
        <w:rPr>
          <w:rFonts w:eastAsia="Calibri" w:cs="Times New Roman"/>
          <w:noProof/>
          <w:szCs w:val="24"/>
        </w:rPr>
        <w:t xml:space="preserve">r professional rehabilitation was opened in October 2019 in Podgorica. The National Health Institute has limited impact to monitor relevant legislation, due to the fact that responsibilities have been spread amongst different institutions. A working </w:t>
      </w:r>
      <w:r>
        <w:rPr>
          <w:rFonts w:eastAsia="Calibri" w:cs="Times New Roman"/>
          <w:noProof/>
          <w:szCs w:val="24"/>
          <w:lang w:val="bs-Latn-BA"/>
        </w:rPr>
        <w:t xml:space="preserve">group </w:t>
      </w:r>
      <w:r>
        <w:rPr>
          <w:rFonts w:eastAsia="Calibri" w:cs="Times New Roman"/>
          <w:noProof/>
          <w:szCs w:val="24"/>
          <w:lang w:val="bs-Latn-BA"/>
        </w:rPr>
        <w:t xml:space="preserve">for drafting Amendments to the the Rulebook on safety requirements for the workplace has been establised and it is expected to submit its work by the end of 2020. </w:t>
      </w:r>
      <w:r>
        <w:rPr>
          <w:rFonts w:eastAsia="Calibri" w:cs="Times New Roman"/>
          <w:noProof/>
          <w:szCs w:val="24"/>
        </w:rPr>
        <w:t>The occupational safety and health fund foreseen under the sector strategies (2010-2014 and 2</w:t>
      </w:r>
      <w:r>
        <w:rPr>
          <w:rFonts w:eastAsia="Calibri" w:cs="Times New Roman"/>
          <w:noProof/>
          <w:szCs w:val="24"/>
        </w:rPr>
        <w:t xml:space="preserve">016-2020) has not yet been established. From 1 January 2019 to 30 April 2020, there were 24 accidents at work, of which eight were fatal, 15 were serious, while one was reported as a collective accident. </w:t>
      </w:r>
    </w:p>
    <w:p w:rsidR="003C2144" w:rsidRDefault="00FB7959">
      <w:pPr>
        <w:spacing w:after="120" w:line="240" w:lineRule="auto"/>
        <w:jc w:val="both"/>
        <w:rPr>
          <w:rFonts w:eastAsia="Calibri" w:cs="Times New Roman"/>
          <w:bCs/>
          <w:noProof/>
          <w:szCs w:val="24"/>
        </w:rPr>
      </w:pPr>
      <w:r>
        <w:rPr>
          <w:rFonts w:eastAsia="Calibri" w:cs="Times New Roman"/>
          <w:bCs/>
          <w:noProof/>
          <w:szCs w:val="24"/>
        </w:rPr>
        <w:t xml:space="preserve">On </w:t>
      </w:r>
      <w:r>
        <w:rPr>
          <w:rFonts w:eastAsia="Calibri" w:cs="Times New Roman"/>
          <w:b/>
          <w:noProof/>
          <w:szCs w:val="24"/>
        </w:rPr>
        <w:t>employment policy</w:t>
      </w:r>
      <w:r>
        <w:rPr>
          <w:rFonts w:eastAsia="Calibri" w:cs="Times New Roman"/>
          <w:bCs/>
          <w:noProof/>
          <w:szCs w:val="24"/>
        </w:rPr>
        <w:t xml:space="preserve">, Montenegro continues to </w:t>
      </w:r>
      <w:r>
        <w:rPr>
          <w:rFonts w:eastAsia="Calibri" w:cs="Times New Roman"/>
          <w:bCs/>
          <w:noProof/>
          <w:szCs w:val="24"/>
        </w:rPr>
        <w:t>implement its national strategy for employment and human resources development however, the effectiveness of the implementation remains difficult to assess due to lack of systematically collected data via monitoring and evaluation activities. The unemploym</w:t>
      </w:r>
      <w:r>
        <w:rPr>
          <w:rFonts w:eastAsia="Calibri" w:cs="Times New Roman"/>
          <w:bCs/>
          <w:noProof/>
          <w:szCs w:val="24"/>
        </w:rPr>
        <w:t>ent rate stagnated at 15.2% in 2019. According to the 2019 Labour Force Survey data, the activity rate continues to improve, but is still low at 57.4%, while regional disparities persist, with unemployment disproportionately high in the north with 36.3% as</w:t>
      </w:r>
      <w:r>
        <w:rPr>
          <w:rFonts w:eastAsia="Calibri" w:cs="Times New Roman"/>
          <w:bCs/>
          <w:noProof/>
          <w:szCs w:val="24"/>
        </w:rPr>
        <w:t xml:space="preserve"> compared to 5.5% in the coastal region. Long-term unemployment remains a major structural challenge, with 63% of the unemployed being out of work for more than two years. The most vulnerable groups on the labour market remain women, youth, Roma and low sk</w:t>
      </w:r>
      <w:r>
        <w:rPr>
          <w:rFonts w:eastAsia="Calibri" w:cs="Times New Roman"/>
          <w:bCs/>
          <w:noProof/>
          <w:szCs w:val="24"/>
        </w:rPr>
        <w:t>illed workers. Of these the Roma and Egyptian community make up around 2% of the total registered unemployed.</w:t>
      </w:r>
    </w:p>
    <w:p w:rsidR="003C2144" w:rsidRDefault="00FB7959">
      <w:pPr>
        <w:spacing w:after="120" w:line="240" w:lineRule="auto"/>
        <w:jc w:val="both"/>
        <w:rPr>
          <w:rFonts w:eastAsia="Calibri" w:cs="Times New Roman"/>
          <w:bCs/>
          <w:noProof/>
          <w:szCs w:val="24"/>
        </w:rPr>
      </w:pPr>
      <w:r>
        <w:rPr>
          <w:rFonts w:eastAsia="Calibri" w:cs="Times New Roman"/>
          <w:bCs/>
          <w:noProof/>
          <w:szCs w:val="24"/>
        </w:rPr>
        <w:t>The foreseen EU financed support to the Employment Agency should help it enhance its capacities and ensure a more efficient human resources manage</w:t>
      </w:r>
      <w:r>
        <w:rPr>
          <w:rFonts w:eastAsia="Calibri" w:cs="Times New Roman"/>
          <w:bCs/>
          <w:noProof/>
          <w:szCs w:val="24"/>
        </w:rPr>
        <w:t>ment. In parallel, there is still insufficient effectiveness and coverage of active labour market policies which should be in place to assist jobseekers finding sustainable employment, with particular focus on re- and up-skilling. Moreover, strengthening e</w:t>
      </w:r>
      <w:r>
        <w:rPr>
          <w:rFonts w:eastAsia="Calibri" w:cs="Times New Roman"/>
          <w:bCs/>
          <w:noProof/>
          <w:szCs w:val="24"/>
        </w:rPr>
        <w:t>mployment activation by building stronger links between employment and social services, as well as links between vocational and higher education, remains crucial for increasing employment and removing potential disincentives to work. The fund for the Profe</w:t>
      </w:r>
      <w:r>
        <w:rPr>
          <w:rFonts w:eastAsia="Calibri" w:cs="Times New Roman"/>
          <w:bCs/>
          <w:noProof/>
          <w:szCs w:val="24"/>
        </w:rPr>
        <w:t>ssional Rehabilitation and Employment of Persons with Disabilities is still not making the required impact, while the related draft law still requires revision. As a result, the adoption of the rulebook defining a range of work related provisions for disab</w:t>
      </w:r>
      <w:r>
        <w:rPr>
          <w:rFonts w:eastAsia="Calibri" w:cs="Times New Roman"/>
          <w:bCs/>
          <w:noProof/>
          <w:szCs w:val="24"/>
        </w:rPr>
        <w:t xml:space="preserve">led persons is not in place and full transparency of the use of the Fund is not yet established. </w:t>
      </w:r>
      <w:r>
        <w:rPr>
          <w:rFonts w:cs="Times New Roman"/>
          <w:noProof/>
          <w:szCs w:val="24"/>
        </w:rPr>
        <w:t xml:space="preserve">In June 2020, the Government adopted the proposal to establish the Council for the care of persons of disabilities. </w:t>
      </w:r>
      <w:r>
        <w:rPr>
          <w:rFonts w:eastAsia="Calibri" w:cs="Times New Roman"/>
          <w:bCs/>
          <w:noProof/>
          <w:szCs w:val="24"/>
        </w:rPr>
        <w:t xml:space="preserve">On the informal economy, sustained efforts </w:t>
      </w:r>
      <w:r>
        <w:rPr>
          <w:rFonts w:eastAsia="Calibri" w:cs="Times New Roman"/>
          <w:bCs/>
          <w:noProof/>
          <w:szCs w:val="24"/>
        </w:rPr>
        <w:t>are still needed to tackle all forms of informality along with further reinforcement of labour inspections. Moreover, the Government must still adopt a new action plan to better coordinate efforts from different institutions involved, including those at ce</w:t>
      </w:r>
      <w:r>
        <w:rPr>
          <w:rFonts w:eastAsia="Calibri" w:cs="Times New Roman"/>
          <w:bCs/>
          <w:noProof/>
          <w:szCs w:val="24"/>
        </w:rPr>
        <w:t>ntral and local level. In addition, while there are plans underway, the Labour Market Information IT system of the Employment Agency has yet to be updated. Focus should be placed on implementing commitments taken under the Roma integration Road Map 2019-20</w:t>
      </w:r>
      <w:r>
        <w:rPr>
          <w:rFonts w:eastAsia="Calibri" w:cs="Times New Roman"/>
          <w:bCs/>
          <w:noProof/>
          <w:szCs w:val="24"/>
        </w:rPr>
        <w:t xml:space="preserve">21 to promote the formalisation of work. At present there is still not a follow up system in place to review its functioning and its impact. In April 2020, the Government adopted the Report on the Implementation of the Action Plan for Employment and Human </w:t>
      </w:r>
      <w:r>
        <w:rPr>
          <w:rFonts w:eastAsia="Calibri" w:cs="Times New Roman"/>
          <w:bCs/>
          <w:noProof/>
          <w:szCs w:val="24"/>
        </w:rPr>
        <w:t>Resources Development for 2019.</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As regards </w:t>
      </w:r>
      <w:r>
        <w:rPr>
          <w:rFonts w:eastAsia="Calibri" w:cs="Times New Roman"/>
          <w:b/>
          <w:bCs/>
          <w:noProof/>
          <w:szCs w:val="24"/>
        </w:rPr>
        <w:t>European Social Fund (ESF)</w:t>
      </w:r>
      <w:r>
        <w:rPr>
          <w:rFonts w:eastAsia="Calibri" w:cs="Times New Roman"/>
          <w:noProof/>
          <w:szCs w:val="24"/>
        </w:rPr>
        <w:t xml:space="preserve"> preparations, implementation of the second operational programme for human resources development (2015-2017) is on-going. This focuses on education, research, employment and social polic</w:t>
      </w:r>
      <w:r>
        <w:rPr>
          <w:rFonts w:eastAsia="Calibri" w:cs="Times New Roman"/>
          <w:noProof/>
          <w:szCs w:val="24"/>
        </w:rPr>
        <w:t>ies and aims at enhancing capacities within state bodies with a view to preparing their readiness to manage the ESF in the future. In parallel and in view of the COVID-19 pandemic a reallocation by the EU and the Montenegrin authorities was re-directed tow</w:t>
      </w:r>
      <w:r>
        <w:rPr>
          <w:rFonts w:eastAsia="Calibri" w:cs="Times New Roman"/>
          <w:noProof/>
          <w:szCs w:val="24"/>
        </w:rPr>
        <w:t>ards addressing social and economic needs.</w:t>
      </w:r>
    </w:p>
    <w:p w:rsidR="003C2144" w:rsidRDefault="00FB7959">
      <w:pPr>
        <w:spacing w:after="120" w:line="240" w:lineRule="auto"/>
        <w:jc w:val="both"/>
        <w:rPr>
          <w:rFonts w:eastAsia="Times New Roman" w:cs="Times New Roman"/>
          <w:noProof/>
          <w:szCs w:val="24"/>
          <w:lang w:eastAsia="de-DE"/>
        </w:rPr>
      </w:pPr>
      <w:r>
        <w:rPr>
          <w:rFonts w:eastAsia="Times New Roman" w:cs="Times New Roman"/>
          <w:noProof/>
          <w:szCs w:val="24"/>
          <w:lang w:eastAsia="de-DE"/>
        </w:rPr>
        <w:t xml:space="preserve">On </w:t>
      </w:r>
      <w:r>
        <w:rPr>
          <w:rFonts w:eastAsia="Times New Roman" w:cs="Times New Roman"/>
          <w:b/>
          <w:bCs/>
          <w:noProof/>
          <w:szCs w:val="24"/>
          <w:lang w:eastAsia="de-DE"/>
        </w:rPr>
        <w:t>social inclusion</w:t>
      </w:r>
      <w:r>
        <w:rPr>
          <w:rFonts w:eastAsia="Times New Roman" w:cs="Times New Roman"/>
          <w:noProof/>
          <w:szCs w:val="24"/>
          <w:lang w:eastAsia="de-DE"/>
        </w:rPr>
        <w:t xml:space="preserve"> and </w:t>
      </w:r>
      <w:r>
        <w:rPr>
          <w:rFonts w:eastAsia="Times New Roman" w:cs="Times New Roman"/>
          <w:b/>
          <w:bCs/>
          <w:noProof/>
          <w:szCs w:val="24"/>
          <w:lang w:eastAsia="de-DE"/>
        </w:rPr>
        <w:t>protection</w:t>
      </w:r>
      <w:r>
        <w:rPr>
          <w:rFonts w:eastAsia="Times New Roman" w:cs="Times New Roman"/>
          <w:noProof/>
          <w:szCs w:val="24"/>
          <w:lang w:eastAsia="de-DE"/>
        </w:rPr>
        <w:t xml:space="preserve">, </w:t>
      </w:r>
      <w:r>
        <w:rPr>
          <w:rFonts w:eastAsia="Calibri" w:cs="Times New Roman"/>
          <w:bCs/>
          <w:noProof/>
          <w:color w:val="000000"/>
          <w:szCs w:val="24"/>
        </w:rPr>
        <w:t>the Action Plan 2020 for Implementation of the Strategy for Development of the Social and Child Protection System 2018-2022 and the Action Plan for 2020 to implement the Strategy for Development of the Social Welfare System for the Elderly 2018-2022 were a</w:t>
      </w:r>
      <w:r>
        <w:rPr>
          <w:rFonts w:eastAsia="Calibri" w:cs="Times New Roman"/>
          <w:bCs/>
          <w:noProof/>
          <w:color w:val="000000"/>
          <w:szCs w:val="24"/>
        </w:rPr>
        <w:t xml:space="preserve">dopted in January 2020. While </w:t>
      </w:r>
      <w:r>
        <w:rPr>
          <w:rFonts w:eastAsia="Times New Roman" w:cs="Times New Roman"/>
          <w:noProof/>
          <w:szCs w:val="24"/>
          <w:lang w:eastAsia="de-DE"/>
        </w:rPr>
        <w:t>some measures from relevant action plans have been implemented, there are as yet no adequate monitoring mechanisms and reports available and so the conditions for evidence-based policymaking are still not in place. Centres for</w:t>
      </w:r>
      <w:r>
        <w:rPr>
          <w:rFonts w:eastAsia="Times New Roman" w:cs="Times New Roman"/>
          <w:noProof/>
          <w:szCs w:val="24"/>
          <w:lang w:eastAsia="de-DE"/>
        </w:rPr>
        <w:t xml:space="preserve"> social work need strengthened capacities, in order to support the transition from institutional service provision to community-based care for children with special needs, persons with disabilities and the elderly. While many services are provided by civil</w:t>
      </w:r>
      <w:r>
        <w:rPr>
          <w:rFonts w:eastAsia="Times New Roman" w:cs="Times New Roman"/>
          <w:noProof/>
          <w:szCs w:val="24"/>
          <w:lang w:eastAsia="de-DE"/>
        </w:rPr>
        <w:t xml:space="preserve"> society organisations and are funded via projects, some by-laws prevent these organisations obtaining the proper licenses for these types of services. Additionally, the </w:t>
      </w:r>
      <w:r>
        <w:rPr>
          <w:rFonts w:eastAsia="Calibri" w:cs="Times New Roman"/>
          <w:noProof/>
          <w:color w:val="000000"/>
          <w:szCs w:val="24"/>
        </w:rPr>
        <w:t>survey of income and living conditions</w:t>
      </w:r>
      <w:r>
        <w:rPr>
          <w:rFonts w:eastAsia="Times New Roman" w:cs="Times New Roman"/>
          <w:noProof/>
          <w:szCs w:val="24"/>
          <w:lang w:eastAsia="de-DE"/>
        </w:rPr>
        <w:t xml:space="preserve"> (SILC) statistics released in December 2019 sti</w:t>
      </w:r>
      <w:r>
        <w:rPr>
          <w:rFonts w:eastAsia="Times New Roman" w:cs="Times New Roman"/>
          <w:noProof/>
          <w:szCs w:val="24"/>
          <w:lang w:eastAsia="de-DE"/>
        </w:rPr>
        <w:t>ll showed high risk of poverty and social exclusion with a figure of 31.4%, for 2018 signifying a 2.3 percentage point decrease compared to 2017. The Institute for Social and Child Protection continues to lack resources and social services provided at loca</w:t>
      </w:r>
      <w:r>
        <w:rPr>
          <w:rFonts w:eastAsia="Times New Roman" w:cs="Times New Roman"/>
          <w:noProof/>
          <w:szCs w:val="24"/>
          <w:lang w:eastAsia="de-DE"/>
        </w:rPr>
        <w:t>l levels are still deemed inadequate. The planned review of the social protection system is still needed in order to provide a clearer overview of how to help ensure to provide for social support and assistance to those in need while reinforcing links with</w:t>
      </w:r>
      <w:r>
        <w:rPr>
          <w:rFonts w:eastAsia="Times New Roman" w:cs="Times New Roman"/>
          <w:noProof/>
          <w:szCs w:val="24"/>
          <w:lang w:eastAsia="de-DE"/>
        </w:rPr>
        <w:t xml:space="preserve"> employment activation. Additional efforts are needed to fulfil the recommendations of the report of the </w:t>
      </w:r>
      <w:r>
        <w:rPr>
          <w:rFonts w:eastAsia="Calibri" w:cs="Times New Roman"/>
          <w:noProof/>
          <w:color w:val="000000"/>
          <w:szCs w:val="24"/>
        </w:rPr>
        <w:t>UN Committee on Economic, Social and Cultural Rights, notably regarding the amount of social benefits and adequate standard of living for socially vuln</w:t>
      </w:r>
      <w:r>
        <w:rPr>
          <w:rFonts w:eastAsia="Calibri" w:cs="Times New Roman"/>
          <w:noProof/>
          <w:color w:val="000000"/>
          <w:szCs w:val="24"/>
        </w:rPr>
        <w:t>erable people, and particularly the unemployed and homeless people. Protocols adopted in relation to COVID -19 preventive measures in social and child welfare institutions seem to have been effective so far, as no beneficiaries were reported to have been i</w:t>
      </w:r>
      <w:r>
        <w:rPr>
          <w:rFonts w:eastAsia="Calibri" w:cs="Times New Roman"/>
          <w:noProof/>
          <w:color w:val="000000"/>
          <w:szCs w:val="24"/>
        </w:rPr>
        <w:t xml:space="preserve">nfected during the reporting period. </w:t>
      </w:r>
      <w:r>
        <w:rPr>
          <w:rFonts w:eastAsia="Times New Roman" w:cs="Times New Roman"/>
          <w:noProof/>
          <w:szCs w:val="24"/>
          <w:lang w:eastAsia="de-DE"/>
        </w:rPr>
        <w:t xml:space="preserve">On </w:t>
      </w:r>
      <w:r>
        <w:rPr>
          <w:rFonts w:eastAsia="Times New Roman" w:cs="Times New Roman"/>
          <w:b/>
          <w:bCs/>
          <w:noProof/>
          <w:szCs w:val="24"/>
          <w:lang w:eastAsia="de-DE"/>
        </w:rPr>
        <w:t xml:space="preserve">de-institutionalisation </w:t>
      </w:r>
      <w:r>
        <w:rPr>
          <w:rFonts w:eastAsia="Times New Roman" w:cs="Times New Roman"/>
          <w:bCs/>
          <w:noProof/>
          <w:szCs w:val="24"/>
          <w:lang w:eastAsia="de-DE"/>
        </w:rPr>
        <w:t>of children in care,</w:t>
      </w:r>
      <w:r>
        <w:rPr>
          <w:rFonts w:eastAsia="Times New Roman" w:cs="Times New Roman"/>
          <w:b/>
          <w:bCs/>
          <w:noProof/>
          <w:szCs w:val="24"/>
          <w:lang w:eastAsia="de-DE"/>
        </w:rPr>
        <w:t xml:space="preserve"> </w:t>
      </w:r>
      <w:r>
        <w:rPr>
          <w:rFonts w:eastAsia="Times New Roman" w:cs="Times New Roman"/>
          <w:noProof/>
          <w:szCs w:val="24"/>
          <w:lang w:eastAsia="de-DE"/>
        </w:rPr>
        <w:t>not enough has been achieved so to ensure that Montenegro continues successfully to set up community and family-based services. Greater efforts still have to be put in pla</w:t>
      </w:r>
      <w:r>
        <w:rPr>
          <w:rFonts w:eastAsia="Times New Roman" w:cs="Times New Roman"/>
          <w:noProof/>
          <w:szCs w:val="24"/>
          <w:lang w:eastAsia="de-DE"/>
        </w:rPr>
        <w:t xml:space="preserve">ce so to ensure that a professional foster care system is in place for the future.  </w:t>
      </w:r>
    </w:p>
    <w:p w:rsidR="003C2144" w:rsidRDefault="00FB7959">
      <w:pPr>
        <w:spacing w:after="120" w:line="240" w:lineRule="auto"/>
        <w:jc w:val="both"/>
        <w:rPr>
          <w:rFonts w:eastAsia="Times New Roman" w:cs="Times New Roman"/>
          <w:noProof/>
          <w:szCs w:val="24"/>
          <w:lang w:eastAsia="de-DE"/>
        </w:rPr>
      </w:pPr>
      <w:r>
        <w:rPr>
          <w:rFonts w:eastAsia="Times New Roman" w:cs="Times New Roman"/>
          <w:noProof/>
          <w:szCs w:val="24"/>
          <w:lang w:eastAsia="de-DE"/>
        </w:rPr>
        <w:t xml:space="preserve">On </w:t>
      </w:r>
      <w:r>
        <w:rPr>
          <w:rFonts w:eastAsia="Times New Roman" w:cs="Times New Roman"/>
          <w:b/>
          <w:bCs/>
          <w:noProof/>
          <w:szCs w:val="24"/>
          <w:lang w:eastAsia="de-DE"/>
        </w:rPr>
        <w:t>non-discrimination in employment and social policy</w:t>
      </w:r>
      <w:r>
        <w:rPr>
          <w:rFonts w:eastAsia="Times New Roman" w:cs="Times New Roman"/>
          <w:noProof/>
          <w:szCs w:val="24"/>
          <w:lang w:eastAsia="de-DE"/>
        </w:rPr>
        <w:t>, some civil society organisations are still in the process of accreditation so that they can provide certain services</w:t>
      </w:r>
      <w:r>
        <w:rPr>
          <w:rFonts w:eastAsia="Times New Roman" w:cs="Times New Roman"/>
          <w:noProof/>
          <w:szCs w:val="24"/>
          <w:lang w:eastAsia="de-DE"/>
        </w:rPr>
        <w:t>, but at this stage their overall number remain low. Such obstacles affect the capacity of civil society organisations to conclude durable partnerships for service provision with line ministries. Furthermore no official reports on the implementation of the</w:t>
      </w:r>
      <w:r>
        <w:rPr>
          <w:rFonts w:eastAsia="Times New Roman" w:cs="Times New Roman"/>
          <w:noProof/>
          <w:szCs w:val="24"/>
          <w:lang w:eastAsia="de-DE"/>
        </w:rPr>
        <w:t xml:space="preserve"> Roma and Egyptians social inclusion strategy and action plan are yet available and there remains insufficient evidence of the required advancement on the ground. Further efforts are needed so to have in place sustainable and effective services available t</w:t>
      </w:r>
      <w:r>
        <w:rPr>
          <w:rFonts w:eastAsia="Times New Roman" w:cs="Times New Roman"/>
          <w:noProof/>
          <w:szCs w:val="24"/>
          <w:lang w:eastAsia="de-DE"/>
        </w:rPr>
        <w:t xml:space="preserve">o the Roma and Egyptian community and related monitoring and reporting should also be improved. </w:t>
      </w:r>
      <w:r>
        <w:rPr>
          <w:rFonts w:cs="Times New Roman"/>
          <w:noProof/>
          <w:szCs w:val="24"/>
        </w:rPr>
        <w:t>While there has been progress with regard to the rights of lesbian, gay, bisexual, transgender and intersex (LGBTI)</w:t>
      </w:r>
      <w:r>
        <w:rPr>
          <w:rFonts w:eastAsia="Times New Roman" w:cs="Times New Roman"/>
          <w:noProof/>
          <w:szCs w:val="24"/>
          <w:lang w:eastAsia="de-DE"/>
        </w:rPr>
        <w:t xml:space="preserve"> cooperation between the Ministry of Labour a</w:t>
      </w:r>
      <w:r>
        <w:rPr>
          <w:rFonts w:eastAsia="Times New Roman" w:cs="Times New Roman"/>
          <w:noProof/>
          <w:szCs w:val="24"/>
          <w:lang w:eastAsia="de-DE"/>
        </w:rPr>
        <w:t>nd Social Welfare and the LGBTI community should still be strengthened, in particular with regard to the social and health sectors, so to ensure effective implementation of the new LGBTI strategy (2019-2023) for which a national team for monitoring impleme</w:t>
      </w:r>
      <w:r>
        <w:rPr>
          <w:rFonts w:eastAsia="Times New Roman" w:cs="Times New Roman"/>
          <w:noProof/>
          <w:szCs w:val="24"/>
          <w:lang w:eastAsia="de-DE"/>
        </w:rPr>
        <w:t>ntation was established in August 2019. Public hearings on the revisions of the anti-discrimination law were held in March 2020. Despite this, throughout Montenegro, civil society organisations remain insufficiently involved in decision-making</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bCs/>
          <w:noProof/>
          <w:szCs w:val="24"/>
        </w:rPr>
        <w:t xml:space="preserve">equality </w:t>
      </w:r>
      <w:r>
        <w:rPr>
          <w:rFonts w:eastAsia="Calibri" w:cs="Times New Roman"/>
          <w:b/>
          <w:bCs/>
          <w:noProof/>
          <w:szCs w:val="24"/>
        </w:rPr>
        <w:t>between women and men in employment and social policy,</w:t>
      </w:r>
      <w:r>
        <w:rPr>
          <w:rFonts w:eastAsia="Calibri" w:cs="Times New Roman"/>
          <w:noProof/>
          <w:szCs w:val="24"/>
        </w:rPr>
        <w:t xml:space="preserve"> notwithstanding measures which have been put in place, women remain vulnerable to discrimination in the labour market, resulting in lower participation and lower income generation rates and, in turn, h</w:t>
      </w:r>
      <w:r>
        <w:rPr>
          <w:rFonts w:eastAsia="Calibri" w:cs="Times New Roman"/>
          <w:noProof/>
          <w:szCs w:val="24"/>
        </w:rPr>
        <w:t>indering access to long-term employment contracts and access to paid maternity leave. Issues such the gender gap in employment and pay, sexual harassment in the workplace, affordable childcare, unpaid work and tax benefit systems remain largely unaddressed</w:t>
      </w:r>
      <w:r>
        <w:rPr>
          <w:rFonts w:eastAsia="Calibri" w:cs="Times New Roman"/>
          <w:noProof/>
          <w:szCs w:val="24"/>
        </w:rPr>
        <w:t xml:space="preserve">. Continued focus must be placed on pro-women initiatives, on tailor made active labour market measures which target women, and on legislative and non-legislative measures focused on work-life balance. </w:t>
      </w:r>
    </w:p>
    <w:p w:rsidR="003C2144" w:rsidRDefault="00FB7959">
      <w:pPr>
        <w:pStyle w:val="Heading2"/>
        <w:rPr>
          <w:rFonts w:eastAsia="Times New Roman"/>
          <w:noProof/>
        </w:rPr>
      </w:pPr>
      <w:bookmarkStart w:id="223" w:name="_Toc30080584"/>
      <w:bookmarkStart w:id="224" w:name="_Toc30074162"/>
      <w:bookmarkStart w:id="225" w:name="_Toc30073849"/>
      <w:bookmarkStart w:id="226" w:name="_Toc52744953"/>
      <w:r>
        <w:rPr>
          <w:rFonts w:eastAsia="Times New Roman"/>
          <w:noProof/>
        </w:rPr>
        <w:t>5.20</w:t>
      </w:r>
      <w:r>
        <w:rPr>
          <w:rFonts w:eastAsia="Times New Roman"/>
          <w:noProof/>
        </w:rPr>
        <w:tab/>
        <w:t>Chapter 20: Enterprise and industrial policy</w:t>
      </w:r>
      <w:bookmarkEnd w:id="223"/>
      <w:bookmarkEnd w:id="224"/>
      <w:bookmarkEnd w:id="225"/>
      <w:bookmarkEnd w:id="226"/>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EU</w:t>
      </w:r>
      <w:r>
        <w:rPr>
          <w:rFonts w:eastAsia="Calibri" w:cs="Times New Roman"/>
          <w:i/>
          <w:iCs/>
          <w:noProof/>
          <w:color w:val="000000"/>
          <w:szCs w:val="24"/>
          <w:lang w:eastAsia="en-GB"/>
        </w:rPr>
        <w:t xml:space="preserve"> industrial policy enhances competitiveness, facilitates structural change and encourages an enterprise-friendly environment that stimulates small and medium sized enterprises.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2144">
        <w:tc>
          <w:tcPr>
            <w:tcW w:w="9356" w:type="dxa"/>
            <w:tcBorders>
              <w:top w:val="single" w:sz="4" w:space="0" w:color="auto"/>
              <w:left w:val="single" w:sz="4" w:space="0" w:color="auto"/>
              <w:bottom w:val="single" w:sz="4" w:space="0" w:color="auto"/>
              <w:right w:val="single" w:sz="4" w:space="0" w:color="auto"/>
            </w:tcBorders>
            <w:shd w:val="clear" w:color="auto" w:fill="D9D9D9"/>
            <w:hideMark/>
          </w:tcPr>
          <w:p w:rsidR="003C2144" w:rsidRDefault="00FB7959">
            <w:pPr>
              <w:autoSpaceDE w:val="0"/>
              <w:autoSpaceDN w:val="0"/>
              <w:adjustRightInd w:val="0"/>
              <w:spacing w:after="120" w:line="240" w:lineRule="auto"/>
              <w:jc w:val="both"/>
              <w:rPr>
                <w:rFonts w:eastAsia="Calibri" w:cs="Times New Roman"/>
                <w:iCs/>
                <w:noProof/>
                <w:color w:val="000000"/>
                <w:szCs w:val="24"/>
              </w:rPr>
            </w:pPr>
            <w:r>
              <w:rPr>
                <w:rFonts w:eastAsia="Calibri" w:cs="Times New Roman"/>
                <w:iCs/>
                <w:noProof/>
                <w:color w:val="000000"/>
                <w:szCs w:val="24"/>
              </w:rPr>
              <w:t xml:space="preserve">Montenegro is </w:t>
            </w:r>
            <w:r>
              <w:rPr>
                <w:rFonts w:eastAsia="Calibri" w:cs="Times New Roman"/>
                <w:b/>
                <w:iCs/>
                <w:noProof/>
                <w:color w:val="000000"/>
                <w:szCs w:val="24"/>
              </w:rPr>
              <w:t>moderately prepared/</w:t>
            </w:r>
            <w:r>
              <w:rPr>
                <w:rFonts w:eastAsia="Calibri" w:cs="Times New Roman"/>
                <w:iCs/>
                <w:noProof/>
                <w:color w:val="000000"/>
                <w:szCs w:val="24"/>
              </w:rPr>
              <w:t>has a</w:t>
            </w:r>
            <w:r>
              <w:rPr>
                <w:rFonts w:eastAsia="Calibri" w:cs="Times New Roman"/>
                <w:b/>
                <w:iCs/>
                <w:noProof/>
                <w:color w:val="000000"/>
                <w:szCs w:val="24"/>
              </w:rPr>
              <w:t xml:space="preserve"> good level of preparation</w:t>
            </w:r>
            <w:r>
              <w:rPr>
                <w:rFonts w:eastAsia="Calibri" w:cs="Times New Roman"/>
                <w:iCs/>
                <w:noProof/>
                <w:color w:val="000000"/>
                <w:szCs w:val="24"/>
              </w:rPr>
              <w:t xml:space="preserve"> on enterprise and industrial policy. </w:t>
            </w:r>
            <w:r>
              <w:rPr>
                <w:rFonts w:eastAsia="Calibri" w:cs="Times New Roman"/>
                <w:b/>
                <w:iCs/>
                <w:noProof/>
                <w:color w:val="000000"/>
                <w:szCs w:val="24"/>
              </w:rPr>
              <w:t>Some progress</w:t>
            </w:r>
            <w:r>
              <w:rPr>
                <w:rFonts w:eastAsia="Calibri" w:cs="Times New Roman"/>
                <w:iCs/>
                <w:noProof/>
                <w:color w:val="000000"/>
                <w:szCs w:val="24"/>
              </w:rPr>
              <w:t xml:space="preserve"> was made on meeting last year’s recommendations, in particular on the sector policy, with the adoption of a revised industrial policy. Both inter and intra-ministerial cooperation on technical and politic</w:t>
            </w:r>
            <w:r>
              <w:rPr>
                <w:rFonts w:eastAsia="Calibri" w:cs="Times New Roman"/>
                <w:iCs/>
                <w:noProof/>
                <w:color w:val="000000"/>
                <w:szCs w:val="24"/>
              </w:rPr>
              <w:t>al level should be significantly increased to ensure consistency and coherence between different national key strategies and programmes, in particular on industrial policy, smart specialisation and the Economic Reform Programme.</w:t>
            </w:r>
          </w:p>
          <w:p w:rsidR="003C2144" w:rsidRDefault="00FB7959">
            <w:pPr>
              <w:autoSpaceDE w:val="0"/>
              <w:autoSpaceDN w:val="0"/>
              <w:adjustRightInd w:val="0"/>
              <w:spacing w:after="120" w:line="240" w:lineRule="auto"/>
              <w:jc w:val="both"/>
              <w:rPr>
                <w:rFonts w:eastAsia="Calibri" w:cs="Times New Roman"/>
                <w:iCs/>
                <w:noProof/>
                <w:color w:val="000000"/>
                <w:szCs w:val="24"/>
              </w:rPr>
            </w:pPr>
            <w:r>
              <w:rPr>
                <w:rFonts w:eastAsia="Calibri" w:cs="Times New Roman"/>
                <w:iCs/>
                <w:noProof/>
                <w:color w:val="000000"/>
                <w:szCs w:val="24"/>
              </w:rPr>
              <w:t>In the coming year, Montene</w:t>
            </w:r>
            <w:r>
              <w:rPr>
                <w:rFonts w:eastAsia="Calibri" w:cs="Times New Roman"/>
                <w:iCs/>
                <w:noProof/>
                <w:color w:val="000000"/>
                <w:szCs w:val="24"/>
              </w:rPr>
              <w:t>gro should in particular:</w:t>
            </w:r>
          </w:p>
          <w:p w:rsidR="003C2144" w:rsidRDefault="00FB7959">
            <w:pPr>
              <w:pStyle w:val="ListParagraph"/>
              <w:numPr>
                <w:ilvl w:val="0"/>
                <w:numId w:val="24"/>
              </w:numPr>
              <w:autoSpaceDE w:val="0"/>
              <w:autoSpaceDN w:val="0"/>
              <w:adjustRightInd w:val="0"/>
              <w:spacing w:after="120" w:line="240" w:lineRule="auto"/>
              <w:contextualSpacing w:val="0"/>
              <w:jc w:val="both"/>
              <w:rPr>
                <w:rFonts w:ascii="Times New Roman" w:eastAsia="Calibri" w:hAnsi="Times New Roman" w:cs="Times New Roman"/>
                <w:iCs/>
                <w:noProof/>
                <w:color w:val="000000"/>
                <w:sz w:val="24"/>
                <w:szCs w:val="24"/>
              </w:rPr>
            </w:pPr>
            <w:r>
              <w:rPr>
                <w:rFonts w:ascii="Times New Roman" w:eastAsia="Calibri" w:hAnsi="Times New Roman" w:cs="Times New Roman"/>
                <w:iCs/>
                <w:noProof/>
                <w:color w:val="000000"/>
                <w:sz w:val="24"/>
                <w:szCs w:val="24"/>
              </w:rPr>
              <w:t>focus on the implementation of revised industrial policy, in cooperation with relevant stakeholders;</w:t>
            </w:r>
          </w:p>
          <w:p w:rsidR="003C2144" w:rsidRDefault="00FB7959">
            <w:pPr>
              <w:pStyle w:val="ListParagraph"/>
              <w:numPr>
                <w:ilvl w:val="0"/>
                <w:numId w:val="24"/>
              </w:numPr>
              <w:autoSpaceDE w:val="0"/>
              <w:autoSpaceDN w:val="0"/>
              <w:adjustRightInd w:val="0"/>
              <w:spacing w:after="120" w:line="240" w:lineRule="auto"/>
              <w:contextualSpacing w:val="0"/>
              <w:jc w:val="both"/>
              <w:rPr>
                <w:rFonts w:ascii="Times New Roman" w:eastAsia="Calibri" w:hAnsi="Times New Roman" w:cs="Times New Roman"/>
                <w:iCs/>
                <w:noProof/>
                <w:color w:val="000000"/>
                <w:sz w:val="24"/>
                <w:szCs w:val="24"/>
                <w:lang w:eastAsia="it-IT"/>
              </w:rPr>
            </w:pPr>
            <w:r>
              <w:rPr>
                <w:rFonts w:ascii="Times New Roman" w:eastAsia="Calibri" w:hAnsi="Times New Roman" w:cs="Times New Roman"/>
                <w:iCs/>
                <w:noProof/>
                <w:color w:val="000000"/>
                <w:sz w:val="24"/>
                <w:szCs w:val="24"/>
              </w:rPr>
              <w:t>ensure continuous coordination of the industrial policy with other national key strategies.</w:t>
            </w:r>
          </w:p>
        </w:tc>
      </w:tr>
    </w:tbl>
    <w:p w:rsidR="003C2144" w:rsidRDefault="00FB7959">
      <w:pPr>
        <w:autoSpaceDE w:val="0"/>
        <w:autoSpaceDN w:val="0"/>
        <w:adjustRightInd w:val="0"/>
        <w:spacing w:after="120" w:line="240" w:lineRule="auto"/>
        <w:jc w:val="both"/>
        <w:rPr>
          <w:rFonts w:eastAsia="Calibri" w:cs="Times New Roman"/>
          <w:noProof/>
          <w:szCs w:val="24"/>
          <w:lang w:eastAsia="en-GB"/>
        </w:rPr>
      </w:pPr>
      <w:r>
        <w:rPr>
          <w:rFonts w:eastAsia="Calibri" w:cs="Times New Roman"/>
          <w:noProof/>
          <w:szCs w:val="24"/>
          <w:lang w:eastAsia="en-GB"/>
        </w:rPr>
        <w:t xml:space="preserve">On </w:t>
      </w:r>
      <w:r>
        <w:rPr>
          <w:rFonts w:eastAsia="Calibri" w:cs="Times New Roman"/>
          <w:b/>
          <w:noProof/>
          <w:szCs w:val="24"/>
          <w:lang w:eastAsia="en-GB"/>
        </w:rPr>
        <w:t xml:space="preserve">enterprise and industrial policy </w:t>
      </w:r>
      <w:r>
        <w:rPr>
          <w:rFonts w:eastAsia="Calibri" w:cs="Times New Roman"/>
          <w:b/>
          <w:noProof/>
          <w:szCs w:val="24"/>
          <w:lang w:eastAsia="en-GB"/>
        </w:rPr>
        <w:t>principles</w:t>
      </w:r>
      <w:r>
        <w:rPr>
          <w:rFonts w:eastAsia="Calibri" w:cs="Times New Roman"/>
          <w:bCs/>
          <w:noProof/>
          <w:szCs w:val="24"/>
          <w:lang w:eastAsia="en-GB"/>
        </w:rPr>
        <w:t>,</w:t>
      </w:r>
      <w:r>
        <w:rPr>
          <w:rFonts w:eastAsia="Calibri" w:cs="Times New Roman"/>
          <w:b/>
          <w:noProof/>
          <w:szCs w:val="24"/>
          <w:lang w:eastAsia="en-GB"/>
        </w:rPr>
        <w:t xml:space="preserve"> </w:t>
      </w:r>
      <w:r>
        <w:rPr>
          <w:rFonts w:eastAsia="Calibri" w:cs="Times New Roman"/>
          <w:noProof/>
          <w:szCs w:val="24"/>
          <w:lang w:eastAsia="en-GB"/>
        </w:rPr>
        <w:t>amendments to the law on tourism and hospitality were adopted in</w:t>
      </w:r>
      <w:r>
        <w:rPr>
          <w:rFonts w:eastAsia="Calibri" w:cs="Times New Roman"/>
          <w:b/>
          <w:noProof/>
          <w:szCs w:val="24"/>
          <w:lang w:eastAsia="en-GB"/>
        </w:rPr>
        <w:t xml:space="preserve"> </w:t>
      </w:r>
      <w:r>
        <w:rPr>
          <w:rFonts w:eastAsia="Calibri" w:cs="Times New Roman"/>
          <w:noProof/>
          <w:szCs w:val="24"/>
          <w:lang w:eastAsia="en-GB"/>
        </w:rPr>
        <w:t xml:space="preserve">April 2019. Montenegro is not yet aligned with the EU </w:t>
      </w:r>
      <w:r>
        <w:rPr>
          <w:rFonts w:eastAsia="Calibri" w:cs="Times New Roman"/>
          <w:i/>
          <w:noProof/>
          <w:szCs w:val="24"/>
          <w:lang w:eastAsia="en-GB"/>
        </w:rPr>
        <w:t>acquis</w:t>
      </w:r>
      <w:r>
        <w:rPr>
          <w:rFonts w:eastAsia="Calibri" w:cs="Times New Roman"/>
          <w:noProof/>
          <w:szCs w:val="24"/>
          <w:lang w:eastAsia="en-GB"/>
        </w:rPr>
        <w:t xml:space="preserve"> on combating late payments and is encouraged to continue the efforts, initiated in 2019, towards full alignment.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lang w:eastAsia="en-GB"/>
        </w:rPr>
        <w:t xml:space="preserve">On </w:t>
      </w:r>
      <w:r>
        <w:rPr>
          <w:rFonts w:eastAsia="Calibri" w:cs="Times New Roman"/>
          <w:b/>
          <w:noProof/>
          <w:szCs w:val="24"/>
          <w:lang w:eastAsia="en-GB"/>
        </w:rPr>
        <w:t>enterprise and industrial policy instruments</w:t>
      </w:r>
      <w:r>
        <w:rPr>
          <w:rFonts w:eastAsia="Calibri" w:cs="Times New Roman"/>
          <w:noProof/>
          <w:szCs w:val="24"/>
          <w:lang w:eastAsia="en-GB"/>
        </w:rPr>
        <w:t xml:space="preserve">, Montenegro continued implementing programmes for cluster development, </w:t>
      </w:r>
      <w:r>
        <w:rPr>
          <w:rFonts w:eastAsia="Calibri" w:cs="Times New Roman"/>
          <w:noProof/>
          <w:szCs w:val="24"/>
        </w:rPr>
        <w:t>regional and local competitiveness and modernisation of the manufacturing industry, providing small grants and financial assistance to proje</w:t>
      </w:r>
      <w:r>
        <w:rPr>
          <w:rFonts w:eastAsia="Calibri" w:cs="Times New Roman"/>
          <w:noProof/>
          <w:szCs w:val="24"/>
        </w:rPr>
        <w:t xml:space="preserve">cts in these areas.  </w:t>
      </w:r>
      <w:r>
        <w:rPr>
          <w:rFonts w:eastAsia="Calibri" w:cs="Times New Roman"/>
          <w:noProof/>
          <w:szCs w:val="24"/>
          <w:lang w:eastAsia="en-GB"/>
        </w:rPr>
        <w:t xml:space="preserve">The </w:t>
      </w:r>
      <w:r>
        <w:rPr>
          <w:rFonts w:eastAsia="Calibri" w:cs="Times New Roman"/>
          <w:noProof/>
          <w:szCs w:val="24"/>
        </w:rPr>
        <w:t>Investment and Development Fund of Montenegro (IDF) provided financing worth EUR 241 million to the Montenegrin enterprises. In addition, the IDF signed an agreement with the European Investment Fund on access to the Loan Guarantee</w:t>
      </w:r>
      <w:r>
        <w:rPr>
          <w:rFonts w:eastAsia="Calibri" w:cs="Times New Roman"/>
          <w:noProof/>
          <w:szCs w:val="24"/>
        </w:rPr>
        <w:t xml:space="preserve"> Facility (LGF) of the EU programme for the Competitiveness of Enterprises and SMEs (COSME). The loan guarantees available under the agreement total EUR 75 million over a three-year period.</w:t>
      </w:r>
      <w:r>
        <w:rPr>
          <w:rFonts w:cs="Times New Roman"/>
          <w:noProof/>
          <w:szCs w:val="24"/>
        </w:rPr>
        <w:t xml:space="preserve"> </w:t>
      </w:r>
      <w:r>
        <w:rPr>
          <w:rFonts w:eastAsia="Calibri" w:cs="Times New Roman"/>
          <w:noProof/>
          <w:szCs w:val="24"/>
        </w:rPr>
        <w:t>Organisations from Montenegro successfully participate in the COSM</w:t>
      </w:r>
      <w:r>
        <w:rPr>
          <w:rFonts w:eastAsia="Calibri" w:cs="Times New Roman"/>
          <w:noProof/>
          <w:szCs w:val="24"/>
        </w:rPr>
        <w:t>E-financed programmes Enterprise Europe Network and Erasmus for Young Entrepreneurs.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lang w:eastAsia="en-GB"/>
        </w:rPr>
        <w:t xml:space="preserve">On </w:t>
      </w:r>
      <w:r>
        <w:rPr>
          <w:rFonts w:eastAsia="Calibri" w:cs="Times New Roman"/>
          <w:b/>
          <w:noProof/>
          <w:szCs w:val="24"/>
          <w:lang w:eastAsia="en-GB"/>
        </w:rPr>
        <w:t>sector policies</w:t>
      </w:r>
      <w:r>
        <w:rPr>
          <w:rFonts w:eastAsia="Calibri" w:cs="Times New Roman"/>
          <w:noProof/>
          <w:szCs w:val="24"/>
          <w:lang w:eastAsia="en-GB"/>
        </w:rPr>
        <w:t xml:space="preserve">, following the completion of a </w:t>
      </w:r>
      <w:r>
        <w:rPr>
          <w:rFonts w:eastAsia="Calibri" w:cs="Times New Roman"/>
          <w:noProof/>
          <w:color w:val="000000"/>
          <w:szCs w:val="24"/>
          <w:lang w:eastAsia="en-GB"/>
        </w:rPr>
        <w:t xml:space="preserve">a mid-term review of the 2016-2018 Industrial Policy in March 2019, the government adopted in October 2019 a </w:t>
      </w:r>
      <w:r>
        <w:rPr>
          <w:rFonts w:eastAsia="Calibri" w:cs="Times New Roman"/>
          <w:noProof/>
          <w:szCs w:val="24"/>
          <w:lang w:eastAsia="en-GB"/>
        </w:rPr>
        <w:t>revised Indu</w:t>
      </w:r>
      <w:r>
        <w:rPr>
          <w:rFonts w:eastAsia="Calibri" w:cs="Times New Roman"/>
          <w:noProof/>
          <w:szCs w:val="24"/>
          <w:lang w:eastAsia="en-GB"/>
        </w:rPr>
        <w:t>strial Policy of Montenegro for 2019-2023 and accompanying 2019-2020 action plan. Four strategic goals from the original 2016 Industrial Policy were retained, with some updates to their focus. The action plan allocates some EUR 811 million in funds for 201</w:t>
      </w:r>
      <w:r>
        <w:rPr>
          <w:rFonts w:eastAsia="Calibri" w:cs="Times New Roman"/>
          <w:noProof/>
          <w:szCs w:val="24"/>
          <w:lang w:eastAsia="en-GB"/>
        </w:rPr>
        <w:t>9 and 2020, although some 35% of this amount is expected to come from the private sector and donors. The plan places very heavy emphasis on access to funding and financial assistance to beneficiary companies, mainly through the IDF, and on the financing of</w:t>
      </w:r>
      <w:r>
        <w:rPr>
          <w:rFonts w:eastAsia="Calibri" w:cs="Times New Roman"/>
          <w:noProof/>
          <w:szCs w:val="24"/>
          <w:lang w:eastAsia="en-GB"/>
        </w:rPr>
        <w:t xml:space="preserve"> projects in the energy and tourism sectors. Two of the four strategic goals - access to international markets and stimulating innovation, technology and entrepreneurship - receive together only 10% of the intended funding. </w:t>
      </w:r>
      <w:r>
        <w:rPr>
          <w:rFonts w:eastAsia="Calibri" w:cs="Times New Roman"/>
          <w:noProof/>
          <w:szCs w:val="24"/>
        </w:rPr>
        <w:t>In June 2019, the government ado</w:t>
      </w:r>
      <w:r>
        <w:rPr>
          <w:rFonts w:eastAsia="Calibri" w:cs="Times New Roman"/>
          <w:noProof/>
          <w:szCs w:val="24"/>
        </w:rPr>
        <w:t xml:space="preserve">pted the </w:t>
      </w:r>
      <w:r>
        <w:rPr>
          <w:rFonts w:eastAsia="Calibri" w:cs="Times New Roman"/>
          <w:b/>
          <w:noProof/>
          <w:szCs w:val="24"/>
        </w:rPr>
        <w:t>2019-2024</w:t>
      </w:r>
      <w:r>
        <w:rPr>
          <w:rFonts w:eastAsia="Calibri" w:cs="Times New Roman"/>
          <w:noProof/>
          <w:szCs w:val="24"/>
        </w:rPr>
        <w:t xml:space="preserve"> </w:t>
      </w:r>
      <w:r>
        <w:rPr>
          <w:rFonts w:eastAsia="Calibri" w:cs="Times New Roman"/>
          <w:b/>
          <w:noProof/>
          <w:szCs w:val="24"/>
        </w:rPr>
        <w:t xml:space="preserve">Smart Specialisation Strategy (S3) </w:t>
      </w:r>
      <w:r>
        <w:rPr>
          <w:rFonts w:eastAsia="Calibri" w:cs="Times New Roman"/>
          <w:noProof/>
          <w:szCs w:val="24"/>
        </w:rPr>
        <w:t xml:space="preserve">(see Chapter 25). It aims to strengthen the industrial policy by improving the development of an innovation eco-system through science-based innovation in a territorially balanced way. Teams and policy </w:t>
      </w:r>
      <w:r>
        <w:rPr>
          <w:rFonts w:eastAsia="Calibri" w:cs="Times New Roman"/>
          <w:noProof/>
          <w:szCs w:val="24"/>
        </w:rPr>
        <w:t>makers responsible for the Economic Reform Programme, the S3 and Industrial Policy strategies should fully cooperate to ensure consistency and coherence in the implementation of these three key policies.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April 2020, the government adopted a programme of</w:t>
      </w:r>
      <w:r>
        <w:rPr>
          <w:rFonts w:eastAsia="Calibri" w:cs="Times New Roman"/>
          <w:noProof/>
          <w:szCs w:val="24"/>
        </w:rPr>
        <w:t xml:space="preserve"> support for the economy and employees, to mitigate the negative consequences of COVID-19 pandemic. The programme includes six types of subsidies, supporting over 100,000 employees in micro, small and medium enterprises. The subsidies are aimed at entrepre</w:t>
      </w:r>
      <w:r>
        <w:rPr>
          <w:rFonts w:eastAsia="Calibri" w:cs="Times New Roman"/>
          <w:noProof/>
          <w:szCs w:val="24"/>
        </w:rPr>
        <w:t xml:space="preserve">neurs and employees of companies whose operations were closed down or significantly reduced because of the measures introduced by the Ministry of Health. </w:t>
      </w:r>
    </w:p>
    <w:p w:rsidR="003C2144" w:rsidRDefault="00FB7959">
      <w:pPr>
        <w:pStyle w:val="Heading2"/>
        <w:rPr>
          <w:rFonts w:eastAsia="Times New Roman"/>
          <w:noProof/>
        </w:rPr>
      </w:pPr>
      <w:bookmarkStart w:id="227" w:name="_Toc30073850"/>
      <w:bookmarkStart w:id="228" w:name="_Toc30074163"/>
      <w:bookmarkStart w:id="229" w:name="_Toc30080585"/>
      <w:bookmarkStart w:id="230" w:name="_Toc52744954"/>
      <w:r>
        <w:rPr>
          <w:rFonts w:eastAsia="Times New Roman"/>
          <w:noProof/>
        </w:rPr>
        <w:t>5.21</w:t>
      </w:r>
      <w:r>
        <w:rPr>
          <w:rFonts w:eastAsia="Times New Roman"/>
          <w:noProof/>
        </w:rPr>
        <w:tab/>
        <w:t>Chapter 21: Trans-European networks</w:t>
      </w:r>
      <w:bookmarkEnd w:id="227"/>
      <w:bookmarkEnd w:id="228"/>
      <w:bookmarkEnd w:id="229"/>
      <w:bookmarkEnd w:id="230"/>
    </w:p>
    <w:p w:rsidR="003C2144" w:rsidRDefault="00FB7959">
      <w:pPr>
        <w:spacing w:after="120" w:line="240" w:lineRule="auto"/>
        <w:jc w:val="both"/>
        <w:rPr>
          <w:rFonts w:eastAsia="Calibri" w:cs="Times New Roman"/>
          <w:i/>
          <w:iCs/>
          <w:noProof/>
          <w:color w:val="000000"/>
          <w:szCs w:val="24"/>
        </w:rPr>
      </w:pPr>
      <w:r>
        <w:rPr>
          <w:rFonts w:eastAsia="Calibri" w:cs="Times New Roman"/>
          <w:i/>
          <w:iCs/>
          <w:noProof/>
          <w:color w:val="000000"/>
          <w:szCs w:val="24"/>
        </w:rPr>
        <w:t>The EU promotes trans-European networks in transport, teleco</w:t>
      </w:r>
      <w:r>
        <w:rPr>
          <w:rFonts w:eastAsia="Calibri" w:cs="Times New Roman"/>
          <w:i/>
          <w:iCs/>
          <w:noProof/>
          <w:color w:val="000000"/>
          <w:szCs w:val="24"/>
        </w:rPr>
        <w:t>mmunications and energy to strengthen the internal market and contribute to growth and employment.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30"/>
      </w:tblGrid>
      <w:tr w:rsidR="003C2144">
        <w:tc>
          <w:tcPr>
            <w:tcW w:w="9067" w:type="dxa"/>
            <w:tcBorders>
              <w:top w:val="single" w:sz="4" w:space="0" w:color="auto"/>
              <w:left w:val="single" w:sz="4" w:space="0" w:color="auto"/>
              <w:bottom w:val="single" w:sz="4" w:space="0" w:color="auto"/>
              <w:right w:val="single" w:sz="4" w:space="0" w:color="auto"/>
            </w:tcBorders>
            <w:shd w:val="clear" w:color="auto" w:fill="D9D9D9"/>
            <w:hideMark/>
          </w:tcPr>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09"/>
            </w:tblGrid>
            <w:tr w:rsidR="003C2144">
              <w:tc>
                <w:tcPr>
                  <w:tcW w:w="9209" w:type="dxa"/>
                  <w:tcBorders>
                    <w:top w:val="single" w:sz="4" w:space="0" w:color="auto"/>
                    <w:left w:val="single" w:sz="4" w:space="0" w:color="auto"/>
                    <w:bottom w:val="single" w:sz="4" w:space="0" w:color="auto"/>
                    <w:right w:val="single" w:sz="4" w:space="0" w:color="auto"/>
                  </w:tcBorders>
                  <w:shd w:val="clear" w:color="auto" w:fill="D9D9D9"/>
                  <w:hideMark/>
                </w:tcPr>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remains </w:t>
                  </w:r>
                  <w:r>
                    <w:rPr>
                      <w:rFonts w:eastAsia="Calibri" w:cs="Times New Roman"/>
                      <w:b/>
                      <w:noProof/>
                      <w:color w:val="000000"/>
                      <w:szCs w:val="24"/>
                    </w:rPr>
                    <w:t>moderately prepared/</w:t>
                  </w:r>
                  <w:r>
                    <w:rPr>
                      <w:rFonts w:eastAsia="Calibri" w:cs="Times New Roman"/>
                      <w:noProof/>
                      <w:color w:val="000000"/>
                      <w:szCs w:val="24"/>
                    </w:rPr>
                    <w:t xml:space="preserve">has a </w:t>
                  </w:r>
                  <w:r>
                    <w:rPr>
                      <w:rFonts w:eastAsia="Calibri" w:cs="Times New Roman"/>
                      <w:b/>
                      <w:noProof/>
                      <w:color w:val="000000"/>
                      <w:szCs w:val="24"/>
                    </w:rPr>
                    <w:t>good level of preparation</w:t>
                  </w:r>
                  <w:r>
                    <w:rPr>
                      <w:rFonts w:eastAsia="Calibri" w:cs="Times New Roman"/>
                      <w:noProof/>
                      <w:color w:val="000000"/>
                      <w:szCs w:val="24"/>
                    </w:rPr>
                    <w:t xml:space="preserve"> in the area of trans-European networks. </w:t>
                  </w:r>
                  <w:r>
                    <w:rPr>
                      <w:rFonts w:eastAsia="Calibri" w:cs="Times New Roman"/>
                      <w:b/>
                      <w:noProof/>
                      <w:color w:val="000000"/>
                      <w:szCs w:val="24"/>
                    </w:rPr>
                    <w:t xml:space="preserve">Some progress </w:t>
                  </w:r>
                  <w:r>
                    <w:rPr>
                      <w:rFonts w:eastAsia="Calibri" w:cs="Times New Roman"/>
                      <w:noProof/>
                      <w:color w:val="000000"/>
                      <w:szCs w:val="24"/>
                    </w:rPr>
                    <w:t xml:space="preserve">was made in the reporting period, </w:t>
                  </w:r>
                  <w:r>
                    <w:rPr>
                      <w:rFonts w:eastAsia="Calibri" w:cs="Times New Roman"/>
                      <w:noProof/>
                      <w:szCs w:val="24"/>
                    </w:rPr>
                    <w:t xml:space="preserve">in particular on the 2019 recommendation concerning </w:t>
                  </w:r>
                  <w:r>
                    <w:rPr>
                      <w:rFonts w:eastAsia="Calibri" w:cs="Times New Roman"/>
                      <w:noProof/>
                      <w:color w:val="000000"/>
                      <w:szCs w:val="24"/>
                    </w:rPr>
                    <w:t>the adoption of the Transport Development Strategy for the period 2019-2035. However, the 2019 recommendations remain predominantly valid, and in the coming year Monteneg</w:t>
                  </w:r>
                  <w:r>
                    <w:rPr>
                      <w:rFonts w:eastAsia="Calibri" w:cs="Times New Roman"/>
                      <w:noProof/>
                      <w:color w:val="000000"/>
                      <w:szCs w:val="24"/>
                    </w:rPr>
                    <w:t xml:space="preserve">ro should in particular: </w:t>
                  </w:r>
                </w:p>
                <w:p w:rsidR="003C2144" w:rsidRDefault="00FB7959">
                  <w:pPr>
                    <w:pStyle w:val="ListParagraph"/>
                    <w:numPr>
                      <w:ilvl w:val="0"/>
                      <w:numId w:val="25"/>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continue implementing the new Transport Development Strategy with its annual action plan;</w:t>
                  </w:r>
                </w:p>
                <w:p w:rsidR="003C2144" w:rsidRDefault="00FB7959">
                  <w:pPr>
                    <w:pStyle w:val="ListParagraph"/>
                    <w:numPr>
                      <w:ilvl w:val="0"/>
                      <w:numId w:val="25"/>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iCs/>
                      <w:noProof/>
                      <w:color w:val="000000"/>
                      <w:sz w:val="24"/>
                      <w:szCs w:val="24"/>
                    </w:rPr>
                    <w:t>strengthen</w:t>
                  </w:r>
                  <w:r>
                    <w:rPr>
                      <w:rFonts w:ascii="Times New Roman" w:eastAsia="Calibri" w:hAnsi="Times New Roman" w:cs="Times New Roman"/>
                      <w:noProof/>
                      <w:color w:val="000000"/>
                      <w:sz w:val="24"/>
                      <w:szCs w:val="24"/>
                    </w:rPr>
                    <w:t xml:space="preserve"> the administrative capacities for trans-European networks in the areas of transport, telecommunications and energy;</w:t>
                  </w:r>
                </w:p>
                <w:p w:rsidR="003C2144" w:rsidRDefault="00FB7959">
                  <w:pPr>
                    <w:pStyle w:val="ListParagraph"/>
                    <w:numPr>
                      <w:ilvl w:val="0"/>
                      <w:numId w:val="25"/>
                    </w:numPr>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continue harm</w:t>
                  </w:r>
                  <w:r>
                    <w:rPr>
                      <w:rFonts w:ascii="Times New Roman" w:eastAsia="Calibri" w:hAnsi="Times New Roman" w:cs="Times New Roman"/>
                      <w:noProof/>
                      <w:color w:val="000000"/>
                      <w:sz w:val="24"/>
                      <w:szCs w:val="24"/>
                    </w:rPr>
                    <w:t>onising the legal framework with TEN-T and TEN-E Regulations.</w:t>
                  </w:r>
                </w:p>
              </w:tc>
            </w:tr>
          </w:tbl>
          <w:p w:rsidR="003C2144" w:rsidRDefault="003C2144">
            <w:pPr>
              <w:spacing w:after="120" w:line="240" w:lineRule="auto"/>
              <w:rPr>
                <w:rFonts w:cs="Times New Roman"/>
                <w:noProof/>
                <w:szCs w:val="24"/>
              </w:rPr>
            </w:pPr>
          </w:p>
        </w:tc>
      </w:tr>
    </w:tbl>
    <w:p w:rsidR="003C2144" w:rsidRDefault="00FB7959">
      <w:pPr>
        <w:autoSpaceDE w:val="0"/>
        <w:autoSpaceDN w:val="0"/>
        <w:adjustRightInd w:val="0"/>
        <w:spacing w:after="120" w:line="240" w:lineRule="auto"/>
        <w:jc w:val="both"/>
        <w:rPr>
          <w:rFonts w:eastAsia="Times New Roman" w:cs="Times New Roman"/>
          <w:noProof/>
          <w:color w:val="000000"/>
          <w:szCs w:val="24"/>
          <w:lang w:eastAsia="en-GB"/>
        </w:rPr>
      </w:pPr>
      <w:r>
        <w:rPr>
          <w:rFonts w:eastAsia="Times New Roman" w:cs="Times New Roman"/>
          <w:noProof/>
          <w:color w:val="000000"/>
          <w:szCs w:val="24"/>
          <w:lang w:eastAsia="en-GB"/>
        </w:rPr>
        <w:t xml:space="preserve">On </w:t>
      </w:r>
      <w:r>
        <w:rPr>
          <w:rFonts w:eastAsia="Times New Roman" w:cs="Times New Roman"/>
          <w:b/>
          <w:noProof/>
          <w:color w:val="000000"/>
          <w:szCs w:val="24"/>
          <w:lang w:eastAsia="en-GB"/>
        </w:rPr>
        <w:t>transport networks</w:t>
      </w:r>
      <w:r>
        <w:rPr>
          <w:rFonts w:eastAsia="Times New Roman" w:cs="Times New Roman"/>
          <w:noProof/>
          <w:color w:val="000000"/>
          <w:szCs w:val="24"/>
          <w:lang w:eastAsia="en-GB"/>
        </w:rPr>
        <w:t xml:space="preserve">, Montenegro takes part in the Transport Community Treaty (TCT) </w:t>
      </w:r>
      <w:r>
        <w:rPr>
          <w:rFonts w:eastAsia="Calibri" w:cs="Times New Roman"/>
          <w:noProof/>
          <w:color w:val="000000"/>
          <w:szCs w:val="24"/>
        </w:rPr>
        <w:t xml:space="preserve">and continues to participate in the Western Balkans Six Connectivity Agenda. It is involved in the TCT </w:t>
      </w:r>
      <w:r>
        <w:rPr>
          <w:rFonts w:eastAsia="Calibri" w:cs="Times New Roman"/>
          <w:noProof/>
          <w:color w:val="000000"/>
          <w:szCs w:val="24"/>
        </w:rPr>
        <w:t>Regional Steering Committee meetings as well as other TCT technical committees (the railway, road safety, transport facilitation and road technical committees). The Montenegrin authorities are encouraged to continue and intensify cooperation under the Tran</w:t>
      </w:r>
      <w:r>
        <w:rPr>
          <w:rFonts w:eastAsia="Calibri" w:cs="Times New Roman"/>
          <w:noProof/>
          <w:color w:val="000000"/>
          <w:szCs w:val="24"/>
        </w:rPr>
        <w:t>sport Community Treaty.</w:t>
      </w:r>
    </w:p>
    <w:p w:rsidR="003C2144" w:rsidRDefault="00FB7959">
      <w:pPr>
        <w:autoSpaceDE w:val="0"/>
        <w:autoSpaceDN w:val="0"/>
        <w:adjustRightInd w:val="0"/>
        <w:spacing w:after="120" w:line="240" w:lineRule="auto"/>
        <w:jc w:val="both"/>
        <w:rPr>
          <w:rFonts w:eastAsia="Times New Roman" w:cs="Times New Roman"/>
          <w:noProof/>
          <w:color w:val="000000"/>
          <w:szCs w:val="24"/>
          <w:lang w:eastAsia="en-GB"/>
        </w:rPr>
      </w:pPr>
      <w:r>
        <w:rPr>
          <w:rFonts w:eastAsia="Times New Roman" w:cs="Times New Roman"/>
          <w:noProof/>
          <w:color w:val="000000"/>
          <w:szCs w:val="24"/>
          <w:lang w:eastAsia="en-GB"/>
        </w:rPr>
        <w:t>The new 2019-2035 transport development strategy and its action plan for 2019-2020 were adopted in June 2019. Its ambitious financing plan includes a number of core network projects and hinges on the assumption that significant fina</w:t>
      </w:r>
      <w:r>
        <w:rPr>
          <w:rFonts w:eastAsia="Times New Roman" w:cs="Times New Roman"/>
          <w:noProof/>
          <w:color w:val="000000"/>
          <w:szCs w:val="24"/>
          <w:lang w:eastAsia="en-GB"/>
        </w:rPr>
        <w:t>ncing will be raised through private capital.</w:t>
      </w:r>
    </w:p>
    <w:p w:rsidR="003C2144" w:rsidRDefault="00FB7959">
      <w:pPr>
        <w:autoSpaceDE w:val="0"/>
        <w:autoSpaceDN w:val="0"/>
        <w:adjustRightInd w:val="0"/>
        <w:spacing w:after="120" w:line="240" w:lineRule="auto"/>
        <w:jc w:val="both"/>
        <w:rPr>
          <w:rFonts w:eastAsia="Times New Roman" w:cs="Times New Roman"/>
          <w:noProof/>
          <w:color w:val="000000"/>
          <w:szCs w:val="24"/>
          <w:lang w:eastAsia="en-GB"/>
        </w:rPr>
      </w:pPr>
      <w:r>
        <w:rPr>
          <w:rFonts w:eastAsia="Calibri" w:cs="Times New Roman"/>
          <w:noProof/>
          <w:color w:val="000000"/>
          <w:szCs w:val="24"/>
        </w:rPr>
        <w:t>In July 2019, the government adopted an updated single project pipeline, which includes 56 projects in the energy, transport, environment and social sectors as well as digital infrastructure for a total estimat</w:t>
      </w:r>
      <w:r>
        <w:rPr>
          <w:rFonts w:eastAsia="Calibri" w:cs="Times New Roman"/>
          <w:noProof/>
          <w:color w:val="000000"/>
          <w:szCs w:val="24"/>
        </w:rPr>
        <w:t>ed cost of EUR 5.1 bn. However, the cost estimate of transport projects has not been updated since 2017.</w:t>
      </w:r>
    </w:p>
    <w:p w:rsidR="003C2144" w:rsidRDefault="00FB7959">
      <w:pPr>
        <w:autoSpaceDE w:val="0"/>
        <w:autoSpaceDN w:val="0"/>
        <w:adjustRightInd w:val="0"/>
        <w:spacing w:after="120" w:line="240" w:lineRule="auto"/>
        <w:jc w:val="both"/>
        <w:rPr>
          <w:rFonts w:eastAsia="Times New Roman" w:cs="Times New Roman"/>
          <w:noProof/>
          <w:color w:val="000000"/>
          <w:szCs w:val="24"/>
          <w:lang w:eastAsia="en-GB"/>
        </w:rPr>
      </w:pPr>
      <w:r>
        <w:rPr>
          <w:rFonts w:eastAsia="Calibri" w:cs="Times New Roman"/>
          <w:noProof/>
          <w:color w:val="000000"/>
          <w:szCs w:val="24"/>
        </w:rPr>
        <w:t xml:space="preserve">On </w:t>
      </w:r>
      <w:r>
        <w:rPr>
          <w:rFonts w:eastAsia="Calibri" w:cs="Times New Roman"/>
          <w:b/>
          <w:noProof/>
          <w:color w:val="000000"/>
          <w:szCs w:val="24"/>
        </w:rPr>
        <w:t>infrastructure development,</w:t>
      </w:r>
      <w:r>
        <w:rPr>
          <w:rFonts w:eastAsia="Calibri" w:cs="Times New Roman"/>
          <w:noProof/>
          <w:color w:val="000000"/>
          <w:szCs w:val="24"/>
        </w:rPr>
        <w:t xml:space="preserve"> construction of the Bar-Boljare highway continued on the priority section between Smokovac and Matesevo. The projects is</w:t>
      </w:r>
      <w:r>
        <w:rPr>
          <w:rFonts w:eastAsia="Calibri" w:cs="Times New Roman"/>
          <w:noProof/>
          <w:color w:val="000000"/>
          <w:szCs w:val="24"/>
        </w:rPr>
        <w:t xml:space="preserve"> being implemented in the context of the </w:t>
      </w:r>
      <w:r>
        <w:rPr>
          <w:rFonts w:eastAsia="Calibri" w:cs="Times New Roman"/>
          <w:noProof/>
          <w:szCs w:val="24"/>
        </w:rPr>
        <w:t>trans-European transport network (TEN-T)</w:t>
      </w:r>
      <w:r>
        <w:rPr>
          <w:rFonts w:eastAsia="Calibri" w:cs="Times New Roman"/>
          <w:noProof/>
          <w:color w:val="000000"/>
          <w:szCs w:val="24"/>
        </w:rPr>
        <w:t>, which is part of the indicative</w:t>
      </w:r>
      <w:r>
        <w:rPr>
          <w:rFonts w:eastAsia="Calibri" w:cs="Times New Roman"/>
          <w:noProof/>
          <w:szCs w:val="24"/>
        </w:rPr>
        <w:t xml:space="preserve"> extension of the Orient East-Med corridor in the Western Balkans</w:t>
      </w:r>
      <w:r>
        <w:rPr>
          <w:rFonts w:eastAsia="Calibri" w:cs="Times New Roman"/>
          <w:noProof/>
          <w:color w:val="000000"/>
          <w:szCs w:val="24"/>
        </w:rPr>
        <w:t xml:space="preserve">. The priority section of the highway, which is being implemented with a </w:t>
      </w:r>
      <w:r>
        <w:rPr>
          <w:rFonts w:eastAsia="Calibri" w:cs="Times New Roman"/>
          <w:noProof/>
          <w:color w:val="000000"/>
          <w:szCs w:val="24"/>
        </w:rPr>
        <w:t>Chinese loan, has suffered additional delays and cost overruns, aggravated by the COVID-19 outbreak. It is now expected to be completed by June 2021.</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Under the Western Balkans Investment Framework, Montenegro applied for co-financing for the construction o</w:t>
      </w:r>
      <w:r>
        <w:rPr>
          <w:rFonts w:eastAsia="Calibri" w:cs="Times New Roman"/>
          <w:noProof/>
          <w:color w:val="000000"/>
          <w:szCs w:val="24"/>
        </w:rPr>
        <w:t xml:space="preserve">f the second section of the highway. However, the application is on hold pending the finalisation of the cost-benefit analysis for the entire Bar-Boljare highway. The study which has encountered delays, is expected to set recommended standards and suggest </w:t>
      </w:r>
      <w:r>
        <w:rPr>
          <w:rFonts w:eastAsia="Calibri" w:cs="Times New Roman"/>
          <w:noProof/>
          <w:color w:val="000000"/>
          <w:szCs w:val="24"/>
        </w:rPr>
        <w:t xml:space="preserve">means of financing for the remaining sections.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szCs w:val="24"/>
        </w:rPr>
        <w:t xml:space="preserve">Progress continued on studies for the design of the Adriatic-Ionian highway, albeit with some delays. The upgrading of the Bar-Vrbnica railway </w:t>
      </w:r>
      <w:r>
        <w:rPr>
          <w:rFonts w:eastAsia="Calibri" w:cs="Times New Roman"/>
          <w:i/>
          <w:noProof/>
          <w:szCs w:val="24"/>
        </w:rPr>
        <w:t>continued with EU funding</w:t>
      </w:r>
      <w:r>
        <w:rPr>
          <w:rFonts w:eastAsia="Calibri" w:cs="Times New Roman"/>
          <w:noProof/>
          <w:szCs w:val="24"/>
        </w:rPr>
        <w:t xml:space="preserve">. In June 2019, WBIF approved a EUR 3 </w:t>
      </w:r>
      <w:r>
        <w:rPr>
          <w:rFonts w:eastAsia="Calibri" w:cs="Times New Roman"/>
          <w:noProof/>
          <w:szCs w:val="24"/>
        </w:rPr>
        <w:t>000 000 grant to prepare a comprehensive design study and tender documentation for the Golubovci–Bar section of the railway</w:t>
      </w:r>
      <w:r>
        <w:rPr>
          <w:rFonts w:eastAsia="Calibri" w:cs="Times New Roman"/>
          <w:noProof/>
          <w:color w:val="000000"/>
          <w:szCs w:val="24"/>
        </w:rPr>
        <w:t xml:space="preserv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Current and future infrastructure investments need to fully comply with EU standards on public procurement, State aid and environ</w:t>
      </w:r>
      <w:r>
        <w:rPr>
          <w:rFonts w:eastAsia="Calibri" w:cs="Times New Roman"/>
          <w:noProof/>
          <w:szCs w:val="24"/>
        </w:rPr>
        <w:t>mental impact assessment. Additionally, investments need to be implemented in accordance with cost-benefit analyses carried out in line with EU best practice.</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In the Ministry of Transport and Maritime Affairs </w:t>
      </w:r>
      <w:r>
        <w:rPr>
          <w:rFonts w:eastAsia="Calibri" w:cs="Times New Roman"/>
          <w:bCs/>
          <w:noProof/>
          <w:szCs w:val="24"/>
        </w:rPr>
        <w:t>the</w:t>
      </w:r>
      <w:r>
        <w:rPr>
          <w:rFonts w:eastAsia="Calibri" w:cs="Times New Roman"/>
          <w:b/>
          <w:bCs/>
          <w:noProof/>
          <w:szCs w:val="24"/>
        </w:rPr>
        <w:t xml:space="preserve"> institutional framework </w:t>
      </w:r>
      <w:r>
        <w:rPr>
          <w:rFonts w:eastAsia="Calibri" w:cs="Times New Roman"/>
          <w:noProof/>
          <w:szCs w:val="24"/>
        </w:rPr>
        <w:t>changed with the cr</w:t>
      </w:r>
      <w:r>
        <w:rPr>
          <w:rFonts w:eastAsia="Calibri" w:cs="Times New Roman"/>
          <w:noProof/>
          <w:szCs w:val="24"/>
        </w:rPr>
        <w:t>eation of a road administration responsible for the development and maintenance of national major and regional roads. The state-owned company Monteput remains responsible for the development of highways and large scale road infrastructure, notably the Adri</w:t>
      </w:r>
      <w:r>
        <w:rPr>
          <w:rFonts w:eastAsia="Calibri" w:cs="Times New Roman"/>
          <w:noProof/>
          <w:szCs w:val="24"/>
        </w:rPr>
        <w:t>atic -Ionian expressway.</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rail transport</w:t>
      </w:r>
      <w:r>
        <w:rPr>
          <w:rFonts w:eastAsia="Calibri" w:cs="Times New Roman"/>
          <w:noProof/>
          <w:szCs w:val="24"/>
        </w:rPr>
        <w:t>, in April 2019 the Railway Directorate was reorganised into the Railway Administration to function as an independent administrative authority. However, practical implementation of safety and regulatory tasks still</w:t>
      </w:r>
      <w:r>
        <w:rPr>
          <w:rFonts w:eastAsia="Calibri" w:cs="Times New Roman"/>
          <w:noProof/>
          <w:szCs w:val="24"/>
        </w:rPr>
        <w:t xml:space="preserve"> needs to be set out specifically in the legislative framework, given that the planned new railway law is yet to be adopted. The administrative and technical capacity of the four state-owned companies remained limited.</w:t>
      </w:r>
      <w:r>
        <w:rPr>
          <w:rFonts w:eastAsia="Calibri" w:cs="Times New Roman"/>
          <w:noProof/>
          <w:color w:val="000000"/>
          <w:szCs w:val="24"/>
        </w:rPr>
        <w:t xml:space="preserv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color w:val="000000"/>
          <w:szCs w:val="24"/>
        </w:rPr>
        <w:t xml:space="preserve">On </w:t>
      </w:r>
      <w:r>
        <w:rPr>
          <w:rFonts w:eastAsia="Calibri" w:cs="Times New Roman"/>
          <w:b/>
          <w:bCs/>
          <w:noProof/>
          <w:color w:val="000000"/>
          <w:szCs w:val="24"/>
        </w:rPr>
        <w:t>energy networks</w:t>
      </w:r>
      <w:r>
        <w:rPr>
          <w:rFonts w:eastAsia="Calibri" w:cs="Times New Roman"/>
          <w:noProof/>
          <w:color w:val="000000"/>
          <w:szCs w:val="24"/>
        </w:rPr>
        <w:t>, progress continu</w:t>
      </w:r>
      <w:r>
        <w:rPr>
          <w:rFonts w:eastAsia="Calibri" w:cs="Times New Roman"/>
          <w:noProof/>
          <w:color w:val="000000"/>
          <w:szCs w:val="24"/>
        </w:rPr>
        <w:t xml:space="preserve">ed on interconnecting the electricity systems of Serbia, Bosnia and Herzegovina, Italy and Montenegro. This project is included on the projects of energy community </w:t>
      </w:r>
      <w:r>
        <w:rPr>
          <w:rFonts w:eastAsia="Calibri" w:cs="Times New Roman"/>
          <w:noProof/>
          <w:szCs w:val="24"/>
        </w:rPr>
        <w:t>interest list. The undersea cable interconnector between Montenegro and Italy became operati</w:t>
      </w:r>
      <w:r>
        <w:rPr>
          <w:rFonts w:eastAsia="Calibri" w:cs="Times New Roman"/>
          <w:noProof/>
          <w:szCs w:val="24"/>
        </w:rPr>
        <w:t xml:space="preserve">onal in November 2019. Work continued, with EU funding, on the concept design for the Ionian-Adriatic pipeline’s routes through Montenegro and Albania, with the aim of finalising the study by September 2020. The project features on the list of projects of </w:t>
      </w:r>
      <w:r>
        <w:rPr>
          <w:rFonts w:eastAsia="Calibri" w:cs="Times New Roman"/>
          <w:noProof/>
          <w:szCs w:val="24"/>
        </w:rPr>
        <w:t>mutual interest.</w:t>
      </w:r>
      <w:r>
        <w:rPr>
          <w:rFonts w:eastAsia="Calibri" w:cs="Times New Roman"/>
          <w:noProof/>
          <w:color w:val="000000"/>
          <w:szCs w:val="24"/>
        </w:rPr>
        <w:t xml:space="preserve"> Some progress on energy connectivity measures continued in the reporting period.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Montenegro is yet to fully align its legislation with the TEN-T and TEN-E EU acquis. Legislative gap analysis and institutional capacity mapping is pending. </w:t>
      </w:r>
      <w:r>
        <w:rPr>
          <w:rFonts w:eastAsia="Calibri" w:cs="Times New Roman"/>
          <w:noProof/>
          <w:szCs w:val="24"/>
        </w:rPr>
        <w:t xml:space="preserve">On the trans-European communication networks, the Law on electronic communications is aligned with the EU </w:t>
      </w:r>
      <w:r>
        <w:rPr>
          <w:rFonts w:eastAsia="Calibri" w:cs="Times New Roman"/>
          <w:i/>
          <w:noProof/>
          <w:szCs w:val="24"/>
        </w:rPr>
        <w:t>acquis</w:t>
      </w:r>
      <w:r>
        <w:rPr>
          <w:rFonts w:eastAsia="Calibri" w:cs="Times New Roman"/>
          <w:noProof/>
          <w:szCs w:val="24"/>
        </w:rPr>
        <w:t>.</w:t>
      </w:r>
    </w:p>
    <w:p w:rsidR="003C2144" w:rsidRDefault="00FB7959">
      <w:pPr>
        <w:pStyle w:val="Heading2"/>
        <w:rPr>
          <w:rFonts w:eastAsia="Times New Roman"/>
          <w:noProof/>
        </w:rPr>
      </w:pPr>
      <w:bookmarkStart w:id="231" w:name="_Toc30080586"/>
      <w:bookmarkStart w:id="232" w:name="_Toc30074164"/>
      <w:bookmarkStart w:id="233" w:name="_Toc30073851"/>
      <w:bookmarkStart w:id="234" w:name="_Toc52744955"/>
      <w:r>
        <w:rPr>
          <w:rFonts w:eastAsia="Times New Roman"/>
          <w:noProof/>
        </w:rPr>
        <w:t>5.22</w:t>
      </w:r>
      <w:r>
        <w:rPr>
          <w:rFonts w:eastAsia="Times New Roman"/>
          <w:noProof/>
        </w:rPr>
        <w:tab/>
        <w:t>Chapter 22: Regional policy and coordination of structural instruments</w:t>
      </w:r>
      <w:bookmarkEnd w:id="231"/>
      <w:bookmarkEnd w:id="232"/>
      <w:bookmarkEnd w:id="233"/>
      <w:bookmarkEnd w:id="234"/>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Regional policy is the EU’s main investment policy for sustainabl</w:t>
      </w:r>
      <w:r>
        <w:rPr>
          <w:rFonts w:eastAsia="Calibri" w:cs="Times New Roman"/>
          <w:i/>
          <w:iCs/>
          <w:noProof/>
          <w:color w:val="000000"/>
          <w:szCs w:val="24"/>
          <w:lang w:eastAsia="en-GB"/>
        </w:rPr>
        <w:t>e and inclusive economic growth. Member States bear responsibility for implementation which requires adequate administrative capacity and sound financial management of projects' design and execution.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2144">
        <w:tc>
          <w:tcPr>
            <w:tcW w:w="9356" w:type="dxa"/>
            <w:tcBorders>
              <w:top w:val="single" w:sz="4" w:space="0" w:color="auto"/>
              <w:left w:val="single" w:sz="4" w:space="0" w:color="auto"/>
              <w:bottom w:val="single" w:sz="4" w:space="0" w:color="auto"/>
              <w:right w:val="single" w:sz="4" w:space="0" w:color="auto"/>
            </w:tcBorders>
            <w:shd w:val="clear" w:color="auto" w:fill="D9D9D9"/>
            <w:hideMark/>
          </w:tcPr>
          <w:p w:rsidR="003C2144" w:rsidRDefault="00FB7959">
            <w:pPr>
              <w:shd w:val="clear" w:color="auto" w:fill="D9D9D9"/>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Montenegro is </w:t>
            </w:r>
            <w:r>
              <w:rPr>
                <w:rFonts w:eastAsia="Calibri" w:cs="Times New Roman"/>
                <w:b/>
                <w:noProof/>
                <w:color w:val="000000"/>
                <w:szCs w:val="24"/>
                <w:lang w:eastAsia="en-GB"/>
              </w:rPr>
              <w:t>moderately prepared</w:t>
            </w:r>
            <w:r>
              <w:rPr>
                <w:rFonts w:eastAsia="Calibri" w:cs="Times New Roman"/>
                <w:noProof/>
                <w:color w:val="000000"/>
                <w:szCs w:val="24"/>
                <w:lang w:eastAsia="en-GB"/>
              </w:rPr>
              <w:t xml:space="preserve"> regarding regional policy and coordination of structural instruments. </w:t>
            </w:r>
            <w:r>
              <w:rPr>
                <w:rFonts w:eastAsia="Calibri" w:cs="Times New Roman"/>
                <w:b/>
                <w:noProof/>
                <w:color w:val="000000"/>
                <w:szCs w:val="24"/>
                <w:lang w:eastAsia="en-GB"/>
              </w:rPr>
              <w:t>Limited progress</w:t>
            </w:r>
            <w:r>
              <w:rPr>
                <w:rFonts w:eastAsia="Calibri" w:cs="Times New Roman"/>
                <w:noProof/>
                <w:color w:val="000000"/>
                <w:szCs w:val="24"/>
                <w:lang w:eastAsia="en-GB"/>
              </w:rPr>
              <w:t xml:space="preserve"> was made over the reporting period particularly with view to planning and procurement which still need to be strengthened, and project preparation and strategic plannin</w:t>
            </w:r>
            <w:r>
              <w:rPr>
                <w:rFonts w:eastAsia="Calibri" w:cs="Times New Roman"/>
                <w:noProof/>
                <w:color w:val="000000"/>
                <w:szCs w:val="24"/>
                <w:lang w:eastAsia="en-GB"/>
              </w:rPr>
              <w:t>g capabilities still need to improve.</w:t>
            </w:r>
          </w:p>
          <w:p w:rsidR="003C2144" w:rsidRDefault="00FB7959">
            <w:pPr>
              <w:shd w:val="clear" w:color="auto" w:fill="D9D9D9"/>
              <w:autoSpaceDE w:val="0"/>
              <w:autoSpaceDN w:val="0"/>
              <w:adjustRightInd w:val="0"/>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In the coming year, Montenegro should in particular:</w:t>
            </w:r>
          </w:p>
          <w:p w:rsidR="003C2144" w:rsidRDefault="00FB7959">
            <w:pPr>
              <w:pStyle w:val="ListParagraph"/>
              <w:numPr>
                <w:ilvl w:val="0"/>
                <w:numId w:val="26"/>
              </w:numP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enhance efforts to implement the EU pre-accession programmes funding under indirect management;</w:t>
            </w:r>
          </w:p>
          <w:p w:rsidR="003C2144" w:rsidRDefault="00FB7959">
            <w:pPr>
              <w:pStyle w:val="ListParagraph"/>
              <w:numPr>
                <w:ilvl w:val="0"/>
                <w:numId w:val="26"/>
              </w:numP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continue implementation of the action plan for meeting requirements d</w:t>
            </w:r>
            <w:r>
              <w:rPr>
                <w:rFonts w:ascii="Times New Roman" w:eastAsia="Calibri" w:hAnsi="Times New Roman" w:cs="Times New Roman"/>
                <w:noProof/>
                <w:color w:val="000000"/>
                <w:sz w:val="24"/>
                <w:szCs w:val="24"/>
                <w:lang w:eastAsia="en-GB"/>
              </w:rPr>
              <w:t>eriving from EU cohesion policy;</w:t>
            </w:r>
          </w:p>
          <w:p w:rsidR="003C2144" w:rsidRDefault="00FB7959">
            <w:pPr>
              <w:pStyle w:val="ListParagraph"/>
              <w:numPr>
                <w:ilvl w:val="0"/>
                <w:numId w:val="26"/>
              </w:numP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improve the capacities for project planning and preparation, with special emphasis on the single project pipeline.</w:t>
            </w:r>
          </w:p>
        </w:tc>
      </w:tr>
    </w:tbl>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the </w:t>
      </w:r>
      <w:r>
        <w:rPr>
          <w:rFonts w:eastAsia="Calibri" w:cs="Times New Roman"/>
          <w:b/>
          <w:noProof/>
          <w:szCs w:val="24"/>
        </w:rPr>
        <w:t>legislative framework</w:t>
      </w:r>
      <w:r>
        <w:rPr>
          <w:rFonts w:eastAsia="Calibri" w:cs="Times New Roman"/>
          <w:noProof/>
          <w:szCs w:val="24"/>
        </w:rPr>
        <w:t>, the law on public private partnership entered into force in January and as a result a National Investment Agency was created, while the Secretariat for Development Projects ceased to exist. The role of the Technical Secretariat of National Investment Com</w:t>
      </w:r>
      <w:r>
        <w:rPr>
          <w:rFonts w:eastAsia="Calibri" w:cs="Times New Roman"/>
          <w:noProof/>
          <w:szCs w:val="24"/>
        </w:rPr>
        <w:t>mittee (formalised by adopting amendments to the Rulebook on internal organisation of the European Integration Office) has accordingly been transferred to the National IPA Coordinator. This may be a positive development, as it impacts directly on its super</w:t>
      </w:r>
      <w:r>
        <w:rPr>
          <w:rFonts w:eastAsia="Calibri" w:cs="Times New Roman"/>
          <w:noProof/>
          <w:szCs w:val="24"/>
        </w:rPr>
        <w:t xml:space="preserve">visory role of the Single Project Pipeline, which is linked to the Western Balkans Investment Framework. The law on public procurement was also adopted in December. Both laws were however adopted without by-laws, rendering them unable to be implemented at </w:t>
      </w:r>
      <w:r>
        <w:rPr>
          <w:rFonts w:eastAsia="Calibri" w:cs="Times New Roman"/>
          <w:noProof/>
          <w:szCs w:val="24"/>
        </w:rPr>
        <w:t xml:space="preserve">present. Alignment with key parts of the EU </w:t>
      </w:r>
      <w:r>
        <w:rPr>
          <w:rFonts w:eastAsia="Calibri" w:cs="Times New Roman"/>
          <w:i/>
          <w:noProof/>
          <w:szCs w:val="24"/>
        </w:rPr>
        <w:t xml:space="preserve">acquis </w:t>
      </w:r>
      <w:r>
        <w:rPr>
          <w:rFonts w:eastAsia="Calibri" w:cs="Times New Roman"/>
          <w:noProof/>
          <w:szCs w:val="24"/>
        </w:rPr>
        <w:t xml:space="preserve">under other chapters remains a prerequisite for proper implementation of EU structural and investment funds. </w:t>
      </w:r>
    </w:p>
    <w:p w:rsidR="003C2144" w:rsidRDefault="00FB7959">
      <w:pPr>
        <w:spacing w:after="120" w:line="240" w:lineRule="auto"/>
        <w:jc w:val="both"/>
        <w:rPr>
          <w:rFonts w:eastAsia="Calibri" w:cs="Times New Roman"/>
          <w:noProof/>
          <w:szCs w:val="24"/>
        </w:rPr>
      </w:pPr>
      <w:r>
        <w:rPr>
          <w:rFonts w:eastAsia="Calibri" w:cs="Times New Roman"/>
          <w:noProof/>
          <w:szCs w:val="24"/>
        </w:rPr>
        <w:t>On</w:t>
      </w:r>
      <w:r>
        <w:rPr>
          <w:rFonts w:eastAsia="Calibri" w:cs="Times New Roman"/>
          <w:b/>
          <w:noProof/>
          <w:szCs w:val="24"/>
        </w:rPr>
        <w:t xml:space="preserve"> institutional framework</w:t>
      </w:r>
      <w:r>
        <w:rPr>
          <w:rFonts w:eastAsia="Calibri" w:cs="Times New Roman"/>
          <w:noProof/>
          <w:szCs w:val="24"/>
        </w:rPr>
        <w:t>,</w:t>
      </w:r>
      <w:r>
        <w:rPr>
          <w:rFonts w:eastAsia="Calibri" w:cs="Times New Roman"/>
          <w:b/>
          <w:noProof/>
          <w:szCs w:val="24"/>
        </w:rPr>
        <w:t xml:space="preserve"> </w:t>
      </w:r>
      <w:r>
        <w:rPr>
          <w:rFonts w:eastAsia="Calibri" w:cs="Times New Roman"/>
          <w:noProof/>
          <w:szCs w:val="24"/>
        </w:rPr>
        <w:t>the existing situation with regards to the management of EU pre-acc</w:t>
      </w:r>
      <w:r>
        <w:rPr>
          <w:rFonts w:eastAsia="Calibri" w:cs="Times New Roman"/>
          <w:noProof/>
          <w:szCs w:val="24"/>
        </w:rPr>
        <w:t xml:space="preserve">ession assistance (IPA) remained unchanged. With the roll out of IPA II and the development of IPA III, it is essential that capacities and resources continue to be strengthened.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administrative capacity</w:t>
      </w:r>
      <w:r>
        <w:rPr>
          <w:rFonts w:eastAsia="Calibri" w:cs="Times New Roman"/>
          <w:noProof/>
          <w:szCs w:val="24"/>
        </w:rPr>
        <w:t>, staff has been recruited in the contracting age</w:t>
      </w:r>
      <w:r>
        <w:rPr>
          <w:rFonts w:eastAsia="Calibri" w:cs="Times New Roman"/>
          <w:noProof/>
          <w:szCs w:val="24"/>
        </w:rPr>
        <w:t>ncies, but the capacity of line ministries, for example the Ministry of Sustainable Development and Tourism,</w:t>
      </w:r>
      <w:r>
        <w:rPr>
          <w:rFonts w:eastAsia="Calibri" w:cs="Times New Roman"/>
          <w:noProof/>
          <w:szCs w:val="24"/>
          <w:vertAlign w:val="superscript"/>
        </w:rPr>
        <w:t xml:space="preserve"> </w:t>
      </w:r>
      <w:r>
        <w:rPr>
          <w:rFonts w:eastAsia="Calibri" w:cs="Times New Roman"/>
          <w:noProof/>
          <w:szCs w:val="24"/>
        </w:rPr>
        <w:t xml:space="preserve">remains low. This creates a risk to the timely implementation of projects under its competence which are relevant for accession. Compared with the previous period, some improvements are noted in relation to retention policy, and in </w:t>
      </w:r>
      <w:r>
        <w:rPr>
          <w:rFonts w:eastAsia="Calibri" w:cs="Times New Roman"/>
          <w:noProof/>
          <w:szCs w:val="24"/>
          <w:lang w:val="en-IE"/>
        </w:rPr>
        <w:t>March 2019 a governmenta</w:t>
      </w:r>
      <w:r>
        <w:rPr>
          <w:rFonts w:eastAsia="Calibri" w:cs="Times New Roman"/>
          <w:noProof/>
          <w:szCs w:val="24"/>
          <w:lang w:val="en-IE"/>
        </w:rPr>
        <w:t>l decree has been implemented to allow for a 30% top up of the salaries of the employees who work with IPA.</w:t>
      </w:r>
      <w:r>
        <w:rPr>
          <w:rFonts w:eastAsia="Calibri" w:cs="Times New Roman"/>
          <w:noProof/>
          <w:szCs w:val="24"/>
        </w:rPr>
        <w:t xml:space="preserve"> The working sector group on this chapter met several times</w:t>
      </w:r>
      <w:r>
        <w:rPr>
          <w:rFonts w:eastAsia="Calibri" w:cs="Times New Roman"/>
          <w:noProof/>
          <w:szCs w:val="24"/>
          <w:vertAlign w:val="superscript"/>
        </w:rPr>
        <w:t xml:space="preserve"> </w:t>
      </w:r>
      <w:r>
        <w:rPr>
          <w:rFonts w:eastAsia="Calibri" w:cs="Times New Roman"/>
          <w:noProof/>
          <w:szCs w:val="24"/>
        </w:rPr>
        <w:t>during the year to discuss the recommendations of the previous Country Report, but no con</w:t>
      </w:r>
      <w:r>
        <w:rPr>
          <w:rFonts w:eastAsia="Calibri" w:cs="Times New Roman"/>
          <w:noProof/>
          <w:szCs w:val="24"/>
        </w:rPr>
        <w:t xml:space="preserve">crete outcomes from this group are yet visible.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programming</w:t>
      </w:r>
      <w:r>
        <w:rPr>
          <w:rFonts w:eastAsia="Calibri" w:cs="Times New Roman"/>
          <w:noProof/>
          <w:szCs w:val="24"/>
        </w:rPr>
        <w:t>, the country continued its work on the sectoral approach under IPA II. A revised single project pipeline has been approved in July 2019, however, the lack of project maturity hinders future pr</w:t>
      </w:r>
      <w:r>
        <w:rPr>
          <w:rFonts w:eastAsia="Calibri" w:cs="Times New Roman"/>
          <w:noProof/>
          <w:szCs w:val="24"/>
        </w:rPr>
        <w:t xml:space="preserve">ogramming and implementation. Capacities for the management of capital/infrastructure investments remain weak, particularly at the level of line ministries. </w:t>
      </w:r>
    </w:p>
    <w:p w:rsidR="003C2144" w:rsidRDefault="00FB7959">
      <w:pPr>
        <w:spacing w:after="120" w:line="240" w:lineRule="auto"/>
        <w:jc w:val="both"/>
        <w:rPr>
          <w:rFonts w:eastAsia="Calibri" w:cs="Times New Roman"/>
          <w:noProof/>
          <w:szCs w:val="24"/>
        </w:rPr>
      </w:pPr>
      <w:r>
        <w:rPr>
          <w:rFonts w:eastAsia="Calibri" w:cs="Times New Roman"/>
          <w:noProof/>
          <w:szCs w:val="24"/>
        </w:rPr>
        <w:t>Regarding</w:t>
      </w:r>
      <w:r>
        <w:rPr>
          <w:rFonts w:eastAsia="Calibri" w:cs="Times New Roman"/>
          <w:b/>
          <w:noProof/>
          <w:szCs w:val="24"/>
        </w:rPr>
        <w:t xml:space="preserve"> monitoring and evaluation</w:t>
      </w:r>
      <w:r>
        <w:rPr>
          <w:rFonts w:eastAsia="Calibri" w:cs="Times New Roman"/>
          <w:noProof/>
          <w:szCs w:val="24"/>
        </w:rPr>
        <w:t>, the relevant committees set up under indirect management cont</w:t>
      </w:r>
      <w:r>
        <w:rPr>
          <w:rFonts w:eastAsia="Calibri" w:cs="Times New Roman"/>
          <w:noProof/>
          <w:szCs w:val="24"/>
        </w:rPr>
        <w:t>inue to meet regularly.</w:t>
      </w:r>
      <w:r>
        <w:rPr>
          <w:rFonts w:eastAsia="Calibri" w:cs="Times New Roman"/>
          <w:noProof/>
          <w:szCs w:val="24"/>
          <w:lang w:val="en-IE"/>
        </w:rPr>
        <w:t xml:space="preserve"> </w:t>
      </w:r>
      <w:r>
        <w:rPr>
          <w:rFonts w:eastAsia="Calibri" w:cs="Times New Roman"/>
          <w:noProof/>
          <w:szCs w:val="24"/>
        </w:rPr>
        <w:t>The pace of contracting programmes under indirect management remains slow.</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As for the </w:t>
      </w:r>
      <w:r>
        <w:rPr>
          <w:rFonts w:eastAsia="Calibri" w:cs="Times New Roman"/>
          <w:b/>
          <w:noProof/>
          <w:szCs w:val="24"/>
        </w:rPr>
        <w:t>financial management, control and audit</w:t>
      </w:r>
      <w:r>
        <w:rPr>
          <w:rFonts w:eastAsia="Calibri" w:cs="Times New Roman"/>
          <w:noProof/>
          <w:szCs w:val="24"/>
        </w:rPr>
        <w:t>, the government approved the first step for establishing the Management and Information System. The capaci</w:t>
      </w:r>
      <w:r>
        <w:rPr>
          <w:rFonts w:eastAsia="Calibri" w:cs="Times New Roman"/>
          <w:noProof/>
          <w:szCs w:val="24"/>
        </w:rPr>
        <w:t>ty of the Audit Authority improved while the internal audit for the whole IPA system has been assigned to a specialised unit in the Ministry of Finance, thus replacing the units within each ministry, as decided by governmental decision on internal audit in</w:t>
      </w:r>
      <w:r>
        <w:rPr>
          <w:rFonts w:eastAsia="Calibri" w:cs="Times New Roman"/>
          <w:noProof/>
          <w:szCs w:val="24"/>
        </w:rPr>
        <w:t xml:space="preserve"> the public sector. </w:t>
      </w:r>
    </w:p>
    <w:p w:rsidR="003C2144" w:rsidRDefault="00FB7959">
      <w:pPr>
        <w:pStyle w:val="Heading2"/>
        <w:rPr>
          <w:rFonts w:eastAsia="Times New Roman"/>
          <w:noProof/>
        </w:rPr>
      </w:pPr>
      <w:bookmarkStart w:id="235" w:name="_Toc30080587"/>
      <w:bookmarkStart w:id="236" w:name="_Toc30074165"/>
      <w:bookmarkStart w:id="237" w:name="_Toc30073852"/>
      <w:bookmarkStart w:id="238" w:name="_Toc52744956"/>
      <w:r>
        <w:rPr>
          <w:rFonts w:eastAsia="Times New Roman"/>
          <w:noProof/>
        </w:rPr>
        <w:t>5.25</w:t>
      </w:r>
      <w:r>
        <w:rPr>
          <w:rFonts w:eastAsia="Times New Roman"/>
          <w:noProof/>
        </w:rPr>
        <w:tab/>
        <w:t>Chapter 25: Science and Research</w:t>
      </w:r>
      <w:bookmarkEnd w:id="235"/>
      <w:bookmarkEnd w:id="236"/>
      <w:bookmarkEnd w:id="237"/>
      <w:bookmarkEnd w:id="238"/>
    </w:p>
    <w:p w:rsidR="003C2144" w:rsidRDefault="00FB7959">
      <w:pPr>
        <w:autoSpaceDE w:val="0"/>
        <w:autoSpaceDN w:val="0"/>
        <w:spacing w:after="120" w:line="240" w:lineRule="auto"/>
        <w:jc w:val="both"/>
        <w:rPr>
          <w:rFonts w:eastAsia="Calibri" w:cs="Times New Roman"/>
          <w:i/>
          <w:iCs/>
          <w:noProof/>
          <w:szCs w:val="24"/>
        </w:rPr>
      </w:pPr>
      <w:r>
        <w:rPr>
          <w:rFonts w:eastAsia="Calibri" w:cs="Times New Roman"/>
          <w:i/>
          <w:iCs/>
          <w:noProof/>
          <w:szCs w:val="24"/>
        </w:rPr>
        <w:t>The EU provides significant support to research and innovation. All Member States can benefit from the EU’s research programmes, especially where there is scientific excellence and solid investment</w:t>
      </w:r>
      <w:r>
        <w:rPr>
          <w:rFonts w:eastAsia="Calibri" w:cs="Times New Roman"/>
          <w:i/>
          <w:iCs/>
          <w:noProof/>
          <w:szCs w:val="24"/>
        </w:rPr>
        <w:t xml:space="preserve"> in research.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noProof/>
          <w:szCs w:val="24"/>
        </w:rPr>
      </w:pPr>
      <w:r>
        <w:rPr>
          <w:rFonts w:eastAsia="Calibri" w:cs="Times New Roman"/>
          <w:bCs/>
          <w:noProof/>
          <w:szCs w:val="24"/>
        </w:rPr>
        <w:t xml:space="preserve">Montenegro has a </w:t>
      </w:r>
      <w:r>
        <w:rPr>
          <w:rFonts w:eastAsia="Calibri" w:cs="Times New Roman"/>
          <w:b/>
          <w:bCs/>
          <w:noProof/>
          <w:szCs w:val="24"/>
        </w:rPr>
        <w:t>good level of preparation</w:t>
      </w:r>
      <w:r>
        <w:rPr>
          <w:rFonts w:eastAsia="Calibri" w:cs="Times New Roman"/>
          <w:bCs/>
          <w:noProof/>
          <w:szCs w:val="24"/>
        </w:rPr>
        <w:t xml:space="preserve"> in this sector. </w:t>
      </w:r>
      <w:r>
        <w:rPr>
          <w:rFonts w:eastAsia="Calibri" w:cs="Times New Roman"/>
          <w:b/>
          <w:bCs/>
          <w:noProof/>
          <w:szCs w:val="24"/>
        </w:rPr>
        <w:t>Good progress</w:t>
      </w:r>
      <w:r>
        <w:rPr>
          <w:rFonts w:eastAsia="Calibri" w:cs="Times New Roman"/>
          <w:bCs/>
          <w:noProof/>
          <w:szCs w:val="24"/>
        </w:rPr>
        <w:t xml:space="preserve"> was made on the two 2019 recommendations through the adoption of the Smart Specialisation Strategy and a marked improvement in Horizon 2020 participation.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noProof/>
          <w:szCs w:val="24"/>
        </w:rPr>
      </w:pPr>
      <w:r>
        <w:rPr>
          <w:rFonts w:eastAsia="Calibri" w:cs="Times New Roman"/>
          <w:bCs/>
          <w:noProof/>
          <w:szCs w:val="24"/>
        </w:rPr>
        <w:t>In the comin</w:t>
      </w:r>
      <w:r>
        <w:rPr>
          <w:rFonts w:eastAsia="Calibri" w:cs="Times New Roman"/>
          <w:bCs/>
          <w:noProof/>
          <w:szCs w:val="24"/>
        </w:rPr>
        <w:t>g year, Montenegro should in particular:</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noProof/>
          <w:szCs w:val="24"/>
        </w:rPr>
      </w:pPr>
      <w:r>
        <w:rPr>
          <w:rFonts w:eastAsia="Calibri" w:cs="Times New Roman"/>
          <w:noProof/>
          <w:szCs w:val="24"/>
          <w:lang w:eastAsia="en-GB"/>
        </w:rPr>
        <w:t xml:space="preserve">→ </w:t>
      </w:r>
      <w:r>
        <w:rPr>
          <w:rFonts w:eastAsia="Calibri" w:cs="Times New Roman"/>
          <w:bCs/>
          <w:noProof/>
          <w:szCs w:val="24"/>
        </w:rPr>
        <w:t>continue to implement the Smart Specialisation Strategy;</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noProof/>
          <w:szCs w:val="24"/>
        </w:rPr>
      </w:pPr>
      <w:r>
        <w:rPr>
          <w:rFonts w:eastAsia="Calibri" w:cs="Times New Roman"/>
          <w:noProof/>
          <w:szCs w:val="24"/>
          <w:lang w:eastAsia="en-GB"/>
        </w:rPr>
        <w:t xml:space="preserve">→ </w:t>
      </w:r>
      <w:r>
        <w:rPr>
          <w:rFonts w:eastAsia="Calibri" w:cs="Times New Roman"/>
          <w:bCs/>
          <w:noProof/>
          <w:szCs w:val="24"/>
        </w:rPr>
        <w:t xml:space="preserve">intensify investment in research and innovation and continue to increase participation in Horizon 2020.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b/>
          <w:noProof/>
          <w:szCs w:val="24"/>
        </w:rPr>
        <w:t>On research and innovation (R&amp;I) policy</w:t>
      </w:r>
      <w:r>
        <w:rPr>
          <w:rFonts w:eastAsia="Calibri" w:cs="Times New Roman"/>
          <w:noProof/>
          <w:szCs w:val="24"/>
        </w:rPr>
        <w:t xml:space="preserve">, implementation of the strategies continued, including </w:t>
      </w:r>
      <w:r>
        <w:rPr>
          <w:rFonts w:eastAsia="Calibri" w:cs="Times New Roman"/>
          <w:noProof/>
          <w:color w:val="000000"/>
          <w:szCs w:val="24"/>
          <w:lang w:val="en-US" w:bidi="en-US"/>
        </w:rPr>
        <w:t xml:space="preserve">support measures to stimulate an innovation culture, two pre-accelerator programmes for innovative start-ups, and work on legislative amendments to introduce stimulating fiscal measures. </w:t>
      </w:r>
      <w:r>
        <w:rPr>
          <w:rFonts w:eastAsia="Calibri" w:cs="Times New Roman"/>
          <w:noProof/>
          <w:szCs w:val="24"/>
        </w:rPr>
        <w:t xml:space="preserve">Positive steps were also taken towards ‘open access’ by adopting the revised national research infrastructure roadmap as well as a national Programme for implementation of open science principles. </w:t>
      </w:r>
    </w:p>
    <w:p w:rsidR="003C2144" w:rsidRDefault="00FB7959">
      <w:pPr>
        <w:autoSpaceDE w:val="0"/>
        <w:autoSpaceDN w:val="0"/>
        <w:adjustRightInd w:val="0"/>
        <w:spacing w:after="120" w:line="240" w:lineRule="auto"/>
        <w:jc w:val="both"/>
        <w:rPr>
          <w:rFonts w:eastAsia="Calibri" w:cs="Times New Roman"/>
          <w:noProof/>
          <w:szCs w:val="24"/>
        </w:rPr>
      </w:pPr>
      <w:r>
        <w:rPr>
          <w:rFonts w:cs="Times New Roman"/>
          <w:noProof/>
          <w:szCs w:val="24"/>
        </w:rPr>
        <w:t xml:space="preserve">Montenegro has a growing scientific base and the level of </w:t>
      </w:r>
      <w:r>
        <w:rPr>
          <w:rFonts w:cs="Times New Roman"/>
          <w:noProof/>
          <w:szCs w:val="24"/>
        </w:rPr>
        <w:t xml:space="preserve">funding has been rising since 2017. R&amp;I funding access has improved through training support to access international funding. Research and development (R&amp;D) funding increased to 0.50% of GDP in 2018 (up from 0.37% in 2017).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May 2020, Montenegro was inc</w:t>
      </w:r>
      <w:r>
        <w:rPr>
          <w:rFonts w:eastAsia="Calibri" w:cs="Times New Roman"/>
          <w:noProof/>
          <w:szCs w:val="24"/>
        </w:rPr>
        <w:t xml:space="preserve">luded in the European Innovation Scoreboard as a modest innovator, marking an important step in improving its statistical system and monitoring the implementation of the Smart Specialisation Strategy of Montenegro 2019-2024.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January 2020, the Universit</w:t>
      </w:r>
      <w:r>
        <w:rPr>
          <w:rFonts w:eastAsia="Calibri" w:cs="Times New Roman"/>
          <w:noProof/>
          <w:szCs w:val="24"/>
        </w:rPr>
        <w:t>y of Montenegro (UoM) was awarded the ‘HR Excellence in Research Award’, acknowledging that it adheres to some human resources principles as set out in the European charter and code for researchers. To progress further, UoM must now implement the recommend</w:t>
      </w:r>
      <w:r>
        <w:rPr>
          <w:rFonts w:eastAsia="Calibri" w:cs="Times New Roman"/>
          <w:noProof/>
          <w:szCs w:val="24"/>
        </w:rPr>
        <w:t xml:space="preserve">ations received. Two new centres of excellence (covering </w:t>
      </w:r>
      <w:r>
        <w:rPr>
          <w:rFonts w:eastAsia="Times New Roman" w:cs="Times New Roman"/>
          <w:noProof/>
          <w:color w:val="000000"/>
          <w:szCs w:val="24"/>
        </w:rPr>
        <w:t xml:space="preserve">food science and biomedical science) </w:t>
      </w:r>
      <w:r>
        <w:rPr>
          <w:rFonts w:eastAsia="Calibri" w:cs="Times New Roman"/>
          <w:noProof/>
          <w:szCs w:val="24"/>
        </w:rPr>
        <w:t>started operating in January 2020, with funding of €1.8m earmarked over three years.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June 2019, Montenegro was the first country in the region to adopt a smart</w:t>
      </w:r>
      <w:r>
        <w:rPr>
          <w:rFonts w:eastAsia="Calibri" w:cs="Times New Roman"/>
          <w:noProof/>
          <w:szCs w:val="24"/>
        </w:rPr>
        <w:t xml:space="preserve"> specialisation strategy (S3), covering the period 2019-2024 and prioritising the areas of agriculture, energy, health, tourism and ICT. The S3 has high political backing and, with careful management and monitoring, has the potential to generate economic g</w:t>
      </w:r>
      <w:r>
        <w:rPr>
          <w:rFonts w:eastAsia="Calibri" w:cs="Times New Roman"/>
          <w:noProof/>
          <w:szCs w:val="24"/>
        </w:rPr>
        <w:t>rowth by developing the country’s competitive advantages through an innovative approach. To this end, Montenegro should follow up on the technical recommendations resulting from a conditional positive assessment by the European Commission (December 2019) a</w:t>
      </w:r>
      <w:r>
        <w:rPr>
          <w:rFonts w:eastAsia="Calibri" w:cs="Times New Roman"/>
          <w:noProof/>
          <w:szCs w:val="24"/>
        </w:rPr>
        <w:t xml:space="preserve">nd ensure sustained and close collaboration between all relevant stakeholders.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The Innovation and Smart Specialisation Council was established in August 2019 while its secretariat started operations in March 2020.  </w:t>
      </w:r>
      <w:r>
        <w:rPr>
          <w:rFonts w:cs="Times New Roman"/>
          <w:noProof/>
          <w:szCs w:val="24"/>
        </w:rPr>
        <w:t>A new Law on innovation activities was a</w:t>
      </w:r>
      <w:r>
        <w:rPr>
          <w:rFonts w:cs="Times New Roman"/>
          <w:noProof/>
          <w:szCs w:val="24"/>
        </w:rPr>
        <w:t>dopted which provides for the establishment of an Innovation Fund to act as separate agency focused specifically on S3 implementation. A Law on incentives for R&amp;I development was also adopted, An online platform was launched (</w:t>
      </w:r>
      <w:hyperlink r:id="rId21" w:history="1">
        <w:r>
          <w:rPr>
            <w:rFonts w:eastAsia="Calibri" w:cs="Times New Roman"/>
            <w:noProof/>
            <w:szCs w:val="24"/>
            <w:u w:val="single"/>
          </w:rPr>
          <w:t>www.s3.me</w:t>
        </w:r>
      </w:hyperlink>
      <w:r>
        <w:rPr>
          <w:rFonts w:eastAsia="Calibri" w:cs="Times New Roman"/>
          <w:noProof/>
          <w:szCs w:val="24"/>
        </w:rPr>
        <w:t xml:space="preserve">) to enable communication and visibility of S3 related activities. The </w:t>
      </w:r>
      <w:r>
        <w:rPr>
          <w:rFonts w:eastAsia="Cambria" w:cs="Times New Roman"/>
          <w:noProof/>
          <w:szCs w:val="24"/>
          <w:lang w:val="en-US" w:bidi="en-US"/>
        </w:rPr>
        <w:t xml:space="preserve">2019-2024 </w:t>
      </w:r>
      <w:r>
        <w:rPr>
          <w:rFonts w:eastAsia="Calibri" w:cs="Times New Roman"/>
          <w:noProof/>
          <w:szCs w:val="24"/>
        </w:rPr>
        <w:t>‘collaborative innovation programme’ is one instrument for S3 implementation, aiming to transfer scientific R&amp;I ideas from the academic community to the economy an</w:t>
      </w:r>
      <w:r>
        <w:rPr>
          <w:rFonts w:eastAsia="Calibri" w:cs="Times New Roman"/>
          <w:noProof/>
          <w:szCs w:val="24"/>
        </w:rPr>
        <w:t>d include promising start-ups linked to S3 priority domains in future calls.</w:t>
      </w:r>
    </w:p>
    <w:p w:rsidR="003C2144" w:rsidRDefault="00FB7959">
      <w:pPr>
        <w:autoSpaceDE w:val="0"/>
        <w:autoSpaceDN w:val="0"/>
        <w:adjustRightInd w:val="0"/>
        <w:spacing w:after="120" w:line="240" w:lineRule="auto"/>
        <w:jc w:val="both"/>
        <w:rPr>
          <w:rFonts w:cs="Times New Roman"/>
          <w:noProof/>
          <w:szCs w:val="24"/>
        </w:rPr>
      </w:pPr>
      <w:r>
        <w:rPr>
          <w:rFonts w:cs="Times New Roman"/>
          <w:noProof/>
          <w:szCs w:val="24"/>
        </w:rPr>
        <w:t xml:space="preserve">In response to the COVID-19 related pandemic, the Ministry of Science launched a call for research projects in the area of health and </w:t>
      </w:r>
      <w:r>
        <w:rPr>
          <w:rFonts w:eastAsia="Times New Roman" w:cs="Times New Roman"/>
          <w:noProof/>
          <w:szCs w:val="24"/>
        </w:rPr>
        <w:t>socio-</w:t>
      </w:r>
      <w:r>
        <w:rPr>
          <w:rFonts w:cs="Times New Roman"/>
          <w:noProof/>
          <w:szCs w:val="24"/>
        </w:rPr>
        <w:t>economic recovery (€200 000). Along wit</w:t>
      </w:r>
      <w:r>
        <w:rPr>
          <w:rFonts w:cs="Times New Roman"/>
          <w:noProof/>
          <w:szCs w:val="24"/>
        </w:rPr>
        <w:t xml:space="preserve">h the </w:t>
      </w:r>
      <w:r>
        <w:rPr>
          <w:rFonts w:cs="Times New Roman"/>
          <w:bCs/>
          <w:iCs/>
          <w:noProof/>
          <w:szCs w:val="24"/>
        </w:rPr>
        <w:t>Innovation and Entrepreneurship ‘</w:t>
      </w:r>
      <w:r>
        <w:rPr>
          <w:rFonts w:cs="Times New Roman"/>
          <w:noProof/>
          <w:szCs w:val="24"/>
        </w:rPr>
        <w:t>Tehnopolis’ centre and the newly established scientific–technology park of Montenegro, the Ministry coordinated the work of 3-D laboratories in academic and private sectors for the joint production of personal protect</w:t>
      </w:r>
      <w:r>
        <w:rPr>
          <w:rFonts w:cs="Times New Roman"/>
          <w:noProof/>
          <w:szCs w:val="24"/>
        </w:rPr>
        <w:t xml:space="preserve">ive equipment. </w:t>
      </w:r>
    </w:p>
    <w:p w:rsidR="003C2144" w:rsidRDefault="00FB7959">
      <w:pPr>
        <w:spacing w:after="120" w:line="240" w:lineRule="auto"/>
        <w:ind w:right="-11"/>
        <w:jc w:val="both"/>
        <w:rPr>
          <w:rFonts w:cs="Times New Roman"/>
          <w:noProof/>
          <w:szCs w:val="24"/>
        </w:rPr>
      </w:pPr>
      <w:r>
        <w:rPr>
          <w:rFonts w:cs="Times New Roman"/>
          <w:bCs/>
          <w:noProof/>
          <w:szCs w:val="24"/>
        </w:rPr>
        <w:t xml:space="preserve">The country’s participation in Horizon 2020 </w:t>
      </w:r>
      <w:r>
        <w:rPr>
          <w:rFonts w:eastAsia="Calibri" w:cs="Times New Roman"/>
          <w:noProof/>
          <w:szCs w:val="24"/>
        </w:rPr>
        <w:t xml:space="preserve">has improved </w:t>
      </w:r>
      <w:r>
        <w:rPr>
          <w:rFonts w:cs="Times New Roman"/>
          <w:noProof/>
          <w:szCs w:val="24"/>
        </w:rPr>
        <w:t xml:space="preserve">and shows a very good trend for 2019, receiving EUR </w:t>
      </w:r>
      <w:r>
        <w:rPr>
          <w:rFonts w:cs="Times New Roman"/>
          <w:bCs/>
          <w:noProof/>
          <w:szCs w:val="24"/>
        </w:rPr>
        <w:t>3.2 m</w:t>
      </w:r>
      <w:r>
        <w:rPr>
          <w:rFonts w:cs="Times New Roman"/>
          <w:noProof/>
          <w:szCs w:val="24"/>
        </w:rPr>
        <w:t xml:space="preserve"> of direct EU contribution and reaching a success rate of 13,9% as compared to 12% for the overall Horizon 2020 programme.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T</w:t>
      </w:r>
      <w:r>
        <w:rPr>
          <w:rFonts w:eastAsia="Calibri" w:cs="Times New Roman"/>
          <w:noProof/>
          <w:szCs w:val="24"/>
        </w:rPr>
        <w:t>hrough the EU instrument of pre-accession assistance (IPA), 13 projects were selected under the c</w:t>
      </w:r>
      <w:r>
        <w:rPr>
          <w:rFonts w:eastAsia="Calibri" w:cs="Times New Roman"/>
          <w:bCs/>
          <w:noProof/>
          <w:szCs w:val="24"/>
          <w:lang w:eastAsia="en-GB"/>
        </w:rPr>
        <w:t>ollaborative grant scheme for innovative project ideas</w:t>
      </w:r>
      <w:r>
        <w:rPr>
          <w:rFonts w:eastAsia="Calibri" w:cs="Times New Roman"/>
          <w:noProof/>
          <w:szCs w:val="24"/>
        </w:rPr>
        <w:t>, and contracts were signed in March 2020 for equipping the three laboratories at Tehnopolis and</w:t>
      </w:r>
      <w:r>
        <w:rPr>
          <w:rFonts w:cs="Times New Roman"/>
          <w:bCs/>
          <w:iCs/>
          <w:noProof/>
          <w:szCs w:val="24"/>
        </w:rPr>
        <w:t xml:space="preserve"> for cons</w:t>
      </w:r>
      <w:r>
        <w:rPr>
          <w:rFonts w:cs="Times New Roman"/>
          <w:bCs/>
          <w:iCs/>
          <w:noProof/>
          <w:szCs w:val="24"/>
        </w:rPr>
        <w:t>truction works at the science and technology park</w:t>
      </w:r>
      <w:r>
        <w:rPr>
          <w:rFonts w:eastAsia="Calibri" w:cs="Times New Roman"/>
          <w:noProof/>
          <w:szCs w:val="24"/>
        </w:rPr>
        <w:t xml:space="preserve">.  </w:t>
      </w:r>
    </w:p>
    <w:p w:rsidR="003C2144" w:rsidRDefault="00FB7959">
      <w:pPr>
        <w:spacing w:after="120" w:line="240" w:lineRule="auto"/>
        <w:jc w:val="both"/>
        <w:rPr>
          <w:rFonts w:eastAsia="Calibri" w:cs="Times New Roman"/>
          <w:noProof/>
          <w:szCs w:val="24"/>
        </w:rPr>
      </w:pPr>
      <w:r>
        <w:rPr>
          <w:rFonts w:eastAsia="Calibri" w:cs="Times New Roman"/>
          <w:noProof/>
          <w:szCs w:val="24"/>
        </w:rPr>
        <w:t>Montenegro engages actively with international bodies such as COST, CERN, IAEA, and EUREKA, which should produce positive effects on business-academia cooperation. Montenegro is committed to continue par</w:t>
      </w:r>
      <w:r>
        <w:rPr>
          <w:rFonts w:eastAsia="Calibri" w:cs="Times New Roman"/>
          <w:noProof/>
          <w:szCs w:val="24"/>
        </w:rPr>
        <w:t>ticipating in the European Social Survey  European Research Infrastructure Consortium (ESS-ERIC).</w:t>
      </w:r>
    </w:p>
    <w:p w:rsidR="003C2144" w:rsidRDefault="00FB7959">
      <w:pPr>
        <w:pStyle w:val="Heading2"/>
        <w:rPr>
          <w:rFonts w:eastAsia="Times New Roman"/>
          <w:noProof/>
        </w:rPr>
      </w:pPr>
      <w:bookmarkStart w:id="239" w:name="_Toc30080588"/>
      <w:bookmarkStart w:id="240" w:name="_Toc30074166"/>
      <w:bookmarkStart w:id="241" w:name="_Toc30073853"/>
      <w:bookmarkStart w:id="242" w:name="_Toc52744957"/>
      <w:r>
        <w:rPr>
          <w:rFonts w:eastAsia="Times New Roman"/>
          <w:noProof/>
        </w:rPr>
        <w:t>5.26</w:t>
      </w:r>
      <w:r>
        <w:rPr>
          <w:rFonts w:eastAsia="Times New Roman"/>
          <w:noProof/>
        </w:rPr>
        <w:tab/>
        <w:t>Chapter 26: Education and culture</w:t>
      </w:r>
      <w:bookmarkEnd w:id="239"/>
      <w:bookmarkEnd w:id="240"/>
      <w:bookmarkEnd w:id="241"/>
      <w:bookmarkEnd w:id="242"/>
      <w:r>
        <w:rPr>
          <w:rFonts w:eastAsia="Times New Roman"/>
          <w:noProof/>
        </w:rPr>
        <w:t xml:space="preserve"> </w:t>
      </w:r>
    </w:p>
    <w:p w:rsidR="003C2144" w:rsidRDefault="00FB7959">
      <w:pPr>
        <w:spacing w:after="120" w:line="240" w:lineRule="auto"/>
        <w:jc w:val="both"/>
        <w:rPr>
          <w:rFonts w:eastAsia="Calibri" w:cs="Times New Roman"/>
          <w:i/>
          <w:noProof/>
          <w:color w:val="000000"/>
          <w:szCs w:val="24"/>
        </w:rPr>
      </w:pPr>
      <w:r>
        <w:rPr>
          <w:rFonts w:eastAsia="Calibri" w:cs="Times New Roman"/>
          <w:i/>
          <w:noProof/>
          <w:color w:val="000000"/>
          <w:szCs w:val="24"/>
        </w:rPr>
        <w:t xml:space="preserve">The EU supports cooperation in education and culture through funding programmes and </w:t>
      </w:r>
      <w:r>
        <w:rPr>
          <w:rFonts w:eastAsia="Calibri" w:cs="Times New Roman"/>
          <w:i/>
          <w:iCs/>
          <w:noProof/>
          <w:color w:val="000000"/>
          <w:szCs w:val="24"/>
        </w:rPr>
        <w:t xml:space="preserve">the coordination of Member State </w:t>
      </w:r>
      <w:r>
        <w:rPr>
          <w:rFonts w:eastAsia="Calibri" w:cs="Times New Roman"/>
          <w:i/>
          <w:iCs/>
          <w:noProof/>
          <w:color w:val="000000"/>
          <w:szCs w:val="24"/>
        </w:rPr>
        <w:t>policy</w:t>
      </w:r>
      <w:r>
        <w:rPr>
          <w:rFonts w:eastAsia="Calibri" w:cs="Times New Roman"/>
          <w:i/>
          <w:noProof/>
          <w:color w:val="000000"/>
          <w:szCs w:val="24"/>
        </w:rPr>
        <w:t xml:space="preserve"> through the open method of coordination.</w:t>
      </w:r>
      <w:r>
        <w:rPr>
          <w:rFonts w:eastAsia="Calibri" w:cs="Times New Roman"/>
          <w:noProof/>
          <w:color w:val="000000"/>
          <w:szCs w:val="24"/>
        </w:rPr>
        <w:t xml:space="preserve"> </w:t>
      </w:r>
      <w:r>
        <w:rPr>
          <w:rFonts w:eastAsia="Calibri" w:cs="Times New Roman"/>
          <w:i/>
          <w:noProof/>
          <w:color w:val="000000"/>
          <w:szCs w:val="24"/>
        </w:rPr>
        <w:t>The EU and the Member States must also prevent discrimination and ensure quality education for children of migrant workers, including those from disadvantaged backgrounds.</w:t>
      </w:r>
      <w:r>
        <w:rPr>
          <w:rFonts w:eastAsia="Calibri" w:cs="Times New Roman"/>
          <w:i/>
          <w:iCs/>
          <w:noProof/>
          <w:color w:val="000000"/>
          <w:szCs w:val="24"/>
        </w:rPr>
        <w:t xml:space="preserve"> </w:t>
      </w: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8"/>
      </w:tblGrid>
      <w:tr w:rsidR="003C2144">
        <w:trPr>
          <w:trHeight w:val="189"/>
        </w:trPr>
        <w:tc>
          <w:tcPr>
            <w:tcW w:w="93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3C2144" w:rsidRDefault="00FB7959">
            <w:pPr>
              <w:spacing w:after="120" w:line="240" w:lineRule="auto"/>
              <w:ind w:left="74" w:right="72"/>
              <w:jc w:val="both"/>
              <w:rPr>
                <w:rFonts w:eastAsia="Times New Roman" w:cs="Times New Roman"/>
                <w:noProof/>
                <w:szCs w:val="24"/>
              </w:rPr>
            </w:pPr>
            <w:r>
              <w:rPr>
                <w:rFonts w:eastAsia="Calibri" w:cs="Times New Roman"/>
                <w:noProof/>
                <w:szCs w:val="24"/>
              </w:rPr>
              <w:t xml:space="preserve">There is a </w:t>
            </w:r>
            <w:r>
              <w:rPr>
                <w:rFonts w:eastAsia="Calibri" w:cs="Times New Roman"/>
                <w:b/>
                <w:bCs/>
                <w:noProof/>
                <w:szCs w:val="24"/>
              </w:rPr>
              <w:t xml:space="preserve">good level </w:t>
            </w:r>
            <w:r>
              <w:rPr>
                <w:rFonts w:eastAsia="Calibri" w:cs="Times New Roman"/>
                <w:b/>
                <w:noProof/>
                <w:szCs w:val="24"/>
              </w:rPr>
              <w:t>of preparatio</w:t>
            </w:r>
            <w:r>
              <w:rPr>
                <w:rFonts w:eastAsia="Calibri" w:cs="Times New Roman"/>
                <w:b/>
                <w:noProof/>
                <w:szCs w:val="24"/>
              </w:rPr>
              <w:t>n</w:t>
            </w:r>
            <w:r>
              <w:rPr>
                <w:rFonts w:eastAsia="Calibri" w:cs="Times New Roman"/>
                <w:noProof/>
                <w:szCs w:val="24"/>
              </w:rPr>
              <w:t xml:space="preserve"> in this area. </w:t>
            </w:r>
            <w:r>
              <w:rPr>
                <w:rFonts w:eastAsia="Times New Roman" w:cs="Times New Roman"/>
                <w:b/>
                <w:noProof/>
                <w:szCs w:val="24"/>
              </w:rPr>
              <w:t>Some progress</w:t>
            </w:r>
            <w:r>
              <w:rPr>
                <w:rFonts w:eastAsia="Times New Roman" w:cs="Times New Roman"/>
                <w:noProof/>
                <w:szCs w:val="24"/>
              </w:rPr>
              <w:t xml:space="preserve"> was made on the 2019 recommendations on enrolment rates in early childhood education and care, learning outcomes and Vocational Education and Training. </w:t>
            </w:r>
          </w:p>
          <w:p w:rsidR="003C2144" w:rsidRDefault="00FB7959">
            <w:pPr>
              <w:widowControl w:val="0"/>
              <w:autoSpaceDE w:val="0"/>
              <w:autoSpaceDN w:val="0"/>
              <w:spacing w:after="120" w:line="240" w:lineRule="auto"/>
              <w:ind w:left="74"/>
              <w:jc w:val="both"/>
              <w:rPr>
                <w:rFonts w:eastAsia="Times New Roman" w:cs="Times New Roman"/>
                <w:noProof/>
                <w:szCs w:val="24"/>
              </w:rPr>
            </w:pPr>
            <w:r>
              <w:rPr>
                <w:rFonts w:eastAsia="Times New Roman" w:cs="Times New Roman"/>
                <w:noProof/>
                <w:szCs w:val="24"/>
              </w:rPr>
              <w:t>In the coming year, Montenegro should in particular:</w:t>
            </w:r>
          </w:p>
          <w:p w:rsidR="003C2144" w:rsidRDefault="00FB7959">
            <w:pPr>
              <w:pStyle w:val="ListParagraph"/>
              <w:widowControl w:val="0"/>
              <w:numPr>
                <w:ilvl w:val="0"/>
                <w:numId w:val="32"/>
              </w:numPr>
              <w:autoSpaceDE w:val="0"/>
              <w:autoSpaceDN w:val="0"/>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continue to improve </w:t>
            </w:r>
            <w:r>
              <w:rPr>
                <w:rFonts w:ascii="Times New Roman" w:eastAsia="Times New Roman" w:hAnsi="Times New Roman" w:cs="Times New Roman"/>
                <w:noProof/>
                <w:sz w:val="24"/>
                <w:szCs w:val="24"/>
              </w:rPr>
              <w:t>enrolment in early childhood education and care and minimise drop-outs, especially of vulnerable groups;</w:t>
            </w:r>
          </w:p>
          <w:p w:rsidR="003C2144" w:rsidRDefault="00FB7959">
            <w:pPr>
              <w:pStyle w:val="ListParagraph"/>
              <w:widowControl w:val="0"/>
              <w:numPr>
                <w:ilvl w:val="0"/>
                <w:numId w:val="32"/>
              </w:numPr>
              <w:autoSpaceDE w:val="0"/>
              <w:autoSpaceDN w:val="0"/>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education sector governance and continue with relevant reform measures to improve the overall quality of education;</w:t>
            </w:r>
          </w:p>
          <w:p w:rsidR="003C2144" w:rsidRDefault="00FB7959">
            <w:pPr>
              <w:pStyle w:val="ListParagraph"/>
              <w:widowControl w:val="0"/>
              <w:numPr>
                <w:ilvl w:val="0"/>
                <w:numId w:val="32"/>
              </w:numPr>
              <w:autoSpaceDE w:val="0"/>
              <w:autoSpaceDN w:val="0"/>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establish an adequate monit</w:t>
            </w:r>
            <w:r>
              <w:rPr>
                <w:rFonts w:ascii="Times New Roman" w:eastAsia="Times New Roman" w:hAnsi="Times New Roman" w:cs="Times New Roman"/>
                <w:noProof/>
                <w:sz w:val="24"/>
                <w:szCs w:val="24"/>
              </w:rPr>
              <w:t>oring and</w:t>
            </w:r>
            <w:r>
              <w:rPr>
                <w:rFonts w:ascii="Times New Roman" w:eastAsia="Times New Roman" w:hAnsi="Times New Roman" w:cs="Times New Roman"/>
                <w:iCs/>
                <w:noProof/>
                <w:color w:val="000000"/>
                <w:sz w:val="24"/>
                <w:szCs w:val="24"/>
              </w:rPr>
              <w:t xml:space="preserve"> evaluation mechanism of practical learning at vocational and higher level education.</w:t>
            </w:r>
            <w:r>
              <w:rPr>
                <w:rFonts w:ascii="Times New Roman" w:eastAsia="Times New Roman" w:hAnsi="Times New Roman" w:cs="Times New Roman"/>
                <w:noProof/>
                <w:sz w:val="24"/>
                <w:szCs w:val="24"/>
              </w:rPr>
              <w:t xml:space="preserve"> </w:t>
            </w:r>
          </w:p>
        </w:tc>
      </w:tr>
    </w:tbl>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education and training</w:t>
      </w:r>
      <w:r>
        <w:rPr>
          <w:rFonts w:eastAsia="Calibri" w:cs="Times New Roman"/>
          <w:noProof/>
          <w:szCs w:val="24"/>
        </w:rPr>
        <w:t xml:space="preserve">, implementation of the numerous education strategies continued. Latest figures (2018) show spending on education at 4% of GDP. </w:t>
      </w:r>
      <w:r>
        <w:rPr>
          <w:rFonts w:eastAsia="Calibri" w:cs="Times New Roman"/>
          <w:noProof/>
          <w:szCs w:val="24"/>
        </w:rPr>
        <w:t>Investments in school infrastructure and equipment resulted in new schools being built or refurbished, with further projects in the pipeline. Though works to remove architectural barriers were completed at several schools during 2019, physical accessibilit</w:t>
      </w:r>
      <w:r>
        <w:rPr>
          <w:rFonts w:eastAsia="Calibri" w:cs="Times New Roman"/>
          <w:noProof/>
          <w:szCs w:val="24"/>
        </w:rPr>
        <w:t>y remains an important issue to address.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The importance of early childhood education and care (ECEC) continued to be promoted and kindergarten outreach services are available in some rural areas. Participation rates for 0-5 year olds showed a small increas</w:t>
      </w:r>
      <w:r>
        <w:rPr>
          <w:rFonts w:eastAsia="Calibri" w:cs="Times New Roman"/>
          <w:noProof/>
          <w:szCs w:val="24"/>
        </w:rPr>
        <w:t>e from 48% in 2018 to 52% in 2019. To capitalise on the long-term social and economic benefits that ECEC can provide, the new preschool strategy currently under preparation should aim to substantially increase the enrolment figure (closer to the EU 95% goa</w:t>
      </w:r>
      <w:r>
        <w:rPr>
          <w:rFonts w:eastAsia="Calibri" w:cs="Times New Roman"/>
          <w:noProof/>
          <w:szCs w:val="24"/>
        </w:rPr>
        <w:t xml:space="preserve">l) and invest more in qualified educators to prepare children for entry to compulsory education, especially those from vulnerable groups. </w:t>
      </w:r>
    </w:p>
    <w:p w:rsidR="003C2144" w:rsidRDefault="00FB7959">
      <w:pPr>
        <w:autoSpaceDE w:val="0"/>
        <w:autoSpaceDN w:val="0"/>
        <w:adjustRightInd w:val="0"/>
        <w:spacing w:after="120" w:line="240" w:lineRule="auto"/>
        <w:jc w:val="both"/>
        <w:rPr>
          <w:rFonts w:eastAsia="Calibri" w:cs="Times New Roman"/>
          <w:noProof/>
          <w:szCs w:val="24"/>
          <w:lang w:val="en-IE"/>
        </w:rPr>
      </w:pPr>
      <w:r>
        <w:rPr>
          <w:rFonts w:eastAsia="Calibri" w:cs="Times New Roman"/>
          <w:noProof/>
          <w:szCs w:val="24"/>
        </w:rPr>
        <w:t xml:space="preserve">The Ministry of Education launched a scholarship competition for Roma and Egyptian </w:t>
      </w:r>
      <w:r>
        <w:rPr>
          <w:rFonts w:eastAsia="Calibri" w:cs="Times New Roman"/>
          <w:noProof/>
          <w:color w:val="000000"/>
          <w:szCs w:val="24"/>
          <w:lang w:val="en-US" w:bidi="en-US"/>
        </w:rPr>
        <w:t>high school and faculty students</w:t>
      </w:r>
      <w:r>
        <w:rPr>
          <w:rFonts w:eastAsia="Calibri" w:cs="Times New Roman"/>
          <w:noProof/>
          <w:szCs w:val="24"/>
        </w:rPr>
        <w:t xml:space="preserve"> i</w:t>
      </w:r>
      <w:r>
        <w:rPr>
          <w:rFonts w:eastAsia="Calibri" w:cs="Times New Roman"/>
          <w:noProof/>
          <w:szCs w:val="24"/>
        </w:rPr>
        <w:t>n September 2019. Albeit increased attendance rates and fewer drop-out cases can be observed since 2016, the overall number of school-going Roma and Egyptian children, and children with disabilities, remains low; most concerning is the low level of Roma an</w:t>
      </w:r>
      <w:r>
        <w:rPr>
          <w:rFonts w:eastAsia="Calibri" w:cs="Times New Roman"/>
          <w:noProof/>
          <w:szCs w:val="24"/>
        </w:rPr>
        <w:t>d Egyptian children completing compulsory education. In this context, Montenegro should ensure close synergy when implementing the 2016-2020 strategy for social inclusion of Roma, the Poznan Declaration on Roma integration, and the more recent strategy for</w:t>
      </w:r>
      <w:r>
        <w:rPr>
          <w:rFonts w:eastAsia="Calibri" w:cs="Times New Roman"/>
          <w:noProof/>
          <w:szCs w:val="24"/>
        </w:rPr>
        <w:t xml:space="preserve"> inclusive education 2019-2025. </w:t>
      </w:r>
      <w:r>
        <w:rPr>
          <w:rFonts w:eastAsia="Calibri" w:cs="Times New Roman"/>
          <w:noProof/>
          <w:szCs w:val="24"/>
        </w:rPr>
        <w:tab/>
      </w:r>
      <w:r>
        <w:rPr>
          <w:rFonts w:eastAsia="Calibri" w:cs="Times New Roman"/>
          <w:noProof/>
          <w:szCs w:val="24"/>
          <w:lang w:val="en-IE"/>
        </w:rPr>
        <w:t xml:space="preserve"> </w:t>
      </w:r>
    </w:p>
    <w:p w:rsidR="003C2144" w:rsidRDefault="00FB7959">
      <w:pPr>
        <w:autoSpaceDE w:val="0"/>
        <w:autoSpaceDN w:val="0"/>
        <w:adjustRightInd w:val="0"/>
        <w:spacing w:after="120" w:line="240" w:lineRule="auto"/>
        <w:jc w:val="both"/>
        <w:rPr>
          <w:rFonts w:eastAsia="Calibri" w:cs="Times New Roman"/>
          <w:noProof/>
          <w:szCs w:val="24"/>
          <w:lang w:val="en-IE"/>
        </w:rPr>
      </w:pPr>
      <w:r>
        <w:rPr>
          <w:rFonts w:eastAsia="Calibri" w:cs="Times New Roman"/>
          <w:noProof/>
          <w:color w:val="000000"/>
          <w:szCs w:val="24"/>
          <w:shd w:val="clear" w:color="auto" w:fill="FFFFFF"/>
        </w:rPr>
        <w:t>Montenegro is currently preparing a draft lifelong entrepreneurial learning strategy (2020-2024), while</w:t>
      </w:r>
      <w:r>
        <w:rPr>
          <w:rFonts w:eastAsia="Calibri" w:cs="Times New Roman"/>
          <w:noProof/>
          <w:szCs w:val="24"/>
          <w:lang w:val="en-IE"/>
        </w:rPr>
        <w:t xml:space="preserve"> </w:t>
      </w:r>
      <w:r>
        <w:rPr>
          <w:rFonts w:eastAsia="Calibri" w:cs="Times New Roman"/>
          <w:noProof/>
          <w:color w:val="000000"/>
          <w:szCs w:val="24"/>
          <w:shd w:val="clear" w:color="auto" w:fill="FFFFFF"/>
        </w:rPr>
        <w:t xml:space="preserve">further </w:t>
      </w:r>
      <w:r>
        <w:rPr>
          <w:rFonts w:eastAsia="Times New Roman" w:cs="Times New Roman"/>
          <w:noProof/>
          <w:szCs w:val="24"/>
        </w:rPr>
        <w:t>primary and secondary level schools are involved in classes developing key competences and basic skills, incl</w:t>
      </w:r>
      <w:r>
        <w:rPr>
          <w:rFonts w:eastAsia="Times New Roman" w:cs="Times New Roman"/>
          <w:noProof/>
          <w:szCs w:val="24"/>
        </w:rPr>
        <w:t xml:space="preserve">uding socio-emotional learning, digital skills, critical thinking and problem solving. </w:t>
      </w:r>
    </w:p>
    <w:p w:rsidR="003C2144" w:rsidRDefault="00FB7959">
      <w:pPr>
        <w:spacing w:after="120" w:line="240" w:lineRule="auto"/>
        <w:jc w:val="both"/>
        <w:rPr>
          <w:rFonts w:eastAsia="Calibri" w:cs="Times New Roman"/>
          <w:noProof/>
          <w:szCs w:val="24"/>
        </w:rPr>
      </w:pPr>
      <w:r>
        <w:rPr>
          <w:rFonts w:eastAsia="Calibri" w:cs="Times New Roman"/>
          <w:noProof/>
          <w:szCs w:val="24"/>
          <w:lang w:val="en-IE"/>
        </w:rPr>
        <w:t>Implementation of the national qualifications framework (referenced to the European qualifications framework in 2014) and moving to a learning outcomes approach prove d</w:t>
      </w:r>
      <w:r>
        <w:rPr>
          <w:rFonts w:eastAsia="Calibri" w:cs="Times New Roman"/>
          <w:noProof/>
          <w:szCs w:val="24"/>
          <w:lang w:val="en-IE"/>
        </w:rPr>
        <w:t xml:space="preserve">emanding, as evidenced also by the persisting skills mismatch with labour market needs. </w:t>
      </w:r>
      <w:r>
        <w:rPr>
          <w:rFonts w:cs="Times New Roman"/>
          <w:noProof/>
          <w:szCs w:val="24"/>
        </w:rPr>
        <w:t>The Ministry of Education continues to revise programmes and qualifications in cooperation with the business community. It is also committed</w:t>
      </w:r>
      <w:r>
        <w:rPr>
          <w:rFonts w:cs="Times New Roman"/>
          <w:noProof/>
          <w:szCs w:val="24"/>
          <w:lang w:eastAsia="en-GB"/>
        </w:rPr>
        <w:t xml:space="preserve"> to implementing and monitor</w:t>
      </w:r>
      <w:r>
        <w:rPr>
          <w:rFonts w:cs="Times New Roman"/>
          <w:noProof/>
          <w:szCs w:val="24"/>
          <w:lang w:eastAsia="en-GB"/>
        </w:rPr>
        <w:t xml:space="preserve">ing the 2015 Riga Conclusions on Vocational Education and Training (VET), as reflected in </w:t>
      </w:r>
      <w:r>
        <w:rPr>
          <w:rFonts w:eastAsia="Calibri" w:cs="Times New Roman"/>
          <w:noProof/>
          <w:szCs w:val="24"/>
          <w:lang w:val="en-IE"/>
        </w:rPr>
        <w:t>the</w:t>
      </w:r>
      <w:r>
        <w:rPr>
          <w:rFonts w:eastAsia="Calibri" w:cs="Times New Roman"/>
          <w:noProof/>
          <w:szCs w:val="24"/>
        </w:rPr>
        <w:t xml:space="preserve"> revised VET strategy (2020-2024), adopted in January 2020. Proper implementation of the strategy will be an important element moving forward, given its focus on p</w:t>
      </w:r>
      <w:r>
        <w:rPr>
          <w:rFonts w:eastAsia="Calibri" w:cs="Times New Roman"/>
          <w:noProof/>
          <w:szCs w:val="24"/>
        </w:rPr>
        <w:t xml:space="preserve">roviding quality and inclusive education geared towards the labour market, and the need for green and digital skills. </w:t>
      </w:r>
    </w:p>
    <w:p w:rsidR="003C2144" w:rsidRDefault="00FB7959">
      <w:pPr>
        <w:spacing w:after="120" w:line="240" w:lineRule="auto"/>
        <w:jc w:val="both"/>
        <w:rPr>
          <w:rFonts w:eastAsia="Calibri" w:cs="Times New Roman"/>
          <w:noProof/>
          <w:szCs w:val="24"/>
        </w:rPr>
      </w:pPr>
      <w:r>
        <w:rPr>
          <w:rFonts w:eastAsia="Calibri" w:cs="Times New Roman"/>
          <w:noProof/>
          <w:szCs w:val="24"/>
        </w:rPr>
        <w:t>After 3 years of implementation, the first evaluation of the dual education system showed increasing interest from employers and students, with some positive results on student retention rate. Recommendations include capacity building of in-company trainer</w:t>
      </w:r>
      <w:r>
        <w:rPr>
          <w:rFonts w:eastAsia="Calibri" w:cs="Times New Roman"/>
          <w:noProof/>
          <w:szCs w:val="24"/>
        </w:rPr>
        <w:t xml:space="preserve">s and mentors in schools, and sustainability of the joint funding model between education and private sector. The Ministry of Education is considering the best options to establish an adequate monitoring and evaluation mechanism for VET. </w:t>
      </w:r>
      <w:r>
        <w:rPr>
          <w:rFonts w:cs="Times New Roman"/>
          <w:noProof/>
          <w:szCs w:val="24"/>
        </w:rPr>
        <w:t>Recognition of non</w:t>
      </w:r>
      <w:r>
        <w:rPr>
          <w:rFonts w:cs="Times New Roman"/>
          <w:noProof/>
          <w:szCs w:val="24"/>
        </w:rPr>
        <w:t xml:space="preserve">-formal and informal learning is also on the reform agenda to facilitate upskilling and reskilling (confined mainly to VET for now). </w:t>
      </w:r>
      <w:r>
        <w:rPr>
          <w:rFonts w:eastAsia="Calibri" w:cs="Times New Roman"/>
          <w:noProof/>
          <w:szCs w:val="24"/>
        </w:rPr>
        <w:t xml:space="preserve">Since January 2020, Montenegro’s chamber of economy participates in the pilot EU mobility scheme for learners and teachers </w:t>
      </w:r>
      <w:r>
        <w:rPr>
          <w:rFonts w:eastAsia="Calibri" w:cs="Times New Roman"/>
          <w:noProof/>
          <w:szCs w:val="24"/>
        </w:rPr>
        <w:t xml:space="preserve">in the field of VET.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May 2019, the government signed the first (3-year) financing agreement with the University of Montenegro (UoM) based on, among others, quality assurance, enrolment policy and improvement of study programmes. Transition to the refor</w:t>
      </w:r>
      <w:r>
        <w:rPr>
          <w:rFonts w:eastAsia="Calibri" w:cs="Times New Roman"/>
          <w:noProof/>
          <w:szCs w:val="24"/>
        </w:rPr>
        <w:t>med 3+2+3 study model is now underway at private higher education institutions, mirroring the UoM process. As a member of the European Association for Quality Assurance network, Montenegro applies some EU tools in its quality assurance work, including exte</w:t>
      </w:r>
      <w:r>
        <w:rPr>
          <w:rFonts w:eastAsia="Calibri" w:cs="Times New Roman"/>
          <w:noProof/>
          <w:szCs w:val="24"/>
        </w:rPr>
        <w:t>rnal evaluation of institutions, study programmes and lifelong learning programmes. Implementing practical education in higher education programmes raises some challenges, and requires a structured monitoring and evaluation system to determine impact and e</w:t>
      </w:r>
      <w:r>
        <w:rPr>
          <w:rFonts w:eastAsia="Calibri" w:cs="Times New Roman"/>
          <w:noProof/>
          <w:szCs w:val="24"/>
        </w:rPr>
        <w:t>ffectiveness. A revised higher education strategy (2020-2025), is currently being prepared and was open to public consultation. In line with the 2019 Law on academic integrity, the government appointed the first Ethics Committee, responsible for the protec</w:t>
      </w:r>
      <w:r>
        <w:rPr>
          <w:rFonts w:eastAsia="Calibri" w:cs="Times New Roman"/>
          <w:noProof/>
          <w:szCs w:val="24"/>
        </w:rPr>
        <w:t>tion and promotion of academic integrity and prevention of plagiarism. UoM also established its own Ethics Committee.</w:t>
      </w:r>
      <w:r>
        <w:rPr>
          <w:rFonts w:eastAsia="Calibri" w:cs="Times New Roman"/>
          <w:noProof/>
          <w:szCs w:val="24"/>
          <w:lang w:val="en-US" w:eastAsia="en-GB"/>
        </w:rPr>
        <w:t xml:space="preserv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Montenegro continues to participate actively in the EU Erasmus+ programme. In 2019,  1 379 incoming and outgoing participants were funded</w:t>
      </w:r>
      <w:r>
        <w:rPr>
          <w:rFonts w:eastAsia="Calibri" w:cs="Times New Roman"/>
          <w:noProof/>
          <w:szCs w:val="24"/>
        </w:rPr>
        <w:t>, while 9 capacity building projects were awarded in the area of higher education and 3 in the area of youth. Montenegro has also requested to join the eTwinning Platform for teachers. For the first time, six young volunteers from Montenegro participated i</w:t>
      </w:r>
      <w:r>
        <w:rPr>
          <w:rFonts w:eastAsia="Calibri" w:cs="Times New Roman"/>
          <w:noProof/>
          <w:szCs w:val="24"/>
        </w:rPr>
        <w:t xml:space="preserve">n the European Solidarity Corps. </w:t>
      </w:r>
    </w:p>
    <w:p w:rsidR="003C2144" w:rsidRDefault="00FB7959">
      <w:pPr>
        <w:autoSpaceDE w:val="0"/>
        <w:autoSpaceDN w:val="0"/>
        <w:adjustRightInd w:val="0"/>
        <w:spacing w:after="120" w:line="240" w:lineRule="auto"/>
        <w:jc w:val="both"/>
        <w:rPr>
          <w:rFonts w:eastAsia="Calibri" w:cs="Times New Roman"/>
          <w:noProof/>
          <w:szCs w:val="24"/>
          <w:lang w:val="en-US"/>
        </w:rPr>
      </w:pPr>
      <w:r>
        <w:rPr>
          <w:rFonts w:eastAsia="Times New Roman" w:cs="Times New Roman"/>
          <w:noProof/>
          <w:szCs w:val="24"/>
        </w:rPr>
        <w:t xml:space="preserve">In response to COVID-19, the </w:t>
      </w:r>
      <w:r>
        <w:rPr>
          <w:rFonts w:eastAsia="Calibri" w:cs="Times New Roman"/>
          <w:noProof/>
          <w:szCs w:val="24"/>
          <w:lang w:val="en-US"/>
        </w:rPr>
        <w:t>Ministry of Education actively provided a variety of distance-learning opportunities for the different education levels, including a portal for teacher-student communication with classes divided by years and subjects, as well as a dedicated YouTube channel</w:t>
      </w:r>
      <w:r>
        <w:rPr>
          <w:rFonts w:eastAsia="Calibri" w:cs="Times New Roman"/>
          <w:noProof/>
          <w:szCs w:val="24"/>
          <w:lang w:val="en-US"/>
        </w:rPr>
        <w:t xml:space="preserve"> with recorded classes. The project </w:t>
      </w:r>
      <w:r>
        <w:rPr>
          <w:rFonts w:eastAsia="Calibri" w:cs="Times New Roman"/>
          <w:i/>
          <w:noProof/>
          <w:szCs w:val="24"/>
          <w:lang w:val="en-US"/>
        </w:rPr>
        <w:t>Learn from home</w:t>
      </w:r>
      <w:r>
        <w:rPr>
          <w:rFonts w:eastAsia="Calibri" w:cs="Times New Roman"/>
          <w:noProof/>
          <w:szCs w:val="24"/>
          <w:lang w:val="en-US"/>
        </w:rPr>
        <w:t xml:space="preserve"> (Uci doma) which includes the AMPLITUDO platform received very positive reviews.</w:t>
      </w:r>
    </w:p>
    <w:p w:rsidR="003C2144" w:rsidRDefault="00FB7959">
      <w:pPr>
        <w:spacing w:after="120" w:line="240" w:lineRule="auto"/>
        <w:jc w:val="both"/>
        <w:rPr>
          <w:rFonts w:eastAsia="Calibri" w:cs="Times New Roman"/>
          <w:noProof/>
          <w:szCs w:val="24"/>
        </w:rPr>
      </w:pPr>
      <w:r>
        <w:rPr>
          <w:rFonts w:eastAsia="Calibri" w:cs="Times New Roman"/>
          <w:noProof/>
          <w:szCs w:val="24"/>
        </w:rPr>
        <w:t>The PISA 2018 results (international student assessment in mathematics, science and reading) showed limited improvement fro</w:t>
      </w:r>
      <w:r>
        <w:rPr>
          <w:rFonts w:eastAsia="Calibri" w:cs="Times New Roman"/>
          <w:noProof/>
          <w:szCs w:val="24"/>
        </w:rPr>
        <w:t>m 2015 and remain below the OECD average. As PISA is seen as one indicator of whether a school system is preparing students for the future, implementation of the policy recommendations in the 2019 action plan should be accelerated to aid ongoing efforts to</w:t>
      </w:r>
      <w:r>
        <w:rPr>
          <w:rFonts w:eastAsia="Calibri" w:cs="Times New Roman"/>
          <w:noProof/>
          <w:szCs w:val="24"/>
        </w:rPr>
        <w:t xml:space="preserve"> improve </w:t>
      </w:r>
      <w:r>
        <w:rPr>
          <w:rFonts w:eastAsia="Times New Roman" w:cs="Times New Roman"/>
          <w:noProof/>
          <w:szCs w:val="24"/>
        </w:rPr>
        <w:t>the overall quality of teaching and student achievement.</w:t>
      </w:r>
      <w:r>
        <w:rPr>
          <w:rFonts w:cs="Times New Roman"/>
          <w:noProof/>
          <w:color w:val="000000"/>
          <w:szCs w:val="24"/>
          <w:lang w:val="en-US"/>
        </w:rPr>
        <w:t xml:space="preserve"> The country also participated in TIMSS 2019 and will be take part in the PIRLS 2021 assessment.</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culture</w:t>
      </w:r>
      <w:r>
        <w:rPr>
          <w:rFonts w:eastAsia="Calibri" w:cs="Times New Roman"/>
          <w:noProof/>
          <w:szCs w:val="24"/>
        </w:rPr>
        <w:t>, the Ministry of Culture continued to invest in creative hubs and industries, infra</w:t>
      </w:r>
      <w:r>
        <w:rPr>
          <w:rFonts w:eastAsia="Calibri" w:cs="Times New Roman"/>
          <w:noProof/>
          <w:szCs w:val="24"/>
        </w:rPr>
        <w:t>structure and arts development. Further investment in mapping the local creative start-up ecosystem would be beneficial for added stimulus. In March 2020, the Ministry announced a public call for co-financing cultural and artistic activities of public inte</w:t>
      </w:r>
      <w:r>
        <w:rPr>
          <w:rFonts w:eastAsia="Calibri" w:cs="Times New Roman"/>
          <w:noProof/>
          <w:szCs w:val="24"/>
        </w:rPr>
        <w:t>rest to support and protect unemployed artists and various operators affected by the COVID-19 pandemic. Amendments to the Law on the protection of the cultural and historic region of Kotor aim to contribute to better conservation. Montenegro should careful</w:t>
      </w:r>
      <w:r>
        <w:rPr>
          <w:rFonts w:eastAsia="Calibri" w:cs="Times New Roman"/>
          <w:noProof/>
          <w:szCs w:val="24"/>
        </w:rPr>
        <w:t xml:space="preserve">ly implement the protection measures to guard its UNESCO heritage status. Numerous events were organised as part of the 2019 European Heritage days. The Regional Youth Cooperation Office supports intercultural youth exchange programmes. While there was no </w:t>
      </w:r>
      <w:r>
        <w:rPr>
          <w:rFonts w:eastAsia="Calibri" w:cs="Times New Roman"/>
          <w:noProof/>
          <w:szCs w:val="24"/>
        </w:rPr>
        <w:t>successful project under the culture strand of the 2019 Creative Europe Programme, Montenegro had two successful grants in the new mobility action ‘i-Portunus’.</w:t>
      </w:r>
    </w:p>
    <w:p w:rsidR="003C2144" w:rsidRDefault="00FB7959">
      <w:pPr>
        <w:spacing w:after="120" w:line="240" w:lineRule="auto"/>
        <w:jc w:val="both"/>
        <w:rPr>
          <w:rFonts w:eastAsia="Calibri" w:cs="Times New Roman"/>
          <w:noProof/>
          <w:szCs w:val="24"/>
        </w:rPr>
      </w:pPr>
      <w:r>
        <w:rPr>
          <w:rFonts w:eastAsia="Calibri" w:cs="Times New Roman"/>
          <w:noProof/>
          <w:szCs w:val="24"/>
        </w:rPr>
        <w:t>The Youth Strategy 2017-2021 is being implemented and two thirds of local municipalities have y</w:t>
      </w:r>
      <w:r>
        <w:rPr>
          <w:rFonts w:eastAsia="Calibri" w:cs="Times New Roman"/>
          <w:noProof/>
          <w:szCs w:val="24"/>
        </w:rPr>
        <w:t xml:space="preserve">outh action plans. In line with the 2019 Law on </w:t>
      </w:r>
      <w:r>
        <w:rPr>
          <w:rFonts w:eastAsia="Calibri" w:cs="Times New Roman"/>
          <w:b/>
          <w:noProof/>
          <w:szCs w:val="24"/>
        </w:rPr>
        <w:t>youth</w:t>
      </w:r>
      <w:r>
        <w:rPr>
          <w:rFonts w:eastAsia="Calibri" w:cs="Times New Roman"/>
          <w:noProof/>
          <w:szCs w:val="24"/>
        </w:rPr>
        <w:t xml:space="preserve">, the government adopted a programme to strengthen youth service’ capacity, and in June 2020 adopted secondary legislation to enable the establishment of a National Youth Council. Funding was </w:t>
      </w:r>
      <w:r>
        <w:rPr>
          <w:rFonts w:eastAsia="Calibri" w:cs="Times New Roman"/>
          <w:noProof/>
          <w:szCs w:val="24"/>
          <w:lang w:val="en-US"/>
        </w:rPr>
        <w:t>allocated t</w:t>
      </w:r>
      <w:r>
        <w:rPr>
          <w:rFonts w:eastAsia="Calibri" w:cs="Times New Roman"/>
          <w:noProof/>
          <w:szCs w:val="24"/>
          <w:lang w:val="en-US"/>
        </w:rPr>
        <w:t>o reconstruct, adapt and equip youth clubs, with new clubs foreseen to open this year in the north of the country.</w:t>
      </w:r>
      <w:r>
        <w:rPr>
          <w:rFonts w:eastAsia="Calibri" w:cs="Times New Roman"/>
          <w:noProof/>
          <w:szCs w:val="24"/>
        </w:rPr>
        <w:t xml:space="preserve">  More than 5 000 free European youth cards were distributed to young people nationwide. Montenegro actively joined the fifth edition of the E</w:t>
      </w:r>
      <w:r>
        <w:rPr>
          <w:rFonts w:eastAsia="Calibri" w:cs="Times New Roman"/>
          <w:noProof/>
          <w:szCs w:val="24"/>
        </w:rPr>
        <w:t xml:space="preserve">uropean Week of </w:t>
      </w:r>
      <w:r>
        <w:rPr>
          <w:rFonts w:eastAsia="Calibri" w:cs="Times New Roman"/>
          <w:b/>
          <w:noProof/>
          <w:szCs w:val="24"/>
        </w:rPr>
        <w:t>Sport</w:t>
      </w:r>
      <w:r>
        <w:rPr>
          <w:rFonts w:eastAsia="Calibri" w:cs="Times New Roman"/>
          <w:noProof/>
          <w:szCs w:val="24"/>
        </w:rPr>
        <w:t xml:space="preserve"> under the framework of the European Commission’s initiative </w:t>
      </w:r>
      <w:r>
        <w:rPr>
          <w:rFonts w:eastAsia="Calibri" w:cs="Times New Roman"/>
          <w:i/>
          <w:noProof/>
          <w:szCs w:val="24"/>
        </w:rPr>
        <w:t>European Week of Sport Beyond Borders</w:t>
      </w:r>
      <w:r>
        <w:rPr>
          <w:rFonts w:eastAsia="Calibri" w:cs="Times New Roman"/>
          <w:noProof/>
          <w:szCs w:val="24"/>
        </w:rPr>
        <w:t>.</w:t>
      </w:r>
    </w:p>
    <w:p w:rsidR="003C2144" w:rsidRDefault="00FB7959">
      <w:pPr>
        <w:pStyle w:val="Heading2"/>
        <w:rPr>
          <w:rFonts w:eastAsia="Times New Roman"/>
          <w:noProof/>
        </w:rPr>
      </w:pPr>
      <w:bookmarkStart w:id="243" w:name="_Toc30073854"/>
      <w:bookmarkStart w:id="244" w:name="_Toc30074167"/>
      <w:bookmarkStart w:id="245" w:name="_Toc30080589"/>
      <w:bookmarkStart w:id="246" w:name="_Toc52744958"/>
      <w:r>
        <w:rPr>
          <w:rFonts w:eastAsia="Times New Roman"/>
          <w:noProof/>
        </w:rPr>
        <w:t>5.27</w:t>
      </w:r>
      <w:r>
        <w:rPr>
          <w:rFonts w:eastAsia="Times New Roman"/>
          <w:noProof/>
        </w:rPr>
        <w:tab/>
        <w:t>Chapter 27: Environment and climate change</w:t>
      </w:r>
      <w:bookmarkEnd w:id="243"/>
      <w:bookmarkEnd w:id="244"/>
      <w:bookmarkEnd w:id="245"/>
      <w:bookmarkEnd w:id="246"/>
    </w:p>
    <w:p w:rsidR="003C2144" w:rsidRDefault="00FB7959">
      <w:pPr>
        <w:autoSpaceDE w:val="0"/>
        <w:autoSpaceDN w:val="0"/>
        <w:adjustRightInd w:val="0"/>
        <w:spacing w:after="120" w:line="240" w:lineRule="auto"/>
        <w:jc w:val="both"/>
        <w:rPr>
          <w:rFonts w:eastAsia="Calibri" w:cs="Times New Roman"/>
          <w:i/>
          <w:iCs/>
          <w:noProof/>
          <w:color w:val="000000"/>
          <w:szCs w:val="24"/>
          <w:lang w:eastAsia="en-GB"/>
        </w:rPr>
      </w:pPr>
      <w:r>
        <w:rPr>
          <w:rFonts w:eastAsia="Calibri" w:cs="Times New Roman"/>
          <w:i/>
          <w:iCs/>
          <w:noProof/>
          <w:color w:val="000000"/>
          <w:szCs w:val="24"/>
          <w:lang w:eastAsia="en-GB"/>
        </w:rPr>
        <w:t>The EU promotes strong climate action, sustainable development and protection of the en</w:t>
      </w:r>
      <w:r>
        <w:rPr>
          <w:rFonts w:eastAsia="Calibri" w:cs="Times New Roman"/>
          <w:i/>
          <w:iCs/>
          <w:noProof/>
          <w:color w:val="000000"/>
          <w:szCs w:val="24"/>
          <w:lang w:eastAsia="en-GB"/>
        </w:rPr>
        <w:t xml:space="preserve">vironment. EU law contains provisions addressing climate change, water and air quality, waste management, nature protection, industrial pollution, chemicals, noise and civil protection.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noProof/>
          <w:color w:val="000000" w:themeColor="text1"/>
          <w:szCs w:val="24"/>
          <w:lang w:eastAsia="en-GB"/>
        </w:rPr>
      </w:pPr>
      <w:r>
        <w:rPr>
          <w:rFonts w:eastAsia="Calibri" w:cs="Times New Roman"/>
          <w:bCs/>
          <w:noProof/>
          <w:color w:val="000000"/>
          <w:szCs w:val="24"/>
          <w:lang w:eastAsia="en-GB"/>
        </w:rPr>
        <w:t xml:space="preserve">Montenegro has </w:t>
      </w:r>
      <w:r>
        <w:rPr>
          <w:rFonts w:eastAsia="Calibri" w:cs="Times New Roman"/>
          <w:b/>
          <w:bCs/>
          <w:noProof/>
          <w:color w:val="000000"/>
          <w:szCs w:val="24"/>
          <w:lang w:eastAsia="en-GB"/>
        </w:rPr>
        <w:t>some level of preparation</w:t>
      </w:r>
      <w:r>
        <w:rPr>
          <w:rFonts w:eastAsia="Calibri" w:cs="Times New Roman"/>
          <w:bCs/>
          <w:noProof/>
          <w:color w:val="000000"/>
          <w:szCs w:val="24"/>
          <w:lang w:eastAsia="en-GB"/>
        </w:rPr>
        <w:t xml:space="preserve"> in this area. </w:t>
      </w:r>
      <w:r>
        <w:rPr>
          <w:rFonts w:eastAsia="Calibri" w:cs="Times New Roman"/>
          <w:b/>
          <w:bCs/>
          <w:noProof/>
          <w:color w:val="000000"/>
          <w:szCs w:val="24"/>
          <w:lang w:eastAsia="en-GB"/>
        </w:rPr>
        <w:t>Some progress</w:t>
      </w:r>
      <w:r>
        <w:rPr>
          <w:rFonts w:eastAsia="Calibri" w:cs="Times New Roman"/>
          <w:bCs/>
          <w:noProof/>
          <w:color w:val="000000"/>
          <w:szCs w:val="24"/>
          <w:lang w:eastAsia="en-GB"/>
        </w:rPr>
        <w:t xml:space="preserve"> was made with the international protection granted to Ulcinj Salina, the development of an action plan for chapter 27, and further legislative alignment with the EU </w:t>
      </w:r>
      <w:r>
        <w:rPr>
          <w:rFonts w:eastAsia="Calibri" w:cs="Times New Roman"/>
          <w:bCs/>
          <w:i/>
          <w:noProof/>
          <w:color w:val="000000"/>
          <w:szCs w:val="24"/>
          <w:lang w:eastAsia="en-GB"/>
        </w:rPr>
        <w:t>acquis</w:t>
      </w:r>
      <w:r>
        <w:rPr>
          <w:rFonts w:eastAsia="Calibri" w:cs="Times New Roman"/>
          <w:bCs/>
          <w:noProof/>
          <w:color w:val="000000"/>
          <w:szCs w:val="24"/>
          <w:lang w:eastAsia="en-GB"/>
        </w:rPr>
        <w:t>,</w:t>
      </w:r>
      <w:r>
        <w:rPr>
          <w:rFonts w:eastAsia="Calibri" w:cs="Times New Roman"/>
          <w:bCs/>
          <w:i/>
          <w:noProof/>
          <w:color w:val="000000"/>
          <w:szCs w:val="24"/>
          <w:lang w:eastAsia="en-GB"/>
        </w:rPr>
        <w:t xml:space="preserve"> </w:t>
      </w:r>
      <w:r>
        <w:rPr>
          <w:rFonts w:eastAsia="Calibri" w:cs="Times New Roman"/>
          <w:bCs/>
          <w:noProof/>
          <w:color w:val="000000"/>
          <w:szCs w:val="24"/>
          <w:lang w:eastAsia="en-GB"/>
        </w:rPr>
        <w:t xml:space="preserve">in line with the national strategy. </w:t>
      </w:r>
      <w:r>
        <w:rPr>
          <w:rFonts w:eastAsia="Calibri" w:cs="Times New Roman"/>
          <w:bCs/>
          <w:noProof/>
          <w:color w:val="000000" w:themeColor="text1"/>
          <w:szCs w:val="24"/>
          <w:lang w:eastAsia="en-GB"/>
        </w:rPr>
        <w:t>Significant efforts are needed on implementati</w:t>
      </w:r>
      <w:r>
        <w:rPr>
          <w:rFonts w:eastAsia="Calibri" w:cs="Times New Roman"/>
          <w:bCs/>
          <w:noProof/>
          <w:color w:val="000000" w:themeColor="text1"/>
          <w:szCs w:val="24"/>
          <w:lang w:eastAsia="en-GB"/>
        </w:rPr>
        <w:t xml:space="preserve">on and enforcement, in particular on waste management, water quality, nature protection and climate change. The 2019 recommendations remain valid and in the coming year, Montenegro should </w:t>
      </w:r>
      <w:r>
        <w:rPr>
          <w:rFonts w:cs="Times New Roman"/>
          <w:noProof/>
          <w:color w:val="000000" w:themeColor="text1"/>
          <w:szCs w:val="24"/>
        </w:rPr>
        <w:t>considerably step up ambitions towards a green transition, and conti</w:t>
      </w:r>
      <w:r>
        <w:rPr>
          <w:rFonts w:cs="Times New Roman"/>
          <w:noProof/>
          <w:color w:val="000000" w:themeColor="text1"/>
          <w:szCs w:val="24"/>
        </w:rPr>
        <w:t>nue focusing on</w:t>
      </w:r>
      <w:r>
        <w:rPr>
          <w:rFonts w:eastAsia="Calibri" w:cs="Times New Roman"/>
          <w:bCs/>
          <w:noProof/>
          <w:color w:val="000000" w:themeColor="text1"/>
          <w:szCs w:val="24"/>
          <w:lang w:eastAsia="en-GB"/>
        </w:rPr>
        <w:t>:</w:t>
      </w:r>
    </w:p>
    <w:p w:rsidR="003C2144" w:rsidRDefault="00FB795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bCs/>
          <w:noProof/>
          <w:color w:val="000000" w:themeColor="text1"/>
          <w:sz w:val="24"/>
          <w:szCs w:val="24"/>
          <w:lang w:eastAsia="en-GB"/>
        </w:rPr>
      </w:pPr>
      <w:r>
        <w:rPr>
          <w:rFonts w:ascii="Times New Roman" w:eastAsia="Calibri" w:hAnsi="Times New Roman" w:cs="Times New Roman"/>
          <w:bCs/>
          <w:noProof/>
          <w:color w:val="000000" w:themeColor="text1"/>
          <w:sz w:val="24"/>
          <w:szCs w:val="24"/>
          <w:lang w:eastAsia="en-GB"/>
        </w:rPr>
        <w:t>effectively implement the national strategy for transposition, implementation and enforcement of the EU acquis on environment and climate change, especially in the waste, water and nature protection sectors;</w:t>
      </w:r>
    </w:p>
    <w:p w:rsidR="003C2144" w:rsidRDefault="00FB795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bCs/>
          <w:noProof/>
          <w:color w:val="000000" w:themeColor="text1"/>
          <w:sz w:val="24"/>
          <w:szCs w:val="24"/>
          <w:lang w:eastAsia="en-GB"/>
        </w:rPr>
      </w:pPr>
      <w:r>
        <w:rPr>
          <w:rFonts w:ascii="Times New Roman" w:eastAsia="Calibri" w:hAnsi="Times New Roman" w:cs="Times New Roman"/>
          <w:bCs/>
          <w:noProof/>
          <w:color w:val="000000" w:themeColor="text1"/>
          <w:sz w:val="24"/>
          <w:szCs w:val="24"/>
          <w:lang w:eastAsia="en-GB"/>
        </w:rPr>
        <w:t>take urgent measures to preserv</w:t>
      </w:r>
      <w:r>
        <w:rPr>
          <w:rFonts w:ascii="Times New Roman" w:eastAsia="Calibri" w:hAnsi="Times New Roman" w:cs="Times New Roman"/>
          <w:bCs/>
          <w:noProof/>
          <w:color w:val="000000" w:themeColor="text1"/>
          <w:sz w:val="24"/>
          <w:szCs w:val="24"/>
          <w:lang w:eastAsia="en-GB"/>
        </w:rPr>
        <w:t>e and improve the ecological value of protected areas and potential Natura 2000 sites such as Ulcinj Salina, Lake Skadar, the Tara river and other river courses;</w:t>
      </w:r>
    </w:p>
    <w:p w:rsidR="003C2144" w:rsidRDefault="00FB795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bCs/>
          <w:noProof/>
          <w:color w:val="000000" w:themeColor="text1"/>
          <w:sz w:val="24"/>
          <w:szCs w:val="24"/>
          <w:lang w:eastAsia="en-GB"/>
        </w:rPr>
        <w:t xml:space="preserve">develop its National Energy and Climate Plan in line with the Energy Community </w:t>
      </w:r>
      <w:r>
        <w:rPr>
          <w:rFonts w:ascii="Times New Roman" w:eastAsia="Calibri" w:hAnsi="Times New Roman" w:cs="Times New Roman"/>
          <w:bCs/>
          <w:noProof/>
          <w:color w:val="000000" w:themeColor="text1"/>
          <w:sz w:val="24"/>
          <w:szCs w:val="24"/>
          <w:lang w:eastAsia="en-GB"/>
        </w:rPr>
        <w:t>recommendations.</w:t>
      </w:r>
    </w:p>
    <w:p w:rsidR="003C2144" w:rsidRDefault="00FB7959">
      <w:pPr>
        <w:autoSpaceDE w:val="0"/>
        <w:autoSpaceDN w:val="0"/>
        <w:adjustRightInd w:val="0"/>
        <w:spacing w:after="120" w:line="240" w:lineRule="auto"/>
        <w:jc w:val="both"/>
        <w:rPr>
          <w:rFonts w:eastAsia="Calibri" w:cs="Times New Roman"/>
          <w:noProof/>
          <w:color w:val="000000"/>
          <w:szCs w:val="24"/>
          <w:u w:val="single"/>
          <w:lang w:eastAsia="en-GB"/>
        </w:rPr>
      </w:pPr>
      <w:r>
        <w:rPr>
          <w:rFonts w:eastAsia="Calibri" w:cs="Times New Roman"/>
          <w:noProof/>
          <w:color w:val="000000"/>
          <w:szCs w:val="24"/>
          <w:u w:val="single"/>
          <w:lang w:eastAsia="en-GB"/>
        </w:rPr>
        <w:t xml:space="preserve">Environment </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horizontal legislation</w:t>
      </w:r>
      <w:r>
        <w:rPr>
          <w:rFonts w:eastAsia="Calibri" w:cs="Times New Roman"/>
          <w:noProof/>
          <w:color w:val="000000"/>
          <w:szCs w:val="24"/>
          <w:lang w:eastAsia="en-GB"/>
        </w:rPr>
        <w:t xml:space="preserve">, Montenegro developed in 2019 a new action plan to better prioritise alignment with and implementation of the EU </w:t>
      </w:r>
      <w:r>
        <w:rPr>
          <w:rFonts w:eastAsia="Calibri" w:cs="Times New Roman"/>
          <w:i/>
          <w:noProof/>
          <w:color w:val="000000"/>
          <w:szCs w:val="24"/>
          <w:lang w:eastAsia="en-GB"/>
        </w:rPr>
        <w:t>acquis</w:t>
      </w:r>
      <w:r>
        <w:rPr>
          <w:rFonts w:eastAsia="Calibri" w:cs="Times New Roman"/>
          <w:noProof/>
          <w:color w:val="000000"/>
          <w:szCs w:val="24"/>
          <w:lang w:eastAsia="en-GB"/>
        </w:rPr>
        <w:t xml:space="preserve"> on the environment and climate change. In December 2019, the government adopted the third report on the implementation of the previous action plan for the 2018-2020 period. The report shows slow implementation in most of the policy areas, with 68% of the </w:t>
      </w:r>
      <w:r>
        <w:rPr>
          <w:rFonts w:eastAsia="Calibri" w:cs="Times New Roman"/>
          <w:noProof/>
          <w:color w:val="000000"/>
          <w:szCs w:val="24"/>
          <w:lang w:eastAsia="en-GB"/>
        </w:rPr>
        <w:t>planned actions for 2018 and 2019 completed by the end of 2019. According to the report, not a single planned activity was completed in 2019 on waste management and climate change. Implementation was about 30% for water quality and nature protection, while</w:t>
      </w:r>
      <w:r>
        <w:rPr>
          <w:rFonts w:eastAsia="Calibri" w:cs="Times New Roman"/>
          <w:noProof/>
          <w:color w:val="000000"/>
          <w:szCs w:val="24"/>
          <w:lang w:eastAsia="en-GB"/>
        </w:rPr>
        <w:t xml:space="preserve"> figures around 70% were registered for horizontal legislation, air quality and industrial pollution.The Eco Fund established in November 2018 is not operational yet. The separation of legislative and executive competences in the area of environment has be</w:t>
      </w:r>
      <w:r>
        <w:rPr>
          <w:rFonts w:eastAsia="Calibri" w:cs="Times New Roman"/>
          <w:noProof/>
          <w:color w:val="000000"/>
          <w:szCs w:val="24"/>
          <w:lang w:eastAsia="en-GB"/>
        </w:rPr>
        <w:t>en ensured in the May 2019 secondary legislation on the internal organisation of the Ministry of Sustainable Development and Tourism and of the Nature and Environmental Protection Agency (NEPA). Remaining challenges to be urgently addressed are the lack of</w:t>
      </w:r>
      <w:r>
        <w:rPr>
          <w:rFonts w:eastAsia="Calibri" w:cs="Times New Roman"/>
          <w:noProof/>
          <w:color w:val="000000"/>
          <w:szCs w:val="24"/>
          <w:lang w:eastAsia="en-GB"/>
        </w:rPr>
        <w:t xml:space="preserve"> sufficient administrative capacities at central and local level and inspection bodies, insufficient inter-institutional coordination and lack of a sustainable financial framework.</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air quality</w:t>
      </w:r>
      <w:r>
        <w:rPr>
          <w:rFonts w:eastAsia="Calibri" w:cs="Times New Roman"/>
          <w:noProof/>
          <w:color w:val="000000"/>
          <w:szCs w:val="24"/>
          <w:lang w:eastAsia="en-GB"/>
        </w:rPr>
        <w:t xml:space="preserve">, in June 2019 the government adopted the 2018 report on the </w:t>
      </w:r>
      <w:r>
        <w:rPr>
          <w:rFonts w:eastAsia="Calibri" w:cs="Times New Roman"/>
          <w:noProof/>
          <w:color w:val="000000"/>
          <w:szCs w:val="24"/>
          <w:lang w:eastAsia="en-GB"/>
        </w:rPr>
        <w:t xml:space="preserve">implementation of the action plan of the national air quality management strategy. During the reporting period, the definition of air quality zones was revised and the number of air quality monitoring stations increased from 7 to 10, however the real-time </w:t>
      </w:r>
      <w:r>
        <w:rPr>
          <w:rFonts w:eastAsia="Calibri" w:cs="Times New Roman"/>
          <w:noProof/>
          <w:color w:val="000000"/>
          <w:szCs w:val="24"/>
          <w:lang w:eastAsia="en-GB"/>
        </w:rPr>
        <w:t>air quality reporting system is not operational. The pollution levels in Pljevlja exceed on regular basis the mean PM10 concentration limits. In March 2020, Montenegro re-established reporting on air pollution emission and provided all missing data for the</w:t>
      </w:r>
      <w:r>
        <w:rPr>
          <w:rFonts w:eastAsia="Calibri" w:cs="Times New Roman"/>
          <w:noProof/>
          <w:color w:val="000000"/>
          <w:szCs w:val="24"/>
          <w:lang w:eastAsia="en-GB"/>
        </w:rPr>
        <w:t xml:space="preserve"> period 2011-2018 to the Secretariat of the convention on long-range transboundary air pollution. A programme for monitoring the quality of liquid fuels of oil origins for 2020-2021 has been adopted. </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Regarding </w:t>
      </w:r>
      <w:r>
        <w:rPr>
          <w:rFonts w:eastAsia="Calibri" w:cs="Times New Roman"/>
          <w:b/>
          <w:noProof/>
          <w:color w:val="000000"/>
          <w:szCs w:val="24"/>
          <w:lang w:eastAsia="en-GB"/>
        </w:rPr>
        <w:t>waste management</w:t>
      </w:r>
      <w:r>
        <w:rPr>
          <w:rFonts w:eastAsia="Calibri" w:cs="Times New Roman"/>
          <w:noProof/>
          <w:color w:val="000000"/>
          <w:szCs w:val="24"/>
          <w:lang w:eastAsia="en-GB"/>
        </w:rPr>
        <w:t>, Montenegro remains partiall</w:t>
      </w:r>
      <w:r>
        <w:rPr>
          <w:rFonts w:eastAsia="Calibri" w:cs="Times New Roman"/>
          <w:noProof/>
          <w:color w:val="000000"/>
          <w:szCs w:val="24"/>
          <w:lang w:eastAsia="en-GB"/>
        </w:rPr>
        <w:t xml:space="preserve">y aligned with the EU </w:t>
      </w:r>
      <w:r>
        <w:rPr>
          <w:rFonts w:eastAsia="Calibri" w:cs="Times New Roman"/>
          <w:i/>
          <w:noProof/>
          <w:color w:val="000000"/>
          <w:szCs w:val="24"/>
          <w:lang w:eastAsia="en-GB"/>
        </w:rPr>
        <w:t>acquis</w:t>
      </w:r>
      <w:r>
        <w:rPr>
          <w:rFonts w:eastAsia="Calibri" w:cs="Times New Roman"/>
          <w:noProof/>
          <w:color w:val="000000"/>
          <w:szCs w:val="24"/>
          <w:lang w:eastAsia="en-GB"/>
        </w:rPr>
        <w:t>. No progress has been made in the implementation of the waste legislation. Considerable efforts on strategic planning and investments are needed to implement the national strategy for waste management until 2030 and the 2015-20</w:t>
      </w:r>
      <w:r>
        <w:rPr>
          <w:rFonts w:eastAsia="Calibri" w:cs="Times New Roman"/>
          <w:noProof/>
          <w:color w:val="000000"/>
          <w:szCs w:val="24"/>
          <w:lang w:eastAsia="en-GB"/>
        </w:rPr>
        <w:t>20 national waste management plan. Work on the new law on waste management continued. Decisions on separate waste collection were adopted in the municipalities of Berane, Zabljak, Plav, Rozaje, Kolasin, Gusinje, Andrijevica, Ulcinj and Petnjica. The detail</w:t>
      </w:r>
      <w:r>
        <w:rPr>
          <w:rFonts w:eastAsia="Calibri" w:cs="Times New Roman"/>
          <w:noProof/>
          <w:color w:val="000000"/>
          <w:szCs w:val="24"/>
          <w:lang w:eastAsia="en-GB"/>
        </w:rPr>
        <w:t>s of the country’s waste management model and the modalities of its implementation remain to be clarified. There is an urgent need to remedy illegal waste disposal and the use of temporary waste disposal in all municipalities. Infrastructure for separate w</w:t>
      </w:r>
      <w:r>
        <w:rPr>
          <w:rFonts w:eastAsia="Calibri" w:cs="Times New Roman"/>
          <w:noProof/>
          <w:color w:val="000000"/>
          <w:szCs w:val="24"/>
          <w:lang w:eastAsia="en-GB"/>
        </w:rPr>
        <w:t>aste collection and recycling needs to be established across the country.</w:t>
      </w:r>
    </w:p>
    <w:p w:rsidR="003C2144" w:rsidRDefault="00FB7959">
      <w:pPr>
        <w:spacing w:after="120" w:line="240" w:lineRule="auto"/>
        <w:jc w:val="both"/>
        <w:rPr>
          <w:rFonts w:eastAsia="Calibri" w:cs="Times New Roman"/>
          <w:noProof/>
          <w:szCs w:val="24"/>
        </w:rPr>
      </w:pPr>
      <w:r>
        <w:rPr>
          <w:rFonts w:eastAsia="Calibri" w:cs="Times New Roman"/>
          <w:noProof/>
          <w:color w:val="000000"/>
          <w:szCs w:val="24"/>
          <w:lang w:eastAsia="en-GB"/>
        </w:rPr>
        <w:t xml:space="preserve">Alignment on </w:t>
      </w:r>
      <w:r>
        <w:rPr>
          <w:rFonts w:eastAsia="Calibri" w:cs="Times New Roman"/>
          <w:b/>
          <w:noProof/>
          <w:color w:val="000000"/>
          <w:szCs w:val="24"/>
          <w:lang w:eastAsia="en-GB"/>
        </w:rPr>
        <w:t>water quality</w:t>
      </w:r>
      <w:r>
        <w:rPr>
          <w:rFonts w:eastAsia="Calibri" w:cs="Times New Roman"/>
          <w:noProof/>
          <w:color w:val="000000"/>
          <w:szCs w:val="24"/>
          <w:lang w:eastAsia="en-GB"/>
        </w:rPr>
        <w:t xml:space="preserve"> remains limited. Water management plans for the </w:t>
      </w:r>
      <w:r>
        <w:rPr>
          <w:rFonts w:eastAsia="Calibri" w:cs="Times New Roman"/>
          <w:noProof/>
          <w:szCs w:val="24"/>
        </w:rPr>
        <w:t>Danube and Adriatic basins remain to be finalised. The network of hydrological surface stations for monitor</w:t>
      </w:r>
      <w:r>
        <w:rPr>
          <w:rFonts w:eastAsia="Calibri" w:cs="Times New Roman"/>
          <w:noProof/>
          <w:szCs w:val="24"/>
        </w:rPr>
        <w:t xml:space="preserve">ing the quantity of surface waters and a network of stations for groundwater monitoring were established, and software for processing the collected hydrological data was acquired. </w:t>
      </w:r>
      <w:r>
        <w:rPr>
          <w:rFonts w:eastAsia="Calibri" w:cs="Times New Roman"/>
          <w:noProof/>
          <w:color w:val="000000"/>
          <w:szCs w:val="24"/>
          <w:lang w:eastAsia="en-GB"/>
        </w:rPr>
        <w:t>The largest source of pollution of surface and groundwater is untreated wast</w:t>
      </w:r>
      <w:r>
        <w:rPr>
          <w:rFonts w:eastAsia="Calibri" w:cs="Times New Roman"/>
          <w:noProof/>
          <w:color w:val="000000"/>
          <w:szCs w:val="24"/>
          <w:lang w:eastAsia="en-GB"/>
        </w:rPr>
        <w:t>ewater. In order to address this, in October 2019, the government adopted the municipal wastewater management plan for 2020-2035. Parliament adopted the law on marine environment protection in December 2019, contributing to alignment with the Marine Strate</w:t>
      </w:r>
      <w:r>
        <w:rPr>
          <w:rFonts w:eastAsia="Calibri" w:cs="Times New Roman"/>
          <w:noProof/>
          <w:color w:val="000000"/>
          <w:szCs w:val="24"/>
          <w:lang w:eastAsia="en-GB"/>
        </w:rPr>
        <w:t>gy Framework Directive. The development of flood hazard maps and flood risk maps has advanced. Investments in hydropower need to comply with national and international nature protection and water management obligations, ensure public participation and cons</w:t>
      </w:r>
      <w:r>
        <w:rPr>
          <w:rFonts w:eastAsia="Calibri" w:cs="Times New Roman"/>
          <w:noProof/>
          <w:color w:val="000000"/>
          <w:szCs w:val="24"/>
          <w:lang w:eastAsia="en-GB"/>
        </w:rPr>
        <w:t>ultation, and guarantee high quality environmental impact assessment (EIA) reports that include cumulative impacts on nature and biodiversity.</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nature protection</w:t>
      </w:r>
      <w:r>
        <w:rPr>
          <w:rFonts w:eastAsia="Calibri" w:cs="Times New Roman"/>
          <w:noProof/>
          <w:color w:val="000000"/>
          <w:szCs w:val="24"/>
          <w:lang w:eastAsia="en-GB"/>
        </w:rPr>
        <w:t xml:space="preserve">, Montenegro has partially aligned with the EU </w:t>
      </w:r>
      <w:r>
        <w:rPr>
          <w:rFonts w:eastAsia="Calibri" w:cs="Times New Roman"/>
          <w:i/>
          <w:noProof/>
          <w:color w:val="000000"/>
          <w:szCs w:val="24"/>
          <w:lang w:eastAsia="en-GB"/>
        </w:rPr>
        <w:t>acquis</w:t>
      </w:r>
      <w:r>
        <w:rPr>
          <w:rFonts w:eastAsia="Calibri" w:cs="Times New Roman"/>
          <w:noProof/>
          <w:color w:val="000000"/>
          <w:szCs w:val="24"/>
          <w:lang w:eastAsia="en-GB"/>
        </w:rPr>
        <w:t>. In June 2019, the municipality of Ulci</w:t>
      </w:r>
      <w:r>
        <w:rPr>
          <w:rFonts w:eastAsia="Calibri" w:cs="Times New Roman"/>
          <w:noProof/>
          <w:color w:val="000000"/>
          <w:szCs w:val="24"/>
          <w:lang w:eastAsia="en-GB"/>
        </w:rPr>
        <w:t>nj proclaimed Ulcinj Salina as a nature park, which in September 2019, was also included on the Ramsar list, declaring it a wetland of international importance. The Zeta River valley was designated as a nature park in December 2019. While further support f</w:t>
      </w:r>
      <w:r>
        <w:rPr>
          <w:rFonts w:eastAsia="Calibri" w:cs="Times New Roman"/>
          <w:noProof/>
          <w:color w:val="000000"/>
          <w:szCs w:val="24"/>
          <w:lang w:eastAsia="en-GB"/>
        </w:rPr>
        <w:t>or the maintenance of Ulcinj Salina comes from the national budget, r</w:t>
      </w:r>
      <w:r>
        <w:rPr>
          <w:rFonts w:eastAsia="Calibri" w:cs="Times New Roman"/>
          <w:noProof/>
          <w:color w:val="000000"/>
          <w:szCs w:val="24"/>
        </w:rPr>
        <w:t xml:space="preserve">esolute and urgent action is still </w:t>
      </w:r>
      <w:r>
        <w:rPr>
          <w:rFonts w:eastAsia="Calibri" w:cs="Times New Roman"/>
          <w:noProof/>
          <w:color w:val="000000"/>
          <w:szCs w:val="24"/>
          <w:lang w:eastAsia="en-GB"/>
        </w:rPr>
        <w:t>required for its sustainable mangement and protection, including, first and foremost, ownership clarification. Some mitigation measures were taken to mo</w:t>
      </w:r>
      <w:r>
        <w:rPr>
          <w:rFonts w:eastAsia="Calibri" w:cs="Times New Roman"/>
          <w:noProof/>
          <w:color w:val="000000"/>
          <w:szCs w:val="24"/>
          <w:lang w:eastAsia="en-GB"/>
        </w:rPr>
        <w:t xml:space="preserve">nitor and improve the state of the environment in several sensitive areas at Skadar Lake and the Tara River. Further progress is needed to designate marine protected areas and to establish a comprehensive system of strict species protection to be applied, </w:t>
      </w:r>
      <w:r>
        <w:rPr>
          <w:rFonts w:eastAsia="Calibri" w:cs="Times New Roman"/>
          <w:noProof/>
          <w:color w:val="000000"/>
          <w:szCs w:val="24"/>
          <w:lang w:eastAsia="en-GB"/>
        </w:rPr>
        <w:t xml:space="preserve">among others, for seismic surveys, hydropower and touristic developments. A military training area was established on the Sinjajevina mountain, which is part of the UNESCO Tara River biosphere reserve. Its operation should be planned and monitored in line </w:t>
      </w:r>
      <w:r>
        <w:rPr>
          <w:rFonts w:eastAsia="Calibri" w:cs="Times New Roman"/>
          <w:noProof/>
          <w:color w:val="000000"/>
          <w:szCs w:val="24"/>
          <w:lang w:eastAsia="en-GB"/>
        </w:rPr>
        <w:t>with the UNESCO principles of socio-cultural and ecological sustainability. Mapping for Natura 2000 has continued. A law on alien and invasive alien species of plants, animals and fungi was adopted as well the revised National Strategy on Forest and Forest</w:t>
      </w:r>
      <w:r>
        <w:rPr>
          <w:rFonts w:eastAsia="Calibri" w:cs="Times New Roman"/>
          <w:noProof/>
          <w:color w:val="000000"/>
          <w:szCs w:val="24"/>
          <w:lang w:eastAsia="en-GB"/>
        </w:rPr>
        <w:t xml:space="preserve">ry and a Forest Reduction Plan for forests degraded by the effect of abiotic and biotic factors. </w:t>
      </w:r>
      <w:r>
        <w:rPr>
          <w:rFonts w:eastAsia="Calibri" w:cs="Times New Roman"/>
          <w:noProof/>
          <w:szCs w:val="24"/>
        </w:rPr>
        <w:t>In March 2020, the Parliament ratified the law on Nagoya Protocol on access to genetic resources and the fair and equitable sharing of benefits arising from th</w:t>
      </w:r>
      <w:r>
        <w:rPr>
          <w:rFonts w:eastAsia="Calibri" w:cs="Times New Roman"/>
          <w:noProof/>
          <w:szCs w:val="24"/>
        </w:rPr>
        <w:t>eir utilisation to the convention on biological diversity.</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industrial pollution control and risk management</w:t>
      </w:r>
      <w:r>
        <w:rPr>
          <w:rFonts w:eastAsia="Calibri" w:cs="Times New Roman"/>
          <w:noProof/>
          <w:color w:val="000000"/>
          <w:szCs w:val="24"/>
          <w:lang w:eastAsia="en-GB"/>
        </w:rPr>
        <w:t xml:space="preserve">, </w:t>
      </w:r>
      <w:r>
        <w:rPr>
          <w:rFonts w:eastAsia="Calibri" w:cs="Times New Roman"/>
          <w:noProof/>
          <w:color w:val="000000"/>
          <w:szCs w:val="24"/>
        </w:rPr>
        <w:t xml:space="preserve">Montenegro is partially aligned with the EU </w:t>
      </w:r>
      <w:r>
        <w:rPr>
          <w:rFonts w:eastAsia="Calibri" w:cs="Times New Roman"/>
          <w:i/>
          <w:noProof/>
          <w:color w:val="000000"/>
          <w:szCs w:val="24"/>
        </w:rPr>
        <w:t xml:space="preserve">acquis. </w:t>
      </w:r>
      <w:r>
        <w:rPr>
          <w:rFonts w:eastAsia="Calibri" w:cs="Times New Roman"/>
          <w:noProof/>
          <w:color w:val="000000"/>
          <w:szCs w:val="24"/>
          <w:lang w:eastAsia="en-GB"/>
        </w:rPr>
        <w:t xml:space="preserve">The Law on industrial emissions was adopted in March 2019, followed by relevant secondary </w:t>
      </w:r>
      <w:r>
        <w:rPr>
          <w:rFonts w:eastAsia="Calibri" w:cs="Times New Roman"/>
          <w:noProof/>
          <w:color w:val="000000"/>
          <w:szCs w:val="24"/>
          <w:lang w:eastAsia="en-GB"/>
        </w:rPr>
        <w:t>legislation. In November, the government adopted a decree on types of activities and plants for which an integrated permit is issued.</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rPr>
        <w:t xml:space="preserve">On </w:t>
      </w:r>
      <w:r>
        <w:rPr>
          <w:rFonts w:eastAsia="Calibri" w:cs="Times New Roman"/>
          <w:b/>
          <w:noProof/>
          <w:color w:val="000000"/>
          <w:szCs w:val="24"/>
        </w:rPr>
        <w:t>chemicals</w:t>
      </w:r>
      <w:r>
        <w:rPr>
          <w:rFonts w:eastAsia="Calibri" w:cs="Times New Roman"/>
          <w:noProof/>
          <w:color w:val="000000"/>
          <w:szCs w:val="24"/>
        </w:rPr>
        <w:t xml:space="preserve">, Montenegro is partially aligned with the EU </w:t>
      </w:r>
      <w:r>
        <w:rPr>
          <w:rFonts w:eastAsia="Calibri" w:cs="Times New Roman"/>
          <w:i/>
          <w:noProof/>
          <w:color w:val="000000"/>
          <w:szCs w:val="24"/>
        </w:rPr>
        <w:t>acquis</w:t>
      </w:r>
      <w:r>
        <w:rPr>
          <w:rFonts w:eastAsia="Calibri" w:cs="Times New Roman"/>
          <w:noProof/>
          <w:color w:val="000000"/>
          <w:szCs w:val="24"/>
        </w:rPr>
        <w:t xml:space="preserve">. </w:t>
      </w:r>
      <w:r>
        <w:rPr>
          <w:rFonts w:cs="Times New Roman"/>
          <w:noProof/>
          <w:color w:val="000000"/>
          <w:szCs w:val="24"/>
          <w:lang w:eastAsia="en-GB"/>
        </w:rPr>
        <w:t>In March 2019, the government adopted the 2019-2022 nati</w:t>
      </w:r>
      <w:r>
        <w:rPr>
          <w:rFonts w:cs="Times New Roman"/>
          <w:noProof/>
          <w:color w:val="000000"/>
          <w:szCs w:val="24"/>
          <w:lang w:eastAsia="en-GB"/>
        </w:rPr>
        <w:t>onal chemical management strategy and action plan.</w:t>
      </w:r>
      <w:r>
        <w:rPr>
          <w:rFonts w:eastAsia="Calibri" w:cs="Times New Roman"/>
          <w:noProof/>
          <w:color w:val="000000"/>
          <w:szCs w:val="24"/>
          <w:lang w:eastAsia="en-GB"/>
        </w:rPr>
        <w:t xml:space="preserve"> In July 2019, the government adopted the national plan for the implementation of the Stockholm Convention, while in August 2019, it adopted the final report on the implementation of the action plan for the</w:t>
      </w:r>
      <w:r>
        <w:rPr>
          <w:rFonts w:eastAsia="Calibri" w:cs="Times New Roman"/>
          <w:noProof/>
          <w:color w:val="000000"/>
          <w:szCs w:val="24"/>
          <w:lang w:eastAsia="en-GB"/>
        </w:rPr>
        <w:t xml:space="preserve"> 2015-2018 Chemical management strategy. </w:t>
      </w:r>
    </w:p>
    <w:p w:rsidR="003C2144" w:rsidRDefault="00FB7959">
      <w:pPr>
        <w:spacing w:after="120" w:line="240" w:lineRule="auto"/>
        <w:jc w:val="both"/>
        <w:rPr>
          <w:rFonts w:eastAsia="Calibri" w:cs="Times New Roman"/>
          <w:noProof/>
          <w:color w:val="000000"/>
          <w:szCs w:val="24"/>
          <w:lang w:eastAsia="en-GB"/>
        </w:rPr>
      </w:pPr>
      <w:r>
        <w:rPr>
          <w:rFonts w:eastAsia="Calibri" w:cs="Times New Roman"/>
          <w:noProof/>
          <w:color w:val="000000"/>
          <w:szCs w:val="24"/>
          <w:lang w:eastAsia="en-GB"/>
        </w:rPr>
        <w:t xml:space="preserve">On </w:t>
      </w:r>
      <w:r>
        <w:rPr>
          <w:rFonts w:eastAsia="Calibri" w:cs="Times New Roman"/>
          <w:b/>
          <w:noProof/>
          <w:color w:val="000000"/>
          <w:szCs w:val="24"/>
          <w:lang w:eastAsia="en-GB"/>
        </w:rPr>
        <w:t>noise</w:t>
      </w:r>
      <w:r>
        <w:rPr>
          <w:rFonts w:eastAsia="Calibri" w:cs="Times New Roman"/>
          <w:noProof/>
          <w:color w:val="000000"/>
          <w:szCs w:val="24"/>
          <w:lang w:eastAsia="en-GB"/>
        </w:rPr>
        <w:t xml:space="preserve">, in July 2019, Podgorica municipality adopted the action plan for protection against noise by 2024 for its territory and for the Golubovci municipality. </w:t>
      </w:r>
    </w:p>
    <w:p w:rsidR="003C2144" w:rsidRDefault="00FB7959">
      <w:pPr>
        <w:spacing w:after="120" w:line="240" w:lineRule="auto"/>
        <w:jc w:val="both"/>
        <w:rPr>
          <w:rFonts w:eastAsia="Calibri" w:cs="Times New Roman"/>
          <w:noProof/>
          <w:szCs w:val="24"/>
          <w:lang w:eastAsia="en-GB"/>
        </w:rPr>
      </w:pPr>
      <w:r>
        <w:rPr>
          <w:rFonts w:eastAsia="Calibri" w:cs="Times New Roman"/>
          <w:noProof/>
          <w:szCs w:val="24"/>
          <w:lang w:eastAsia="en-GB"/>
        </w:rPr>
        <w:t xml:space="preserve">On </w:t>
      </w:r>
      <w:r>
        <w:rPr>
          <w:rFonts w:eastAsia="Calibri" w:cs="Times New Roman"/>
          <w:b/>
          <w:noProof/>
          <w:szCs w:val="24"/>
          <w:lang w:eastAsia="en-GB"/>
        </w:rPr>
        <w:t>civil protection</w:t>
      </w:r>
      <w:r>
        <w:rPr>
          <w:rFonts w:eastAsia="Calibri" w:cs="Times New Roman"/>
          <w:noProof/>
          <w:szCs w:val="24"/>
          <w:lang w:eastAsia="en-GB"/>
        </w:rPr>
        <w:t xml:space="preserve">, </w:t>
      </w:r>
      <w:r>
        <w:rPr>
          <w:rFonts w:eastAsia="Calibri" w:cs="Times New Roman"/>
          <w:noProof/>
          <w:color w:val="000000"/>
          <w:szCs w:val="24"/>
        </w:rPr>
        <w:t>Montenegro has been a member o</w:t>
      </w:r>
      <w:r>
        <w:rPr>
          <w:rFonts w:eastAsia="Calibri" w:cs="Times New Roman"/>
          <w:noProof/>
          <w:color w:val="000000"/>
          <w:szCs w:val="24"/>
        </w:rPr>
        <w:t xml:space="preserve">f the Union Civil Protection Mechanism since April 2015. </w:t>
      </w:r>
      <w:r>
        <w:rPr>
          <w:rFonts w:cs="Times New Roman"/>
          <w:noProof/>
          <w:szCs w:val="24"/>
        </w:rPr>
        <w:t xml:space="preserve">The COVID-19 pandemic highlighted the need to strengthen the legal framework and institutional capacities as well as human and financial resources of civil protection authorities also with regard to </w:t>
      </w:r>
      <w:r>
        <w:rPr>
          <w:rFonts w:cs="Times New Roman"/>
          <w:noProof/>
          <w:szCs w:val="24"/>
        </w:rPr>
        <w:t xml:space="preserve">health emergencies. Montenegro is encouraged to step up its cooperation in the framework of the Union Civil Protection Mechanism (UCPM). </w:t>
      </w:r>
      <w:r>
        <w:rPr>
          <w:rFonts w:eastAsia="Calibri" w:cs="Times New Roman"/>
          <w:noProof/>
          <w:color w:val="000000"/>
          <w:szCs w:val="24"/>
        </w:rPr>
        <w:t>Montenegro could contribute more to the mechanism by registering experts or response capacities in the voluntary pool a</w:t>
      </w:r>
      <w:r>
        <w:rPr>
          <w:rFonts w:eastAsia="Calibri" w:cs="Times New Roman"/>
          <w:noProof/>
          <w:color w:val="000000"/>
          <w:szCs w:val="24"/>
        </w:rPr>
        <w:t>nd participating regularly in the committees and working groups established under the Mechanism. The country still needs to connect with the Common Emergency Communication and Information System (CECIS).</w:t>
      </w:r>
      <w:r>
        <w:rPr>
          <w:rFonts w:eastAsia="Calibri" w:cs="Times New Roman"/>
          <w:noProof/>
          <w:color w:val="000000"/>
          <w:szCs w:val="24"/>
          <w:lang w:eastAsia="en-GB"/>
        </w:rPr>
        <w:t xml:space="preserve"> </w:t>
      </w:r>
      <w:r>
        <w:rPr>
          <w:rFonts w:cs="Times New Roman"/>
          <w:noProof/>
          <w:szCs w:val="24"/>
          <w:lang w:eastAsia="en-GB"/>
        </w:rPr>
        <w:t>As a precondition to CECIS, Montenegro needs to esta</w:t>
      </w:r>
      <w:r>
        <w:rPr>
          <w:rFonts w:cs="Times New Roman"/>
          <w:noProof/>
          <w:szCs w:val="24"/>
          <w:lang w:eastAsia="en-GB"/>
        </w:rPr>
        <w:t xml:space="preserve">blish </w:t>
      </w:r>
      <w:r>
        <w:rPr>
          <w:rFonts w:cs="Times New Roman"/>
          <w:noProof/>
          <w:szCs w:val="24"/>
        </w:rPr>
        <w:t>the Secure Trans European Services for Telematics connections between Administrations (sTESTA). January 2020 saw the adoption of t</w:t>
      </w:r>
      <w:r>
        <w:rPr>
          <w:rFonts w:eastAsia="Calibri" w:cs="Times New Roman"/>
          <w:noProof/>
          <w:color w:val="000000"/>
          <w:szCs w:val="24"/>
          <w:lang w:eastAsia="en-GB"/>
        </w:rPr>
        <w:t>he 201</w:t>
      </w:r>
      <w:r>
        <w:rPr>
          <w:rFonts w:eastAsia="Calibri" w:cs="Times New Roman"/>
          <w:noProof/>
          <w:szCs w:val="24"/>
          <w:lang w:eastAsia="en-GB"/>
        </w:rPr>
        <w:t xml:space="preserve">9 </w:t>
      </w:r>
      <w:r>
        <w:rPr>
          <w:rFonts w:eastAsia="Calibri" w:cs="Times New Roman"/>
          <w:noProof/>
          <w:szCs w:val="24"/>
        </w:rPr>
        <w:t>r</w:t>
      </w:r>
      <w:r>
        <w:rPr>
          <w:rFonts w:eastAsia="Calibri" w:cs="Times New Roman"/>
          <w:noProof/>
          <w:szCs w:val="24"/>
          <w:lang w:eastAsia="en-GB"/>
        </w:rPr>
        <w:t>eport on the action plan implementing the 2015-2018 disaster risk reduction strategy 2018-2019 and the strategy</w:t>
      </w:r>
      <w:r>
        <w:rPr>
          <w:rFonts w:eastAsia="Calibri" w:cs="Times New Roman"/>
          <w:noProof/>
          <w:szCs w:val="24"/>
          <w:lang w:eastAsia="en-GB"/>
        </w:rPr>
        <w:t>’s 2020-2021 action plan.</w:t>
      </w:r>
    </w:p>
    <w:p w:rsidR="003C2144" w:rsidRDefault="00FB7959">
      <w:pPr>
        <w:spacing w:after="120" w:line="240" w:lineRule="auto"/>
        <w:jc w:val="both"/>
        <w:rPr>
          <w:rFonts w:eastAsia="Calibri" w:cs="Times New Roman"/>
          <w:noProof/>
          <w:color w:val="000000"/>
          <w:szCs w:val="24"/>
          <w:u w:val="single"/>
          <w:lang w:eastAsia="en-GB"/>
        </w:rPr>
      </w:pPr>
      <w:r>
        <w:rPr>
          <w:rFonts w:eastAsia="Calibri" w:cs="Times New Roman"/>
          <w:noProof/>
          <w:color w:val="000000"/>
          <w:szCs w:val="24"/>
          <w:u w:val="single"/>
          <w:lang w:eastAsia="en-GB"/>
        </w:rPr>
        <w:t>Climate change</w:t>
      </w:r>
    </w:p>
    <w:p w:rsidR="003C2144" w:rsidRDefault="00FB7959">
      <w:pPr>
        <w:spacing w:after="120" w:line="240" w:lineRule="auto"/>
        <w:jc w:val="both"/>
        <w:rPr>
          <w:rFonts w:eastAsia="Calibri" w:cs="Times New Roman"/>
          <w:noProof/>
          <w:szCs w:val="24"/>
          <w:lang w:eastAsia="en-GB"/>
        </w:rPr>
      </w:pPr>
      <w:r>
        <w:rPr>
          <w:rFonts w:eastAsia="Calibri" w:cs="Times New Roman"/>
          <w:noProof/>
          <w:color w:val="000000"/>
          <w:szCs w:val="24"/>
          <w:lang w:eastAsia="en-GB"/>
        </w:rPr>
        <w:t>Montenegro’s level of alignment on climate change remains limited. Montenegro has a climate change strategy in place, but has to intensify its work to ensure consistency with the EU 2030 climate and energy policy framework. It also needs to ensure that its</w:t>
      </w:r>
      <w:r>
        <w:rPr>
          <w:rFonts w:eastAsia="Calibri" w:cs="Times New Roman"/>
          <w:noProof/>
          <w:color w:val="000000"/>
          <w:szCs w:val="24"/>
          <w:lang w:eastAsia="en-GB"/>
        </w:rPr>
        <w:t xml:space="preserve"> strategy is integrated into all relevant sectoral policies and strategies. </w:t>
      </w:r>
      <w:r>
        <w:rPr>
          <w:rFonts w:eastAsia="Calibri" w:cs="Times New Roman"/>
          <w:noProof/>
          <w:szCs w:val="24"/>
          <w:lang w:eastAsia="en-GB"/>
        </w:rPr>
        <w:t>In December 2019, the framework law on climate change was adopted. In line with this law, a decree was adopted in February 2020, which ensures the establishment of a national carbo</w:t>
      </w:r>
      <w:r>
        <w:rPr>
          <w:rFonts w:eastAsia="Calibri" w:cs="Times New Roman"/>
          <w:noProof/>
          <w:szCs w:val="24"/>
          <w:lang w:eastAsia="en-GB"/>
        </w:rPr>
        <w:t xml:space="preserve">n dioxide emissions trading system. Considerable work is still required to align with the EU </w:t>
      </w:r>
      <w:r>
        <w:rPr>
          <w:rFonts w:eastAsia="Calibri" w:cs="Times New Roman"/>
          <w:i/>
          <w:noProof/>
          <w:szCs w:val="24"/>
          <w:lang w:eastAsia="en-GB"/>
        </w:rPr>
        <w:t>acquis</w:t>
      </w:r>
      <w:r>
        <w:rPr>
          <w:rFonts w:eastAsia="Calibri" w:cs="Times New Roman"/>
          <w:noProof/>
          <w:szCs w:val="24"/>
          <w:lang w:eastAsia="en-GB"/>
        </w:rPr>
        <w:t>, such as to incorporate remaining elements of the EU Emissions Trading System (ETS), the Effort Sharing Regulation and the Monitoring and Reporting Mechanis</w:t>
      </w:r>
      <w:r>
        <w:rPr>
          <w:rFonts w:eastAsia="Calibri" w:cs="Times New Roman"/>
          <w:noProof/>
          <w:szCs w:val="24"/>
          <w:lang w:eastAsia="en-GB"/>
        </w:rPr>
        <w:t>m (MMR). A</w:t>
      </w:r>
      <w:r>
        <w:rPr>
          <w:rFonts w:eastAsia="Calibri" w:cs="Times New Roman"/>
          <w:noProof/>
          <w:color w:val="000000"/>
          <w:szCs w:val="24"/>
          <w:lang w:eastAsia="en-GB"/>
        </w:rPr>
        <w:t xml:space="preserve">s for the UN Framework Convention on Climate Change (UNFCCC), </w:t>
      </w:r>
      <w:r>
        <w:rPr>
          <w:rFonts w:eastAsia="Calibri" w:cs="Times New Roman"/>
          <w:noProof/>
          <w:szCs w:val="24"/>
          <w:lang w:eastAsia="en-GB"/>
        </w:rPr>
        <w:t xml:space="preserve">the third national report for Montenegro on climate change is being prepared in line with the UN Framework Convention on Climate Change. </w:t>
      </w:r>
    </w:p>
    <w:p w:rsidR="003C2144" w:rsidRDefault="00FB7959">
      <w:pPr>
        <w:pStyle w:val="Heading2"/>
        <w:rPr>
          <w:rFonts w:eastAsia="Times New Roman"/>
          <w:noProof/>
        </w:rPr>
      </w:pPr>
      <w:bookmarkStart w:id="247" w:name="_Toc30080590"/>
      <w:bookmarkStart w:id="248" w:name="_Toc30074168"/>
      <w:bookmarkStart w:id="249" w:name="_Toc30073855"/>
      <w:bookmarkStart w:id="250" w:name="_Toc9585323"/>
      <w:bookmarkStart w:id="251" w:name="_Toc52744959"/>
      <w:r>
        <w:rPr>
          <w:rFonts w:eastAsia="Times New Roman"/>
          <w:noProof/>
        </w:rPr>
        <w:t>5.28</w:t>
      </w:r>
      <w:r>
        <w:rPr>
          <w:rFonts w:eastAsia="Times New Roman"/>
          <w:noProof/>
        </w:rPr>
        <w:tab/>
        <w:t>Chapter 28: Consumer and health protectio</w:t>
      </w:r>
      <w:r>
        <w:rPr>
          <w:rFonts w:eastAsia="Times New Roman"/>
          <w:noProof/>
        </w:rPr>
        <w:t>n</w:t>
      </w:r>
      <w:bookmarkEnd w:id="247"/>
      <w:bookmarkEnd w:id="248"/>
      <w:bookmarkEnd w:id="249"/>
      <w:bookmarkEnd w:id="250"/>
      <w:bookmarkEnd w:id="251"/>
      <w:r>
        <w:rPr>
          <w:rFonts w:eastAsia="Times New Roman"/>
          <w:noProof/>
        </w:rPr>
        <w:t xml:space="preserve"> </w:t>
      </w:r>
    </w:p>
    <w:p w:rsidR="003C2144" w:rsidRDefault="00FB7959">
      <w:pPr>
        <w:keepNext/>
        <w:spacing w:after="120" w:line="240" w:lineRule="auto"/>
        <w:jc w:val="both"/>
        <w:rPr>
          <w:rFonts w:eastAsia="Calibri" w:cs="Times New Roman"/>
          <w:i/>
          <w:iCs/>
          <w:noProof/>
          <w:color w:val="000000"/>
          <w:szCs w:val="24"/>
        </w:rPr>
      </w:pPr>
      <w:r>
        <w:rPr>
          <w:rFonts w:eastAsia="Calibri" w:cs="Times New Roman"/>
          <w:i/>
          <w:iCs/>
          <w:noProof/>
          <w:color w:val="000000"/>
          <w:szCs w:val="24"/>
        </w:rPr>
        <w:t>EU rules protect consumers’ economic interests and in relation to product safety, dangerous imitations and liability for defective products. The EU also ensures high common standards for tobacco control, blood, tissues, cells and organs, patients’ right</w:t>
      </w:r>
      <w:r>
        <w:rPr>
          <w:rFonts w:eastAsia="Calibri" w:cs="Times New Roman"/>
          <w:i/>
          <w:iCs/>
          <w:noProof/>
          <w:color w:val="000000"/>
          <w:szCs w:val="24"/>
        </w:rPr>
        <w:t>s and communicable diseases.</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noProof/>
          <w:szCs w:val="24"/>
          <w:lang w:eastAsia="it-IT"/>
        </w:rPr>
      </w:pPr>
      <w:r>
        <w:rPr>
          <w:rFonts w:eastAsia="Times New Roman" w:cs="Times New Roman"/>
          <w:noProof/>
          <w:szCs w:val="24"/>
          <w:lang w:eastAsia="it-IT"/>
        </w:rPr>
        <w:t xml:space="preserve">Montenegro is </w:t>
      </w:r>
      <w:r>
        <w:rPr>
          <w:rFonts w:eastAsia="Times New Roman" w:cs="Times New Roman"/>
          <w:b/>
          <w:noProof/>
          <w:szCs w:val="24"/>
          <w:lang w:eastAsia="it-IT"/>
        </w:rPr>
        <w:t>moderately prepared</w:t>
      </w:r>
      <w:r>
        <w:rPr>
          <w:rFonts w:eastAsia="Times New Roman" w:cs="Times New Roman"/>
          <w:noProof/>
          <w:szCs w:val="24"/>
          <w:lang w:eastAsia="it-IT"/>
        </w:rPr>
        <w:t xml:space="preserve"> on consumer and health protection. </w:t>
      </w:r>
      <w:r>
        <w:rPr>
          <w:rFonts w:eastAsia="Times New Roman" w:cs="Times New Roman"/>
          <w:b/>
          <w:noProof/>
          <w:szCs w:val="24"/>
          <w:lang w:eastAsia="it-IT"/>
        </w:rPr>
        <w:t xml:space="preserve">Some progress </w:t>
      </w:r>
      <w:r>
        <w:rPr>
          <w:rFonts w:eastAsia="Times New Roman" w:cs="Times New Roman"/>
          <w:noProof/>
          <w:szCs w:val="24"/>
          <w:lang w:eastAsia="it-IT"/>
        </w:rPr>
        <w:t xml:space="preserve">can be reported on last year’s recommendations regarding alignment to the </w:t>
      </w:r>
      <w:r>
        <w:rPr>
          <w:rFonts w:eastAsia="Times New Roman" w:cs="Times New Roman"/>
          <w:i/>
          <w:noProof/>
          <w:szCs w:val="24"/>
          <w:lang w:eastAsia="it-IT"/>
        </w:rPr>
        <w:t>acquis</w:t>
      </w:r>
      <w:r>
        <w:rPr>
          <w:rFonts w:eastAsia="Times New Roman" w:cs="Times New Roman"/>
          <w:noProof/>
          <w:szCs w:val="24"/>
          <w:lang w:eastAsia="it-IT"/>
        </w:rPr>
        <w:t xml:space="preserve">, and notably on tobacco control and smoking in public places. </w:t>
      </w:r>
      <w:r>
        <w:rPr>
          <w:rFonts w:eastAsia="Times New Roman" w:cs="Times New Roman"/>
          <w:noProof/>
          <w:szCs w:val="24"/>
          <w:lang w:eastAsia="it-IT"/>
        </w:rPr>
        <w:t>However, last year’s recommendations were not all fully met, further alignment is still needed and as implementation capacity and data provision remain inadequate in several areas.</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noProof/>
          <w:szCs w:val="24"/>
          <w:lang w:eastAsia="it-IT"/>
        </w:rPr>
      </w:pPr>
      <w:r>
        <w:rPr>
          <w:rFonts w:eastAsia="Times New Roman" w:cs="Times New Roman"/>
          <w:noProof/>
          <w:szCs w:val="24"/>
          <w:lang w:eastAsia="it-IT"/>
        </w:rPr>
        <w:t>In the coming year, Montenegro should:</w:t>
      </w:r>
    </w:p>
    <w:p w:rsidR="003C2144" w:rsidRDefault="00FB7959">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 complete the alignment of national legislation with the EU consumer protection </w:t>
      </w:r>
      <w:r>
        <w:rPr>
          <w:rFonts w:ascii="Times New Roman" w:eastAsia="Times New Roman" w:hAnsi="Times New Roman" w:cs="Times New Roman"/>
          <w:i/>
          <w:noProof/>
          <w:sz w:val="24"/>
          <w:szCs w:val="24"/>
          <w:lang w:eastAsia="it-IT"/>
        </w:rPr>
        <w:t>acquis</w:t>
      </w:r>
      <w:r>
        <w:rPr>
          <w:rFonts w:ascii="Times New Roman" w:eastAsia="Times New Roman" w:hAnsi="Times New Roman" w:cs="Times New Roman"/>
          <w:noProof/>
          <w:sz w:val="24"/>
          <w:szCs w:val="24"/>
          <w:lang w:eastAsia="it-IT"/>
        </w:rPr>
        <w:t>;</w:t>
      </w:r>
    </w:p>
    <w:p w:rsidR="003C2144" w:rsidRDefault="00FB7959">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complete the alignment of national legislation with the EU health protection </w:t>
      </w:r>
      <w:r>
        <w:rPr>
          <w:rFonts w:ascii="Times New Roman" w:eastAsia="Times New Roman" w:hAnsi="Times New Roman" w:cs="Times New Roman"/>
          <w:i/>
          <w:noProof/>
          <w:sz w:val="24"/>
          <w:szCs w:val="24"/>
          <w:lang w:eastAsia="it-IT"/>
        </w:rPr>
        <w:t>acquis,</w:t>
      </w:r>
      <w:r>
        <w:rPr>
          <w:rFonts w:ascii="Times New Roman" w:eastAsia="Times New Roman" w:hAnsi="Times New Roman" w:cs="Times New Roman"/>
          <w:noProof/>
          <w:sz w:val="24"/>
          <w:szCs w:val="24"/>
          <w:lang w:eastAsia="it-IT"/>
        </w:rPr>
        <w:t xml:space="preserve"> notably on patients’ rights in cross-border health care and substance of human orig</w:t>
      </w:r>
      <w:r>
        <w:rPr>
          <w:rFonts w:ascii="Times New Roman" w:eastAsia="Times New Roman" w:hAnsi="Times New Roman" w:cs="Times New Roman"/>
          <w:noProof/>
          <w:sz w:val="24"/>
          <w:szCs w:val="24"/>
          <w:lang w:eastAsia="it-IT"/>
        </w:rPr>
        <w:t>in, and start to implement it fully;</w:t>
      </w:r>
    </w:p>
    <w:p w:rsidR="003C2144" w:rsidRDefault="00FB7959">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sz w:val="24"/>
          <w:szCs w:val="24"/>
          <w:lang w:eastAsia="it-IT"/>
        </w:rPr>
        <w:t xml:space="preserve">ensure </w:t>
      </w:r>
      <w:r>
        <w:rPr>
          <w:rFonts w:ascii="Times New Roman" w:eastAsia="Times New Roman" w:hAnsi="Times New Roman" w:cs="Times New Roman"/>
          <w:noProof/>
          <w:color w:val="000000"/>
          <w:sz w:val="24"/>
          <w:szCs w:val="24"/>
          <w:lang w:eastAsia="it-IT"/>
        </w:rPr>
        <w:t xml:space="preserve">the necessary implementation capacity to implement the EU </w:t>
      </w:r>
      <w:r>
        <w:rPr>
          <w:rFonts w:ascii="Times New Roman" w:eastAsia="Times New Roman" w:hAnsi="Times New Roman" w:cs="Times New Roman"/>
          <w:i/>
          <w:noProof/>
          <w:color w:val="000000"/>
          <w:sz w:val="24"/>
          <w:szCs w:val="24"/>
          <w:lang w:eastAsia="it-IT"/>
        </w:rPr>
        <w:t>acquis</w:t>
      </w:r>
      <w:r>
        <w:rPr>
          <w:rFonts w:ascii="Times New Roman" w:eastAsia="Times New Roman" w:hAnsi="Times New Roman" w:cs="Times New Roman"/>
          <w:noProof/>
          <w:color w:val="000000"/>
          <w:sz w:val="24"/>
          <w:szCs w:val="24"/>
          <w:lang w:eastAsia="it-IT"/>
        </w:rPr>
        <w:t>.</w:t>
      </w:r>
    </w:p>
    <w:p w:rsidR="003C2144" w:rsidRDefault="00FB7959">
      <w:pPr>
        <w:autoSpaceDE w:val="0"/>
        <w:autoSpaceDN w:val="0"/>
        <w:adjustRightInd w:val="0"/>
        <w:spacing w:after="120" w:line="240" w:lineRule="auto"/>
        <w:jc w:val="both"/>
        <w:rPr>
          <w:rFonts w:eastAsia="Calibri" w:cs="Times New Roman"/>
          <w:noProof/>
          <w:szCs w:val="24"/>
          <w:u w:val="single"/>
        </w:rPr>
      </w:pPr>
      <w:r>
        <w:rPr>
          <w:rFonts w:eastAsia="Calibri" w:cs="Times New Roman"/>
          <w:noProof/>
          <w:szCs w:val="24"/>
          <w:u w:val="single"/>
        </w:rPr>
        <w:t xml:space="preserve">Consumer protection </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Regarding the </w:t>
      </w:r>
      <w:r>
        <w:rPr>
          <w:rFonts w:eastAsia="Calibri" w:cs="Times New Roman"/>
          <w:b/>
          <w:noProof/>
          <w:szCs w:val="24"/>
        </w:rPr>
        <w:t>legislative framework for consumer protection</w:t>
      </w:r>
      <w:r>
        <w:rPr>
          <w:rFonts w:eastAsia="Calibri" w:cs="Times New Roman"/>
          <w:noProof/>
          <w:szCs w:val="24"/>
        </w:rPr>
        <w:t xml:space="preserve">, Montenegro’s legal basis is designed to be aligned with the EU </w:t>
      </w:r>
      <w:r>
        <w:rPr>
          <w:rFonts w:eastAsia="Calibri" w:cs="Times New Roman"/>
          <w:i/>
          <w:noProof/>
          <w:szCs w:val="24"/>
        </w:rPr>
        <w:t>a</w:t>
      </w:r>
      <w:r>
        <w:rPr>
          <w:rFonts w:eastAsia="Calibri" w:cs="Times New Roman"/>
          <w:i/>
          <w:noProof/>
          <w:szCs w:val="24"/>
        </w:rPr>
        <w:t>cquis</w:t>
      </w:r>
      <w:r>
        <w:rPr>
          <w:rFonts w:eastAsia="Calibri" w:cs="Times New Roman"/>
          <w:noProof/>
          <w:szCs w:val="24"/>
        </w:rPr>
        <w:t xml:space="preserve"> on product safety. The amended Law on consumer protection was adopted in November 2019. This is designed to align with some of the EU </w:t>
      </w:r>
      <w:r>
        <w:rPr>
          <w:rFonts w:eastAsia="Calibri" w:cs="Times New Roman"/>
          <w:i/>
          <w:noProof/>
          <w:szCs w:val="24"/>
        </w:rPr>
        <w:t>acquis</w:t>
      </w:r>
      <w:r>
        <w:rPr>
          <w:rFonts w:eastAsia="Calibri" w:cs="Times New Roman"/>
          <w:noProof/>
          <w:szCs w:val="24"/>
        </w:rPr>
        <w:t xml:space="preserve"> on consumer rights and on out-of-court settlement of consumer disputes. However, further alignment is necessary on consumer rights, consumer credit, alternative dispute resolution, and with the latest EU </w:t>
      </w:r>
      <w:r>
        <w:rPr>
          <w:rFonts w:eastAsia="Calibri" w:cs="Times New Roman"/>
          <w:i/>
          <w:noProof/>
          <w:szCs w:val="24"/>
        </w:rPr>
        <w:t>acquis</w:t>
      </w:r>
      <w:r>
        <w:rPr>
          <w:rFonts w:eastAsia="Calibri" w:cs="Times New Roman"/>
          <w:noProof/>
          <w:szCs w:val="24"/>
        </w:rPr>
        <w:t xml:space="preserve"> on consumer protection rules.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In the reporti</w:t>
      </w:r>
      <w:r>
        <w:rPr>
          <w:rFonts w:eastAsia="Calibri" w:cs="Times New Roman"/>
          <w:noProof/>
          <w:szCs w:val="24"/>
        </w:rPr>
        <w:t>ng period, the Administration for Inspection Affairs performed 18,662 inspections in the field of consumer protection, which identified 4,577 irregularities leading to administrative measures.</w:t>
      </w:r>
    </w:p>
    <w:p w:rsidR="003C2144" w:rsidRDefault="00FB7959">
      <w:pPr>
        <w:autoSpaceDE w:val="0"/>
        <w:autoSpaceDN w:val="0"/>
        <w:adjustRightInd w:val="0"/>
        <w:spacing w:after="120" w:line="240" w:lineRule="auto"/>
        <w:jc w:val="both"/>
        <w:rPr>
          <w:rFonts w:eastAsia="Calibri" w:cs="Times New Roman"/>
          <w:iCs/>
          <w:noProof/>
          <w:color w:val="000000" w:themeColor="text1"/>
          <w:szCs w:val="24"/>
          <w:lang w:eastAsia="en-GB"/>
        </w:rPr>
      </w:pPr>
      <w:r>
        <w:rPr>
          <w:rFonts w:eastAsia="Calibri" w:cs="Times New Roman"/>
          <w:iCs/>
          <w:noProof/>
          <w:color w:val="000000" w:themeColor="text1"/>
          <w:szCs w:val="24"/>
          <w:lang w:eastAsia="en-GB"/>
        </w:rPr>
        <w:t xml:space="preserve">On </w:t>
      </w:r>
      <w:r>
        <w:rPr>
          <w:rFonts w:eastAsia="Calibri" w:cs="Times New Roman"/>
          <w:b/>
          <w:iCs/>
          <w:noProof/>
          <w:color w:val="000000" w:themeColor="text1"/>
          <w:szCs w:val="24"/>
          <w:lang w:eastAsia="en-GB"/>
        </w:rPr>
        <w:t>product safety</w:t>
      </w:r>
      <w:r>
        <w:rPr>
          <w:rFonts w:eastAsia="Calibri" w:cs="Times New Roman"/>
          <w:iCs/>
          <w:noProof/>
          <w:color w:val="000000" w:themeColor="text1"/>
          <w:szCs w:val="24"/>
          <w:lang w:eastAsia="en-GB"/>
        </w:rPr>
        <w:t>, Montenegro reported that 6,124 inspections w</w:t>
      </w:r>
      <w:r>
        <w:rPr>
          <w:rFonts w:eastAsia="Calibri" w:cs="Times New Roman"/>
          <w:iCs/>
          <w:noProof/>
          <w:color w:val="000000" w:themeColor="text1"/>
          <w:szCs w:val="24"/>
          <w:lang w:eastAsia="en-GB"/>
        </w:rPr>
        <w:t>ere made. Some 5,113 in the context of proactive surveillance and 1,011 in reactive surveillance, identifying 822 dangerous products (42,211 items). Of these, 386 products (9,450 items) were classified as dangerous, representing a serious risk, and were wi</w:t>
      </w:r>
      <w:r>
        <w:rPr>
          <w:rFonts w:eastAsia="Calibri" w:cs="Times New Roman"/>
          <w:iCs/>
          <w:noProof/>
          <w:color w:val="000000" w:themeColor="text1"/>
          <w:szCs w:val="24"/>
          <w:lang w:eastAsia="en-GB"/>
        </w:rPr>
        <w:t xml:space="preserve">thdrawn from the market. Some 106 products (1,685 items) were destroyed. Administrative measures were imposed accordingly. </w:t>
      </w:r>
    </w:p>
    <w:p w:rsidR="003C2144" w:rsidRDefault="00FB7959">
      <w:pPr>
        <w:autoSpaceDE w:val="0"/>
        <w:autoSpaceDN w:val="0"/>
        <w:adjustRightInd w:val="0"/>
        <w:spacing w:after="120" w:line="240" w:lineRule="auto"/>
        <w:jc w:val="both"/>
        <w:rPr>
          <w:rFonts w:eastAsia="Calibri" w:cs="Times New Roman"/>
          <w:noProof/>
          <w:szCs w:val="24"/>
          <w:u w:val="single"/>
        </w:rPr>
      </w:pPr>
      <w:r>
        <w:rPr>
          <w:rFonts w:eastAsia="Calibri" w:cs="Times New Roman"/>
          <w:noProof/>
          <w:szCs w:val="24"/>
          <w:u w:val="single"/>
        </w:rPr>
        <w:t xml:space="preserve">Public health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public health</w:t>
      </w:r>
      <w:r>
        <w:rPr>
          <w:rFonts w:eastAsia="Calibri" w:cs="Times New Roman"/>
          <w:noProof/>
          <w:color w:val="000000"/>
          <w:szCs w:val="24"/>
        </w:rPr>
        <w:t xml:space="preserve">, national legislation on healthcare is partly aligned with the EU </w:t>
      </w:r>
      <w:r>
        <w:rPr>
          <w:rFonts w:eastAsia="Calibri" w:cs="Times New Roman"/>
          <w:i/>
          <w:noProof/>
          <w:color w:val="000000"/>
          <w:szCs w:val="24"/>
        </w:rPr>
        <w:t>acquis</w:t>
      </w:r>
      <w:r>
        <w:rPr>
          <w:rFonts w:eastAsia="Calibri" w:cs="Times New Roman"/>
          <w:noProof/>
          <w:color w:val="000000"/>
          <w:szCs w:val="24"/>
        </w:rPr>
        <w:t>. Montenegro has developed 1</w:t>
      </w:r>
      <w:r>
        <w:rPr>
          <w:rFonts w:eastAsia="Calibri" w:cs="Times New Roman"/>
          <w:noProof/>
          <w:color w:val="000000"/>
          <w:szCs w:val="24"/>
        </w:rPr>
        <w:t xml:space="preserve">0 strategic documents in the field of health protection, including health policy until 2020. One of its priorities is extending life expectancy, which remained at the same level as in 2018 (76.8). The implementation of the 2015-2020 master plan for health </w:t>
      </w:r>
      <w:r>
        <w:rPr>
          <w:rFonts w:eastAsia="Calibri" w:cs="Times New Roman"/>
          <w:noProof/>
          <w:color w:val="000000"/>
          <w:szCs w:val="24"/>
        </w:rPr>
        <w:t>development continued in 2019, but the country’s health budget decreased slightly compared to 2018 (6.18%), and was not sufficient to implemen various preventive and public health measures. The over</w:t>
      </w:r>
      <w:r>
        <w:rPr>
          <w:rFonts w:eastAsia="Calibri" w:cs="Times New Roman"/>
          <w:noProof/>
          <w:color w:val="000000"/>
          <w:szCs w:val="24"/>
        </w:rPr>
        <w:noBreakHyphen/>
        <w:t>prescription of medicines is still a matter of concern. E</w:t>
      </w:r>
      <w:r>
        <w:rPr>
          <w:rFonts w:eastAsia="Calibri" w:cs="Times New Roman"/>
          <w:noProof/>
          <w:color w:val="000000"/>
          <w:szCs w:val="24"/>
        </w:rPr>
        <w:t xml:space="preserve">fforts to tackle anti-microbial resistance were not sufficiently supported due to insufficient communication and insufficient actions aimed to improve health literacy. There was no external survey assessing corruption affecting the health sector.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the </w:t>
      </w:r>
      <w:r>
        <w:rPr>
          <w:rFonts w:eastAsia="Calibri" w:cs="Times New Roman"/>
          <w:b/>
          <w:noProof/>
          <w:szCs w:val="24"/>
        </w:rPr>
        <w:t>h</w:t>
      </w:r>
      <w:r>
        <w:rPr>
          <w:rFonts w:eastAsia="Calibri" w:cs="Times New Roman"/>
          <w:b/>
          <w:noProof/>
          <w:szCs w:val="24"/>
        </w:rPr>
        <w:t>ealth information system</w:t>
      </w:r>
      <w:r>
        <w:rPr>
          <w:rFonts w:eastAsia="Calibri" w:cs="Times New Roman"/>
          <w:noProof/>
          <w:szCs w:val="24"/>
        </w:rPr>
        <w:t xml:space="preserve">, a unit in the Ministry of Health was established to manage the new integral health information system, but it currently has only two staff members. This system is complex, </w:t>
      </w:r>
      <w:r>
        <w:rPr>
          <w:rFonts w:eastAsia="Calibri" w:cs="Times New Roman"/>
          <w:noProof/>
          <w:szCs w:val="24"/>
          <w:lang w:eastAsia="en-GB"/>
        </w:rPr>
        <w:t>as it has to cover all state-owned medical institutions. I</w:t>
      </w:r>
      <w:r>
        <w:rPr>
          <w:rFonts w:eastAsia="Calibri" w:cs="Times New Roman"/>
          <w:noProof/>
          <w:szCs w:val="24"/>
          <w:lang w:eastAsia="en-GB"/>
        </w:rPr>
        <w:t xml:space="preserve">t needs to be further improved in order to enable effective provision of quality health services to all patients, better management of the health system and the collection of </w:t>
      </w:r>
      <w:r>
        <w:rPr>
          <w:rFonts w:eastAsia="Calibri" w:cs="Times New Roman"/>
          <w:noProof/>
          <w:szCs w:val="24"/>
        </w:rPr>
        <w:t>data necessary for advanced public health reporting.</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Regarding </w:t>
      </w:r>
      <w:r>
        <w:rPr>
          <w:rFonts w:eastAsia="Calibri" w:cs="Times New Roman"/>
          <w:b/>
          <w:noProof/>
          <w:szCs w:val="24"/>
        </w:rPr>
        <w:t>tobacco control</w:t>
      </w:r>
      <w:r>
        <w:rPr>
          <w:rFonts w:eastAsia="Calibri" w:cs="Times New Roman"/>
          <w:noProof/>
          <w:szCs w:val="24"/>
        </w:rPr>
        <w:t xml:space="preserve">, the Law on restriction of use of tobacco products was adopted in July 2019. It is designed to align with the EU </w:t>
      </w:r>
      <w:r>
        <w:rPr>
          <w:rFonts w:eastAsia="Calibri" w:cs="Times New Roman"/>
          <w:i/>
          <w:noProof/>
          <w:szCs w:val="24"/>
        </w:rPr>
        <w:t>acquis</w:t>
      </w:r>
      <w:r>
        <w:rPr>
          <w:rFonts w:eastAsia="Calibri" w:cs="Times New Roman"/>
          <w:noProof/>
          <w:szCs w:val="24"/>
        </w:rPr>
        <w:t xml:space="preserve"> on: (i) the manufacture, presentation and sale of tobacco and related products, (ii) on the advertising and sponsorship of tobacco prod</w:t>
      </w:r>
      <w:r>
        <w:rPr>
          <w:rFonts w:eastAsia="Calibri" w:cs="Times New Roman"/>
          <w:noProof/>
          <w:szCs w:val="24"/>
        </w:rPr>
        <w:t>ucts, (iii) on the prevention of smoking, and on (iv) initiatives to improve tobacco control and on smoke-free environments. As a result, a smoking ban in public places has been in force since 1 August 2019. The law’s implementation is monitored by the rel</w:t>
      </w:r>
      <w:r>
        <w:rPr>
          <w:rFonts w:eastAsia="Calibri" w:cs="Times New Roman"/>
          <w:noProof/>
          <w:szCs w:val="24"/>
        </w:rPr>
        <w:t>evant inspection services.</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szCs w:val="24"/>
        </w:rPr>
        <w:t xml:space="preserve">On </w:t>
      </w:r>
      <w:r>
        <w:rPr>
          <w:rFonts w:eastAsia="Calibri" w:cs="Times New Roman"/>
          <w:b/>
          <w:noProof/>
          <w:szCs w:val="24"/>
        </w:rPr>
        <w:t>blood, tissues, cells and organs</w:t>
      </w:r>
      <w:r>
        <w:rPr>
          <w:rFonts w:eastAsia="Calibri" w:cs="Times New Roman"/>
          <w:noProof/>
          <w:szCs w:val="24"/>
        </w:rPr>
        <w:t xml:space="preserve">, Montenegro updated its action plan on substances of human origin, and started a project to improve the IT monitoring system. The amended Law on removal and transplantation of human organs for </w:t>
      </w:r>
      <w:r>
        <w:rPr>
          <w:rFonts w:eastAsia="Calibri" w:cs="Times New Roman"/>
          <w:noProof/>
          <w:szCs w:val="24"/>
        </w:rPr>
        <w:t xml:space="preserve">the purpose of treatment entered into force in December 2019. In December 2019, the British ’DAS” agency carried out a second surveillance check of the national Blood Transfusion Institute, in relation to re-certification of </w:t>
      </w:r>
      <w:r>
        <w:rPr>
          <w:rFonts w:eastAsia="Calibri" w:cs="Times New Roman"/>
          <w:noProof/>
          <w:color w:val="000000"/>
          <w:szCs w:val="24"/>
        </w:rPr>
        <w:t>two ISO certifications (ISO 900</w:t>
      </w:r>
      <w:r>
        <w:rPr>
          <w:rFonts w:eastAsia="Calibri" w:cs="Times New Roman"/>
          <w:noProof/>
          <w:color w:val="000000"/>
          <w:szCs w:val="24"/>
        </w:rPr>
        <w:t>1:2015 for quality system and ISO 27001:2013 for information security). This resulted in a positive assessment. Montenegro continued with promotional activities on voluntary blood donations. However, the planned action on substances of human origin has not</w:t>
      </w:r>
      <w:r>
        <w:rPr>
          <w:rFonts w:eastAsia="Calibri" w:cs="Times New Roman"/>
          <w:noProof/>
          <w:color w:val="000000"/>
          <w:szCs w:val="24"/>
        </w:rPr>
        <w:t xml:space="preserve"> yet started.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In the field of </w:t>
      </w:r>
      <w:r>
        <w:rPr>
          <w:rFonts w:eastAsia="Calibri" w:cs="Times New Roman"/>
          <w:b/>
          <w:noProof/>
          <w:szCs w:val="24"/>
        </w:rPr>
        <w:t>serious cross-border health threats</w:t>
      </w:r>
      <w:r>
        <w:rPr>
          <w:rFonts w:eastAsia="Calibri" w:cs="Times New Roman"/>
          <w:noProof/>
          <w:szCs w:val="24"/>
        </w:rPr>
        <w:t xml:space="preserve">, including </w:t>
      </w:r>
      <w:r>
        <w:rPr>
          <w:rFonts w:eastAsia="Calibri" w:cs="Times New Roman"/>
          <w:b/>
          <w:noProof/>
          <w:szCs w:val="24"/>
        </w:rPr>
        <w:t>communicable diseases</w:t>
      </w:r>
      <w:r>
        <w:rPr>
          <w:rFonts w:eastAsia="Calibri" w:cs="Times New Roman"/>
          <w:noProof/>
          <w:szCs w:val="24"/>
        </w:rPr>
        <w:t xml:space="preserve">, national legislation on healthcare is partly aligned with the EU </w:t>
      </w:r>
      <w:r>
        <w:rPr>
          <w:rFonts w:eastAsia="Calibri" w:cs="Times New Roman"/>
          <w:i/>
          <w:noProof/>
          <w:szCs w:val="24"/>
        </w:rPr>
        <w:t>acquis,</w:t>
      </w:r>
      <w:r>
        <w:rPr>
          <w:rFonts w:eastAsia="Calibri" w:cs="Times New Roman"/>
          <w:noProof/>
          <w:szCs w:val="24"/>
        </w:rPr>
        <w:t xml:space="preserve"> but</w:t>
      </w:r>
      <w:r>
        <w:rPr>
          <w:rFonts w:eastAsia="Calibri" w:cs="Times New Roman"/>
          <w:i/>
          <w:noProof/>
          <w:szCs w:val="24"/>
        </w:rPr>
        <w:t xml:space="preserve"> </w:t>
      </w:r>
      <w:r>
        <w:rPr>
          <w:rFonts w:eastAsia="Times New Roman" w:cs="Times New Roman"/>
          <w:noProof/>
          <w:szCs w:val="24"/>
          <w:lang w:eastAsia="it-IT"/>
        </w:rPr>
        <w:t>patients’ rights in cross-border healthcare need to be addressed</w:t>
      </w:r>
      <w:r>
        <w:rPr>
          <w:rFonts w:eastAsia="Calibri" w:cs="Times New Roman"/>
          <w:noProof/>
          <w:szCs w:val="24"/>
        </w:rPr>
        <w:t>. There was some progress in the reporting period on (i) alignment regarding reporting infectious diseases, hospital-acquired infections, conditions and deaths from these diseases, (ii) the list of infectious diseases subject to epidemiological control and</w:t>
      </w:r>
      <w:r>
        <w:rPr>
          <w:rFonts w:eastAsia="Calibri" w:cs="Times New Roman"/>
          <w:noProof/>
          <w:szCs w:val="24"/>
        </w:rPr>
        <w:t xml:space="preserve"> to the application of measures and control of infectious diseases, and (iii) definitions of cases of infectious diseases. The 2019 programme of compulsory immunisation of the population against certain infectious diseases was implemented, but timely immun</w:t>
      </w:r>
      <w:r>
        <w:rPr>
          <w:rFonts w:eastAsia="Calibri" w:cs="Times New Roman"/>
          <w:noProof/>
          <w:szCs w:val="24"/>
        </w:rPr>
        <w:t xml:space="preserve">isation against some diseases is still at a low level. </w:t>
      </w:r>
    </w:p>
    <w:p w:rsidR="003C2144" w:rsidRDefault="00FB7959">
      <w:pPr>
        <w:autoSpaceDE w:val="0"/>
        <w:autoSpaceDN w:val="0"/>
        <w:adjustRightInd w:val="0"/>
        <w:spacing w:after="120" w:line="240" w:lineRule="auto"/>
        <w:jc w:val="both"/>
        <w:rPr>
          <w:rFonts w:cs="Times New Roman"/>
          <w:noProof/>
          <w:color w:val="000000"/>
          <w:szCs w:val="24"/>
        </w:rPr>
      </w:pPr>
      <w:r>
        <w:rPr>
          <w:rFonts w:eastAsia="Times New Roman" w:cs="Times New Roman"/>
          <w:noProof/>
          <w:szCs w:val="24"/>
          <w:lang w:eastAsia="en-GB"/>
        </w:rPr>
        <w:t>In response to the COVID-19 outbreak, p</w:t>
      </w:r>
      <w:r>
        <w:rPr>
          <w:rFonts w:cs="Times New Roman"/>
          <w:noProof/>
          <w:szCs w:val="24"/>
          <w:lang w:eastAsia="en-GB"/>
        </w:rPr>
        <w:t>recautionary measures as per the recommendations of the Institute for Public Health included a nationwide curfew, social distancing, a ban on public gatherings a</w:t>
      </w:r>
      <w:r>
        <w:rPr>
          <w:rFonts w:cs="Times New Roman"/>
          <w:noProof/>
          <w:szCs w:val="24"/>
          <w:lang w:eastAsia="en-GB"/>
        </w:rPr>
        <w:t xml:space="preserve">nd public and religious ceremonies. All sports and recreational activities were banned and domestic bus, rail, and taxi services were suspended. One municipality and parts of two others were placed in lock-down. Schools, restaurants, and cafés were closed </w:t>
      </w:r>
      <w:r>
        <w:rPr>
          <w:rFonts w:cs="Times New Roman"/>
          <w:noProof/>
          <w:szCs w:val="24"/>
          <w:lang w:eastAsia="en-GB"/>
        </w:rPr>
        <w:t xml:space="preserve">and the number of customers in supermarkets limited to 50. </w:t>
      </w:r>
      <w:r>
        <w:rPr>
          <w:rFonts w:cs="Times New Roman"/>
          <w:noProof/>
          <w:color w:val="000000"/>
          <w:szCs w:val="24"/>
        </w:rPr>
        <w:t>Self-isolation and quarantine periods were imposed (however, a list of all persons subject to measure of self-isolation was published - a review of constitutionality of this measure is underway, an</w:t>
      </w:r>
      <w:r>
        <w:rPr>
          <w:rFonts w:cs="Times New Roman"/>
          <w:noProof/>
          <w:color w:val="000000"/>
          <w:szCs w:val="24"/>
        </w:rPr>
        <w:t>d at one point a list of all the people in self-isolation was leaked – a criminal investigation of this is underway). These measures were phased out gradually in May, as cases declined. Kindergardens were re-opened on 1 June  the day when travel into the c</w:t>
      </w:r>
      <w:r>
        <w:rPr>
          <w:rFonts w:cs="Times New Roman"/>
          <w:noProof/>
          <w:color w:val="000000"/>
          <w:szCs w:val="24"/>
        </w:rPr>
        <w:t>ountry was also permitted for certain nationalities, based on epidemological critieria.</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color w:val="000000"/>
          <w:szCs w:val="24"/>
        </w:rPr>
        <w:t>Montenegro introduced legislation on reporting communicable diseases, infections, cases and deaths, and the list and definitions regarding epidemiological monitoring, p</w:t>
      </w:r>
      <w:r>
        <w:rPr>
          <w:rFonts w:eastAsia="Calibri" w:cs="Times New Roman"/>
          <w:noProof/>
          <w:color w:val="000000"/>
          <w:szCs w:val="24"/>
        </w:rPr>
        <w:t>revention, and suppression. Five provisional hospitals for medical treatment persons suffering from COVID 19 were prepared and equipped, as were ten quarantine facilities. Salary bonuses of up to 15% were given to all medical staff. Montenegro provided dat</w:t>
      </w:r>
      <w:r>
        <w:rPr>
          <w:rFonts w:eastAsia="Calibri" w:cs="Times New Roman"/>
          <w:noProof/>
          <w:color w:val="000000"/>
          <w:szCs w:val="24"/>
        </w:rPr>
        <w:t>a to the European Centre for Disease Prevention and Control. It also joined the EU Joint Procurement Agreement and the EU Health Security Committee, and received material from JRC to control COVID tests, as well as EUR 3 million in EU funding to enabling i</w:t>
      </w:r>
      <w:r>
        <w:rPr>
          <w:rFonts w:eastAsia="Calibri" w:cs="Times New Roman"/>
          <w:noProof/>
          <w:color w:val="000000"/>
          <w:szCs w:val="24"/>
        </w:rPr>
        <w:t>t to buy urgently needed medical equipment and supplies.</w:t>
      </w:r>
      <w:r>
        <w:rPr>
          <w:rFonts w:eastAsia="Calibri" w:cs="Times New Roman"/>
          <w:noProof/>
          <w:szCs w:val="24"/>
        </w:rPr>
        <w:t xml:space="preserve">Montenegro adopted a new strategy for the </w:t>
      </w:r>
      <w:r>
        <w:rPr>
          <w:rFonts w:eastAsia="Calibri" w:cs="Times New Roman"/>
          <w:b/>
          <w:noProof/>
          <w:szCs w:val="24"/>
        </w:rPr>
        <w:t>improvement of mental health</w:t>
      </w:r>
      <w:r>
        <w:rPr>
          <w:rFonts w:eastAsia="Calibri" w:cs="Times New Roman"/>
          <w:noProof/>
          <w:szCs w:val="24"/>
        </w:rPr>
        <w:t xml:space="preserve"> (2019-2023), along with a 2019-2020 action plan. However, there was no progress on the provision of data on the proportion of men</w:t>
      </w:r>
      <w:r>
        <w:rPr>
          <w:rFonts w:eastAsia="Calibri" w:cs="Times New Roman"/>
          <w:noProof/>
          <w:szCs w:val="24"/>
        </w:rPr>
        <w:t xml:space="preserve">tal health care provided by institutions compared to community-based care.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preventive measures</w:t>
      </w:r>
      <w:r>
        <w:rPr>
          <w:rFonts w:eastAsia="Calibri" w:cs="Times New Roman"/>
          <w:noProof/>
          <w:szCs w:val="24"/>
        </w:rPr>
        <w:t>, some data were provided for both the nutrition and physical activity of school children, carried out under the aegis of the WHO European Obesity Surveillanc</w:t>
      </w:r>
      <w:r>
        <w:rPr>
          <w:rFonts w:eastAsia="Calibri" w:cs="Times New Roman"/>
          <w:noProof/>
          <w:szCs w:val="24"/>
        </w:rPr>
        <w:t>e Initiative. A national action plan to improve nutrition (2019-2020) was adopted, as was the national strategy for the prevention of alcoholism and alcohol-induced disorders. This was followed by workshops for primary and secondary students on healthy lif</w:t>
      </w:r>
      <w:r>
        <w:rPr>
          <w:rFonts w:eastAsia="Calibri" w:cs="Times New Roman"/>
          <w:noProof/>
          <w:szCs w:val="24"/>
        </w:rPr>
        <w:t xml:space="preserve">e styles, delivered by physicians. However, some civil society organisations indicate that there were insufficient activities to reduce alcoholism and prevention of alcohol–induced disorders.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drug abuse prevention and harm reduction</w:t>
      </w:r>
      <w:r>
        <w:rPr>
          <w:rFonts w:eastAsia="Calibri" w:cs="Times New Roman"/>
          <w:noProof/>
          <w:szCs w:val="24"/>
        </w:rPr>
        <w:t>, Montenegro continu</w:t>
      </w:r>
      <w:r>
        <w:rPr>
          <w:rFonts w:eastAsia="Calibri" w:cs="Times New Roman"/>
          <w:noProof/>
          <w:szCs w:val="24"/>
        </w:rPr>
        <w:t>ed to implement its 2019-2020 action plan of the 2013-2020 strategy for the implementation of the drug-abuse prevention. Guidelines on providing aid to drug addicts were adopted and are being implemented. Civil Society’s involvement in drug abuse preventio</w:t>
      </w:r>
      <w:r>
        <w:rPr>
          <w:rFonts w:eastAsia="Calibri" w:cs="Times New Roman"/>
          <w:noProof/>
          <w:szCs w:val="24"/>
        </w:rPr>
        <w:t>n activities supported by the state budget was encouraged. However, some organisations found the funds for the implementation insufficient. The European school survey project on alcohol and other drugs (ESPAD) was conducted and was followed by some interac</w:t>
      </w:r>
      <w:r>
        <w:rPr>
          <w:rFonts w:eastAsia="Calibri" w:cs="Times New Roman"/>
          <w:noProof/>
          <w:szCs w:val="24"/>
        </w:rPr>
        <w:t xml:space="preserve">tive sessions in primary and secondary schools.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On </w:t>
      </w:r>
      <w:r>
        <w:rPr>
          <w:rFonts w:eastAsia="Calibri" w:cs="Times New Roman"/>
          <w:b/>
          <w:noProof/>
          <w:szCs w:val="24"/>
        </w:rPr>
        <w:t>health inequalities</w:t>
      </w:r>
      <w:r>
        <w:rPr>
          <w:rFonts w:eastAsia="Calibri" w:cs="Times New Roman"/>
          <w:noProof/>
          <w:szCs w:val="24"/>
        </w:rPr>
        <w:t xml:space="preserve">, </w:t>
      </w:r>
      <w:r>
        <w:rPr>
          <w:rFonts w:eastAsia="Calibri" w:cs="Times New Roman"/>
          <w:noProof/>
          <w:color w:val="000000"/>
          <w:szCs w:val="24"/>
        </w:rPr>
        <w:t xml:space="preserve">access to healthcare services appears to be available for all vulnerable groups. However, it is reported that treatment options for drug users are limited and almost non-existent for </w:t>
      </w:r>
      <w:r>
        <w:rPr>
          <w:rFonts w:eastAsia="Calibri" w:cs="Times New Roman"/>
          <w:noProof/>
          <w:color w:val="000000"/>
          <w:szCs w:val="24"/>
        </w:rPr>
        <w:t>children.</w:t>
      </w:r>
      <w:r>
        <w:rPr>
          <w:rFonts w:eastAsia="Calibri" w:cs="Times New Roman"/>
          <w:noProof/>
          <w:szCs w:val="24"/>
        </w:rPr>
        <w:t xml:space="preserve"> A survey found that over 95% of domiciled Roma and Egyptian population have medical cards, compared to 75% of displaced Roma and Egyptians. </w:t>
      </w:r>
    </w:p>
    <w:p w:rsidR="003C2144" w:rsidRDefault="00FB7959">
      <w:pPr>
        <w:pStyle w:val="Heading2"/>
        <w:rPr>
          <w:rFonts w:eastAsia="Times New Roman"/>
          <w:noProof/>
        </w:rPr>
      </w:pPr>
      <w:bookmarkStart w:id="252" w:name="_Toc30080591"/>
      <w:bookmarkStart w:id="253" w:name="_Toc30074169"/>
      <w:bookmarkStart w:id="254" w:name="_Toc30073856"/>
      <w:bookmarkStart w:id="255" w:name="_Toc52744960"/>
      <w:r>
        <w:rPr>
          <w:rFonts w:eastAsia="Times New Roman"/>
          <w:noProof/>
        </w:rPr>
        <w:t>5.29</w:t>
      </w:r>
      <w:r>
        <w:rPr>
          <w:rFonts w:eastAsia="Times New Roman"/>
          <w:noProof/>
        </w:rPr>
        <w:tab/>
        <w:t>Chapter 29: Customs union</w:t>
      </w:r>
      <w:bookmarkEnd w:id="252"/>
      <w:bookmarkEnd w:id="253"/>
      <w:bookmarkEnd w:id="254"/>
      <w:bookmarkEnd w:id="255"/>
      <w:r>
        <w:rPr>
          <w:rFonts w:eastAsia="Times New Roman"/>
          <w:noProof/>
        </w:rPr>
        <w:t xml:space="preserve"> </w:t>
      </w:r>
    </w:p>
    <w:p w:rsidR="003C2144" w:rsidRDefault="00FB7959">
      <w:pPr>
        <w:keepNext/>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All Member States are part of the EU customs union and follow the same cu</w:t>
      </w:r>
      <w:r>
        <w:rPr>
          <w:rFonts w:eastAsia="Calibri" w:cs="Times New Roman"/>
          <w:i/>
          <w:iCs/>
          <w:noProof/>
          <w:color w:val="000000"/>
          <w:szCs w:val="24"/>
        </w:rPr>
        <w:t xml:space="preserve">stoms rules and procedures. This requires legislative alignment, adequate implementing and enforcement capacity, and access to the common computerised customs systems.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w:t>
      </w:r>
      <w:r>
        <w:rPr>
          <w:rFonts w:eastAsia="Calibri" w:cs="Times New Roman"/>
          <w:b/>
          <w:noProof/>
          <w:color w:val="000000"/>
          <w:szCs w:val="24"/>
        </w:rPr>
        <w:t>moderately prepared</w:t>
      </w:r>
      <w:r>
        <w:rPr>
          <w:rFonts w:eastAsia="Calibri" w:cs="Times New Roman"/>
          <w:noProof/>
          <w:color w:val="000000"/>
          <w:szCs w:val="24"/>
        </w:rPr>
        <w:t xml:space="preserve"> for customs union and made </w:t>
      </w:r>
      <w:r>
        <w:rPr>
          <w:rFonts w:eastAsia="Calibri" w:cs="Times New Roman"/>
          <w:b/>
          <w:noProof/>
          <w:color w:val="000000"/>
          <w:szCs w:val="24"/>
        </w:rPr>
        <w:t>some progress</w:t>
      </w:r>
      <w:r>
        <w:rPr>
          <w:rFonts w:eastAsia="Calibri" w:cs="Times New Roman"/>
          <w:noProof/>
          <w:color w:val="000000"/>
          <w:szCs w:val="24"/>
        </w:rPr>
        <w:t xml:space="preserve"> during the r</w:t>
      </w:r>
      <w:r>
        <w:rPr>
          <w:rFonts w:eastAsia="Calibri" w:cs="Times New Roman"/>
          <w:noProof/>
          <w:color w:val="000000"/>
          <w:szCs w:val="24"/>
        </w:rPr>
        <w:t>eporting period, advancing preparations for accession to the Convention on common transit procedure,  and implementing actions foreseen for 2019 in the multiannual Trade Facilitation Strategy 2018-2022, thus partially fulfilling last year's recommendations</w:t>
      </w:r>
      <w:r>
        <w:rPr>
          <w:rFonts w:eastAsia="Calibri" w:cs="Times New Roman"/>
          <w:noProof/>
          <w:color w:val="000000"/>
          <w:szCs w:val="24"/>
        </w:rPr>
        <w:t xml:space="preserve">. </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In the coming year, Montenegro should in particular: </w:t>
      </w:r>
    </w:p>
    <w:p w:rsidR="003C2144" w:rsidRDefault="00FB7959">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continue preparations for accession to the Convention on a common transit procedure by establishing an EU-compatible computerised transit system;</w:t>
      </w:r>
    </w:p>
    <w:p w:rsidR="003C2144" w:rsidRDefault="00FB7959">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further implement trade facilitation measures in orde</w:t>
      </w:r>
      <w:r>
        <w:rPr>
          <w:rFonts w:ascii="Times New Roman" w:eastAsia="Calibri" w:hAnsi="Times New Roman" w:cs="Times New Roman"/>
          <w:noProof/>
          <w:color w:val="000000"/>
          <w:sz w:val="24"/>
          <w:szCs w:val="24"/>
        </w:rPr>
        <w:t xml:space="preserve">r to reduce administrative inefficiencies and the time needed for customs clearance, in line with the Trade Facilitation Strategy 2018-2022 and the Economic Reform Programme 2020-2022; </w:t>
      </w:r>
    </w:p>
    <w:p w:rsidR="003C2144" w:rsidRDefault="00FB7959">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iCs/>
          <w:noProof/>
          <w:color w:val="000000"/>
          <w:sz w:val="24"/>
          <w:szCs w:val="24"/>
        </w:rPr>
      </w:pPr>
      <w:r>
        <w:rPr>
          <w:rFonts w:ascii="Times New Roman" w:eastAsia="Calibri" w:hAnsi="Times New Roman" w:cs="Times New Roman"/>
          <w:noProof/>
          <w:color w:val="000000"/>
          <w:sz w:val="24"/>
          <w:szCs w:val="24"/>
        </w:rPr>
        <w:t xml:space="preserve">enhance capacity building in the customs administration and ensure </w:t>
      </w:r>
      <w:r>
        <w:rPr>
          <w:rFonts w:ascii="Times New Roman" w:eastAsia="Calibri" w:hAnsi="Times New Roman" w:cs="Times New Roman"/>
          <w:noProof/>
          <w:color w:val="000000"/>
          <w:sz w:val="24"/>
          <w:szCs w:val="24"/>
        </w:rPr>
        <w:t>adequate staffing levels for the IT department.</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customs legislation</w:t>
      </w:r>
      <w:r>
        <w:rPr>
          <w:rFonts w:eastAsia="Calibri" w:cs="Times New Roman"/>
          <w:noProof/>
          <w:color w:val="000000"/>
          <w:szCs w:val="24"/>
        </w:rPr>
        <w:t xml:space="preserve">, the degree of alignment with the EU </w:t>
      </w:r>
      <w:r>
        <w:rPr>
          <w:rFonts w:eastAsia="Calibri" w:cs="Times New Roman"/>
          <w:i/>
          <w:iCs/>
          <w:noProof/>
          <w:color w:val="000000"/>
          <w:szCs w:val="24"/>
        </w:rPr>
        <w:t xml:space="preserve">acquis </w:t>
      </w:r>
      <w:r>
        <w:rPr>
          <w:rFonts w:eastAsia="Calibri" w:cs="Times New Roman"/>
          <w:noProof/>
          <w:color w:val="000000"/>
          <w:szCs w:val="24"/>
        </w:rPr>
        <w:t>is high. The new Customs Code fully aligned with Union Customs Code was finalised and subject to public consultation. Montenegro ratified the</w:t>
      </w:r>
      <w:r>
        <w:rPr>
          <w:rFonts w:eastAsia="Calibri" w:cs="Times New Roman"/>
          <w:noProof/>
          <w:color w:val="000000"/>
          <w:szCs w:val="24"/>
        </w:rPr>
        <w:t xml:space="preserve"> UNIDROIT</w:t>
      </w:r>
      <w:r>
        <w:rPr>
          <w:rFonts w:eastAsia="Calibri" w:cs="Times New Roman"/>
          <w:b/>
          <w:bCs/>
          <w:noProof/>
          <w:color w:val="3D4143"/>
          <w:szCs w:val="24"/>
          <w:lang w:eastAsia="en-CA"/>
        </w:rPr>
        <w:t xml:space="preserve"> </w:t>
      </w:r>
      <w:r>
        <w:rPr>
          <w:rFonts w:eastAsia="Calibri" w:cs="Times New Roman"/>
          <w:bCs/>
          <w:noProof/>
          <w:color w:val="000000"/>
          <w:szCs w:val="24"/>
        </w:rPr>
        <w:t>Convention on stolen or illegally exported</w:t>
      </w:r>
      <w:r>
        <w:rPr>
          <w:rFonts w:eastAsia="Calibri" w:cs="Times New Roman"/>
          <w:noProof/>
          <w:color w:val="000000"/>
          <w:szCs w:val="24"/>
        </w:rPr>
        <w:t xml:space="preserve"> c</w:t>
      </w:r>
      <w:r>
        <w:rPr>
          <w:rFonts w:eastAsia="Calibri" w:cs="Times New Roman"/>
          <w:bCs/>
          <w:noProof/>
          <w:color w:val="000000"/>
          <w:szCs w:val="24"/>
        </w:rPr>
        <w:t>ultural objects and a</w:t>
      </w:r>
      <w:r>
        <w:rPr>
          <w:rFonts w:eastAsia="Calibri" w:cs="Times New Roman"/>
          <w:noProof/>
          <w:color w:val="000000"/>
          <w:szCs w:val="24"/>
        </w:rPr>
        <w:t>mended the law on protection of cultural property, in March and May 2019 respectively. In December 2019, implementing legislation was adopted to the law on customs service on monito</w:t>
      </w:r>
      <w:r>
        <w:rPr>
          <w:rFonts w:eastAsia="Calibri" w:cs="Times New Roman"/>
          <w:noProof/>
          <w:color w:val="000000"/>
          <w:szCs w:val="24"/>
        </w:rPr>
        <w:t>ring, intercepting and examining vehicles, passengers and baggage, and on issuing warnings and warrants by authorised customs officers.</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 Montenegro also amended implementing legislation on Authorised Economic Operators (AEO) aimed at alignment with the EU </w:t>
      </w:r>
      <w:r>
        <w:rPr>
          <w:rFonts w:eastAsia="Calibri" w:cs="Times New Roman"/>
          <w:i/>
          <w:noProof/>
          <w:color w:val="000000"/>
          <w:szCs w:val="24"/>
        </w:rPr>
        <w:t>acquis</w:t>
      </w:r>
      <w:r>
        <w:rPr>
          <w:rFonts w:eastAsia="Calibri" w:cs="Times New Roman"/>
          <w:noProof/>
          <w:color w:val="000000"/>
          <w:szCs w:val="24"/>
        </w:rPr>
        <w:t>; the amendments entered into force. Starting from November 2019, economic operators may apply for AEO status.</w:t>
      </w:r>
      <w:r>
        <w:rPr>
          <w:rFonts w:cs="Times New Roman"/>
          <w:noProof/>
          <w:szCs w:val="24"/>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implementing the Regional Convention on Pan-Euro-Mediterranean preferential rules of origin. Following the entry into force </w:t>
      </w:r>
      <w:r>
        <w:rPr>
          <w:rFonts w:eastAsia="Calibri" w:cs="Times New Roman"/>
          <w:noProof/>
          <w:color w:val="000000"/>
          <w:szCs w:val="24"/>
        </w:rPr>
        <w:t>of trade facilitation measures under the CEFTA agreement (Additional Protocol 5), customs administration signed agreements with other administrative bodies to ensure information sharing and mutual assistance on customs matters. Amended CEFTA protocol of or</w:t>
      </w:r>
      <w:r>
        <w:rPr>
          <w:rFonts w:eastAsia="Calibri" w:cs="Times New Roman"/>
          <w:noProof/>
          <w:color w:val="000000"/>
          <w:szCs w:val="24"/>
        </w:rPr>
        <w:t>igin, introducing full cumulation and prohibition of duty drawback, is effective as of July 2019.</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Montenegro needs to further align its legislation on drug precursors and customs security and to adopt implementing legislation on the export control of cultu</w:t>
      </w:r>
      <w:r>
        <w:rPr>
          <w:rFonts w:eastAsia="Calibri" w:cs="Times New Roman"/>
          <w:noProof/>
          <w:color w:val="000000"/>
          <w:szCs w:val="24"/>
        </w:rPr>
        <w:t xml:space="preserve">ral goods. A number of customs exemptions, not laid down in the EU Customs Code are still applied. Fees are still charged to lorries in inland customs terminals located in privately owned facilities, which is not in line with the EU </w:t>
      </w:r>
      <w:r>
        <w:rPr>
          <w:rFonts w:eastAsia="Calibri" w:cs="Times New Roman"/>
          <w:i/>
          <w:iCs/>
          <w:noProof/>
          <w:color w:val="000000"/>
          <w:szCs w:val="24"/>
        </w:rPr>
        <w:t>acquis</w:t>
      </w:r>
      <w:r>
        <w:rPr>
          <w:rFonts w:eastAsia="Calibri" w:cs="Times New Roman"/>
          <w:noProof/>
          <w:color w:val="000000"/>
          <w:szCs w:val="24"/>
        </w:rPr>
        <w:t xml:space="preserve">.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bCs/>
          <w:noProof/>
          <w:color w:val="000000"/>
          <w:szCs w:val="24"/>
        </w:rPr>
        <w:t>administrat</w:t>
      </w:r>
      <w:r>
        <w:rPr>
          <w:rFonts w:eastAsia="Calibri" w:cs="Times New Roman"/>
          <w:b/>
          <w:bCs/>
          <w:noProof/>
          <w:color w:val="000000"/>
          <w:szCs w:val="24"/>
        </w:rPr>
        <w:t>ive and operational capacity</w:t>
      </w:r>
      <w:r>
        <w:rPr>
          <w:rFonts w:eastAsia="Calibri" w:cs="Times New Roman"/>
          <w:noProof/>
          <w:color w:val="000000"/>
          <w:szCs w:val="24"/>
        </w:rPr>
        <w:t>, Montenegro is continuing to implement its 2019-2021 business strategy, in accordance with the action plan. Implementing legislation on the internal organisation of the customs administration was adopted in May 2019, together w</w:t>
      </w:r>
      <w:r>
        <w:rPr>
          <w:rFonts w:eastAsia="Calibri" w:cs="Times New Roman"/>
          <w:noProof/>
          <w:color w:val="000000"/>
          <w:szCs w:val="24"/>
        </w:rPr>
        <w:t xml:space="preserve">ith strategies on customs’ human resources, management, training, modernisation of IT infrastructure and public relations. Montenegro took action to enhance capacities in financial investigations, including on the recovery of assets and proceeds of crime, </w:t>
      </w:r>
      <w:r>
        <w:rPr>
          <w:rFonts w:eastAsia="Calibri" w:cs="Times New Roman"/>
          <w:noProof/>
          <w:color w:val="000000"/>
          <w:szCs w:val="24"/>
        </w:rPr>
        <w:t xml:space="preserve">and strengthened measures on anti-corruption and integrity of customs officers. </w:t>
      </w:r>
      <w:r>
        <w:rPr>
          <w:rFonts w:eastAsia="Calibri" w:cs="Times New Roman"/>
          <w:noProof/>
          <w:szCs w:val="24"/>
        </w:rPr>
        <w:t>Ensuring adequate staffing of the IT department still needs to be better addressed, in view of numerous IT development projects.</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Further operational progress was made towards a</w:t>
      </w:r>
      <w:r>
        <w:rPr>
          <w:rFonts w:eastAsia="Calibri" w:cs="Times New Roman"/>
          <w:noProof/>
          <w:szCs w:val="24"/>
        </w:rPr>
        <w:t>ccession to the Transit Convention and establishing a new computerised transit system (NCTS). Simplified procedures for customs clearance of express consignments were implemented and e-manifest application for such consignments became operational, allowing</w:t>
      </w:r>
      <w:r>
        <w:rPr>
          <w:rFonts w:eastAsia="Calibri" w:cs="Times New Roman"/>
          <w:noProof/>
          <w:szCs w:val="24"/>
        </w:rPr>
        <w:t xml:space="preserve"> for pre-processing of shipments before their arrival. Preparations for the accreditation of the customs laboratory were stepped up and several tender procedures for the procurement of laboratory equipment were successfully completed. </w:t>
      </w:r>
    </w:p>
    <w:p w:rsidR="003C2144" w:rsidRDefault="00FB7959">
      <w:pPr>
        <w:autoSpaceDE w:val="0"/>
        <w:autoSpaceDN w:val="0"/>
        <w:adjustRightInd w:val="0"/>
        <w:spacing w:after="120" w:line="240" w:lineRule="auto"/>
        <w:jc w:val="both"/>
        <w:rPr>
          <w:rFonts w:eastAsia="Calibri" w:cs="Times New Roman"/>
          <w:iCs/>
          <w:noProof/>
          <w:szCs w:val="24"/>
        </w:rPr>
      </w:pPr>
      <w:r>
        <w:rPr>
          <w:rFonts w:eastAsia="Calibri" w:cs="Times New Roman"/>
          <w:noProof/>
          <w:szCs w:val="24"/>
        </w:rPr>
        <w:t>On the collection of</w:t>
      </w:r>
      <w:r>
        <w:rPr>
          <w:rFonts w:eastAsia="Calibri" w:cs="Times New Roman"/>
          <w:noProof/>
          <w:szCs w:val="24"/>
        </w:rPr>
        <w:t xml:space="preserve"> customs debt, the model for the write-off of the customs debt needs to be established jointly with the Ministry of Finance.  Some improvements are observed in import and export procedures thanks to gradual implementation of 2018-2022 Trade Facilitation St</w:t>
      </w:r>
      <w:r>
        <w:rPr>
          <w:rFonts w:eastAsia="Calibri" w:cs="Times New Roman"/>
          <w:noProof/>
          <w:szCs w:val="24"/>
        </w:rPr>
        <w:t>rategy. In the context of CEFTA Protocol 5 implementation, post-clearance checks were reinforced to reduce clearance times. In addition, the development of supervisory IT system introducing chronological case management of customs frauds and irregularities</w:t>
      </w:r>
      <w:r>
        <w:rPr>
          <w:rFonts w:eastAsia="Calibri" w:cs="Times New Roman"/>
          <w:noProof/>
          <w:szCs w:val="24"/>
        </w:rPr>
        <w:t xml:space="preserve"> started in September 2019</w:t>
      </w:r>
      <w:r>
        <w:rPr>
          <w:rFonts w:eastAsia="Calibri" w:cs="Times New Roman"/>
          <w:iCs/>
          <w:noProof/>
          <w:szCs w:val="24"/>
        </w:rPr>
        <w:t xml:space="preserve">, with its integration into the Customs Information System expected by Q3 2020. </w:t>
      </w:r>
    </w:p>
    <w:p w:rsidR="003C2144" w:rsidRDefault="00FB7959">
      <w:pPr>
        <w:autoSpaceDE w:val="0"/>
        <w:autoSpaceDN w:val="0"/>
        <w:adjustRightInd w:val="0"/>
        <w:spacing w:after="120" w:line="240" w:lineRule="auto"/>
        <w:jc w:val="both"/>
        <w:rPr>
          <w:rFonts w:eastAsia="Calibri" w:cs="Times New Roman"/>
          <w:noProof/>
          <w:color w:val="000000"/>
          <w:szCs w:val="24"/>
          <w:shd w:val="clear" w:color="auto" w:fill="FFFFFF"/>
        </w:rPr>
      </w:pPr>
      <w:r>
        <w:rPr>
          <w:rFonts w:eastAsia="Calibri" w:cs="Times New Roman"/>
          <w:noProof/>
          <w:szCs w:val="24"/>
        </w:rPr>
        <w:t>The Customs Administration is a member of the Intellectual Property Rights Coordination Team and participates in joint actions of the working group aimed at suppression and prevention of intellectual property rights infringements. Revenue collection by the</w:t>
      </w:r>
      <w:r>
        <w:rPr>
          <w:rFonts w:eastAsia="Calibri" w:cs="Times New Roman"/>
          <w:noProof/>
          <w:szCs w:val="24"/>
        </w:rPr>
        <w:t xml:space="preserve"> Customs Administration in 2019 was EUR 801 million, a 5.60 % increase in comparison with 2018. Of particular note is a 14% </w:t>
      </w:r>
      <w:r>
        <w:rPr>
          <w:rFonts w:eastAsia="Calibri" w:cs="Times New Roman"/>
          <w:noProof/>
          <w:color w:val="000000"/>
          <w:szCs w:val="24"/>
          <w:shd w:val="clear" w:color="auto" w:fill="FFFFFF"/>
        </w:rPr>
        <w:t>year-on-year</w:t>
      </w:r>
      <w:r>
        <w:rPr>
          <w:rFonts w:eastAsia="Calibri" w:cs="Times New Roman"/>
          <w:noProof/>
          <w:szCs w:val="24"/>
        </w:rPr>
        <w:t xml:space="preserve"> increase in the collection of </w:t>
      </w:r>
      <w:r>
        <w:rPr>
          <w:rFonts w:eastAsia="Calibri" w:cs="Times New Roman"/>
          <w:noProof/>
          <w:color w:val="000000"/>
          <w:szCs w:val="24"/>
          <w:shd w:val="clear" w:color="auto" w:fill="FFFFFF"/>
        </w:rPr>
        <w:t xml:space="preserve">excise duties on tobacco. </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 xml:space="preserve">As regards illicit tobacco trade, supervision activities have </w:t>
      </w:r>
      <w:r>
        <w:rPr>
          <w:rFonts w:eastAsia="Calibri" w:cs="Times New Roman"/>
          <w:noProof/>
          <w:szCs w:val="24"/>
        </w:rPr>
        <w:t>intensified at the free zone in the port of Bar, including joint control actions with the police. Better IT functionality enables customs authorities to access the IT systems of the port operators and better control tobacco movements. Still, significant ch</w:t>
      </w:r>
      <w:r>
        <w:rPr>
          <w:rFonts w:eastAsia="Calibri" w:cs="Times New Roman"/>
          <w:noProof/>
          <w:szCs w:val="24"/>
        </w:rPr>
        <w:t>allenges remain in reducing illicit tobacco trade. In particular, the presence of offshore letterbox companies at the free zone in the port of Bar and their role in the tobacco supply chains remains a major source of concern. A wider control of the compani</w:t>
      </w:r>
      <w:r>
        <w:rPr>
          <w:rFonts w:eastAsia="Calibri" w:cs="Times New Roman"/>
          <w:noProof/>
          <w:szCs w:val="24"/>
        </w:rPr>
        <w:t xml:space="preserve">es operating in the free zone and of their activities would make the fight against cigarette smuggling more effective. Further efforts should be invested in capacity building, hiring human resources and enhancing international cooperation in this regard.  </w:t>
      </w:r>
      <w:r>
        <w:rPr>
          <w:rFonts w:eastAsia="Calibri" w:cs="Times New Roman"/>
          <w:noProof/>
          <w:szCs w:val="24"/>
        </w:rPr>
        <w:t>The Customs Administration started developing electronic system for management and security printing of excise stamps, but implementation of the WHO Protocol to eliminate illicit trade in tobacco products is still pending. The restarted cigarette productio</w:t>
      </w:r>
      <w:r>
        <w:rPr>
          <w:rFonts w:eastAsia="Calibri" w:cs="Times New Roman"/>
          <w:noProof/>
          <w:szCs w:val="24"/>
        </w:rPr>
        <w:t>n by the main Montenegro’s tobacco company would require full implementation of the measures foreseen by the Protocol.</w:t>
      </w:r>
    </w:p>
    <w:p w:rsidR="003C2144" w:rsidRDefault="00FB7959">
      <w:pPr>
        <w:autoSpaceDE w:val="0"/>
        <w:autoSpaceDN w:val="0"/>
        <w:adjustRightInd w:val="0"/>
        <w:spacing w:after="120" w:line="240" w:lineRule="auto"/>
        <w:jc w:val="both"/>
        <w:rPr>
          <w:rFonts w:eastAsia="Calibri" w:cs="Times New Roman"/>
          <w:noProof/>
          <w:szCs w:val="24"/>
        </w:rPr>
      </w:pPr>
      <w:r>
        <w:rPr>
          <w:rFonts w:eastAsia="Calibri" w:cs="Times New Roman"/>
          <w:noProof/>
          <w:szCs w:val="24"/>
        </w:rPr>
        <w:t>Customs Administration is part of the CEFTA coordination body, established in March 2020 with the aim of coordinating measures for uninte</w:t>
      </w:r>
      <w:r>
        <w:rPr>
          <w:rFonts w:eastAsia="Calibri" w:cs="Times New Roman"/>
          <w:noProof/>
          <w:szCs w:val="24"/>
        </w:rPr>
        <w:t>rrupted cross-border trade during the COVID-19 crisis.</w:t>
      </w:r>
    </w:p>
    <w:p w:rsidR="003C2144" w:rsidRDefault="00FB7959">
      <w:pPr>
        <w:pStyle w:val="Heading2"/>
        <w:rPr>
          <w:rFonts w:eastAsia="Times New Roman"/>
          <w:noProof/>
        </w:rPr>
      </w:pPr>
      <w:bookmarkStart w:id="256" w:name="_Toc30080592"/>
      <w:bookmarkStart w:id="257" w:name="_Toc30074170"/>
      <w:bookmarkStart w:id="258" w:name="_Toc30073857"/>
      <w:bookmarkStart w:id="259" w:name="_Toc52744961"/>
      <w:r>
        <w:rPr>
          <w:rFonts w:eastAsia="Times New Roman"/>
          <w:noProof/>
        </w:rPr>
        <w:t>5.30</w:t>
      </w:r>
      <w:r>
        <w:rPr>
          <w:rFonts w:eastAsia="Times New Roman"/>
          <w:noProof/>
        </w:rPr>
        <w:tab/>
        <w:t>Chapter 30: External relations</w:t>
      </w:r>
      <w:bookmarkEnd w:id="256"/>
      <w:bookmarkEnd w:id="257"/>
      <w:bookmarkEnd w:id="258"/>
      <w:bookmarkEnd w:id="259"/>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The EU has a common trade and commercial policy towards third countries, based on multilateral and bilateral agreements and autonomous measures. There are also EU r</w:t>
      </w:r>
      <w:r>
        <w:rPr>
          <w:rFonts w:eastAsia="Calibri" w:cs="Times New Roman"/>
          <w:i/>
          <w:iCs/>
          <w:noProof/>
          <w:color w:val="000000"/>
          <w:szCs w:val="24"/>
        </w:rPr>
        <w:t>ules in the field of humanitarian aid and development policy.</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has reached a </w:t>
      </w:r>
      <w:r>
        <w:rPr>
          <w:rFonts w:eastAsia="Calibri" w:cs="Times New Roman"/>
          <w:b/>
          <w:bCs/>
          <w:noProof/>
          <w:color w:val="000000"/>
          <w:szCs w:val="24"/>
        </w:rPr>
        <w:t xml:space="preserve">good level of preparation </w:t>
      </w:r>
      <w:r>
        <w:rPr>
          <w:rFonts w:eastAsia="Calibri" w:cs="Times New Roman"/>
          <w:bCs/>
          <w:noProof/>
          <w:color w:val="000000"/>
          <w:szCs w:val="24"/>
        </w:rPr>
        <w:t>in this area.</w:t>
      </w:r>
      <w:r>
        <w:rPr>
          <w:rFonts w:eastAsia="Calibri" w:cs="Times New Roman"/>
          <w:b/>
          <w:bCs/>
          <w:noProof/>
          <w:color w:val="000000"/>
          <w:szCs w:val="24"/>
        </w:rPr>
        <w:t xml:space="preserve"> Some progress </w:t>
      </w:r>
      <w:r>
        <w:rPr>
          <w:rFonts w:eastAsia="Calibri" w:cs="Times New Roman"/>
          <w:bCs/>
          <w:noProof/>
          <w:color w:val="000000"/>
          <w:szCs w:val="24"/>
        </w:rPr>
        <w:t>was made on the 2019 recommendation concerning the Regional Economic Area (REA) with the adoption of Additional Pro</w:t>
      </w:r>
      <w:r>
        <w:rPr>
          <w:rFonts w:eastAsia="Calibri" w:cs="Times New Roman"/>
          <w:bCs/>
          <w:noProof/>
          <w:color w:val="000000"/>
          <w:szCs w:val="24"/>
        </w:rPr>
        <w:t>tocol (AP) 6 to liberalise trade in services. The 2019 recommendation on dual-use goods remains valid.</w:t>
      </w:r>
    </w:p>
    <w:p w:rsidR="003C2144" w:rsidRDefault="00FB7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the coming year,  Montenegro should in particular:</w:t>
      </w:r>
    </w:p>
    <w:p w:rsidR="003C2144" w:rsidRDefault="00FB795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adopt legislation, in line with the EU </w:t>
      </w:r>
      <w:r>
        <w:rPr>
          <w:rFonts w:ascii="Times New Roman" w:eastAsia="Calibri" w:hAnsi="Times New Roman" w:cs="Times New Roman"/>
          <w:i/>
          <w:iCs/>
          <w:noProof/>
          <w:color w:val="000000"/>
          <w:sz w:val="24"/>
          <w:szCs w:val="24"/>
        </w:rPr>
        <w:t xml:space="preserve">acquis, </w:t>
      </w:r>
      <w:r>
        <w:rPr>
          <w:rFonts w:ascii="Times New Roman" w:eastAsia="Calibri" w:hAnsi="Times New Roman" w:cs="Times New Roman"/>
          <w:noProof/>
          <w:color w:val="000000"/>
          <w:sz w:val="24"/>
          <w:szCs w:val="24"/>
        </w:rPr>
        <w:t>on export controls of dual-use goods ;</w:t>
      </w:r>
    </w:p>
    <w:p w:rsidR="003C2144" w:rsidRDefault="00FB795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ascii="Times New Roman" w:eastAsia="Calibri" w:hAnsi="Times New Roman" w:cs="Times New Roman"/>
          <w:i/>
          <w:iCs/>
          <w:noProof/>
          <w:color w:val="000000"/>
          <w:sz w:val="24"/>
          <w:szCs w:val="24"/>
        </w:rPr>
      </w:pPr>
      <w:r>
        <w:rPr>
          <w:rFonts w:ascii="Times New Roman" w:eastAsia="Calibri" w:hAnsi="Times New Roman" w:cs="Times New Roman"/>
          <w:iCs/>
          <w:noProof/>
          <w:color w:val="000000"/>
          <w:sz w:val="24"/>
          <w:szCs w:val="24"/>
        </w:rPr>
        <w:t xml:space="preserve">implement </w:t>
      </w:r>
      <w:r>
        <w:rPr>
          <w:rFonts w:ascii="Times New Roman" w:eastAsia="Calibri" w:hAnsi="Times New Roman" w:cs="Times New Roman"/>
          <w:iCs/>
          <w:noProof/>
          <w:color w:val="000000"/>
          <w:sz w:val="24"/>
          <w:szCs w:val="24"/>
        </w:rPr>
        <w:t xml:space="preserve">actions under the multiannual action plan for the development of REA: in particular, ensure the full implementation of CEFTA AP 5 on trade in goods, ratify and implement CEFTA AP 6 on trade in services, negotiate and ensure a swift implementation of CEFTA </w:t>
      </w:r>
      <w:r>
        <w:rPr>
          <w:rFonts w:ascii="Times New Roman" w:eastAsia="Calibri" w:hAnsi="Times New Roman" w:cs="Times New Roman"/>
          <w:iCs/>
          <w:noProof/>
          <w:color w:val="000000"/>
          <w:sz w:val="24"/>
          <w:szCs w:val="24"/>
        </w:rPr>
        <w:t>AP 7 on dispute settlement, adopt regional standards for international investment agreements and pursue the implementation of the ‘individual reform action plan’ (IRAP) on investment.</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the </w:t>
      </w:r>
      <w:r>
        <w:rPr>
          <w:rFonts w:eastAsia="Times New Roman" w:cs="Times New Roman"/>
          <w:b/>
          <w:noProof/>
          <w:szCs w:val="24"/>
          <w:lang w:eastAsia="en-GB"/>
        </w:rPr>
        <w:t>common commercial policy</w:t>
      </w:r>
      <w:r>
        <w:rPr>
          <w:rFonts w:eastAsia="Times New Roman" w:cs="Times New Roman"/>
          <w:noProof/>
          <w:szCs w:val="24"/>
          <w:lang w:eastAsia="en-GB"/>
        </w:rPr>
        <w:t xml:space="preserve">, Montenegro continued to coordinate its </w:t>
      </w:r>
      <w:r>
        <w:rPr>
          <w:rFonts w:eastAsia="Times New Roman" w:cs="Times New Roman"/>
          <w:noProof/>
          <w:szCs w:val="24"/>
          <w:lang w:eastAsia="en-GB"/>
        </w:rPr>
        <w:t>positions with those of the EU, including within the WTO. Montenegro adopted the 2018 implementation report concerning the ambitious trade facilitation strategy 2018-2022. Additional efforts should be invested to ensure the timely implementation of the str</w:t>
      </w:r>
      <w:r>
        <w:rPr>
          <w:rFonts w:eastAsia="Times New Roman" w:cs="Times New Roman"/>
          <w:noProof/>
          <w:szCs w:val="24"/>
          <w:lang w:eastAsia="en-GB"/>
        </w:rPr>
        <w:t>ategy and related action plan and to monitor the process. In June 2019, Montenegro submitted notifications under Articles 1.4, 10.6.2 and 12.2.2 of the WTO Trade Facilitation Agreement and later, in August 2019, submitted a notification of category B and C</w:t>
      </w:r>
      <w:r>
        <w:rPr>
          <w:rFonts w:eastAsia="Times New Roman" w:cs="Times New Roman"/>
          <w:noProof/>
          <w:szCs w:val="24"/>
          <w:lang w:eastAsia="en-GB"/>
        </w:rPr>
        <w:t xml:space="preserve"> commitments.</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Montenegro continued to align its national control list of dual-use goods with the 2019 EU regime on exports, transfer, brokering and transit of these items. The draft Law on export control of dual-use goods is yet to be adopted. In this resp</w:t>
      </w:r>
      <w:r>
        <w:rPr>
          <w:rFonts w:eastAsia="Times New Roman" w:cs="Times New Roman"/>
          <w:noProof/>
          <w:szCs w:val="24"/>
          <w:lang w:eastAsia="en-GB"/>
        </w:rPr>
        <w:t>ect, Montenegro should continue to invest in upgrading its administrative and control capacity. Montenegro's application process to join the Wassenaar Arrangement is ongoing, while the country is also considering joining the Australia Group.</w:t>
      </w:r>
    </w:p>
    <w:p w:rsidR="003C2144" w:rsidRDefault="00FB7959">
      <w:pPr>
        <w:spacing w:after="120" w:line="240" w:lineRule="auto"/>
        <w:jc w:val="both"/>
        <w:rPr>
          <w:rFonts w:eastAsia="Calibri" w:cs="Times New Roman"/>
          <w:b/>
          <w:noProof/>
          <w:color w:val="000000"/>
          <w:szCs w:val="24"/>
        </w:rPr>
      </w:pPr>
      <w:r>
        <w:rPr>
          <w:rFonts w:eastAsia="Calibri" w:cs="Times New Roman"/>
          <w:noProof/>
          <w:color w:val="000000"/>
          <w:szCs w:val="24"/>
        </w:rPr>
        <w:t>Montenegro has</w:t>
      </w:r>
      <w:r>
        <w:rPr>
          <w:rFonts w:eastAsia="Calibri" w:cs="Times New Roman"/>
          <w:noProof/>
          <w:color w:val="000000"/>
          <w:szCs w:val="24"/>
        </w:rPr>
        <w:t xml:space="preserve"> legislation in place aimed at implementing the Kimberley Process certification procedure, including provisions on sanctions.</w:t>
      </w:r>
    </w:p>
    <w:p w:rsidR="003C2144" w:rsidRDefault="00FB7959">
      <w:pPr>
        <w:spacing w:after="120" w:line="240" w:lineRule="auto"/>
        <w:jc w:val="both"/>
        <w:rPr>
          <w:rFonts w:eastAsia="Times New Roman" w:cs="Times New Roman"/>
          <w:noProof/>
          <w:szCs w:val="24"/>
          <w:lang w:eastAsia="en-GB"/>
        </w:rPr>
      </w:pPr>
      <w:r>
        <w:rPr>
          <w:rFonts w:eastAsia="Calibri" w:cs="Times New Roman"/>
          <w:noProof/>
          <w:szCs w:val="24"/>
        </w:rPr>
        <w:t>A regulation on export credit insurance against non-market risks is being prepared</w:t>
      </w:r>
      <w:r>
        <w:rPr>
          <w:rFonts w:eastAsia="Times New Roman" w:cs="Times New Roman"/>
          <w:noProof/>
          <w:szCs w:val="24"/>
          <w:lang w:eastAsia="en-GB"/>
        </w:rPr>
        <w:t xml:space="preserve"> following the adoption of amendments to the Law</w:t>
      </w:r>
      <w:r>
        <w:rPr>
          <w:rFonts w:eastAsia="Times New Roman" w:cs="Times New Roman"/>
          <w:noProof/>
          <w:szCs w:val="24"/>
          <w:lang w:eastAsia="en-GB"/>
        </w:rPr>
        <w:t xml:space="preserve"> on the investment and development fund (which regulates the issuing and financing of export credits).</w:t>
      </w:r>
    </w:p>
    <w:p w:rsidR="003C2144" w:rsidRDefault="00FB7959">
      <w:pPr>
        <w:spacing w:after="120" w:line="240" w:lineRule="auto"/>
        <w:jc w:val="both"/>
        <w:rPr>
          <w:rFonts w:eastAsia="Calibri" w:cs="Times New Roman"/>
          <w:noProof/>
          <w:szCs w:val="24"/>
        </w:rPr>
      </w:pPr>
      <w:r>
        <w:rPr>
          <w:rFonts w:eastAsia="Calibri" w:cs="Times New Roman"/>
          <w:noProof/>
          <w:szCs w:val="24"/>
        </w:rPr>
        <w:t>Montenegro continued its participation in CEFTA. It is important that Montenegro implements Additional Protocol 5, based in particular on the decisions taken by the CEFTA Joint Committee on Authorised Economic Operators, fruits and vegetables, and risk man</w:t>
      </w:r>
      <w:r>
        <w:rPr>
          <w:rFonts w:eastAsia="Calibri" w:cs="Times New Roman"/>
          <w:noProof/>
          <w:szCs w:val="24"/>
        </w:rPr>
        <w:t>agement strategy for customs. Ratification and implementation of the newly adopted Additional Protocol 6 on liberalisation of trade in services is also needed.  Regarding Additional Protocol 7 on trade dispute settlement, a constructive approach by Montene</w:t>
      </w:r>
      <w:r>
        <w:rPr>
          <w:rFonts w:eastAsia="Calibri" w:cs="Times New Roman"/>
          <w:noProof/>
          <w:szCs w:val="24"/>
        </w:rPr>
        <w:t>gro would be important to ensure the completion of negotiations in 2020. Within the Regional Economic Area framework, standards on investment at regional level remain to be adopted to reflect the latest EU policy developments; to be used when negotiating f</w:t>
      </w:r>
      <w:r>
        <w:rPr>
          <w:rFonts w:eastAsia="Calibri" w:cs="Times New Roman"/>
          <w:noProof/>
          <w:szCs w:val="24"/>
        </w:rPr>
        <w:t xml:space="preserve">uture investment treaties with third countries. Montenegro should reflect this in the new Bilateral Investment Treaty model it is currently preparing.   </w:t>
      </w:r>
    </w:p>
    <w:p w:rsidR="003C2144" w:rsidRDefault="00FB7959">
      <w:pPr>
        <w:spacing w:after="120" w:line="240" w:lineRule="auto"/>
        <w:jc w:val="both"/>
        <w:rPr>
          <w:rFonts w:eastAsia="Times New Roman" w:cs="Times New Roman"/>
          <w:noProof/>
          <w:szCs w:val="24"/>
          <w:lang w:eastAsia="en-GB"/>
        </w:rPr>
      </w:pPr>
      <w:r>
        <w:rPr>
          <w:rFonts w:eastAsia="Calibri" w:cs="Times New Roman"/>
          <w:noProof/>
          <w:szCs w:val="24"/>
        </w:rPr>
        <w:t>Montenegro should continue to s</w:t>
      </w:r>
      <w:r>
        <w:rPr>
          <w:rFonts w:eastAsia="Times New Roman" w:cs="Times New Roman"/>
          <w:noProof/>
          <w:szCs w:val="24"/>
          <w:lang w:eastAsia="en-GB"/>
        </w:rPr>
        <w:t>trengthen the administrative capacity of services in charge of CEFTA an</w:t>
      </w:r>
      <w:r>
        <w:rPr>
          <w:rFonts w:eastAsia="Times New Roman" w:cs="Times New Roman"/>
          <w:noProof/>
          <w:szCs w:val="24"/>
          <w:lang w:eastAsia="en-GB"/>
        </w:rPr>
        <w:t xml:space="preserve">d WTO matters. On </w:t>
      </w:r>
      <w:r>
        <w:rPr>
          <w:rFonts w:eastAsia="Times New Roman" w:cs="Times New Roman"/>
          <w:b/>
          <w:noProof/>
          <w:szCs w:val="24"/>
          <w:lang w:eastAsia="en-GB"/>
        </w:rPr>
        <w:t>bilateral trade agreements</w:t>
      </w:r>
      <w:r>
        <w:rPr>
          <w:rFonts w:eastAsia="Times New Roman" w:cs="Times New Roman"/>
          <w:noProof/>
          <w:szCs w:val="24"/>
          <w:lang w:eastAsia="en-GB"/>
        </w:rPr>
        <w:t xml:space="preserve">, Montenegro signed amendments to its free trade agreement with Turkey in July 2019; these ensure additional liberalisation of trade in agricultural products and access to the services market. Montenegro is also </w:t>
      </w:r>
      <w:r>
        <w:rPr>
          <w:rFonts w:eastAsia="Times New Roman" w:cs="Times New Roman"/>
          <w:noProof/>
          <w:szCs w:val="24"/>
          <w:lang w:eastAsia="en-GB"/>
        </w:rPr>
        <w:t>amending its free trade agreements with EFTA countries as regards rules of origin.</w:t>
      </w:r>
    </w:p>
    <w:p w:rsidR="003C2144" w:rsidRDefault="00FB795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On </w:t>
      </w:r>
      <w:r>
        <w:rPr>
          <w:rFonts w:eastAsia="Times New Roman" w:cs="Times New Roman"/>
          <w:b/>
          <w:noProof/>
          <w:szCs w:val="24"/>
          <w:lang w:eastAsia="en-GB"/>
        </w:rPr>
        <w:t>development policy</w:t>
      </w:r>
      <w:r>
        <w:rPr>
          <w:rFonts w:eastAsia="Times New Roman" w:cs="Times New Roman"/>
          <w:noProof/>
          <w:szCs w:val="24"/>
          <w:lang w:eastAsia="en-GB"/>
        </w:rPr>
        <w:t xml:space="preserve"> and </w:t>
      </w:r>
      <w:r>
        <w:rPr>
          <w:rFonts w:eastAsia="Times New Roman" w:cs="Times New Roman"/>
          <w:b/>
          <w:noProof/>
          <w:szCs w:val="24"/>
          <w:lang w:eastAsia="en-GB"/>
        </w:rPr>
        <w:t>humanitarian aid</w:t>
      </w:r>
      <w:r>
        <w:rPr>
          <w:rFonts w:eastAsia="Times New Roman" w:cs="Times New Roman"/>
          <w:noProof/>
          <w:szCs w:val="24"/>
          <w:lang w:eastAsia="en-GB"/>
        </w:rPr>
        <w:t xml:space="preserve">, implementing legislation is yet to be adopted for the </w:t>
      </w:r>
      <w:r>
        <w:rPr>
          <w:rFonts w:eastAsia="Calibri" w:cs="Times New Roman"/>
          <w:noProof/>
          <w:szCs w:val="24"/>
        </w:rPr>
        <w:t>Law on international development cooperation and international humanitarian</w:t>
      </w:r>
      <w:r>
        <w:rPr>
          <w:rFonts w:eastAsia="Calibri" w:cs="Times New Roman"/>
          <w:noProof/>
          <w:szCs w:val="24"/>
        </w:rPr>
        <w:t xml:space="preserve"> assistance. A d</w:t>
      </w:r>
      <w:r>
        <w:rPr>
          <w:rFonts w:eastAsia="Times New Roman" w:cs="Times New Roman"/>
          <w:noProof/>
          <w:szCs w:val="24"/>
          <w:lang w:eastAsia="en-GB"/>
        </w:rPr>
        <w:t>atabase of donor support projects - using the OECD Development Assistance Committee methodology – is yet to be developed.</w:t>
      </w:r>
    </w:p>
    <w:p w:rsidR="003C2144" w:rsidRDefault="00FB7959">
      <w:pPr>
        <w:spacing w:after="120" w:line="240" w:lineRule="auto"/>
        <w:jc w:val="both"/>
        <w:rPr>
          <w:rFonts w:eastAsia="Calibri" w:cs="Times New Roman"/>
          <w:noProof/>
          <w:szCs w:val="24"/>
        </w:rPr>
      </w:pPr>
      <w:r>
        <w:rPr>
          <w:rFonts w:eastAsia="Times New Roman" w:cs="Times New Roman"/>
          <w:noProof/>
          <w:szCs w:val="24"/>
          <w:lang w:eastAsia="en-GB"/>
        </w:rPr>
        <w:t>Montenegro continued its preparations on this chapter in accordance with its overall action plan on external relations</w:t>
      </w:r>
      <w:r>
        <w:rPr>
          <w:rFonts w:eastAsia="Times New Roman" w:cs="Times New Roman"/>
          <w:noProof/>
          <w:szCs w:val="24"/>
          <w:lang w:eastAsia="en-GB"/>
        </w:rPr>
        <w:t>.</w:t>
      </w:r>
    </w:p>
    <w:p w:rsidR="003C2144" w:rsidRDefault="00FB7959">
      <w:pPr>
        <w:pStyle w:val="Heading2"/>
        <w:rPr>
          <w:rFonts w:eastAsia="Times New Roman"/>
          <w:noProof/>
        </w:rPr>
      </w:pPr>
      <w:bookmarkStart w:id="260" w:name="_Toc30073858"/>
      <w:bookmarkStart w:id="261" w:name="_Toc30074171"/>
      <w:bookmarkStart w:id="262" w:name="_Toc30080593"/>
      <w:bookmarkStart w:id="263" w:name="_Toc52744962"/>
      <w:r>
        <w:rPr>
          <w:rFonts w:eastAsia="Times New Roman"/>
          <w:noProof/>
        </w:rPr>
        <w:t>5.31</w:t>
      </w:r>
      <w:r>
        <w:rPr>
          <w:rFonts w:eastAsia="Times New Roman"/>
          <w:noProof/>
        </w:rPr>
        <w:tab/>
        <w:t>Chapter 31: Foreign, security and defence policy</w:t>
      </w:r>
      <w:bookmarkEnd w:id="260"/>
      <w:bookmarkEnd w:id="261"/>
      <w:bookmarkEnd w:id="262"/>
      <w:bookmarkEnd w:id="263"/>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 xml:space="preserve">Member States must be able to conduct political dialogue in the framework of the foreign, security and defence policy, to align with EU statements, to take part in EU actions and to apply agreed </w:t>
      </w:r>
      <w:r>
        <w:rPr>
          <w:rFonts w:eastAsia="Calibri" w:cs="Times New Roman"/>
          <w:i/>
          <w:iCs/>
          <w:noProof/>
          <w:color w:val="000000"/>
          <w:szCs w:val="24"/>
        </w:rPr>
        <w:t>sanctions and restrictive measures.</w:t>
      </w:r>
    </w:p>
    <w:p w:rsidR="003C2144" w:rsidRDefault="00FB7959">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has a </w:t>
      </w:r>
      <w:r>
        <w:rPr>
          <w:rFonts w:eastAsia="Calibri" w:cs="Times New Roman"/>
          <w:b/>
          <w:noProof/>
          <w:color w:val="000000"/>
          <w:szCs w:val="24"/>
        </w:rPr>
        <w:t>good level of preparation</w:t>
      </w:r>
      <w:r>
        <w:rPr>
          <w:rFonts w:eastAsia="Calibri" w:cs="Times New Roman"/>
          <w:noProof/>
          <w:color w:val="000000"/>
          <w:szCs w:val="24"/>
        </w:rPr>
        <w:t xml:space="preserve"> in this area. </w:t>
      </w:r>
      <w:r>
        <w:rPr>
          <w:rFonts w:eastAsia="Calibri" w:cs="Times New Roman"/>
          <w:b/>
          <w:noProof/>
          <w:color w:val="000000"/>
          <w:szCs w:val="24"/>
        </w:rPr>
        <w:t>Some progress</w:t>
      </w:r>
      <w:r>
        <w:rPr>
          <w:rFonts w:eastAsia="Calibri" w:cs="Times New Roman"/>
          <w:noProof/>
          <w:color w:val="000000"/>
          <w:szCs w:val="24"/>
        </w:rPr>
        <w:t xml:space="preserve"> was made during the reporting period by enhancing the legislative framework on security and defence and combatting hybrid threats. Montenegro continu</w:t>
      </w:r>
      <w:r>
        <w:rPr>
          <w:rFonts w:eastAsia="Calibri" w:cs="Times New Roman"/>
          <w:noProof/>
          <w:color w:val="000000"/>
          <w:szCs w:val="24"/>
        </w:rPr>
        <w:t xml:space="preserve">ed to fully align with EU positions and to participate in EU crisis management missions and operations under the common security and defence policy. </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noProof/>
          <w:color w:val="000000"/>
          <w:szCs w:val="24"/>
        </w:rPr>
        <w:t xml:space="preserve">The regular </w:t>
      </w:r>
      <w:r>
        <w:rPr>
          <w:rFonts w:eastAsia="Calibri" w:cs="Times New Roman"/>
          <w:b/>
          <w:bCs/>
          <w:noProof/>
          <w:color w:val="000000"/>
          <w:szCs w:val="24"/>
          <w:shd w:val="clear" w:color="auto" w:fill="FFFFFF"/>
          <w:lang w:bidi="en-US"/>
        </w:rPr>
        <w:t xml:space="preserve">political dialogue </w:t>
      </w:r>
      <w:r>
        <w:rPr>
          <w:rFonts w:eastAsia="Calibri" w:cs="Times New Roman"/>
          <w:noProof/>
          <w:color w:val="000000"/>
          <w:szCs w:val="24"/>
        </w:rPr>
        <w:t xml:space="preserve">between the </w:t>
      </w:r>
      <w:r>
        <w:rPr>
          <w:rFonts w:eastAsia="Calibri" w:cs="Times New Roman"/>
          <w:noProof/>
          <w:color w:val="000000"/>
          <w:szCs w:val="24"/>
          <w:lang w:eastAsia="fr-FR" w:bidi="fr-FR"/>
        </w:rPr>
        <w:t xml:space="preserve">EU </w:t>
      </w:r>
      <w:r>
        <w:rPr>
          <w:rFonts w:eastAsia="Calibri" w:cs="Times New Roman"/>
          <w:noProof/>
          <w:color w:val="000000"/>
          <w:szCs w:val="24"/>
        </w:rPr>
        <w:t xml:space="preserve">and Montenegro on foreign and security policy issues continued. (For more information on developments in bilateral relations with other enlargement countries and </w:t>
      </w:r>
      <w:r>
        <w:rPr>
          <w:rFonts w:eastAsia="Calibri" w:cs="Times New Roman"/>
          <w:noProof/>
          <w:color w:val="000000"/>
          <w:szCs w:val="24"/>
          <w:lang w:eastAsia="fr-FR" w:bidi="fr-FR"/>
        </w:rPr>
        <w:t xml:space="preserve">EU </w:t>
      </w:r>
      <w:r>
        <w:rPr>
          <w:rFonts w:eastAsia="Calibri" w:cs="Times New Roman"/>
          <w:noProof/>
          <w:color w:val="000000"/>
          <w:szCs w:val="24"/>
        </w:rPr>
        <w:t xml:space="preserve">Member States, </w:t>
      </w:r>
      <w:r>
        <w:rPr>
          <w:rFonts w:eastAsia="Calibri" w:cs="Times New Roman"/>
          <w:bCs/>
          <w:i/>
          <w:noProof/>
          <w:color w:val="000000"/>
          <w:szCs w:val="24"/>
          <w:shd w:val="clear" w:color="auto" w:fill="FFFFFF"/>
          <w:lang w:bidi="en-US"/>
        </w:rPr>
        <w:t>see section Regional issues and international obligations</w:t>
      </w:r>
      <w:r>
        <w:rPr>
          <w:rFonts w:eastAsia="Calibri" w:cs="Times New Roman"/>
          <w:bCs/>
          <w:noProof/>
          <w:color w:val="000000"/>
          <w:szCs w:val="24"/>
          <w:shd w:val="clear" w:color="auto" w:fill="FFFFFF"/>
          <w:lang w:bidi="en-US"/>
        </w:rPr>
        <w:t>.)</w:t>
      </w:r>
    </w:p>
    <w:p w:rsidR="003C2144" w:rsidRDefault="00FB7959">
      <w:pPr>
        <w:spacing w:after="120" w:line="240" w:lineRule="auto"/>
        <w:jc w:val="both"/>
        <w:rPr>
          <w:rFonts w:eastAsia="Calibri" w:cs="Times New Roman"/>
          <w:iCs/>
          <w:noProof/>
          <w:szCs w:val="24"/>
          <w:lang w:val="en-IE"/>
        </w:rPr>
      </w:pPr>
      <w:r>
        <w:rPr>
          <w:rFonts w:eastAsia="Calibri" w:cs="Times New Roman"/>
          <w:bCs/>
          <w:noProof/>
          <w:color w:val="000000"/>
          <w:szCs w:val="24"/>
          <w:shd w:val="clear" w:color="auto" w:fill="FFFFFF"/>
          <w:lang w:bidi="en-US"/>
        </w:rPr>
        <w:t xml:space="preserve">On </w:t>
      </w:r>
      <w:r>
        <w:rPr>
          <w:rFonts w:eastAsia="Calibri" w:cs="Times New Roman"/>
          <w:b/>
          <w:bCs/>
          <w:noProof/>
          <w:color w:val="000000"/>
          <w:szCs w:val="24"/>
          <w:shd w:val="clear" w:color="auto" w:fill="FFFFFF"/>
          <w:lang w:bidi="en-US"/>
        </w:rPr>
        <w:t>common foreig</w:t>
      </w:r>
      <w:r>
        <w:rPr>
          <w:rFonts w:eastAsia="Calibri" w:cs="Times New Roman"/>
          <w:b/>
          <w:bCs/>
          <w:noProof/>
          <w:color w:val="000000"/>
          <w:szCs w:val="24"/>
          <w:shd w:val="clear" w:color="auto" w:fill="FFFFFF"/>
          <w:lang w:bidi="en-US"/>
        </w:rPr>
        <w:t>n and security policy</w:t>
      </w:r>
      <w:r>
        <w:rPr>
          <w:rFonts w:eastAsia="Calibri" w:cs="Times New Roman"/>
          <w:bCs/>
          <w:noProof/>
          <w:color w:val="000000"/>
          <w:szCs w:val="24"/>
          <w:shd w:val="clear" w:color="auto" w:fill="FFFFFF"/>
          <w:lang w:bidi="en-US"/>
        </w:rPr>
        <w:t>,</w:t>
      </w:r>
      <w:r>
        <w:rPr>
          <w:rFonts w:eastAsia="Calibri" w:cs="Times New Roman"/>
          <w:b/>
          <w:bCs/>
          <w:noProof/>
          <w:color w:val="000000"/>
          <w:szCs w:val="24"/>
          <w:shd w:val="clear" w:color="auto" w:fill="FFFFFF"/>
          <w:lang w:bidi="en-US"/>
        </w:rPr>
        <w:t xml:space="preserve"> </w:t>
      </w:r>
      <w:r>
        <w:rPr>
          <w:rFonts w:eastAsia="Calibri" w:cs="Times New Roman"/>
          <w:bCs/>
          <w:noProof/>
          <w:color w:val="000000"/>
          <w:szCs w:val="24"/>
          <w:shd w:val="clear" w:color="auto" w:fill="FFFFFF"/>
          <w:lang w:bidi="en-US"/>
        </w:rPr>
        <w:t>Montenegro continued its 100% alignment with all relevant</w:t>
      </w:r>
      <w:r>
        <w:rPr>
          <w:rFonts w:eastAsia="Calibri" w:cs="Times New Roman"/>
          <w:noProof/>
          <w:szCs w:val="24"/>
        </w:rPr>
        <w:t xml:space="preserve"> </w:t>
      </w:r>
      <w:r>
        <w:rPr>
          <w:rFonts w:eastAsia="Calibri" w:cs="Times New Roman"/>
          <w:bCs/>
          <w:noProof/>
          <w:color w:val="000000"/>
          <w:szCs w:val="24"/>
          <w:shd w:val="clear" w:color="auto" w:fill="FFFFFF"/>
          <w:lang w:bidi="en-US"/>
        </w:rPr>
        <w:t xml:space="preserve">High Representative declarations on behalf of the EU and Council Decisions. </w:t>
      </w:r>
      <w:r>
        <w:rPr>
          <w:rFonts w:eastAsia="Calibri" w:cs="Times New Roman"/>
          <w:iCs/>
          <w:noProof/>
          <w:szCs w:val="24"/>
          <w:shd w:val="clear" w:color="auto" w:fill="FFFFFF"/>
        </w:rPr>
        <w:t>In December, Parliament adopted the amended Law on</w:t>
      </w:r>
      <w:r>
        <w:rPr>
          <w:rFonts w:eastAsia="Calibri" w:cs="Times New Roman"/>
          <w:b/>
          <w:bCs/>
          <w:iCs/>
          <w:noProof/>
          <w:szCs w:val="24"/>
          <w:shd w:val="clear" w:color="auto" w:fill="FFFFFF"/>
        </w:rPr>
        <w:t xml:space="preserve"> </w:t>
      </w:r>
      <w:r>
        <w:rPr>
          <w:rFonts w:eastAsia="Calibri" w:cs="Times New Roman"/>
          <w:iCs/>
          <w:noProof/>
          <w:szCs w:val="24"/>
          <w:shd w:val="clear" w:color="auto" w:fill="FFFFFF"/>
        </w:rPr>
        <w:t>international restrictive measures entrusting re</w:t>
      </w:r>
      <w:r>
        <w:rPr>
          <w:rFonts w:eastAsia="Calibri" w:cs="Times New Roman"/>
          <w:iCs/>
          <w:noProof/>
          <w:szCs w:val="24"/>
          <w:shd w:val="clear" w:color="auto" w:fill="FFFFFF"/>
        </w:rPr>
        <w:t>sponsibility for the p</w:t>
      </w:r>
      <w:r>
        <w:rPr>
          <w:rFonts w:eastAsia="Calibri" w:cs="Times New Roman"/>
          <w:iCs/>
          <w:noProof/>
          <w:szCs w:val="24"/>
        </w:rPr>
        <w:t>revention of money laundering and terrorist financing</w:t>
      </w:r>
      <w:r>
        <w:rPr>
          <w:rFonts w:eastAsia="Calibri" w:cs="Times New Roman"/>
          <w:iCs/>
          <w:noProof/>
          <w:szCs w:val="24"/>
          <w:shd w:val="clear" w:color="auto" w:fill="FFFFFF"/>
        </w:rPr>
        <w:t xml:space="preserve"> to the police administration. In March 2020, the government adopted an amending decision concerning the sovereignty and independence of Ukraine (which contains a consolidated list of persons and entities against which restrictive measures have been impose</w:t>
      </w:r>
      <w:r>
        <w:rPr>
          <w:rFonts w:eastAsia="Calibri" w:cs="Times New Roman"/>
          <w:iCs/>
          <w:noProof/>
          <w:szCs w:val="24"/>
          <w:shd w:val="clear" w:color="auto" w:fill="FFFFFF"/>
        </w:rPr>
        <w:t>d).</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bCs/>
          <w:noProof/>
          <w:color w:val="000000"/>
          <w:szCs w:val="24"/>
          <w:shd w:val="clear" w:color="auto" w:fill="FFFFFF"/>
          <w:lang w:bidi="en-US"/>
        </w:rPr>
        <w:t xml:space="preserve">Montenegro maintains a bilateral immunity agreement with the United States, granting U.S. citizens exemptions from the jurisdiction of the </w:t>
      </w:r>
      <w:r>
        <w:rPr>
          <w:rFonts w:eastAsia="Calibri" w:cs="Times New Roman"/>
          <w:b/>
          <w:bCs/>
          <w:noProof/>
          <w:color w:val="000000"/>
          <w:szCs w:val="24"/>
          <w:shd w:val="clear" w:color="auto" w:fill="FFFFFF"/>
          <w:lang w:bidi="en-US"/>
        </w:rPr>
        <w:t>International Criminal Court</w:t>
      </w:r>
      <w:r>
        <w:rPr>
          <w:rFonts w:eastAsia="Calibri" w:cs="Times New Roman"/>
          <w:bCs/>
          <w:noProof/>
          <w:color w:val="000000"/>
          <w:szCs w:val="24"/>
          <w:shd w:val="clear" w:color="auto" w:fill="FFFFFF"/>
          <w:lang w:bidi="en-US"/>
        </w:rPr>
        <w:t>. In doing so, the country does not comply with the EU common positions on the integr</w:t>
      </w:r>
      <w:r>
        <w:rPr>
          <w:rFonts w:eastAsia="Calibri" w:cs="Times New Roman"/>
          <w:bCs/>
          <w:noProof/>
          <w:color w:val="000000"/>
          <w:szCs w:val="24"/>
          <w:shd w:val="clear" w:color="auto" w:fill="FFFFFF"/>
          <w:lang w:bidi="en-US"/>
        </w:rPr>
        <w:t xml:space="preserve">ity of the Rome Statute or related EU guiding principles on bilateral immunity agreements. </w:t>
      </w:r>
      <w:r>
        <w:rPr>
          <w:rFonts w:cs="Times New Roman"/>
          <w:noProof/>
          <w:szCs w:val="24"/>
        </w:rPr>
        <w:t>Alignment with the EU position is therefore needed.</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bCs/>
          <w:noProof/>
          <w:color w:val="000000"/>
          <w:szCs w:val="24"/>
          <w:shd w:val="clear" w:color="auto" w:fill="FFFFFF"/>
          <w:lang w:bidi="en-US"/>
        </w:rPr>
        <w:t xml:space="preserve">Regarding </w:t>
      </w:r>
      <w:r>
        <w:rPr>
          <w:rFonts w:eastAsia="Calibri" w:cs="Times New Roman"/>
          <w:b/>
          <w:bCs/>
          <w:noProof/>
          <w:color w:val="000000"/>
          <w:szCs w:val="24"/>
          <w:shd w:val="clear" w:color="auto" w:fill="FFFFFF"/>
          <w:lang w:bidi="en-US"/>
        </w:rPr>
        <w:t>non-proliferation</w:t>
      </w:r>
      <w:r>
        <w:rPr>
          <w:rFonts w:eastAsia="Calibri" w:cs="Times New Roman"/>
          <w:bCs/>
          <w:noProof/>
          <w:color w:val="000000"/>
          <w:szCs w:val="24"/>
          <w:shd w:val="clear" w:color="auto" w:fill="FFFFFF"/>
          <w:lang w:bidi="en-US"/>
        </w:rPr>
        <w:t>, the government adopted the 2018 annual report on the implementation of the 2016-2020</w:t>
      </w:r>
      <w:r>
        <w:rPr>
          <w:rFonts w:eastAsia="Calibri" w:cs="Times New Roman"/>
          <w:bCs/>
          <w:noProof/>
          <w:color w:val="000000"/>
          <w:szCs w:val="24"/>
          <w:shd w:val="clear" w:color="auto" w:fill="FFFFFF"/>
          <w:lang w:bidi="en-US"/>
        </w:rPr>
        <w:t xml:space="preserve"> weapons of mass destruction non-proliferation strategy. A new action plan (2020-2024) is being prepared aimed at implementing UN Security Council Resolution 1540 which obliges states to refrain from helping non-state actors to develop, procure, produce, p</w:t>
      </w:r>
      <w:r>
        <w:rPr>
          <w:rFonts w:eastAsia="Calibri" w:cs="Times New Roman"/>
          <w:bCs/>
          <w:noProof/>
          <w:color w:val="000000"/>
          <w:szCs w:val="24"/>
          <w:shd w:val="clear" w:color="auto" w:fill="FFFFFF"/>
          <w:lang w:bidi="en-US"/>
        </w:rPr>
        <w:t>ossess, transport or use nuclear, chemical or biological weapons, as well as their means of delivery. Montenegro continued to participate in the EU cooperation programme on arms export control. This includes support for drafting appropriate legislation and</w:t>
      </w:r>
      <w:r>
        <w:rPr>
          <w:rFonts w:eastAsia="Calibri" w:cs="Times New Roman"/>
          <w:bCs/>
          <w:noProof/>
          <w:color w:val="000000"/>
          <w:szCs w:val="24"/>
          <w:shd w:val="clear" w:color="auto" w:fill="FFFFFF"/>
          <w:lang w:bidi="en-US"/>
        </w:rPr>
        <w:t xml:space="preserve"> relevant training of licensing and law enforcement officials.</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cs="Times New Roman"/>
          <w:noProof/>
          <w:szCs w:val="24"/>
        </w:rPr>
        <w:t>Montenegro remained actively engaged in the implementation of the 2018 Regional Roadmap for a sustainable solution to the illegal possession, misuse and trafficking of small arms and light weap</w:t>
      </w:r>
      <w:r>
        <w:rPr>
          <w:rFonts w:cs="Times New Roman"/>
          <w:noProof/>
          <w:szCs w:val="24"/>
        </w:rPr>
        <w:t>ons and their ammunition in the Western Balkans.</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bCs/>
          <w:noProof/>
          <w:color w:val="000000"/>
          <w:szCs w:val="24"/>
          <w:shd w:val="clear" w:color="auto" w:fill="FFFFFF"/>
          <w:lang w:bidi="en-US"/>
        </w:rPr>
        <w:t xml:space="preserve">On </w:t>
      </w:r>
      <w:r>
        <w:rPr>
          <w:rFonts w:eastAsia="Calibri" w:cs="Times New Roman"/>
          <w:b/>
          <w:bCs/>
          <w:noProof/>
          <w:color w:val="000000"/>
          <w:szCs w:val="24"/>
          <w:shd w:val="clear" w:color="auto" w:fill="FFFFFF"/>
          <w:lang w:bidi="en-US"/>
        </w:rPr>
        <w:t>security and defence</w:t>
      </w:r>
      <w:r>
        <w:rPr>
          <w:rFonts w:eastAsia="Calibri" w:cs="Times New Roman"/>
          <w:bCs/>
          <w:noProof/>
          <w:color w:val="000000"/>
          <w:szCs w:val="24"/>
          <w:shd w:val="clear" w:color="auto" w:fill="FFFFFF"/>
          <w:lang w:bidi="en-US"/>
        </w:rPr>
        <w:t>,</w:t>
      </w:r>
      <w:r>
        <w:rPr>
          <w:rFonts w:eastAsia="Calibri" w:cs="Times New Roman"/>
          <w:b/>
          <w:bCs/>
          <w:noProof/>
          <w:color w:val="000000"/>
          <w:szCs w:val="24"/>
          <w:shd w:val="clear" w:color="auto" w:fill="FFFFFF"/>
          <w:lang w:bidi="en-US"/>
        </w:rPr>
        <w:t xml:space="preserve"> </w:t>
      </w:r>
      <w:r>
        <w:rPr>
          <w:rFonts w:eastAsia="Calibri" w:cs="Times New Roman"/>
          <w:bCs/>
          <w:noProof/>
          <w:color w:val="000000"/>
          <w:szCs w:val="24"/>
          <w:shd w:val="clear" w:color="auto" w:fill="FFFFFF"/>
          <w:lang w:bidi="en-US"/>
        </w:rPr>
        <w:t>implementation continued of</w:t>
      </w:r>
      <w:r>
        <w:rPr>
          <w:rFonts w:eastAsia="Calibri" w:cs="Times New Roman"/>
          <w:b/>
          <w:bCs/>
          <w:noProof/>
          <w:color w:val="000000"/>
          <w:szCs w:val="24"/>
          <w:shd w:val="clear" w:color="auto" w:fill="FFFFFF"/>
          <w:lang w:bidi="en-US"/>
        </w:rPr>
        <w:t xml:space="preserve"> </w:t>
      </w:r>
      <w:r>
        <w:rPr>
          <w:rFonts w:eastAsia="Calibri" w:cs="Times New Roman"/>
          <w:noProof/>
          <w:szCs w:val="24"/>
        </w:rPr>
        <w:t>the EU-Montenegro agreement on security procedures for exchanging and protecting classified information</w:t>
      </w:r>
      <w:r>
        <w:rPr>
          <w:rFonts w:eastAsia="Calibri" w:cs="Times New Roman"/>
          <w:bCs/>
          <w:noProof/>
          <w:color w:val="000000"/>
          <w:szCs w:val="24"/>
          <w:shd w:val="clear" w:color="auto" w:fill="FFFFFF"/>
          <w:lang w:bidi="en-US"/>
        </w:rPr>
        <w:t>. Parliament adopted the defence strategy in June 2</w:t>
      </w:r>
      <w:r>
        <w:rPr>
          <w:rFonts w:eastAsia="Calibri" w:cs="Times New Roman"/>
          <w:bCs/>
          <w:noProof/>
          <w:color w:val="000000"/>
          <w:szCs w:val="24"/>
          <w:shd w:val="clear" w:color="auto" w:fill="FFFFFF"/>
          <w:lang w:bidi="en-US"/>
        </w:rPr>
        <w:t xml:space="preserve">019, which provides a framework for the developing the defence sector. </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bCs/>
          <w:noProof/>
          <w:color w:val="000000"/>
          <w:szCs w:val="24"/>
          <w:shd w:val="clear" w:color="auto" w:fill="FFFFFF"/>
          <w:lang w:bidi="en-US"/>
        </w:rPr>
        <w:t xml:space="preserve">Montenegro continued good </w:t>
      </w:r>
      <w:r>
        <w:rPr>
          <w:rFonts w:eastAsia="Calibri" w:cs="Times New Roman"/>
          <w:b/>
          <w:bCs/>
          <w:noProof/>
          <w:color w:val="000000"/>
          <w:szCs w:val="24"/>
          <w:shd w:val="clear" w:color="auto" w:fill="FFFFFF"/>
          <w:lang w:bidi="en-US"/>
        </w:rPr>
        <w:t>cooperation with international organisations</w:t>
      </w:r>
      <w:r>
        <w:rPr>
          <w:rFonts w:eastAsia="Calibri" w:cs="Times New Roman"/>
          <w:bCs/>
          <w:noProof/>
          <w:color w:val="000000"/>
          <w:szCs w:val="24"/>
          <w:shd w:val="clear" w:color="auto" w:fill="FFFFFF"/>
          <w:lang w:bidi="en-US"/>
        </w:rPr>
        <w:t xml:space="preserve"> and remains an active member in NATO exercises and missions. </w:t>
      </w:r>
    </w:p>
    <w:p w:rsidR="003C2144" w:rsidRDefault="00FB7959">
      <w:pPr>
        <w:widowControl w:val="0"/>
        <w:spacing w:after="120" w:line="240" w:lineRule="auto"/>
        <w:jc w:val="both"/>
        <w:rPr>
          <w:rFonts w:eastAsia="Calibri" w:cs="Times New Roman"/>
          <w:bCs/>
          <w:noProof/>
          <w:color w:val="000000"/>
          <w:szCs w:val="24"/>
          <w:shd w:val="clear" w:color="auto" w:fill="FFFFFF"/>
          <w:lang w:bidi="en-US"/>
        </w:rPr>
      </w:pPr>
      <w:r>
        <w:rPr>
          <w:rFonts w:eastAsia="Calibri" w:cs="Times New Roman"/>
          <w:bCs/>
          <w:noProof/>
          <w:color w:val="000000"/>
          <w:szCs w:val="24"/>
          <w:shd w:val="clear" w:color="auto" w:fill="FFFFFF"/>
          <w:lang w:bidi="en-US"/>
        </w:rPr>
        <w:t>Montenegro actively participated in EU crisis manag</w:t>
      </w:r>
      <w:r>
        <w:rPr>
          <w:rFonts w:eastAsia="Calibri" w:cs="Times New Roman"/>
          <w:bCs/>
          <w:noProof/>
          <w:color w:val="000000"/>
          <w:szCs w:val="24"/>
          <w:shd w:val="clear" w:color="auto" w:fill="FFFFFF"/>
          <w:lang w:bidi="en-US"/>
        </w:rPr>
        <w:t xml:space="preserve">ement missions and operations under the </w:t>
      </w:r>
      <w:r>
        <w:rPr>
          <w:rFonts w:eastAsia="Calibri" w:cs="Times New Roman"/>
          <w:b/>
          <w:bCs/>
          <w:noProof/>
          <w:color w:val="000000"/>
          <w:szCs w:val="24"/>
          <w:shd w:val="clear" w:color="auto" w:fill="FFFFFF"/>
          <w:lang w:bidi="en-US"/>
        </w:rPr>
        <w:t>common security and defence policy</w:t>
      </w:r>
      <w:r>
        <w:rPr>
          <w:rFonts w:eastAsia="Calibri" w:cs="Times New Roman"/>
          <w:bCs/>
          <w:noProof/>
          <w:color w:val="000000"/>
          <w:szCs w:val="24"/>
          <w:shd w:val="clear" w:color="auto" w:fill="FFFFFF"/>
          <w:lang w:bidi="en-US"/>
        </w:rPr>
        <w:t>, namely EU NAVFOR ATALANTA and EUTM Mali. Montenegro continued to take part in the UN operation MINURSO and in the UN Peacekeeping Force in Cyprus.  Members of the Montenegrin armed</w:t>
      </w:r>
      <w:r>
        <w:rPr>
          <w:rFonts w:eastAsia="Calibri" w:cs="Times New Roman"/>
          <w:bCs/>
          <w:noProof/>
          <w:color w:val="000000"/>
          <w:szCs w:val="24"/>
          <w:shd w:val="clear" w:color="auto" w:fill="FFFFFF"/>
          <w:lang w:bidi="en-US"/>
        </w:rPr>
        <w:t xml:space="preserve"> forces continued to serve in the NATO-led Resolute Support mission in Afghanistan and the KFOR mission in Kosovo, while in </w:t>
      </w:r>
      <w:r>
        <w:rPr>
          <w:rFonts w:eastAsia="Times New Roman" w:cs="Times New Roman"/>
          <w:iCs/>
          <w:noProof/>
          <w:szCs w:val="24"/>
        </w:rPr>
        <w:t>December two members of the armed forces members were deployed to the NATO mission in Iraq.</w:t>
      </w:r>
    </w:p>
    <w:p w:rsidR="003C2144" w:rsidRDefault="00FB7959">
      <w:pPr>
        <w:spacing w:after="120" w:line="240" w:lineRule="auto"/>
        <w:jc w:val="both"/>
        <w:rPr>
          <w:rFonts w:eastAsia="Calibri" w:cs="Times New Roman"/>
          <w:bCs/>
          <w:noProof/>
          <w:color w:val="000000"/>
          <w:szCs w:val="24"/>
          <w:shd w:val="clear" w:color="auto" w:fill="FFFFFF"/>
          <w:lang w:bidi="en-US"/>
        </w:rPr>
      </w:pPr>
      <w:bookmarkStart w:id="264" w:name="_Toc30080594"/>
      <w:bookmarkStart w:id="265" w:name="_Toc30074172"/>
      <w:bookmarkStart w:id="266" w:name="_Toc30073859"/>
      <w:bookmarkStart w:id="267" w:name="_Toc9585327"/>
      <w:r>
        <w:rPr>
          <w:rFonts w:eastAsia="Calibri" w:cs="Times New Roman"/>
          <w:bCs/>
          <w:noProof/>
          <w:color w:val="000000"/>
          <w:szCs w:val="24"/>
          <w:shd w:val="clear" w:color="auto" w:fill="FFFFFF"/>
          <w:lang w:bidi="en-US"/>
        </w:rPr>
        <w:t>Montenegro intensified its efforts to co</w:t>
      </w:r>
      <w:r>
        <w:rPr>
          <w:rFonts w:eastAsia="Calibri" w:cs="Times New Roman"/>
          <w:bCs/>
          <w:noProof/>
          <w:color w:val="000000"/>
          <w:szCs w:val="24"/>
          <w:shd w:val="clear" w:color="auto" w:fill="FFFFFF"/>
          <w:lang w:bidi="en-US"/>
        </w:rPr>
        <w:t xml:space="preserve">mbat </w:t>
      </w:r>
      <w:r>
        <w:rPr>
          <w:rFonts w:eastAsia="Calibri" w:cs="Times New Roman"/>
          <w:b/>
          <w:bCs/>
          <w:noProof/>
          <w:color w:val="000000"/>
          <w:szCs w:val="24"/>
          <w:shd w:val="clear" w:color="auto" w:fill="FFFFFF"/>
          <w:lang w:bidi="en-US"/>
        </w:rPr>
        <w:t>hybrid threats</w:t>
      </w:r>
      <w:r>
        <w:rPr>
          <w:rFonts w:eastAsia="Calibri" w:cs="Times New Roman"/>
          <w:bCs/>
          <w:noProof/>
          <w:color w:val="000000"/>
          <w:szCs w:val="24"/>
          <w:shd w:val="clear" w:color="auto" w:fill="FFFFFF"/>
          <w:lang w:bidi="en-US"/>
        </w:rPr>
        <w:t>. Hybrid risk survey was launched with Montenegro and country submitted the input in June 2019 as part of a process aimed at identifying vulnerabilities to hybrid threats. In May 2019, it became a member of the European Centre of Excelle</w:t>
      </w:r>
      <w:r>
        <w:rPr>
          <w:rFonts w:eastAsia="Calibri" w:cs="Times New Roman"/>
          <w:bCs/>
          <w:noProof/>
          <w:color w:val="000000"/>
          <w:szCs w:val="24"/>
          <w:shd w:val="clear" w:color="auto" w:fill="FFFFFF"/>
          <w:lang w:bidi="en-US"/>
        </w:rPr>
        <w:t>nce for Countering Hybrid Threats (Hybrid CoE). In August 2019, it applied to join the NATO Cooperative Cyber Defence Centre of Excellence in Tallinn.</w:t>
      </w:r>
    </w:p>
    <w:p w:rsidR="003C2144" w:rsidRDefault="00FB7959">
      <w:pPr>
        <w:pStyle w:val="Heading2"/>
        <w:rPr>
          <w:rFonts w:eastAsia="Times New Roman"/>
          <w:noProof/>
        </w:rPr>
      </w:pPr>
      <w:bookmarkStart w:id="268" w:name="_Toc52744963"/>
      <w:r>
        <w:rPr>
          <w:rFonts w:eastAsia="Times New Roman"/>
          <w:noProof/>
        </w:rPr>
        <w:t>5.32</w:t>
      </w:r>
      <w:r>
        <w:rPr>
          <w:rFonts w:eastAsia="Times New Roman"/>
          <w:noProof/>
        </w:rPr>
        <w:tab/>
        <w:t>Chapter 32: Financial control</w:t>
      </w:r>
      <w:bookmarkEnd w:id="264"/>
      <w:bookmarkEnd w:id="265"/>
      <w:bookmarkEnd w:id="266"/>
      <w:bookmarkEnd w:id="267"/>
      <w:bookmarkEnd w:id="268"/>
    </w:p>
    <w:p w:rsidR="003C2144" w:rsidRDefault="00FB7959">
      <w:pPr>
        <w:spacing w:after="120" w:line="240" w:lineRule="auto"/>
        <w:jc w:val="both"/>
        <w:rPr>
          <w:rFonts w:eastAsia="Calibri" w:cs="Times New Roman"/>
          <w:noProof/>
          <w:color w:val="000000"/>
          <w:szCs w:val="24"/>
        </w:rPr>
      </w:pPr>
      <w:r>
        <w:rPr>
          <w:rFonts w:eastAsia="Calibri" w:cs="Times New Roman"/>
          <w:i/>
          <w:noProof/>
          <w:color w:val="000000"/>
          <w:szCs w:val="24"/>
        </w:rPr>
        <w:t xml:space="preserve">The EU promotes the reform of national governance systems to improve </w:t>
      </w:r>
      <w:r>
        <w:rPr>
          <w:rFonts w:eastAsia="Calibri" w:cs="Times New Roman"/>
          <w:i/>
          <w:noProof/>
          <w:color w:val="000000"/>
          <w:szCs w:val="24"/>
        </w:rPr>
        <w:t>managerial accountability, sound financial management of income and expenditure and external audit of public funds. The financial control rules further protect the EU’s financial interests against fraud in the management of EU funds and the euro against co</w:t>
      </w:r>
      <w:r>
        <w:rPr>
          <w:rFonts w:eastAsia="Calibri" w:cs="Times New Roman"/>
          <w:i/>
          <w:noProof/>
          <w:color w:val="000000"/>
          <w:szCs w:val="24"/>
        </w:rPr>
        <w:t>unterfeiting.</w:t>
      </w:r>
      <w:r>
        <w:rPr>
          <w:rFonts w:eastAsia="Calibri" w:cs="Times New Roman"/>
          <w:noProof/>
          <w:color w:val="000000"/>
          <w:szCs w:val="24"/>
        </w:rPr>
        <w:t xml:space="preserve"> </w:t>
      </w:r>
    </w:p>
    <w:p w:rsidR="003C2144" w:rsidRDefault="00FB795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Pr>
          <w:rFonts w:eastAsia="Calibri" w:cs="Times New Roman"/>
          <w:noProof/>
          <w:color w:val="000000"/>
          <w:szCs w:val="24"/>
        </w:rPr>
        <w:t xml:space="preserve">Montenegro is </w:t>
      </w:r>
      <w:r>
        <w:rPr>
          <w:rFonts w:eastAsia="Calibri" w:cs="Times New Roman"/>
          <w:b/>
          <w:noProof/>
          <w:color w:val="000000"/>
          <w:szCs w:val="24"/>
        </w:rPr>
        <w:t>moderately prepared</w:t>
      </w:r>
      <w:r>
        <w:rPr>
          <w:rFonts w:eastAsia="Calibri" w:cs="Times New Roman"/>
          <w:noProof/>
          <w:color w:val="000000"/>
          <w:szCs w:val="24"/>
        </w:rPr>
        <w:t xml:space="preserve"> on financial control. </w:t>
      </w:r>
      <w:r>
        <w:rPr>
          <w:rFonts w:eastAsia="Calibri" w:cs="Times New Roman"/>
          <w:b/>
          <w:noProof/>
          <w:color w:val="000000"/>
          <w:szCs w:val="24"/>
        </w:rPr>
        <w:t>Limited progress</w:t>
      </w:r>
      <w:r>
        <w:rPr>
          <w:rFonts w:eastAsia="Calibri" w:cs="Times New Roman"/>
          <w:noProof/>
          <w:color w:val="000000"/>
          <w:szCs w:val="24"/>
        </w:rPr>
        <w:t xml:space="preserve"> was made in the reporting period on last year’s recommendations. There were useful developments regarding internal control, via the adoption of ten pieces of secondary legislation related to the Law on governance and internal control and the adoption of a</w:t>
      </w:r>
      <w:r>
        <w:rPr>
          <w:rFonts w:eastAsia="Calibri" w:cs="Times New Roman"/>
          <w:noProof/>
          <w:color w:val="000000"/>
          <w:szCs w:val="24"/>
        </w:rPr>
        <w:t xml:space="preserve"> financial management and internal control manual. The SAI also continued work on its internal guidelines. However, further efforts are needed to address managerial accountability and to strengthen the functioning of internal control and internal audit at </w:t>
      </w:r>
      <w:r>
        <w:rPr>
          <w:rFonts w:eastAsia="Calibri" w:cs="Times New Roman"/>
          <w:noProof/>
          <w:color w:val="000000"/>
          <w:szCs w:val="24"/>
        </w:rPr>
        <w:t xml:space="preserve">all levels of the administration and in state-owned companies. Therefore, the Commission’s 2019 recommendations remain largely valid. In the coming year, Montenegro should in particular: </w:t>
      </w:r>
    </w:p>
    <w:p w:rsidR="003C2144" w:rsidRDefault="00FB795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adopt, and start implementing a strategy on improving governance and</w:t>
      </w:r>
      <w:r>
        <w:rPr>
          <w:rFonts w:ascii="Times New Roman" w:eastAsia="Calibri" w:hAnsi="Times New Roman" w:cs="Times New Roman"/>
          <w:noProof/>
          <w:color w:val="000000"/>
          <w:sz w:val="24"/>
          <w:szCs w:val="24"/>
        </w:rPr>
        <w:t xml:space="preserve"> public internal financial control;</w:t>
      </w:r>
    </w:p>
    <w:p w:rsidR="003C2144" w:rsidRDefault="00FB795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abs>
          <w:tab w:val="left" w:pos="7655"/>
        </w:tabs>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ensure that the external audit methodology is completely aligned to the latest International Standards of Supreme Audit Institutions (ISSAIs);</w:t>
      </w:r>
    </w:p>
    <w:p w:rsidR="003C2144" w:rsidRDefault="00FB7959">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strengthen the coordination capacity of the National Anti-fraud Coordination </w:t>
      </w:r>
      <w:r>
        <w:rPr>
          <w:rFonts w:ascii="Times New Roman" w:eastAsia="Calibri" w:hAnsi="Times New Roman" w:cs="Times New Roman"/>
          <w:noProof/>
          <w:color w:val="000000"/>
          <w:sz w:val="24"/>
          <w:szCs w:val="24"/>
        </w:rPr>
        <w:t>Service.</w:t>
      </w:r>
    </w:p>
    <w:p w:rsidR="003C2144" w:rsidRDefault="00FB7959">
      <w:pPr>
        <w:spacing w:after="120" w:line="240" w:lineRule="auto"/>
        <w:jc w:val="both"/>
        <w:rPr>
          <w:rFonts w:eastAsia="Calibri" w:cs="Times New Roman"/>
          <w:b/>
          <w:noProof/>
          <w:szCs w:val="24"/>
        </w:rPr>
      </w:pPr>
      <w:r>
        <w:rPr>
          <w:rFonts w:eastAsia="Calibri" w:cs="Times New Roman"/>
          <w:noProof/>
          <w:szCs w:val="24"/>
          <w:u w:val="single"/>
        </w:rPr>
        <w:t>Public internal financial control</w:t>
      </w:r>
      <w:r>
        <w:rPr>
          <w:rFonts w:eastAsia="Calibri" w:cs="Times New Roman"/>
          <w:b/>
          <w:noProof/>
          <w:szCs w:val="24"/>
        </w:rPr>
        <w:t xml:space="preserve"> </w:t>
      </w:r>
      <w:r>
        <w:rPr>
          <w:rFonts w:eastAsia="Calibri" w:cs="Times New Roman"/>
          <w:noProof/>
          <w:szCs w:val="24"/>
        </w:rPr>
        <w:t>(PIFC)</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Montenegro’s </w:t>
      </w:r>
      <w:r>
        <w:rPr>
          <w:rFonts w:eastAsia="Calibri" w:cs="Times New Roman"/>
          <w:b/>
          <w:noProof/>
          <w:szCs w:val="24"/>
        </w:rPr>
        <w:t>strategic framework</w:t>
      </w:r>
      <w:r>
        <w:rPr>
          <w:rFonts w:eastAsia="Calibri" w:cs="Times New Roman"/>
          <w:noProof/>
          <w:szCs w:val="24"/>
        </w:rPr>
        <w:t xml:space="preserve"> for PIFC is partially in place. After the execution of most activities planned under the 2013-2017 PIFC strategy, the finalisation of a new strategic document should be ensu</w:t>
      </w:r>
      <w:r>
        <w:rPr>
          <w:rFonts w:eastAsia="Calibri" w:cs="Times New Roman"/>
          <w:noProof/>
          <w:szCs w:val="24"/>
        </w:rPr>
        <w:t xml:space="preserve">red as soon as possible. Secondary legislation for the Law on governance and internal control was adopted in December 2019, thus enabling the application of the legal provisions adopted back in November 2018. In addition, secondary legislation was adopted </w:t>
      </w:r>
      <w:r>
        <w:rPr>
          <w:rFonts w:eastAsia="Calibri" w:cs="Times New Roman"/>
          <w:noProof/>
          <w:szCs w:val="24"/>
        </w:rPr>
        <w:t>in November 2019 that ensures full budget coverage by internal audit at both central and local level.</w:t>
      </w:r>
    </w:p>
    <w:p w:rsidR="003C2144" w:rsidRDefault="00FB7959">
      <w:pPr>
        <w:spacing w:after="120" w:line="240" w:lineRule="auto"/>
        <w:jc w:val="both"/>
        <w:rPr>
          <w:rFonts w:eastAsia="Calibri" w:cs="Times New Roman"/>
          <w:i/>
          <w:noProof/>
          <w:szCs w:val="24"/>
        </w:rPr>
      </w:pPr>
      <w:r>
        <w:rPr>
          <w:rFonts w:eastAsia="Calibri" w:cs="Times New Roman"/>
          <w:noProof/>
          <w:szCs w:val="24"/>
        </w:rPr>
        <w:t>Montenegro has not yet adopted a comprehensive policy paper focusing on</w:t>
      </w:r>
      <w:r>
        <w:rPr>
          <w:rFonts w:eastAsia="Calibri" w:cs="Times New Roman"/>
          <w:b/>
          <w:noProof/>
          <w:szCs w:val="24"/>
        </w:rPr>
        <w:t xml:space="preserve"> Managerial accountability </w:t>
      </w:r>
      <w:r>
        <w:rPr>
          <w:rFonts w:eastAsia="Calibri" w:cs="Times New Roman"/>
          <w:noProof/>
          <w:szCs w:val="24"/>
        </w:rPr>
        <w:t>and delegation of authority.  n. Accountability mechanis</w:t>
      </w:r>
      <w:r>
        <w:rPr>
          <w:rFonts w:eastAsia="Calibri" w:cs="Times New Roman"/>
          <w:noProof/>
          <w:szCs w:val="24"/>
        </w:rPr>
        <w:t xml:space="preserve">ms between ministries and subordinated bodies were improved by the Law on the state administration, and by the decree and methodology on strategic planning, which started being phased in during 2019. In line with the first government work plan (2018-2020) </w:t>
      </w:r>
      <w:r>
        <w:rPr>
          <w:rFonts w:eastAsia="Calibri" w:cs="Times New Roman"/>
          <w:noProof/>
          <w:szCs w:val="24"/>
        </w:rPr>
        <w:t>each public entity is expected to develop organisational objectives in line with the overall government vision. The state budget was not yet prepared according to programme budgeting and a mid-term budgetary framework. This delays the transition towards re</w:t>
      </w:r>
      <w:r>
        <w:rPr>
          <w:rFonts w:eastAsia="Calibri" w:cs="Times New Roman"/>
          <w:noProof/>
          <w:szCs w:val="24"/>
        </w:rPr>
        <w:t>sult-based management. The managerial culture within public institutions continues to be highly centralised, and there is resistance to delegating budget responsibilities or decision-making powers to middle management. Primary focus continues to be on comp</w:t>
      </w:r>
      <w:r>
        <w:rPr>
          <w:rFonts w:eastAsia="Calibri" w:cs="Times New Roman"/>
          <w:noProof/>
          <w:szCs w:val="24"/>
        </w:rPr>
        <w:t xml:space="preserve">liance, rather than on performance. </w:t>
      </w:r>
    </w:p>
    <w:p w:rsidR="003C2144" w:rsidRDefault="00FB7959">
      <w:pPr>
        <w:spacing w:after="120" w:line="240" w:lineRule="auto"/>
        <w:jc w:val="both"/>
        <w:rPr>
          <w:rFonts w:eastAsia="Calibri" w:cs="Times New Roman"/>
          <w:noProof/>
          <w:szCs w:val="24"/>
        </w:rPr>
      </w:pPr>
      <w:r>
        <w:rPr>
          <w:rFonts w:eastAsia="Calibri" w:cs="Times New Roman"/>
          <w:b/>
          <w:noProof/>
          <w:szCs w:val="24"/>
        </w:rPr>
        <w:t>Internal control</w:t>
      </w:r>
      <w:r>
        <w:rPr>
          <w:rFonts w:eastAsia="Calibri" w:cs="Times New Roman"/>
          <w:noProof/>
          <w:szCs w:val="24"/>
        </w:rPr>
        <w:t xml:space="preserve"> legislation is in line with international standards. A financial management and control manual is in place and was updated. A system for detecting and acting on information about financial irregularities was developed and budget users are increasingly ado</w:t>
      </w:r>
      <w:r>
        <w:rPr>
          <w:rFonts w:eastAsia="Calibri" w:cs="Times New Roman"/>
          <w:noProof/>
          <w:szCs w:val="24"/>
        </w:rPr>
        <w:t>pting risk registers, but risk management is not consistently applied by all budget entities. Only half of the budget entities have adopted action plans to improve the financial control systems. The centralised budget inspection function in the Ministry of</w:t>
      </w:r>
      <w:r>
        <w:rPr>
          <w:rFonts w:eastAsia="Calibri" w:cs="Times New Roman"/>
          <w:noProof/>
          <w:szCs w:val="24"/>
        </w:rPr>
        <w:t xml:space="preserve"> Finance is not yet operational. </w:t>
      </w:r>
      <w:r>
        <w:rPr>
          <w:rFonts w:cs="Times New Roman"/>
          <w:noProof/>
          <w:szCs w:val="24"/>
        </w:rPr>
        <w:t>Exceptional management and control procedures or derogations applied by the authorities during the COVID-19 crisis need to be well documented, accompanied by adequate safeguards and considered for special audits.</w:t>
      </w:r>
    </w:p>
    <w:p w:rsidR="003C2144" w:rsidRDefault="00FB7959">
      <w:pPr>
        <w:spacing w:after="120" w:line="240" w:lineRule="auto"/>
        <w:jc w:val="both"/>
        <w:rPr>
          <w:rFonts w:eastAsia="Calibri" w:cs="Times New Roman"/>
          <w:noProof/>
          <w:szCs w:val="24"/>
        </w:rPr>
      </w:pPr>
      <w:r>
        <w:rPr>
          <w:rFonts w:eastAsia="Calibri" w:cs="Times New Roman"/>
          <w:b/>
          <w:noProof/>
          <w:szCs w:val="24"/>
        </w:rPr>
        <w:t xml:space="preserve">Internal </w:t>
      </w:r>
      <w:r>
        <w:rPr>
          <w:rFonts w:eastAsia="Calibri" w:cs="Times New Roman"/>
          <w:b/>
          <w:noProof/>
          <w:szCs w:val="24"/>
        </w:rPr>
        <w:t>audit practice</w:t>
      </w:r>
      <w:r>
        <w:rPr>
          <w:rFonts w:eastAsia="Calibri" w:cs="Times New Roman"/>
          <w:noProof/>
          <w:szCs w:val="24"/>
        </w:rPr>
        <w:t>, rules, and standards</w:t>
      </w:r>
      <w:r>
        <w:rPr>
          <w:rFonts w:eastAsia="Calibri" w:cs="Times New Roman"/>
          <w:b/>
          <w:noProof/>
          <w:szCs w:val="24"/>
        </w:rPr>
        <w:t xml:space="preserve"> </w:t>
      </w:r>
      <w:r>
        <w:rPr>
          <w:rFonts w:eastAsia="Calibri" w:cs="Times New Roman"/>
          <w:noProof/>
          <w:szCs w:val="24"/>
        </w:rPr>
        <w:t>are regulated in line with international standards. All but one of the institutions required to establish an internal audit unit at central and local level have done so, and, except three out of 26, all of them have qua</w:t>
      </w:r>
      <w:r>
        <w:rPr>
          <w:rFonts w:eastAsia="Calibri" w:cs="Times New Roman"/>
          <w:noProof/>
          <w:szCs w:val="24"/>
        </w:rPr>
        <w:t>lity assurance programmes and improvement in place. The number of internal auditors continues to increase and most have a national and/or international certificate as internal auditors. There is a national internal audit training and certification system a</w:t>
      </w:r>
      <w:r>
        <w:rPr>
          <w:rFonts w:eastAsia="Calibri" w:cs="Times New Roman"/>
          <w:noProof/>
          <w:szCs w:val="24"/>
        </w:rPr>
        <w:t xml:space="preserve">nd a long-term professional development programme for certified internal auditors. The rate of implemented audit recommendations also continues to increase (to 97.5% in 2019 from </w:t>
      </w:r>
      <w:r>
        <w:rPr>
          <w:rFonts w:cs="Times New Roman"/>
          <w:noProof/>
          <w:color w:val="000000"/>
          <w:szCs w:val="24"/>
          <w:lang w:val="en-US"/>
        </w:rPr>
        <w:t>94.25% in 2018)</w:t>
      </w:r>
      <w:r>
        <w:rPr>
          <w:rFonts w:eastAsia="Calibri" w:cs="Times New Roman"/>
          <w:noProof/>
          <w:szCs w:val="24"/>
        </w:rPr>
        <w:t>, but recommendations still focus more on compliance than valu</w:t>
      </w:r>
      <w:r>
        <w:rPr>
          <w:rFonts w:eastAsia="Calibri" w:cs="Times New Roman"/>
          <w:noProof/>
          <w:szCs w:val="24"/>
        </w:rPr>
        <w:t>e for money.</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The </w:t>
      </w:r>
      <w:r>
        <w:rPr>
          <w:rFonts w:eastAsia="Calibri" w:cs="Times New Roman"/>
          <w:b/>
          <w:noProof/>
          <w:szCs w:val="24"/>
        </w:rPr>
        <w:t>Central Harmonisation Unit</w:t>
      </w:r>
      <w:r>
        <w:rPr>
          <w:rFonts w:eastAsia="Calibri" w:cs="Times New Roman"/>
          <w:noProof/>
          <w:szCs w:val="24"/>
        </w:rPr>
        <w:t xml:space="preserve"> is responsible for developing and disseminating methodological guidance on PIFC, and for monitoring and reporting on implementation. The CHU prepares an annual report to inform the government about the developmen</w:t>
      </w:r>
      <w:r>
        <w:rPr>
          <w:rFonts w:eastAsia="Calibri" w:cs="Times New Roman"/>
          <w:noProof/>
          <w:szCs w:val="24"/>
        </w:rPr>
        <w:t>t of the internal control systems in the public sector. It also contains the activities planned to improve the effectiveness of these systems.</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External audit</w:t>
      </w:r>
    </w:p>
    <w:p w:rsidR="003C2144" w:rsidRDefault="00FB7959">
      <w:pPr>
        <w:spacing w:after="120" w:line="240" w:lineRule="auto"/>
        <w:jc w:val="both"/>
        <w:rPr>
          <w:rFonts w:eastAsia="Calibri" w:cs="Times New Roman"/>
          <w:noProof/>
          <w:szCs w:val="24"/>
        </w:rPr>
      </w:pPr>
      <w:r>
        <w:rPr>
          <w:rFonts w:eastAsia="Calibri" w:cs="Times New Roman"/>
          <w:noProof/>
          <w:szCs w:val="24"/>
        </w:rPr>
        <w:t xml:space="preserve">Montenegro’s State Audit Institution (SAI) has been established in line with the standards of the </w:t>
      </w:r>
      <w:r>
        <w:rPr>
          <w:rFonts w:eastAsia="Calibri" w:cs="Times New Roman"/>
          <w:noProof/>
          <w:szCs w:val="24"/>
        </w:rPr>
        <w:t>International Organisation of Supreme Audit Institutions (INTOSAI). The SAI has a comprehensive mandate, covering all public financial operations, including municipalities, state-owned enterprises and international organisations. It has the authority to un</w:t>
      </w:r>
      <w:r>
        <w:rPr>
          <w:rFonts w:eastAsia="Calibri" w:cs="Times New Roman"/>
          <w:noProof/>
          <w:szCs w:val="24"/>
        </w:rPr>
        <w:t xml:space="preserve">dertake a full range of financial, regularity and performance audits, with unrestricted access to the premises, records and documents of the audited bodies. It has improved its </w:t>
      </w:r>
      <w:r>
        <w:rPr>
          <w:rFonts w:eastAsia="Calibri" w:cs="Times New Roman"/>
          <w:b/>
          <w:noProof/>
          <w:szCs w:val="24"/>
        </w:rPr>
        <w:t>institutional capacity</w:t>
      </w:r>
      <w:r>
        <w:rPr>
          <w:rFonts w:eastAsia="Calibri" w:cs="Times New Roman"/>
          <w:noProof/>
          <w:szCs w:val="24"/>
        </w:rPr>
        <w:t xml:space="preserve"> in terms of management and auditing staff, and is implem</w:t>
      </w:r>
      <w:r>
        <w:rPr>
          <w:rFonts w:eastAsia="Calibri" w:cs="Times New Roman"/>
          <w:noProof/>
          <w:szCs w:val="24"/>
        </w:rPr>
        <w:t>enting its 2018-2022 strategic development plan. The SAI’s continued obligation to audit political parties remains a significant burden on its resources and finances, which potentially underlines its independence to plan its activities. The SAI has standar</w:t>
      </w:r>
      <w:r>
        <w:rPr>
          <w:rFonts w:eastAsia="Calibri" w:cs="Times New Roman"/>
          <w:noProof/>
          <w:szCs w:val="24"/>
        </w:rPr>
        <w:t xml:space="preserve">dised audit processes for financial, regularity and performance audit, and most of its auditors are certified and have access to training on the basis of a needs assessment. SAI performed three performance audits in 2019, compared to four in 2018. </w:t>
      </w:r>
    </w:p>
    <w:p w:rsidR="003C2144" w:rsidRDefault="00FB7959">
      <w:pPr>
        <w:spacing w:after="120" w:line="240" w:lineRule="auto"/>
        <w:jc w:val="both"/>
        <w:rPr>
          <w:rFonts w:eastAsia="Calibri" w:cs="Times New Roman"/>
          <w:noProof/>
          <w:szCs w:val="24"/>
        </w:rPr>
      </w:pPr>
      <w:r>
        <w:rPr>
          <w:rFonts w:eastAsia="Calibri" w:cs="Times New Roman"/>
          <w:noProof/>
          <w:szCs w:val="24"/>
        </w:rPr>
        <w:t>With re</w:t>
      </w:r>
      <w:r>
        <w:rPr>
          <w:rFonts w:eastAsia="Calibri" w:cs="Times New Roman"/>
          <w:noProof/>
          <w:szCs w:val="24"/>
        </w:rPr>
        <w:t xml:space="preserve">gard to the </w:t>
      </w:r>
      <w:r>
        <w:rPr>
          <w:rFonts w:eastAsia="Calibri" w:cs="Times New Roman"/>
          <w:b/>
          <w:noProof/>
          <w:szCs w:val="24"/>
        </w:rPr>
        <w:t>quality of audit work</w:t>
      </w:r>
      <w:r>
        <w:rPr>
          <w:rFonts w:eastAsia="Calibri" w:cs="Times New Roman"/>
          <w:noProof/>
          <w:szCs w:val="24"/>
        </w:rPr>
        <w:t xml:space="preserve">, the SAI adopted guidelines on auditing the final statement of accounts and guidelines for auditing the annual financial statements of political parties. </w:t>
      </w:r>
      <w:r>
        <w:rPr>
          <w:rFonts w:eastAsia="Calibri" w:cs="Times New Roman"/>
          <w:noProof/>
          <w:szCs w:val="24"/>
          <w:lang w:val="en-US"/>
        </w:rPr>
        <w:t xml:space="preserve">A manual for financial and regularity audit in accordance with </w:t>
      </w:r>
      <w:r>
        <w:rPr>
          <w:rFonts w:eastAsia="Calibri" w:cs="Times New Roman"/>
          <w:noProof/>
          <w:szCs w:val="24"/>
        </w:rPr>
        <w:t>the I</w:t>
      </w:r>
      <w:r>
        <w:rPr>
          <w:rFonts w:eastAsia="Calibri" w:cs="Times New Roman"/>
          <w:noProof/>
          <w:szCs w:val="24"/>
        </w:rPr>
        <w:t xml:space="preserve">SSAI’s standards was finalised and its adoption should be ensured as soon as possible. In addition, the SAI also adopted an </w:t>
      </w:r>
      <w:r>
        <w:rPr>
          <w:rFonts w:eastAsia="Calibri" w:cs="Times New Roman"/>
          <w:noProof/>
          <w:szCs w:val="24"/>
          <w:lang w:val="en-US"/>
        </w:rPr>
        <w:t>updated instruction on methodology for performance auditing</w:t>
      </w:r>
      <w:r>
        <w:rPr>
          <w:rFonts w:eastAsia="Calibri" w:cs="Times New Roman"/>
          <w:noProof/>
          <w:szCs w:val="24"/>
        </w:rPr>
        <w:t>. The SAI submits an audit report to parliament on the government’s final</w:t>
      </w:r>
      <w:r>
        <w:rPr>
          <w:rFonts w:eastAsia="Calibri" w:cs="Times New Roman"/>
          <w:noProof/>
          <w:szCs w:val="24"/>
        </w:rPr>
        <w:t xml:space="preserve"> statement of accounts and its annual report on performed audits. All SAI reports are published but the submission of individual audit reports to parliament is an exception. Following the adoption of recommendations on the final statement of accounts by pa</w:t>
      </w:r>
      <w:r>
        <w:rPr>
          <w:rFonts w:eastAsia="Calibri" w:cs="Times New Roman"/>
          <w:noProof/>
          <w:szCs w:val="24"/>
        </w:rPr>
        <w:t>rliament, the government develops an action plan for their implementation and reports on it regularly. Individual audited entities have to submit a report to the SAI on the implementation of recommendations. However, parliament does not ensure structured f</w:t>
      </w:r>
      <w:r>
        <w:rPr>
          <w:rFonts w:eastAsia="Calibri" w:cs="Times New Roman"/>
          <w:noProof/>
          <w:szCs w:val="24"/>
        </w:rPr>
        <w:t xml:space="preserve">ollow-up on SAI recommendations, although the SAI may decide to perform follow-up audits. The overall implementation rate of SAI recommendations, however, needs to be further improved. </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Protection of the EU’s financial interests</w:t>
      </w:r>
    </w:p>
    <w:p w:rsidR="003C2144" w:rsidRDefault="00FB7959">
      <w:pPr>
        <w:spacing w:after="120" w:line="240" w:lineRule="auto"/>
        <w:jc w:val="both"/>
        <w:rPr>
          <w:rFonts w:eastAsia="Calibri" w:cs="Times New Roman"/>
          <w:noProof/>
          <w:szCs w:val="24"/>
        </w:rPr>
      </w:pPr>
      <w:r>
        <w:rPr>
          <w:rFonts w:eastAsia="Calibri" w:cs="Times New Roman"/>
          <w:noProof/>
          <w:szCs w:val="24"/>
        </w:rPr>
        <w:t>While Montenegro is largely</w:t>
      </w:r>
      <w:r>
        <w:rPr>
          <w:rFonts w:eastAsia="Calibri" w:cs="Times New Roman"/>
          <w:noProof/>
          <w:szCs w:val="24"/>
        </w:rPr>
        <w:t xml:space="preserve"> aligned with the EU </w:t>
      </w:r>
      <w:r>
        <w:rPr>
          <w:rFonts w:eastAsia="Calibri" w:cs="Times New Roman"/>
          <w:b/>
          <w:i/>
          <w:noProof/>
          <w:szCs w:val="24"/>
        </w:rPr>
        <w:t>acquis</w:t>
      </w:r>
      <w:r>
        <w:rPr>
          <w:rFonts w:eastAsia="Calibri" w:cs="Times New Roman"/>
          <w:b/>
          <w:noProof/>
          <w:szCs w:val="24"/>
        </w:rPr>
        <w:t xml:space="preserve"> </w:t>
      </w:r>
      <w:r>
        <w:rPr>
          <w:rFonts w:eastAsia="Calibri" w:cs="Times New Roman"/>
          <w:noProof/>
          <w:szCs w:val="24"/>
        </w:rPr>
        <w:t xml:space="preserve">in this area, it is not aligned with regard to its criminal law with the EU </w:t>
      </w:r>
      <w:r>
        <w:rPr>
          <w:rFonts w:eastAsia="Calibri" w:cs="Times New Roman"/>
          <w:i/>
          <w:noProof/>
          <w:szCs w:val="24"/>
        </w:rPr>
        <w:t>acquis</w:t>
      </w:r>
      <w:r>
        <w:rPr>
          <w:rFonts w:eastAsia="Calibri" w:cs="Times New Roman"/>
          <w:noProof/>
          <w:szCs w:val="24"/>
        </w:rPr>
        <w:t xml:space="preserve"> on the fight against fraud to the Union's financial interests. A 2019-2021 national anti-fraud strategy was adopted in May 2019. The strategy pro</w:t>
      </w:r>
      <w:r>
        <w:rPr>
          <w:rFonts w:eastAsia="Calibri" w:cs="Times New Roman"/>
          <w:noProof/>
          <w:szCs w:val="24"/>
        </w:rPr>
        <w:t xml:space="preserve">vides a basis to improve the capacity of the </w:t>
      </w:r>
      <w:r>
        <w:rPr>
          <w:rFonts w:eastAsia="Calibri" w:cs="Times New Roman"/>
          <w:b/>
          <w:noProof/>
          <w:szCs w:val="24"/>
        </w:rPr>
        <w:t>national anti-fraud coordination service</w:t>
      </w:r>
      <w:r>
        <w:rPr>
          <w:rFonts w:eastAsia="Calibri" w:cs="Times New Roman"/>
          <w:noProof/>
          <w:szCs w:val="24"/>
        </w:rPr>
        <w:t xml:space="preserve"> (AFCOS) and the functioning of the AFCOS network. Montenegro ensures </w:t>
      </w:r>
      <w:r>
        <w:rPr>
          <w:rFonts w:eastAsia="Calibri" w:cs="Times New Roman"/>
          <w:b/>
          <w:noProof/>
          <w:szCs w:val="24"/>
        </w:rPr>
        <w:t>cooperation with the European Commission</w:t>
      </w:r>
      <w:r>
        <w:rPr>
          <w:rFonts w:eastAsia="Calibri" w:cs="Times New Roman"/>
          <w:noProof/>
          <w:szCs w:val="24"/>
        </w:rPr>
        <w:t xml:space="preserve"> during investigations. It also made progress on developing a</w:t>
      </w:r>
      <w:r>
        <w:rPr>
          <w:rFonts w:eastAsia="Calibri" w:cs="Times New Roman"/>
          <w:noProof/>
          <w:szCs w:val="24"/>
        </w:rPr>
        <w:t xml:space="preserve"> solid track record on reporting of irregularities via the online irregularity management system, reporting 27 cases in 2019 (making a total of 42 by the end of 2019) via the online irregularity management system, but needs to ensure a solid track record o</w:t>
      </w:r>
      <w:r>
        <w:rPr>
          <w:rFonts w:eastAsia="Calibri" w:cs="Times New Roman"/>
          <w:noProof/>
          <w:szCs w:val="24"/>
        </w:rPr>
        <w:t xml:space="preserve">n investigations. </w:t>
      </w:r>
    </w:p>
    <w:p w:rsidR="003C2144" w:rsidRDefault="00FB7959">
      <w:pPr>
        <w:spacing w:after="120" w:line="240" w:lineRule="auto"/>
        <w:jc w:val="both"/>
        <w:rPr>
          <w:rFonts w:eastAsia="Calibri" w:cs="Times New Roman"/>
          <w:noProof/>
          <w:szCs w:val="24"/>
          <w:u w:val="single"/>
        </w:rPr>
      </w:pPr>
      <w:r>
        <w:rPr>
          <w:rFonts w:eastAsia="Calibri" w:cs="Times New Roman"/>
          <w:noProof/>
          <w:szCs w:val="24"/>
          <w:u w:val="single"/>
        </w:rPr>
        <w:t>Protection of the euro against counterfeiting</w:t>
      </w:r>
    </w:p>
    <w:p w:rsidR="003C2144" w:rsidRDefault="00FB7959">
      <w:pPr>
        <w:autoSpaceDE w:val="0"/>
        <w:autoSpaceDN w:val="0"/>
        <w:adjustRightInd w:val="0"/>
        <w:spacing w:after="120" w:line="240" w:lineRule="auto"/>
        <w:jc w:val="both"/>
        <w:rPr>
          <w:rFonts w:cs="Times New Roman"/>
          <w:noProof/>
          <w:szCs w:val="24"/>
        </w:rPr>
      </w:pPr>
      <w:bookmarkStart w:id="269" w:name="_Toc30074173"/>
      <w:bookmarkStart w:id="270" w:name="_Toc30073860"/>
      <w:r>
        <w:rPr>
          <w:rFonts w:eastAsia="Calibri" w:cs="Times New Roman"/>
          <w:noProof/>
          <w:szCs w:val="24"/>
        </w:rPr>
        <w:t xml:space="preserve">Montenegro adopted legislation designed to ensure further alignment with the </w:t>
      </w:r>
      <w:r>
        <w:rPr>
          <w:rFonts w:eastAsia="Calibri" w:cs="Times New Roman"/>
          <w:b/>
          <w:i/>
          <w:noProof/>
          <w:szCs w:val="24"/>
        </w:rPr>
        <w:t>acquis</w:t>
      </w:r>
      <w:r>
        <w:rPr>
          <w:rFonts w:eastAsia="Calibri" w:cs="Times New Roman"/>
          <w:b/>
          <w:noProof/>
          <w:szCs w:val="24"/>
        </w:rPr>
        <w:t xml:space="preserve"> </w:t>
      </w:r>
      <w:r>
        <w:rPr>
          <w:rFonts w:eastAsia="Calibri" w:cs="Times New Roman"/>
          <w:noProof/>
          <w:szCs w:val="24"/>
        </w:rPr>
        <w:t>regarding cash management standards, testing cash handling machines, and the training of cash handlers. The</w:t>
      </w:r>
      <w:r>
        <w:rPr>
          <w:rFonts w:eastAsia="Calibri" w:cs="Times New Roman"/>
          <w:noProof/>
          <w:szCs w:val="24"/>
        </w:rPr>
        <w:t xml:space="preserve"> central bank conducts </w:t>
      </w:r>
      <w:r>
        <w:rPr>
          <w:rFonts w:eastAsia="Calibri" w:cs="Times New Roman"/>
          <w:b/>
          <w:noProof/>
          <w:szCs w:val="24"/>
        </w:rPr>
        <w:t>technical analysis</w:t>
      </w:r>
      <w:r>
        <w:rPr>
          <w:rFonts w:eastAsia="Calibri" w:cs="Times New Roman"/>
          <w:noProof/>
          <w:szCs w:val="24"/>
        </w:rPr>
        <w:t xml:space="preserve"> and continues to cooperate</w:t>
      </w:r>
      <w:r>
        <w:rPr>
          <w:rFonts w:eastAsia="Calibri" w:cs="Times New Roman"/>
          <w:b/>
          <w:noProof/>
          <w:szCs w:val="24"/>
        </w:rPr>
        <w:t xml:space="preserve"> </w:t>
      </w:r>
      <w:r>
        <w:rPr>
          <w:rFonts w:eastAsia="Calibri" w:cs="Times New Roman"/>
          <w:noProof/>
          <w:szCs w:val="24"/>
        </w:rPr>
        <w:t>and exchange information on this with police administration and the High State Prosecutor's Office.</w:t>
      </w:r>
      <w:bookmarkEnd w:id="269"/>
      <w:bookmarkEnd w:id="270"/>
      <w:r>
        <w:rPr>
          <w:rFonts w:eastAsia="Calibri" w:cs="Times New Roman"/>
          <w:noProof/>
          <w:szCs w:val="24"/>
        </w:rPr>
        <w:t xml:space="preserve"> </w:t>
      </w:r>
      <w:bookmarkStart w:id="271" w:name="_Toc30074174"/>
      <w:bookmarkStart w:id="272" w:name="_Toc30073861"/>
      <w:r>
        <w:rPr>
          <w:rFonts w:eastAsia="Calibri" w:cs="Times New Roman"/>
          <w:noProof/>
          <w:szCs w:val="24"/>
        </w:rPr>
        <w:t xml:space="preserve">Montenegro ensures </w:t>
      </w:r>
      <w:r>
        <w:rPr>
          <w:rFonts w:eastAsia="Calibri" w:cs="Times New Roman"/>
          <w:noProof/>
          <w:color w:val="000000"/>
          <w:szCs w:val="24"/>
        </w:rPr>
        <w:t>cooperation with EU institutions on the protection of euro from coun</w:t>
      </w:r>
      <w:r>
        <w:rPr>
          <w:rFonts w:eastAsia="Calibri" w:cs="Times New Roman"/>
          <w:noProof/>
          <w:color w:val="000000"/>
          <w:szCs w:val="24"/>
        </w:rPr>
        <w:t>terfeiting, and it participates actively in the EU Pericles Programme.</w:t>
      </w:r>
      <w:bookmarkEnd w:id="271"/>
      <w:bookmarkEnd w:id="272"/>
      <w:r>
        <w:rPr>
          <w:rFonts w:eastAsia="Calibri" w:cs="Times New Roman"/>
          <w:noProof/>
          <w:color w:val="000000"/>
          <w:szCs w:val="24"/>
        </w:rPr>
        <w:t xml:space="preserve"> </w:t>
      </w:r>
      <w:r>
        <w:rPr>
          <w:rFonts w:eastAsia="Times New Roman" w:cs="Times New Roman"/>
          <w:noProof/>
          <w:color w:val="000000"/>
          <w:szCs w:val="24"/>
          <w:lang w:eastAsia="en-GB"/>
        </w:rPr>
        <w:t xml:space="preserve">A </w:t>
      </w:r>
      <w:r>
        <w:rPr>
          <w:rFonts w:eastAsia="Times New Roman" w:cs="Times New Roman"/>
          <w:b/>
          <w:bCs/>
          <w:noProof/>
          <w:color w:val="000000"/>
          <w:szCs w:val="24"/>
          <w:lang w:eastAsia="en-GB"/>
        </w:rPr>
        <w:t xml:space="preserve">cooperation agreement </w:t>
      </w:r>
      <w:r>
        <w:rPr>
          <w:rFonts w:eastAsia="Times New Roman" w:cs="Times New Roman"/>
          <w:noProof/>
          <w:color w:val="000000"/>
          <w:szCs w:val="24"/>
          <w:lang w:eastAsia="en-GB"/>
        </w:rPr>
        <w:t xml:space="preserve">with </w:t>
      </w:r>
      <w:r>
        <w:rPr>
          <w:rFonts w:eastAsia="Calibri" w:cs="Times New Roman"/>
          <w:noProof/>
          <w:color w:val="000000"/>
          <w:szCs w:val="24"/>
        </w:rPr>
        <w:t xml:space="preserve">the European Commission on </w:t>
      </w:r>
      <w:r>
        <w:rPr>
          <w:rFonts w:eastAsia="Times New Roman" w:cs="Times New Roman"/>
          <w:noProof/>
          <w:color w:val="000000"/>
          <w:szCs w:val="24"/>
          <w:lang w:eastAsia="en-GB"/>
        </w:rPr>
        <w:t>coins</w:t>
      </w:r>
      <w:r>
        <w:rPr>
          <w:rFonts w:eastAsia="Calibri" w:cs="Times New Roman"/>
          <w:noProof/>
          <w:color w:val="000000"/>
          <w:szCs w:val="24"/>
        </w:rPr>
        <w:t xml:space="preserve"> and with the European Central Bank </w:t>
      </w:r>
      <w:r>
        <w:rPr>
          <w:rFonts w:eastAsia="Times New Roman" w:cs="Times New Roman"/>
          <w:noProof/>
          <w:color w:val="000000"/>
          <w:szCs w:val="24"/>
          <w:lang w:eastAsia="en-GB"/>
        </w:rPr>
        <w:t xml:space="preserve">on </w:t>
      </w:r>
      <w:r>
        <w:rPr>
          <w:rFonts w:eastAsia="Calibri" w:cs="Times New Roman"/>
          <w:noProof/>
          <w:color w:val="000000"/>
          <w:szCs w:val="24"/>
        </w:rPr>
        <w:t xml:space="preserve">bank notes </w:t>
      </w:r>
      <w:r>
        <w:rPr>
          <w:rFonts w:eastAsia="Times New Roman" w:cs="Times New Roman"/>
          <w:noProof/>
          <w:color w:val="000000"/>
          <w:szCs w:val="24"/>
          <w:lang w:eastAsia="en-GB"/>
        </w:rPr>
        <w:t xml:space="preserve">is in place. </w:t>
      </w:r>
    </w:p>
    <w:p w:rsidR="003C2144" w:rsidRDefault="00FB7959">
      <w:pPr>
        <w:pStyle w:val="Heading2"/>
        <w:rPr>
          <w:rFonts w:eastAsia="Times New Roman"/>
          <w:noProof/>
        </w:rPr>
      </w:pPr>
      <w:bookmarkStart w:id="273" w:name="_Toc30080595"/>
      <w:bookmarkStart w:id="274" w:name="_Toc30074175"/>
      <w:bookmarkStart w:id="275" w:name="_Toc30073862"/>
      <w:bookmarkStart w:id="276" w:name="_Toc52744964"/>
      <w:r>
        <w:rPr>
          <w:rFonts w:eastAsia="Times New Roman"/>
          <w:noProof/>
        </w:rPr>
        <w:t>5.33</w:t>
      </w:r>
      <w:r>
        <w:rPr>
          <w:rFonts w:eastAsia="Times New Roman"/>
          <w:noProof/>
        </w:rPr>
        <w:tab/>
        <w:t>Chapter 33: Financial and budgetary provisions</w:t>
      </w:r>
      <w:bookmarkEnd w:id="273"/>
      <w:bookmarkEnd w:id="274"/>
      <w:bookmarkEnd w:id="275"/>
      <w:bookmarkEnd w:id="276"/>
      <w:r>
        <w:rPr>
          <w:rFonts w:eastAsia="Times New Roman"/>
          <w:noProof/>
        </w:rPr>
        <w:t xml:space="preserve"> </w:t>
      </w:r>
    </w:p>
    <w:p w:rsidR="003C2144" w:rsidRDefault="00FB7959">
      <w:pPr>
        <w:autoSpaceDE w:val="0"/>
        <w:autoSpaceDN w:val="0"/>
        <w:adjustRightInd w:val="0"/>
        <w:spacing w:after="120" w:line="240" w:lineRule="auto"/>
        <w:jc w:val="both"/>
        <w:rPr>
          <w:rFonts w:eastAsia="Calibri" w:cs="Times New Roman"/>
          <w:i/>
          <w:iCs/>
          <w:noProof/>
          <w:color w:val="000000"/>
          <w:szCs w:val="24"/>
        </w:rPr>
      </w:pPr>
      <w:r>
        <w:rPr>
          <w:rFonts w:eastAsia="Calibri" w:cs="Times New Roman"/>
          <w:i/>
          <w:iCs/>
          <w:noProof/>
          <w:color w:val="000000"/>
          <w:szCs w:val="24"/>
        </w:rPr>
        <w:t>This chapter covers the rules governing the funding of the EU budget (‘own resources’). These resources mainly consist of: (i) contributions based on the gross national income of each Member State; (ii) customs duties; and (iii) a resource based on value-a</w:t>
      </w:r>
      <w:r>
        <w:rPr>
          <w:rFonts w:eastAsia="Calibri" w:cs="Times New Roman"/>
          <w:i/>
          <w:iCs/>
          <w:noProof/>
          <w:color w:val="000000"/>
          <w:szCs w:val="24"/>
        </w:rPr>
        <w:t xml:space="preserve">dded tax. Member States must have the appropriate administrative capacity to adequately coordinate and ensure the correct calculation, collection, payment and control of own resources. </w:t>
      </w:r>
    </w:p>
    <w:tbl>
      <w:tblPr>
        <w:tblW w:w="0" w:type="auto"/>
        <w:tblLook w:val="04A0" w:firstRow="1" w:lastRow="0" w:firstColumn="1" w:lastColumn="0" w:noHBand="0" w:noVBand="1"/>
      </w:tblPr>
      <w:tblGrid>
        <w:gridCol w:w="9464"/>
      </w:tblGrid>
      <w:tr w:rsidR="003C2144">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2144" w:rsidRDefault="00FB7959">
            <w:pPr>
              <w:autoSpaceDE w:val="0"/>
              <w:autoSpaceDN w:val="0"/>
              <w:adjustRightInd w:val="0"/>
              <w:spacing w:after="120" w:line="240" w:lineRule="auto"/>
              <w:jc w:val="both"/>
              <w:rPr>
                <w:rFonts w:eastAsia="Calibri" w:cs="Times New Roman"/>
                <w:noProof/>
                <w:color w:val="000000"/>
                <w:szCs w:val="24"/>
              </w:rPr>
            </w:pPr>
            <w:bookmarkStart w:id="277" w:name="_Toc9585329"/>
            <w:bookmarkStart w:id="278" w:name="_Toc465318908"/>
            <w:r>
              <w:rPr>
                <w:rFonts w:eastAsia="Calibri" w:cs="Times New Roman"/>
                <w:noProof/>
                <w:color w:val="000000"/>
                <w:szCs w:val="24"/>
              </w:rPr>
              <w:t xml:space="preserve">Preparations in this area are at an </w:t>
            </w:r>
            <w:r>
              <w:rPr>
                <w:rFonts w:eastAsia="Calibri" w:cs="Times New Roman"/>
                <w:b/>
                <w:noProof/>
                <w:color w:val="000000"/>
                <w:szCs w:val="24"/>
              </w:rPr>
              <w:t>early stage</w:t>
            </w:r>
            <w:r>
              <w:rPr>
                <w:rFonts w:eastAsia="Calibri" w:cs="Times New Roman"/>
                <w:noProof/>
                <w:color w:val="000000"/>
                <w:szCs w:val="24"/>
              </w:rPr>
              <w:t xml:space="preserve">. There was </w:t>
            </w:r>
            <w:r>
              <w:rPr>
                <w:rFonts w:eastAsia="Calibri" w:cs="Times New Roman"/>
                <w:b/>
                <w:noProof/>
                <w:color w:val="000000"/>
                <w:szCs w:val="24"/>
              </w:rPr>
              <w:t>limited pro</w:t>
            </w:r>
            <w:r>
              <w:rPr>
                <w:rFonts w:eastAsia="Calibri" w:cs="Times New Roman"/>
                <w:b/>
                <w:noProof/>
                <w:color w:val="000000"/>
                <w:szCs w:val="24"/>
              </w:rPr>
              <w:t>gress</w:t>
            </w:r>
            <w:r>
              <w:rPr>
                <w:rFonts w:eastAsia="Calibri" w:cs="Times New Roman"/>
                <w:noProof/>
                <w:color w:val="000000"/>
                <w:szCs w:val="24"/>
              </w:rPr>
              <w:t xml:space="preserve"> in 2019 in the coordination and management of own resources, though the updated own resources action plan was adopted, partly meeting one of last year’s recommendations. However, the 2019 recommendations remain fully or partly valid. </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In the coming y</w:t>
            </w:r>
            <w:r>
              <w:rPr>
                <w:rFonts w:eastAsia="Calibri" w:cs="Times New Roman"/>
                <w:noProof/>
                <w:color w:val="000000"/>
                <w:szCs w:val="24"/>
              </w:rPr>
              <w:t xml:space="preserve">ear, Montenegro should: </w:t>
            </w:r>
          </w:p>
          <w:p w:rsidR="003C2144" w:rsidRDefault="00FB7959">
            <w:pPr>
              <w:pStyle w:val="ListParagraph"/>
              <w:numPr>
                <w:ilvl w:val="0"/>
                <w:numId w:val="3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color w:val="000000"/>
                <w:sz w:val="24"/>
                <w:szCs w:val="24"/>
                <w:lang w:val="en-IE"/>
              </w:rPr>
              <w:t xml:space="preserve">further align the institutional  framework and rules of administration for the own resources system and the legal framework for VAT with the EU </w:t>
            </w:r>
            <w:r>
              <w:rPr>
                <w:rFonts w:ascii="Times New Roman" w:hAnsi="Times New Roman" w:cs="Times New Roman"/>
                <w:i/>
                <w:iCs/>
                <w:noProof/>
                <w:color w:val="000000"/>
                <w:sz w:val="24"/>
                <w:szCs w:val="24"/>
                <w:lang w:val="en-IE"/>
              </w:rPr>
              <w:t>acquis</w:t>
            </w:r>
            <w:r>
              <w:rPr>
                <w:rFonts w:ascii="Times New Roman" w:hAnsi="Times New Roman" w:cs="Times New Roman"/>
                <w:noProof/>
                <w:color w:val="000000"/>
                <w:sz w:val="24"/>
                <w:szCs w:val="24"/>
                <w:lang w:val="en-IE"/>
              </w:rPr>
              <w:t xml:space="preserve">; </w:t>
            </w:r>
          </w:p>
          <w:p w:rsidR="003C2144" w:rsidRDefault="00FB7959">
            <w:pPr>
              <w:pStyle w:val="ListParagraph"/>
              <w:numPr>
                <w:ilvl w:val="0"/>
                <w:numId w:val="34"/>
              </w:numPr>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hAnsi="Times New Roman" w:cs="Times New Roman"/>
                <w:noProof/>
                <w:sz w:val="24"/>
                <w:szCs w:val="24"/>
                <w:lang w:val="en-IE"/>
              </w:rPr>
              <w:t xml:space="preserve">further align the legal basis for the underlying policy areas affecting the </w:t>
            </w:r>
            <w:r>
              <w:rPr>
                <w:rFonts w:ascii="Times New Roman" w:hAnsi="Times New Roman" w:cs="Times New Roman"/>
                <w:noProof/>
                <w:sz w:val="24"/>
                <w:szCs w:val="24"/>
                <w:lang w:val="en-IE"/>
              </w:rPr>
              <w:t>correct application of the own resources system (taxation, customs union, financial control and statistics)</w:t>
            </w:r>
            <w:r>
              <w:rPr>
                <w:rFonts w:ascii="Times New Roman" w:hAnsi="Times New Roman" w:cs="Times New Roman"/>
                <w:noProof/>
                <w:sz w:val="24"/>
                <w:szCs w:val="24"/>
              </w:rPr>
              <w:t xml:space="preserve"> and </w:t>
            </w:r>
            <w:r>
              <w:rPr>
                <w:rFonts w:ascii="Times New Roman" w:eastAsia="Calibri" w:hAnsi="Times New Roman" w:cs="Times New Roman"/>
                <w:noProof/>
                <w:color w:val="000000"/>
                <w:sz w:val="24"/>
                <w:szCs w:val="24"/>
              </w:rPr>
              <w:t xml:space="preserve">fully implement the own resources system action plan; </w:t>
            </w:r>
          </w:p>
          <w:p w:rsidR="003C2144" w:rsidRDefault="00FB7959">
            <w:pPr>
              <w:pStyle w:val="ListParagraph"/>
              <w:numPr>
                <w:ilvl w:val="0"/>
                <w:numId w:val="34"/>
              </w:numPr>
              <w:autoSpaceDE w:val="0"/>
              <w:autoSpaceDN w:val="0"/>
              <w:adjustRightInd w:val="0"/>
              <w:spacing w:after="120" w:line="240" w:lineRule="auto"/>
              <w:contextualSpacing w:val="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ensure adequate capacity at the Directorate for Coordination and Management of EU resourc</w:t>
            </w:r>
            <w:r>
              <w:rPr>
                <w:rFonts w:ascii="Times New Roman" w:eastAsia="Calibri" w:hAnsi="Times New Roman" w:cs="Times New Roman"/>
                <w:noProof/>
                <w:color w:val="000000"/>
                <w:sz w:val="24"/>
                <w:szCs w:val="24"/>
              </w:rPr>
              <w:t xml:space="preserve">es and at all institutions involved in the own resources system. </w:t>
            </w:r>
          </w:p>
        </w:tc>
      </w:tr>
    </w:tbl>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b/>
          <w:noProof/>
          <w:color w:val="000000"/>
          <w:szCs w:val="24"/>
        </w:rPr>
        <w:t>On traditional own resources</w:t>
      </w:r>
      <w:r>
        <w:rPr>
          <w:rFonts w:eastAsia="Calibri" w:cs="Times New Roman"/>
          <w:noProof/>
          <w:color w:val="000000"/>
          <w:szCs w:val="24"/>
        </w:rPr>
        <w:t xml:space="preserve">, a new accounting simulation exercise to distinguish collected from non-collected duties was prepared. Continued efforts will be needed to define and establish </w:t>
      </w:r>
      <w:r>
        <w:rPr>
          <w:rFonts w:eastAsia="Calibri" w:cs="Times New Roman"/>
          <w:noProof/>
          <w:color w:val="000000"/>
          <w:szCs w:val="24"/>
        </w:rPr>
        <w:t>procedures for running A&amp;B accounts. Under the Law on public sector accounting, adopted in the reporting period, the Custom Administration will have to use the double bookkeeping rules as from 2021.</w:t>
      </w:r>
    </w:p>
    <w:p w:rsidR="003C2144" w:rsidRDefault="00FB7959">
      <w:pPr>
        <w:autoSpaceDE w:val="0"/>
        <w:autoSpaceDN w:val="0"/>
        <w:adjustRightInd w:val="0"/>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value added tax-based resource</w:t>
      </w:r>
      <w:r>
        <w:rPr>
          <w:rFonts w:eastAsia="Calibri" w:cs="Times New Roman"/>
          <w:noProof/>
          <w:color w:val="000000"/>
          <w:szCs w:val="24"/>
        </w:rPr>
        <w:t>, further alignment of t</w:t>
      </w:r>
      <w:r>
        <w:rPr>
          <w:rFonts w:eastAsia="Calibri" w:cs="Times New Roman"/>
          <w:noProof/>
          <w:color w:val="000000"/>
          <w:szCs w:val="24"/>
        </w:rPr>
        <w:t>he Law on VAT with the EU acquis is necessary, especially on the supply of goods, taxpayers and the VAT base, as well as on VAT exemptions in the public interest and the issuing of invoices.</w:t>
      </w:r>
    </w:p>
    <w:p w:rsidR="003C2144" w:rsidRDefault="00FB7959">
      <w:pPr>
        <w:spacing w:after="120" w:line="240" w:lineRule="auto"/>
        <w:jc w:val="both"/>
        <w:rPr>
          <w:rFonts w:eastAsia="Calibri" w:cs="Times New Roman"/>
          <w:noProof/>
          <w:color w:val="000000"/>
          <w:szCs w:val="24"/>
        </w:rPr>
      </w:pPr>
      <w:r>
        <w:rPr>
          <w:rFonts w:eastAsia="Calibri" w:cs="Times New Roman"/>
          <w:noProof/>
          <w:color w:val="000000"/>
          <w:szCs w:val="24"/>
        </w:rPr>
        <w:t xml:space="preserve">On </w:t>
      </w:r>
      <w:r>
        <w:rPr>
          <w:rFonts w:eastAsia="Calibri" w:cs="Times New Roman"/>
          <w:b/>
          <w:noProof/>
          <w:color w:val="000000"/>
          <w:szCs w:val="24"/>
        </w:rPr>
        <w:t>gross national income-based resources</w:t>
      </w:r>
      <w:r>
        <w:rPr>
          <w:rFonts w:eastAsia="Calibri" w:cs="Times New Roman"/>
          <w:noProof/>
          <w:color w:val="000000"/>
          <w:szCs w:val="24"/>
        </w:rPr>
        <w:t>, Montenegro’s GDP is cal</w:t>
      </w:r>
      <w:r>
        <w:rPr>
          <w:rFonts w:eastAsia="Calibri" w:cs="Times New Roman"/>
          <w:noProof/>
          <w:color w:val="000000"/>
          <w:szCs w:val="24"/>
        </w:rPr>
        <w:t>culated using the European system of national and regional accounts (ESA 2010) methodology. GNI data are available from 2010 to 2018 and are published on the website of the Statistical Office of Montenegro (Monstat).</w:t>
      </w:r>
      <w:bookmarkEnd w:id="277"/>
      <w:bookmarkEnd w:id="278"/>
      <w:r>
        <w:rPr>
          <w:rFonts w:eastAsia="Calibri" w:cs="Times New Roman"/>
          <w:noProof/>
          <w:color w:val="000000"/>
          <w:szCs w:val="24"/>
        </w:rPr>
        <w:t xml:space="preserve"> Sustained efforts are needed as regards</w:t>
      </w:r>
      <w:r>
        <w:rPr>
          <w:rFonts w:eastAsia="Calibri" w:cs="Times New Roman"/>
          <w:noProof/>
          <w:color w:val="000000"/>
          <w:szCs w:val="24"/>
        </w:rPr>
        <w:t xml:space="preserve"> the exhaustiveness of the national accounts and GDP/GNI calculations.</w:t>
      </w:r>
    </w:p>
    <w:p w:rsidR="003C2144" w:rsidRDefault="00FB7959">
      <w:pPr>
        <w:autoSpaceDE w:val="0"/>
        <w:autoSpaceDN w:val="0"/>
        <w:adjustRightInd w:val="0"/>
        <w:spacing w:after="120" w:line="240" w:lineRule="auto"/>
        <w:jc w:val="both"/>
        <w:rPr>
          <w:rFonts w:cs="Times New Roman"/>
          <w:noProof/>
          <w:szCs w:val="24"/>
        </w:rPr>
      </w:pPr>
      <w:r>
        <w:rPr>
          <w:rFonts w:eastAsia="Calibri" w:cs="Times New Roman"/>
          <w:noProof/>
          <w:color w:val="000000"/>
          <w:szCs w:val="24"/>
        </w:rPr>
        <w:t xml:space="preserve">As regards </w:t>
      </w:r>
      <w:r>
        <w:rPr>
          <w:rFonts w:eastAsia="Calibri" w:cs="Times New Roman"/>
          <w:b/>
          <w:noProof/>
          <w:color w:val="000000"/>
          <w:szCs w:val="24"/>
        </w:rPr>
        <w:t>administrative infrastructure</w:t>
      </w:r>
      <w:r>
        <w:rPr>
          <w:rFonts w:eastAsia="Calibri" w:cs="Times New Roman"/>
          <w:noProof/>
          <w:color w:val="000000"/>
          <w:szCs w:val="24"/>
        </w:rPr>
        <w:t>, a comprehensive training plan or twinning exercise needs to be developed and capacity building provided for the budget directorate. This applie</w:t>
      </w:r>
      <w:r>
        <w:rPr>
          <w:rFonts w:eastAsia="Calibri" w:cs="Times New Roman"/>
          <w:noProof/>
          <w:color w:val="000000"/>
          <w:szCs w:val="24"/>
        </w:rPr>
        <w:t>s in particular for the Directorate for Coordination and Management of Own Resources of the EU, as well as for all institutions involved in the own resources system. The implementation of the updated own resources action plan, adopted in spring 2019, is on</w:t>
      </w:r>
      <w:r>
        <w:rPr>
          <w:rFonts w:eastAsia="Calibri" w:cs="Times New Roman"/>
          <w:noProof/>
          <w:color w:val="000000"/>
          <w:szCs w:val="24"/>
        </w:rPr>
        <w:t>going but sustained efforts are needed for its full implementation within the deadlines set.</w:t>
      </w:r>
    </w:p>
    <w:p w:rsidR="003C2144" w:rsidRDefault="00FB7959">
      <w:pPr>
        <w:spacing w:after="160" w:line="259" w:lineRule="auto"/>
        <w:rPr>
          <w:rFonts w:eastAsia="Times New Roman" w:cs="Times New Roman"/>
          <w:noProof/>
          <w:szCs w:val="24"/>
        </w:rPr>
      </w:pPr>
      <w:r>
        <w:rPr>
          <w:rFonts w:eastAsia="Times New Roman" w:cs="Times New Roman"/>
          <w:noProof/>
          <w:szCs w:val="24"/>
        </w:rPr>
        <w:br w:type="page"/>
      </w:r>
    </w:p>
    <w:p w:rsidR="003C2144" w:rsidRDefault="00FB7959">
      <w:pPr>
        <w:pStyle w:val="Heading2"/>
        <w:rPr>
          <w:rFonts w:eastAsia="Times New Roman"/>
          <w:noProof/>
        </w:rPr>
      </w:pPr>
      <w:bookmarkStart w:id="279" w:name="_Toc52744965"/>
      <w:r>
        <w:rPr>
          <w:rFonts w:eastAsia="Times New Roman"/>
          <w:noProof/>
        </w:rPr>
        <w:t>Annex I – Relations between the EU and Montenegro</w:t>
      </w:r>
      <w:bookmarkEnd w:id="279"/>
      <w:r>
        <w:rPr>
          <w:rFonts w:eastAsia="Times New Roman"/>
          <w:noProof/>
        </w:rPr>
        <w:t xml:space="preserve"> </w:t>
      </w:r>
    </w:p>
    <w:p w:rsidR="003C2144" w:rsidRDefault="00FB7959">
      <w:pPr>
        <w:autoSpaceDE w:val="0"/>
        <w:autoSpaceDN w:val="0"/>
        <w:adjustRightInd w:val="0"/>
        <w:spacing w:after="120" w:line="240" w:lineRule="auto"/>
        <w:jc w:val="both"/>
        <w:rPr>
          <w:rFonts w:eastAsia="Calibri"/>
          <w:noProof/>
        </w:rPr>
      </w:pPr>
      <w:r>
        <w:rPr>
          <w:rFonts w:eastAsia="Calibri"/>
          <w:noProof/>
        </w:rPr>
        <w:t xml:space="preserve">Within the framework of the </w:t>
      </w:r>
      <w:r>
        <w:rPr>
          <w:rFonts w:eastAsia="Calibri"/>
          <w:b/>
          <w:noProof/>
        </w:rPr>
        <w:t>accession negotiations</w:t>
      </w:r>
      <w:r>
        <w:rPr>
          <w:rFonts w:eastAsia="Calibri"/>
          <w:noProof/>
        </w:rPr>
        <w:t xml:space="preserve">, by October 2020, all 33 screened chapters, including </w:t>
      </w:r>
      <w:r>
        <w:rPr>
          <w:rFonts w:eastAsia="Calibri"/>
          <w:noProof/>
        </w:rPr>
        <w:t>chapters 23 and 24 on the rule of law, had been opened, three of which, i.e. science and research, education and culture and external relations, have been provisionally closed.</w:t>
      </w:r>
    </w:p>
    <w:p w:rsidR="003C2144" w:rsidRDefault="00FB7959">
      <w:pPr>
        <w:spacing w:after="120" w:line="240" w:lineRule="auto"/>
        <w:jc w:val="both"/>
        <w:rPr>
          <w:noProof/>
          <w:lang w:eastAsia="en-GB"/>
        </w:rPr>
      </w:pPr>
      <w:r>
        <w:rPr>
          <w:rFonts w:eastAsia="Calibri"/>
          <w:noProof/>
        </w:rPr>
        <w:t xml:space="preserve">Montenegro is participating in the </w:t>
      </w:r>
      <w:r>
        <w:rPr>
          <w:rFonts w:eastAsia="Calibri"/>
          <w:b/>
          <w:noProof/>
        </w:rPr>
        <w:t>Stabilisation and Association Process</w:t>
      </w:r>
      <w:r>
        <w:rPr>
          <w:rFonts w:eastAsia="Calibri"/>
          <w:noProof/>
        </w:rPr>
        <w:t>. Overa</w:t>
      </w:r>
      <w:r>
        <w:rPr>
          <w:rFonts w:eastAsia="Calibri"/>
          <w:noProof/>
        </w:rPr>
        <w:t xml:space="preserve">ll, Montenegro continued to broadly implement its obligations under the </w:t>
      </w:r>
      <w:r>
        <w:rPr>
          <w:rFonts w:eastAsia="Calibri"/>
          <w:b/>
          <w:noProof/>
        </w:rPr>
        <w:t>Stabilisation and Association Agreement</w:t>
      </w:r>
      <w:r>
        <w:rPr>
          <w:rFonts w:eastAsia="Calibri"/>
          <w:noProof/>
        </w:rPr>
        <w:t xml:space="preserve"> (SAA). </w:t>
      </w:r>
      <w:r>
        <w:rPr>
          <w:iCs/>
          <w:noProof/>
          <w:lang w:eastAsia="en-GB"/>
        </w:rPr>
        <w:t>Regular political and economic dialogue between the EU and Montenegro has continued through the SAA structures.</w:t>
      </w:r>
      <w:r>
        <w:rPr>
          <w:noProof/>
          <w:lang w:eastAsia="en-GB"/>
        </w:rPr>
        <w:t xml:space="preserve"> The Stabilisation and Ass</w:t>
      </w:r>
      <w:r>
        <w:rPr>
          <w:noProof/>
          <w:lang w:eastAsia="en-GB"/>
        </w:rPr>
        <w:t>ociation Council met in June 2019 and the Stabilisation and Association Committee in December 2019. Regular subcommittee meetings have been held throughout the period. The Stabilisation and Association Parliamentary Committee met in February 2020.</w:t>
      </w:r>
    </w:p>
    <w:p w:rsidR="003C2144" w:rsidRDefault="00FB7959">
      <w:pPr>
        <w:autoSpaceDE w:val="0"/>
        <w:autoSpaceDN w:val="0"/>
        <w:adjustRightInd w:val="0"/>
        <w:spacing w:after="120" w:line="240" w:lineRule="auto"/>
        <w:jc w:val="both"/>
        <w:rPr>
          <w:noProof/>
          <w:lang w:eastAsia="en-GB"/>
        </w:rPr>
      </w:pPr>
      <w:r>
        <w:rPr>
          <w:noProof/>
          <w:lang w:eastAsia="en-GB"/>
        </w:rPr>
        <w:t>Monteneg</w:t>
      </w:r>
      <w:r>
        <w:rPr>
          <w:noProof/>
          <w:lang w:eastAsia="en-GB"/>
        </w:rPr>
        <w:t>ro participates in ministerial dialogue between the economic and finance ministers of the EU and the candidate countries, which aims at helping the latter gradually meet the economic accession criteria and be better prepared in terms of economic reforms, c</w:t>
      </w:r>
      <w:r>
        <w:rPr>
          <w:noProof/>
          <w:lang w:eastAsia="en-GB"/>
        </w:rPr>
        <w:t>ompetitiveness and job creation. The most recent meeting was held on 19 May 2020, where joint recommendations were adopted.</w:t>
      </w:r>
    </w:p>
    <w:p w:rsidR="003C2144" w:rsidRDefault="00FB7959">
      <w:pPr>
        <w:spacing w:after="120" w:line="240" w:lineRule="auto"/>
        <w:jc w:val="both"/>
        <w:rPr>
          <w:rFonts w:eastAsia="Calibri"/>
          <w:iCs/>
          <w:noProof/>
        </w:rPr>
      </w:pPr>
      <w:r>
        <w:rPr>
          <w:rFonts w:eastAsia="Calibri"/>
          <w:b/>
          <w:bCs/>
          <w:noProof/>
        </w:rPr>
        <w:t xml:space="preserve">Visa liberalisation </w:t>
      </w:r>
      <w:r>
        <w:rPr>
          <w:rFonts w:eastAsia="Calibri"/>
          <w:noProof/>
        </w:rPr>
        <w:t xml:space="preserve">for citizens of </w:t>
      </w:r>
      <w:r>
        <w:rPr>
          <w:rFonts w:eastAsia="Calibri"/>
          <w:iCs/>
          <w:noProof/>
        </w:rPr>
        <w:t xml:space="preserve">Montenegro </w:t>
      </w:r>
      <w:r>
        <w:rPr>
          <w:rFonts w:eastAsia="Calibri"/>
          <w:noProof/>
        </w:rPr>
        <w:t xml:space="preserve">travelling to the Schengen area has been in force since December 2009. </w:t>
      </w:r>
      <w:r>
        <w:rPr>
          <w:rFonts w:eastAsia="Calibri"/>
          <w:noProof/>
          <w:lang w:eastAsia="en-GB"/>
        </w:rPr>
        <w:t>As part of the</w:t>
      </w:r>
      <w:r>
        <w:rPr>
          <w:rFonts w:eastAsia="Calibri"/>
          <w:noProof/>
          <w:lang w:eastAsia="en-GB"/>
        </w:rPr>
        <w:t xml:space="preserve"> monitoring mechanism in place since visa liberalisation, the Commission has been regularly assessing the progress made by the country in implementing reforms introduced under the visa roadmap. The monitoring mechanism also includes an alert mechanism to p</w:t>
      </w:r>
      <w:r>
        <w:rPr>
          <w:rFonts w:eastAsia="Calibri"/>
          <w:noProof/>
          <w:lang w:eastAsia="en-GB"/>
        </w:rPr>
        <w:t xml:space="preserve">revent abuses, coordinated by the European Border and Coast Guard Agency. The Commission has regularly submitted its post-visa liberalisation monitoring reports to the European Parliament and the Council. </w:t>
      </w:r>
      <w:r>
        <w:rPr>
          <w:rFonts w:eastAsia="Calibri"/>
          <w:noProof/>
        </w:rPr>
        <w:t xml:space="preserve">A </w:t>
      </w:r>
      <w:r>
        <w:rPr>
          <w:rFonts w:eastAsia="Calibri"/>
          <w:b/>
          <w:noProof/>
        </w:rPr>
        <w:t>readmission agreement</w:t>
      </w:r>
      <w:r>
        <w:rPr>
          <w:rFonts w:eastAsia="Calibri"/>
          <w:noProof/>
        </w:rPr>
        <w:t xml:space="preserve"> between the European Union </w:t>
      </w:r>
      <w:r>
        <w:rPr>
          <w:rFonts w:eastAsia="Calibri"/>
          <w:noProof/>
        </w:rPr>
        <w:t xml:space="preserve">and </w:t>
      </w:r>
      <w:r>
        <w:rPr>
          <w:rFonts w:eastAsia="Calibri"/>
          <w:iCs/>
          <w:noProof/>
        </w:rPr>
        <w:t>Montenegro</w:t>
      </w:r>
      <w:r>
        <w:rPr>
          <w:rFonts w:eastAsia="Calibri"/>
          <w:noProof/>
        </w:rPr>
        <w:t xml:space="preserve"> has been in force since 2008</w:t>
      </w:r>
      <w:r>
        <w:rPr>
          <w:rFonts w:eastAsia="Calibri"/>
          <w:iCs/>
          <w:noProof/>
        </w:rPr>
        <w:t>.</w:t>
      </w:r>
    </w:p>
    <w:p w:rsidR="003C2144" w:rsidRDefault="00FB7959">
      <w:pPr>
        <w:spacing w:after="120" w:line="240" w:lineRule="auto"/>
        <w:jc w:val="both"/>
        <w:rPr>
          <w:rFonts w:eastAsia="Calibri"/>
          <w:noProof/>
        </w:rPr>
      </w:pPr>
      <w:r>
        <w:rPr>
          <w:rFonts w:eastAsia="Calibri"/>
          <w:noProof/>
        </w:rPr>
        <w:t xml:space="preserve">Montenegro is currently benefitting from EU financial assistance under the Instrument for Pre-accession Assistance (IPA) with an indicative allocation of EUR 279.5 million for the period 2014-2020. This has now </w:t>
      </w:r>
      <w:r>
        <w:rPr>
          <w:rFonts w:eastAsia="Calibri"/>
          <w:noProof/>
        </w:rPr>
        <w:t>been programmed based on the priorities set out in the Indicative Strategy Paper. However, with the outbreak of the COVID-19 pandemic EUR 53 million has been reprogrammed in order to support the authorities’ social and economic response to the crisis, with</w:t>
      </w:r>
      <w:r>
        <w:rPr>
          <w:rFonts w:eastAsia="Calibri"/>
          <w:noProof/>
        </w:rPr>
        <w:t xml:space="preserve"> particular emphasis on protecting the most vulnerable in society. This amount includes, support providing for the delivery of emergency health supplies, a focused social and health programme, and not least a Budget Support programme. As part of the wider </w:t>
      </w:r>
      <w:r>
        <w:rPr>
          <w:rFonts w:eastAsia="Calibri"/>
          <w:noProof/>
        </w:rPr>
        <w:t xml:space="preserve">COVID-19 response, </w:t>
      </w:r>
      <w:r>
        <w:rPr>
          <w:noProof/>
          <w:szCs w:val="24"/>
        </w:rPr>
        <w:t xml:space="preserve">the EU has also made available </w:t>
      </w:r>
      <w:r>
        <w:rPr>
          <w:rFonts w:eastAsia="Calibri"/>
          <w:noProof/>
        </w:rPr>
        <w:t>a</w:t>
      </w:r>
      <w:r>
        <w:rPr>
          <w:noProof/>
          <w:lang w:val="en-US"/>
        </w:rPr>
        <w:t xml:space="preserve"> Macro Financial Assistance scheme of </w:t>
      </w:r>
      <w:r>
        <w:rPr>
          <w:noProof/>
          <w:szCs w:val="24"/>
        </w:rPr>
        <w:t>EUR 60 million in highly favourable loans in order to underpin the local economy</w:t>
      </w:r>
      <w:r>
        <w:rPr>
          <w:noProof/>
          <w:lang w:val="en-US"/>
        </w:rPr>
        <w:t xml:space="preserve">.  </w:t>
      </w:r>
    </w:p>
    <w:p w:rsidR="003C2144" w:rsidRDefault="00FB7959">
      <w:pPr>
        <w:spacing w:after="120" w:line="240" w:lineRule="auto"/>
        <w:jc w:val="both"/>
        <w:rPr>
          <w:rFonts w:eastAsia="Calibri"/>
          <w:noProof/>
        </w:rPr>
      </w:pPr>
      <w:r>
        <w:rPr>
          <w:rFonts w:eastAsia="Calibri"/>
          <w:noProof/>
        </w:rPr>
        <w:t>Montenegro continues to benefit from support under the IPA multi-country and region</w:t>
      </w:r>
      <w:r>
        <w:rPr>
          <w:rFonts w:eastAsia="Calibri"/>
          <w:noProof/>
        </w:rPr>
        <w:t>al programmes. These programmes have been also, in part, repurposed to address the response to the COVID-19 crisis. Additionally, Montenegro continues to participate in four cross-border cooperation programmes with neighbouring Western Balkan countries and</w:t>
      </w:r>
      <w:r>
        <w:rPr>
          <w:rFonts w:eastAsia="Calibri"/>
          <w:noProof/>
        </w:rPr>
        <w:t xml:space="preserve"> in transnational cooperation programmes with Member States under the European Regional Development Fund and the IPA Adriatic cross</w:t>
      </w:r>
      <w:r>
        <w:rPr>
          <w:rFonts w:eastAsia="Calibri"/>
          <w:noProof/>
        </w:rPr>
        <w:noBreakHyphen/>
        <w:t>border programme.</w:t>
      </w:r>
    </w:p>
    <w:p w:rsidR="003C2144" w:rsidRDefault="00FB7959">
      <w:pPr>
        <w:spacing w:after="120" w:line="240" w:lineRule="auto"/>
        <w:jc w:val="both"/>
        <w:rPr>
          <w:rFonts w:eastAsia="Calibri"/>
          <w:noProof/>
        </w:rPr>
      </w:pPr>
      <w:r>
        <w:rPr>
          <w:rFonts w:eastAsia="Calibri"/>
          <w:noProof/>
        </w:rPr>
        <w:t>Montenegro continues to benefit from participation in the following EU programmes, with IPA support:  Eras</w:t>
      </w:r>
      <w:r>
        <w:rPr>
          <w:rFonts w:eastAsia="Calibri"/>
          <w:noProof/>
        </w:rPr>
        <w:t>mus+, Creative Europe (Culture and Media strands), Employment and Social Innovation, Horizon 2020, Customs 2020, Fiscalis 2020, Competitiveness of Enterprises and Small and Medium-Sized Enterprises Programme (COSME). Montenegro also participates with their</w:t>
      </w:r>
      <w:r>
        <w:rPr>
          <w:rFonts w:eastAsia="Calibri"/>
          <w:noProof/>
        </w:rPr>
        <w:t xml:space="preserve"> own funds in the EU Justice Programme. </w:t>
      </w:r>
    </w:p>
    <w:p w:rsidR="003C2144" w:rsidRDefault="003C2144">
      <w:pPr>
        <w:spacing w:after="0" w:line="240" w:lineRule="auto"/>
        <w:jc w:val="both"/>
        <w:rPr>
          <w:rFonts w:eastAsia="Calibri"/>
          <w:noProof/>
        </w:rPr>
      </w:pPr>
    </w:p>
    <w:p w:rsidR="003C2144" w:rsidRDefault="003C2144">
      <w:pPr>
        <w:spacing w:after="160" w:line="259" w:lineRule="auto"/>
        <w:rPr>
          <w:rFonts w:ascii="Times New Roman Bold" w:eastAsia="Times New Roman" w:hAnsi="Times New Roman Bold" w:cs="Times New Roman"/>
          <w:b/>
          <w:smallCaps/>
          <w:noProof/>
          <w:szCs w:val="24"/>
        </w:rPr>
      </w:pPr>
    </w:p>
    <w:p w:rsidR="003C2144" w:rsidRDefault="003C2144">
      <w:pPr>
        <w:spacing w:after="120" w:line="240" w:lineRule="auto"/>
        <w:jc w:val="both"/>
        <w:rPr>
          <w:rFonts w:ascii="Times New Roman Bold" w:eastAsia="Times New Roman" w:hAnsi="Times New Roman Bold" w:cs="Times New Roman"/>
          <w:b/>
          <w:smallCaps/>
          <w:noProof/>
          <w:szCs w:val="24"/>
        </w:rPr>
        <w:sectPr w:rsidR="003C214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20"/>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en-GB"/>
              </w:rPr>
            </w:pPr>
            <w:r>
              <w:rPr>
                <w:rFonts w:ascii="Arial" w:hAnsi="Arial" w:cs="Arial"/>
                <w:b/>
                <w:bCs/>
                <w:noProof/>
                <w:color w:val="000000"/>
                <w:sz w:val="16"/>
                <w:szCs w:val="16"/>
                <w:lang w:eastAsia="en-GB"/>
              </w:rPr>
              <w:t>STATISTICAL DATA (as of 03.04.2020)</w:t>
            </w: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r>
      <w:tr w:rsidR="003C2144">
        <w:trPr>
          <w:cantSplit/>
          <w:trHeight w:val="25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FF0000"/>
                <w:sz w:val="16"/>
                <w:szCs w:val="16"/>
                <w:lang w:eastAsia="en-GB"/>
              </w:rPr>
            </w:pPr>
            <w:r>
              <w:rPr>
                <w:rFonts w:ascii="Arial" w:hAnsi="Arial" w:cs="Arial"/>
                <w:b/>
                <w:bCs/>
                <w:noProof/>
                <w:color w:val="FF0000"/>
                <w:sz w:val="16"/>
                <w:szCs w:val="16"/>
                <w:lang w:eastAsia="en-GB"/>
              </w:rPr>
              <w:t>Montenegro</w:t>
            </w:r>
          </w:p>
        </w:tc>
        <w:tc>
          <w:tcPr>
            <w:tcW w:w="567" w:type="dxa"/>
            <w:tcBorders>
              <w:top w:val="nil"/>
              <w:left w:val="nil"/>
              <w:bottom w:val="nil"/>
              <w:right w:val="nil"/>
            </w:tcBorders>
          </w:tcPr>
          <w:p w:rsidR="003C2144" w:rsidRDefault="003C2144">
            <w:pPr>
              <w:autoSpaceDE w:val="0"/>
              <w:autoSpaceDN w:val="0"/>
              <w:adjustRightInd w:val="0"/>
              <w:spacing w:after="0"/>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en-GB"/>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13 812</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3 458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3 655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3 954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4 299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4 663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4 370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5 560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5 870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6 350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6 910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7 490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9 840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11 010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11 740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12 640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13 420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14 390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per capita (in PPS), relative to the EU average (EU-27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Real GDP growth rate: change on </w:t>
            </w:r>
            <w:r>
              <w:rPr>
                <w:rFonts w:ascii="Arial" w:hAnsi="Arial" w:cs="Arial"/>
                <w:noProof/>
                <w:color w:val="000000"/>
                <w:sz w:val="16"/>
                <w:szCs w:val="16"/>
                <w:lang w:eastAsia="zh-CN"/>
              </w:rPr>
              <w:t>previous year of GDP volume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growth: growth in GDP (in volume)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nominal unit labour cost growth index (2010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Labour productivity per person employed: GDP (in PPS) per person </w:t>
            </w:r>
            <w:r>
              <w:rPr>
                <w:rFonts w:ascii="Arial" w:hAnsi="Arial" w:cs="Arial"/>
                <w:noProof/>
                <w:color w:val="000000"/>
                <w:sz w:val="16"/>
                <w:szCs w:val="16"/>
                <w:lang w:eastAsia="zh-CN"/>
              </w:rPr>
              <w:t>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Changes in inventories, as a share of </w:t>
            </w:r>
            <w:r>
              <w:rPr>
                <w:rFonts w:ascii="Arial" w:hAnsi="Arial" w:cs="Arial"/>
                <w:noProof/>
                <w:color w:val="000000"/>
                <w:sz w:val="16"/>
                <w:szCs w:val="16"/>
                <w:lang w:eastAsia="zh-CN"/>
              </w:rPr>
              <w:t>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w:t>
            </w:r>
            <w:r>
              <w:rPr>
                <w:rFonts w:ascii="Arial" w:hAnsi="Arial" w:cs="Arial"/>
                <w:noProof/>
                <w:color w:val="000000"/>
                <w:sz w:val="16"/>
                <w:szCs w:val="16"/>
                <w:lang w:eastAsia="zh-CN"/>
              </w:rPr>
              <w:t xml:space="preserve"> sector, as a percentage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volume index (2015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Birth rate: </w:t>
            </w:r>
            <w:r>
              <w:rPr>
                <w:rFonts w:ascii="Arial" w:hAnsi="Arial" w:cs="Arial"/>
                <w:noProof/>
                <w:color w:val="000000"/>
                <w:sz w:val="16"/>
                <w:szCs w:val="16"/>
                <w:lang w:eastAsia="zh-CN"/>
              </w:rPr>
              <w:t>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1 071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1 220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value added </w:t>
            </w:r>
            <w:r>
              <w:rPr>
                <w:rFonts w:ascii="Arial" w:hAnsi="Arial" w:cs="Arial"/>
                <w:noProof/>
                <w:color w:val="000000"/>
                <w:sz w:val="16"/>
                <w:szCs w:val="16"/>
                <w:lang w:eastAsia="zh-CN"/>
              </w:rPr>
              <w:t>(in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1 308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Harmonised consumer price index (HICP),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-1 058.7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-792.8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-1 544.4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-1 376.4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-1 463.7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-1 657.7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-1 860.1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-2 049.2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690.3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936.6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w:t>
            </w:r>
            <w:r>
              <w:rPr>
                <w:rFonts w:ascii="Arial" w:hAnsi="Arial" w:cs="Arial"/>
                <w:noProof/>
                <w:color w:val="000000"/>
                <w:sz w:val="16"/>
                <w:szCs w:val="16"/>
                <w:lang w:eastAsia="zh-CN"/>
              </w:rPr>
              <w:t xml:space="preserve">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balance for secondary income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211.0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Net balance for primary and </w:t>
            </w:r>
            <w:r>
              <w:rPr>
                <w:rFonts w:ascii="Arial" w:hAnsi="Arial" w:cs="Arial"/>
                <w:noProof/>
                <w:color w:val="000000"/>
                <w:sz w:val="16"/>
                <w:szCs w:val="16"/>
                <w:lang w:eastAsia="zh-CN"/>
              </w:rPr>
              <w:t>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 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**Five year change in share of world </w:t>
            </w:r>
            <w:r>
              <w:rPr>
                <w:rFonts w:ascii="Arial" w:hAnsi="Arial" w:cs="Arial"/>
                <w:noProof/>
                <w:color w:val="000000"/>
                <w:sz w:val="16"/>
                <w:szCs w:val="16"/>
                <w:lang w:eastAsia="zh-CN"/>
              </w:rPr>
              <w:t>exports of goods and services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balance (inward - outward) of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567.8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353.9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484.3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322.5</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EU-27 countries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682.7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630.3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204.5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414.8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of which FDI of the EU-27 countries </w:t>
            </w:r>
            <w:r>
              <w:rPr>
                <w:rFonts w:ascii="Arial" w:hAnsi="Arial" w:cs="Arial"/>
                <w:noProof/>
                <w:color w:val="000000"/>
                <w:sz w:val="16"/>
                <w:szCs w:val="16"/>
                <w:lang w:eastAsia="zh-CN"/>
              </w:rPr>
              <w:t>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Year on year rate of change in gross inflow of remittances (in national currency) from </w:t>
            </w:r>
            <w:r>
              <w:rPr>
                <w:rFonts w:ascii="Arial" w:hAnsi="Arial" w:cs="Arial"/>
                <w:noProof/>
                <w:color w:val="000000"/>
                <w:sz w:val="16"/>
                <w:szCs w:val="16"/>
                <w:lang w:eastAsia="zh-CN"/>
              </w:rPr>
              <w:t>migrant workers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***General government gross debt relative to GDP </w:t>
            </w:r>
            <w:r>
              <w:rPr>
                <w:rFonts w:ascii="Arial" w:hAnsi="Arial" w:cs="Arial"/>
                <w:noProof/>
                <w:color w:val="00000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70.9e</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46.2</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164.7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Money supply: M1 (banknotes, coins, overnight </w:t>
            </w:r>
            <w:r>
              <w:rPr>
                <w:rFonts w:ascii="Arial" w:hAnsi="Arial" w:cs="Arial"/>
                <w:noProof/>
                <w:color w:val="000000"/>
                <w:sz w:val="16"/>
                <w:szCs w:val="16"/>
                <w:lang w:eastAsia="zh-CN"/>
              </w:rPr>
              <w:t>deposits,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1 557.0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2 728.2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credit by monetary</w:t>
            </w:r>
            <w:r>
              <w:rPr>
                <w:rFonts w:ascii="Arial" w:hAnsi="Arial" w:cs="Arial"/>
                <w:noProof/>
                <w:color w:val="000000"/>
                <w:sz w:val="16"/>
                <w:szCs w:val="16"/>
                <w:lang w:eastAsia="zh-CN"/>
              </w:rPr>
              <w:t xml:space="preserve">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2 224.2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1 933.5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1 959.5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2 080.6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2 294.1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2 528.0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w:t>
            </w:r>
            <w:r>
              <w:rPr>
                <w:rFonts w:ascii="Arial" w:hAnsi="Arial" w:cs="Arial"/>
                <w:noProof/>
                <w:color w:val="000000"/>
                <w:sz w:val="16"/>
                <w:szCs w:val="16"/>
                <w:lang w:eastAsia="zh-CN"/>
              </w:rPr>
              <w:t xml:space="preserve">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change (T/T-3) in the trade-weighted </w:t>
            </w:r>
            <w:r>
              <w:rPr>
                <w:rFonts w:ascii="Arial" w:hAnsi="Arial" w:cs="Arial"/>
                <w:noProof/>
                <w:color w:val="000000"/>
                <w:sz w:val="16"/>
                <w:szCs w:val="16"/>
                <w:lang w:eastAsia="zh-CN"/>
              </w:rPr>
              <w:t>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467.9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847.2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1 049.8</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Value of imports: </w:t>
            </w:r>
            <w:r>
              <w:rPr>
                <w:rFonts w:ascii="Arial" w:hAnsi="Arial" w:cs="Arial"/>
                <w:noProof/>
                <w:color w:val="000000"/>
                <w:sz w:val="16"/>
                <w:szCs w:val="16"/>
                <w:lang w:eastAsia="zh-CN"/>
              </w:rPr>
              <w:t>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2 073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2 062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2 304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2 554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-1 451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-2 153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97.5</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EU-27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Share of imports from EU-27 countries in value of </w:t>
            </w:r>
            <w:r>
              <w:rPr>
                <w:rFonts w:ascii="Arial" w:hAnsi="Arial" w:cs="Arial"/>
                <w:noProof/>
                <w:color w:val="000000"/>
                <w:sz w:val="16"/>
                <w:szCs w:val="16"/>
                <w:lang w:eastAsia="zh-CN"/>
              </w:rPr>
              <w:t>total imports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47.1</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 of population (natural growth rate): number of 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2.4b</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male (years)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74.5</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79.3</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20–64:</w:t>
            </w:r>
            <w:r>
              <w:rPr>
                <w:rFonts w:ascii="Arial" w:hAnsi="Arial" w:cs="Arial"/>
                <w:noProof/>
                <w:color w:val="000000"/>
                <w:sz w:val="16"/>
                <w:szCs w:val="16"/>
                <w:lang w:eastAsia="zh-CN"/>
              </w:rPr>
              <w:t xml:space="preserve"> proportion of the population aged 20–64 that are in employment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55–64: proportion of the population aged 55–64 that are in employment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67" w:type="dxa"/>
            <w:tcBorders>
              <w:top w:val="single" w:sz="6" w:space="0" w:color="auto"/>
              <w:left w:val="single" w:sz="6" w:space="0" w:color="auto"/>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73.1</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People employed in </w:t>
            </w:r>
            <w:r>
              <w:rPr>
                <w:rFonts w:ascii="Arial" w:hAnsi="Arial" w:cs="Arial"/>
                <w:noProof/>
                <w:color w:val="000000"/>
                <w:sz w:val="16"/>
                <w:szCs w:val="16"/>
                <w:lang w:eastAsia="zh-CN"/>
              </w:rPr>
              <w:t>the private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63.2b</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Long-term unemployment rate: proportion of the </w:t>
            </w:r>
            <w:r>
              <w:rPr>
                <w:rFonts w:ascii="Arial" w:hAnsi="Arial" w:cs="Arial"/>
                <w:noProof/>
                <w:color w:val="000000"/>
                <w:sz w:val="16"/>
                <w:szCs w:val="16"/>
                <w:lang w:eastAsia="zh-CN"/>
              </w:rPr>
              <w:t>labour force that has been 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levels 0-2)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tertiary education (ISCED levels 5-8)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511</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real wages and salaries (index of nominal 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35.3p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passenger cars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282.8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296.9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310.5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331.7</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1 097.9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1 630.3b</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1 620.1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1 632.5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1 636.7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1 822.8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Mobile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5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Density of </w:t>
            </w:r>
            <w:r>
              <w:rPr>
                <w:rFonts w:ascii="Arial" w:hAnsi="Arial" w:cs="Arial"/>
                <w:noProof/>
                <w:color w:val="000000"/>
                <w:sz w:val="16"/>
                <w:szCs w:val="16"/>
                <w:lang w:eastAsia="zh-CN"/>
              </w:rPr>
              <w:t>railway network (lines in operation per thousand km²)</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expenditure on R&amp;D relative to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Percentage of households who have internet access at home </w:t>
            </w:r>
            <w:r>
              <w:rPr>
                <w:rFonts w:ascii="Arial" w:hAnsi="Arial" w:cs="Arial"/>
                <w:noProof/>
                <w:color w:val="000000"/>
                <w:sz w:val="16"/>
                <w:szCs w:val="16"/>
                <w:lang w:eastAsia="zh-CN"/>
              </w:rPr>
              <w:t>(%)</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63.6e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67.5e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69.8e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70.6e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72.2e</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Energy intensity of the economy (kg of oil equivalent per 1 000 euro GDP </w:t>
            </w:r>
            <w:r>
              <w:rPr>
                <w:rFonts w:ascii="Arial" w:hAnsi="Arial" w:cs="Arial"/>
                <w:noProof/>
                <w:color w:val="000000"/>
                <w:sz w:val="16"/>
                <w:szCs w:val="16"/>
                <w:lang w:eastAsia="zh-CN"/>
              </w:rPr>
              <w:t>at 2010 constant prices)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376.0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272.9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272.2</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64.4</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Road share of inland freight transport (based on tonne-km) (%)</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100.0b</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55.7</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solid</w:t>
            </w:r>
            <w:r>
              <w:rPr>
                <w:rFonts w:ascii="Arial" w:hAnsi="Arial" w:cs="Arial"/>
                <w:noProof/>
                <w:color w:val="000000"/>
                <w:sz w:val="16"/>
                <w:szCs w:val="16"/>
                <w:lang w:eastAsia="zh-CN"/>
              </w:rPr>
              <w:t xml:space="preserve"> fuels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366</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gas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333</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1 019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1 027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1 078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electricity generation (GWh)</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2 144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3 173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3 003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3 141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2 483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C2144" w:rsidRDefault="003C2144">
            <w:pPr>
              <w:autoSpaceDE w:val="0"/>
              <w:autoSpaceDN w:val="0"/>
              <w:adjustRightInd w:val="0"/>
              <w:spacing w:after="0"/>
              <w:jc w:val="center"/>
              <w:rPr>
                <w:rFonts w:ascii="Arial" w:hAnsi="Arial" w:cs="Arial"/>
                <w:noProof/>
                <w:color w:val="000000"/>
                <w:sz w:val="16"/>
                <w:szCs w:val="16"/>
                <w:lang w:eastAsia="zh-CN"/>
              </w:rPr>
            </w:pPr>
          </w:p>
        </w:tc>
      </w:tr>
      <w:tr w:rsidR="003C2144">
        <w:trPr>
          <w:cantSplit/>
          <w:trHeight w:val="223"/>
        </w:trPr>
        <w:tc>
          <w:tcPr>
            <w:tcW w:w="6804" w:type="dxa"/>
            <w:tcBorders>
              <w:top w:val="nil"/>
              <w:left w:val="nil"/>
              <w:bottom w:val="nil"/>
              <w:right w:val="nil"/>
            </w:tcBorders>
          </w:tcPr>
          <w:p w:rsidR="003C2144" w:rsidRDefault="00FB7959">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Agricultural production volume index of goods and services (at producer prices) (2010 = 100)</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Utilised </w:t>
            </w:r>
            <w:r>
              <w:rPr>
                <w:rFonts w:ascii="Arial" w:hAnsi="Arial" w:cs="Arial"/>
                <w:noProof/>
                <w:color w:val="000000"/>
                <w:sz w:val="16"/>
                <w:szCs w:val="16"/>
                <w:lang w:eastAsia="zh-CN"/>
              </w:rPr>
              <w:t>agricultural area (thousand hectares)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222.2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230.3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255.8p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256.4p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256.8p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89.2p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86.6p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23.6p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237.4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223.4p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218.6p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216.0p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Raw milk 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172.6</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180.6p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181.5p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181.5p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Harvested crop </w:t>
            </w:r>
            <w:r>
              <w:rPr>
                <w:rFonts w:ascii="Arial" w:hAnsi="Arial" w:cs="Arial"/>
                <w:noProof/>
                <w:color w:val="000000"/>
                <w:sz w:val="16"/>
                <w:szCs w:val="16"/>
                <w:lang w:eastAsia="zh-CN"/>
              </w:rPr>
              <w:t>production: cereals (including rice) (thousand tonnes)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7.9p</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3C2144" w:rsidRDefault="003C2144">
            <w:pPr>
              <w:autoSpaceDE w:val="0"/>
              <w:autoSpaceDN w:val="0"/>
              <w:adjustRightInd w:val="0"/>
              <w:spacing w:after="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3C2144">
        <w:trPr>
          <w:cantSplit/>
          <w:trHeight w:val="223"/>
        </w:trPr>
        <w:tc>
          <w:tcPr>
            <w:tcW w:w="680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31.8</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51.1</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41.9p</w:t>
            </w:r>
          </w:p>
        </w:tc>
        <w:tc>
          <w:tcPr>
            <w:tcW w:w="1134" w:type="dxa"/>
            <w:tcBorders>
              <w:top w:val="single" w:sz="6" w:space="0" w:color="auto"/>
              <w:left w:val="single" w:sz="6" w:space="0" w:color="auto"/>
              <w:bottom w:val="single" w:sz="6" w:space="0" w:color="auto"/>
              <w:right w:val="single" w:sz="6" w:space="0" w:color="auto"/>
            </w:tcBorders>
          </w:tcPr>
          <w:p w:rsidR="003C2144" w:rsidRDefault="00FB7959">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43.1p</w:t>
            </w:r>
          </w:p>
        </w:tc>
      </w:tr>
    </w:tbl>
    <w:p w:rsidR="003C2144" w:rsidRDefault="003C2144">
      <w:pPr>
        <w:spacing w:after="0"/>
        <w:rPr>
          <w:rFonts w:ascii="Arial" w:hAnsi="Arial" w:cs="Arial"/>
          <w:noProof/>
          <w:sz w:val="16"/>
          <w:szCs w:val="16"/>
          <w:lang w:eastAsia="en-GB"/>
        </w:rPr>
      </w:pPr>
    </w:p>
    <w:p w:rsidR="003C2144" w:rsidRDefault="00FB7959">
      <w:pPr>
        <w:spacing w:after="0"/>
        <w:rPr>
          <w:rFonts w:ascii="Arial" w:hAnsi="Arial" w:cs="Arial"/>
          <w:b/>
          <w:noProof/>
          <w:sz w:val="16"/>
          <w:szCs w:val="16"/>
          <w:lang w:eastAsia="en-GB"/>
        </w:rPr>
      </w:pPr>
      <w:r>
        <w:rPr>
          <w:rFonts w:ascii="Arial" w:hAnsi="Arial" w:cs="Arial"/>
          <w:b/>
          <w:noProof/>
          <w:sz w:val="16"/>
          <w:szCs w:val="16"/>
          <w:lang w:eastAsia="en-GB"/>
        </w:rPr>
        <w:t>Source:</w:t>
      </w:r>
      <w:r>
        <w:rPr>
          <w:rFonts w:ascii="Arial" w:hAnsi="Arial" w:cs="Arial"/>
          <w:b/>
          <w:noProof/>
          <w:sz w:val="16"/>
          <w:szCs w:val="16"/>
          <w:lang w:eastAsia="en-GB"/>
        </w:rPr>
        <w:t xml:space="preserve"> Eurostat and the statistical authorities in Montenegro</w:t>
      </w:r>
    </w:p>
    <w:p w:rsidR="003C2144" w:rsidRDefault="003C2144">
      <w:pPr>
        <w:spacing w:after="0"/>
        <w:rPr>
          <w:rFonts w:ascii="Arial"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 = not available</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b = break in series</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e = estimate</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p = provisional</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 = Europe 2020 indicator</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3C2144">
        <w:trPr>
          <w:trHeight w:val="225"/>
        </w:trPr>
        <w:tc>
          <w:tcPr>
            <w:tcW w:w="8685" w:type="dxa"/>
            <w:tcBorders>
              <w:top w:val="nil"/>
              <w:left w:val="nil"/>
              <w:bottom w:val="nil"/>
              <w:right w:val="nil"/>
            </w:tcBorders>
            <w:shd w:val="clear" w:color="auto" w:fill="auto"/>
            <w:vAlign w:val="bottom"/>
            <w:hideMark/>
          </w:tcPr>
          <w:p w:rsidR="003C2144" w:rsidRDefault="00FB7959">
            <w:pPr>
              <w:spacing w:after="0"/>
              <w:rPr>
                <w:rFonts w:ascii="Arial" w:hAnsi="Arial" w:cs="Arial"/>
                <w:noProof/>
                <w:sz w:val="16"/>
                <w:szCs w:val="16"/>
                <w:lang w:eastAsia="zh-CN"/>
              </w:rPr>
            </w:pPr>
            <w:r>
              <w:rPr>
                <w:rFonts w:ascii="Arial" w:hAnsi="Arial" w:cs="Arial"/>
                <w:noProof/>
                <w:sz w:val="16"/>
                <w:szCs w:val="16"/>
                <w:lang w:eastAsia="zh-CN"/>
              </w:rPr>
              <w:t>*** = The government deficit and debt data of</w:t>
            </w:r>
            <w:r>
              <w:rPr>
                <w:rFonts w:ascii="Arial" w:hAnsi="Arial" w:cs="Arial"/>
                <w:noProof/>
                <w:sz w:val="16"/>
                <w:szCs w:val="16"/>
                <w:lang w:eastAsia="zh-CN"/>
              </w:rPr>
              <w:t xml:space="preserve"> enlargement countries are published on an "as is" basis and without any assurance as regards their quality and adherence to ESA rules.</w:t>
            </w:r>
          </w:p>
        </w:tc>
      </w:tr>
    </w:tbl>
    <w:p w:rsidR="003C2144" w:rsidRDefault="003C2144">
      <w:pPr>
        <w:spacing w:after="0"/>
        <w:rPr>
          <w:rFonts w:ascii="Arial" w:hAnsi="Arial" w:cs="Arial"/>
          <w:noProof/>
          <w:sz w:val="16"/>
          <w:szCs w:val="16"/>
          <w:lang w:eastAsia="en-GB"/>
        </w:rPr>
      </w:pPr>
    </w:p>
    <w:p w:rsidR="003C2144" w:rsidRDefault="00FB7959">
      <w:pPr>
        <w:spacing w:after="0"/>
        <w:ind w:firstLine="720"/>
        <w:rPr>
          <w:rFonts w:ascii="Arial" w:hAnsi="Arial" w:cs="Arial"/>
          <w:noProof/>
          <w:sz w:val="16"/>
          <w:szCs w:val="16"/>
          <w:lang w:eastAsia="en-GB"/>
        </w:rPr>
      </w:pPr>
      <w:r>
        <w:rPr>
          <w:rFonts w:ascii="Arial" w:hAnsi="Arial" w:cs="Arial"/>
          <w:noProof/>
          <w:sz w:val="16"/>
          <w:szCs w:val="16"/>
          <w:lang w:eastAsia="en-GB"/>
        </w:rPr>
        <w:t>Footnotes</w:t>
      </w:r>
    </w:p>
    <w:p w:rsidR="003C2144" w:rsidRDefault="003C2144">
      <w:pPr>
        <w:spacing w:after="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598"/>
        <w:gridCol w:w="8504"/>
      </w:tblGrid>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2007: based on balance of payments manual edition 5 (BPM5).</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Secondary income only.</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National </w:t>
            </w:r>
            <w:r>
              <w:rPr>
                <w:rFonts w:ascii="Arial" w:hAnsi="Arial" w:cs="Arial"/>
                <w:noProof/>
                <w:color w:val="000000"/>
                <w:sz w:val="16"/>
                <w:szCs w:val="16"/>
                <w:lang w:eastAsia="zh-CN"/>
              </w:rPr>
              <w:t>definition of M0, comprised of bank deposits with the CBM (settlement account and reserve requirement account) and the estimated amount of cash in circulation.</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National definition of M11, comprised of M0 plus demand deposits by the non-banking sector h</w:t>
            </w:r>
            <w:r>
              <w:rPr>
                <w:rFonts w:ascii="Arial" w:hAnsi="Arial" w:cs="Arial"/>
                <w:noProof/>
                <w:color w:val="000000"/>
                <w:sz w:val="16"/>
                <w:szCs w:val="16"/>
                <w:lang w:eastAsia="zh-CN"/>
              </w:rPr>
              <w:t>eld with banks and the CBM, in EUR and other currencies, plus the Central Government’s demand deposits in EUR and other currencies.</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National definition of M21, comprised of M11 plus the non-banking sector’s time deposits with banks, in EUR and other cu</w:t>
            </w:r>
            <w:r>
              <w:rPr>
                <w:rFonts w:ascii="Arial" w:hAnsi="Arial" w:cs="Arial"/>
                <w:noProof/>
                <w:color w:val="000000"/>
                <w:sz w:val="16"/>
                <w:szCs w:val="16"/>
                <w:lang w:eastAsia="zh-CN"/>
              </w:rPr>
              <w:t>rrencies, plus the Central Government’s time deposits in EUR and other currencies.</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Loans include total banks' loans granted to non-MFI residents and other claims (factoring and forfeiting, claims on outstanding bills of acceptance, guarantees and bills</w:t>
            </w:r>
            <w:r>
              <w:rPr>
                <w:rFonts w:ascii="Arial" w:hAnsi="Arial" w:cs="Arial"/>
                <w:noProof/>
                <w:color w:val="000000"/>
                <w:sz w:val="16"/>
                <w:szCs w:val="16"/>
                <w:lang w:eastAsia="zh-CN"/>
              </w:rPr>
              <w:t xml:space="preserve"> of exchange).</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Weighted average effective interest rate, outstanding amounts.</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Calculated from indices with the previous year as the reference year (= 100).</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Data of NGOs are excluded. Number of employees in the public sector as a share of the </w:t>
            </w:r>
            <w:r>
              <w:rPr>
                <w:rFonts w:ascii="Arial" w:hAnsi="Arial" w:cs="Arial"/>
                <w:noProof/>
                <w:color w:val="000000"/>
                <w:sz w:val="16"/>
                <w:szCs w:val="16"/>
                <w:lang w:eastAsia="zh-CN"/>
              </w:rPr>
              <w:t>total number of persons employed.</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Comprises data of private enterprises, entrepreneurs and private households. 2007 and 2014-2017: number of employees in the private sector as a share of the total number of persons employed. 2018: number of persons em</w:t>
            </w:r>
            <w:r>
              <w:rPr>
                <w:rFonts w:ascii="Arial" w:hAnsi="Arial" w:cs="Arial"/>
                <w:noProof/>
                <w:color w:val="000000"/>
                <w:sz w:val="16"/>
                <w:szCs w:val="16"/>
                <w:lang w:eastAsia="zh-CN"/>
              </w:rPr>
              <w:t>ployed in the private sector as a share of the total number of persons employed.</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2007: total freight traffic (national territory and international transport).</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Including livestock held by enterprises, cooperatives and households.</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million l</w:t>
            </w:r>
            <w:r>
              <w:rPr>
                <w:rFonts w:ascii="Arial" w:hAnsi="Arial" w:cs="Arial"/>
                <w:noProof/>
                <w:color w:val="000000"/>
                <w:sz w:val="16"/>
                <w:szCs w:val="16"/>
                <w:lang w:eastAsia="zh-CN"/>
              </w:rPr>
              <w:t>itres. Net quantity, from enterprises, cooperatives and households.</w:t>
            </w:r>
          </w:p>
        </w:tc>
      </w:tr>
      <w:tr w:rsidR="003C2144">
        <w:trPr>
          <w:trHeight w:val="108"/>
        </w:trPr>
        <w:tc>
          <w:tcPr>
            <w:tcW w:w="598" w:type="dxa"/>
            <w:tcBorders>
              <w:top w:val="nil"/>
              <w:left w:val="nil"/>
              <w:bottom w:val="nil"/>
              <w:right w:val="nil"/>
            </w:tcBorders>
          </w:tcPr>
          <w:p w:rsidR="003C2144" w:rsidRDefault="00FB7959">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8504" w:type="dxa"/>
            <w:tcBorders>
              <w:top w:val="nil"/>
              <w:left w:val="nil"/>
              <w:bottom w:val="nil"/>
              <w:right w:val="nil"/>
            </w:tcBorders>
          </w:tcPr>
          <w:p w:rsidR="003C2144" w:rsidRDefault="00FB7959">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2007, 2014 and 2015: including the production of kitchen gardens.</w:t>
            </w:r>
          </w:p>
        </w:tc>
      </w:tr>
    </w:tbl>
    <w:p w:rsidR="003C2144" w:rsidRDefault="003C2144">
      <w:pPr>
        <w:spacing w:after="0"/>
        <w:rPr>
          <w:rFonts w:ascii="Arial" w:hAnsi="Arial" w:cs="Arial"/>
          <w:noProof/>
          <w:sz w:val="16"/>
          <w:szCs w:val="16"/>
          <w:lang w:eastAsia="en-GB"/>
        </w:rPr>
      </w:pPr>
    </w:p>
    <w:p w:rsidR="003C2144" w:rsidRDefault="003C2144">
      <w:pPr>
        <w:spacing w:after="120" w:line="240" w:lineRule="auto"/>
        <w:jc w:val="both"/>
        <w:rPr>
          <w:rFonts w:ascii="Times New Roman Bold" w:eastAsia="Times New Roman" w:hAnsi="Times New Roman Bold" w:cs="Times New Roman"/>
          <w:b/>
          <w:smallCaps/>
          <w:noProof/>
          <w:szCs w:val="24"/>
        </w:rPr>
      </w:pPr>
    </w:p>
    <w:sectPr w:rsidR="003C2144">
      <w:headerReference w:type="even" r:id="rId28"/>
      <w:headerReference w:type="default" r:id="rId29"/>
      <w:footerReference w:type="even" r:id="rId30"/>
      <w:footerReference w:type="default" r:id="rId31"/>
      <w:headerReference w:type="first" r:id="rId32"/>
      <w:footerReference w:type="first" r:id="rId33"/>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44" w:rsidRDefault="00FB7959">
      <w:pPr>
        <w:spacing w:after="0" w:line="240" w:lineRule="auto"/>
      </w:pPr>
      <w:r>
        <w:separator/>
      </w:r>
    </w:p>
  </w:endnote>
  <w:endnote w:type="continuationSeparator" w:id="0">
    <w:p w:rsidR="003C2144" w:rsidRDefault="00FB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inionPro-Dis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FB795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89753"/>
      <w:docPartObj>
        <w:docPartGallery w:val="Page Numbers (Bottom of Page)"/>
        <w:docPartUnique/>
      </w:docPartObj>
    </w:sdtPr>
    <w:sdtEndPr>
      <w:rPr>
        <w:noProof/>
      </w:rPr>
    </w:sdtEndPr>
    <w:sdtContent>
      <w:p w:rsidR="003C2144" w:rsidRDefault="00FB7959">
        <w:pPr>
          <w:pStyle w:val="Footer"/>
          <w:jc w:val="center"/>
        </w:pP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44" w:rsidRDefault="00FB7959">
      <w:pPr>
        <w:spacing w:after="0" w:line="240" w:lineRule="auto"/>
      </w:pPr>
      <w:r>
        <w:separator/>
      </w:r>
    </w:p>
  </w:footnote>
  <w:footnote w:type="continuationSeparator" w:id="0">
    <w:p w:rsidR="003C2144" w:rsidRDefault="00FB7959">
      <w:pPr>
        <w:spacing w:after="0" w:line="240" w:lineRule="auto"/>
      </w:pPr>
      <w:r>
        <w:continuationSeparator/>
      </w:r>
    </w:p>
  </w:footnote>
  <w:footnote w:id="1">
    <w:p w:rsidR="003C2144" w:rsidRDefault="00FB7959">
      <w:pPr>
        <w:pStyle w:val="FootnoteText"/>
        <w:spacing w:after="0" w:line="240" w:lineRule="auto"/>
        <w:jc w:val="both"/>
        <w:rPr>
          <w:lang w:val="en-IE"/>
        </w:rPr>
      </w:pPr>
      <w:r>
        <w:rPr>
          <w:rStyle w:val="FootnoteReference"/>
        </w:rPr>
        <w:sym w:font="Symbol" w:char="F02A"/>
      </w:r>
      <w:r>
        <w:t xml:space="preserve"> </w:t>
      </w:r>
      <w:r>
        <w:rPr>
          <w:rFonts w:ascii="Times New Roman" w:hAnsi="Times New Roman"/>
          <w:iCs/>
        </w:rPr>
        <w:t xml:space="preserve">This designation is without prejudice to positions on status, and is in line with UNSCR 1244/1999 and </w:t>
      </w:r>
      <w:r>
        <w:rPr>
          <w:rFonts w:ascii="Times New Roman" w:hAnsi="Times New Roman"/>
          <w:iCs/>
        </w:rPr>
        <w:t>the ICJ Opinion on the Kosovo declaration of independence.</w:t>
      </w:r>
    </w:p>
  </w:footnote>
  <w:footnote w:id="2">
    <w:p w:rsidR="003C2144" w:rsidRDefault="00FB7959">
      <w:pPr>
        <w:spacing w:after="120" w:line="240" w:lineRule="auto"/>
        <w:jc w:val="both"/>
        <w:rPr>
          <w:rFonts w:eastAsia="Calibri" w:cs="Times New Roman"/>
          <w:sz w:val="18"/>
          <w:szCs w:val="18"/>
          <w:lang w:val="en-IE"/>
        </w:rPr>
      </w:pPr>
      <w:r>
        <w:rPr>
          <w:rStyle w:val="FootnoteReference"/>
          <w:sz w:val="20"/>
          <w:szCs w:val="20"/>
        </w:rPr>
        <w:footnoteRef/>
      </w:r>
      <w:r>
        <w:t xml:space="preserve"> </w:t>
      </w:r>
      <w:r>
        <w:rPr>
          <w:rFonts w:eastAsia="Calibri" w:cs="Times New Roman"/>
          <w:sz w:val="20"/>
          <w:szCs w:val="20"/>
        </w:rPr>
        <w:t>Montenegro also participates in the ‘Brdo-Brijuni process’, the European Common Aviation Area, the Regional School of Public Administration (ReSPA),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44" w:rsidRDefault="003C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256391C"/>
    <w:multiLevelType w:val="hybridMultilevel"/>
    <w:tmpl w:val="4F62CDF2"/>
    <w:lvl w:ilvl="0" w:tplc="6712863C">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21305C"/>
    <w:multiLevelType w:val="hybridMultilevel"/>
    <w:tmpl w:val="D04A4CE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FA96BC1"/>
    <w:multiLevelType w:val="hybridMultilevel"/>
    <w:tmpl w:val="47EE062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0E835CC"/>
    <w:multiLevelType w:val="hybridMultilevel"/>
    <w:tmpl w:val="3BA6A7A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512783D"/>
    <w:multiLevelType w:val="hybridMultilevel"/>
    <w:tmpl w:val="1BE45B6A"/>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5BA3500"/>
    <w:multiLevelType w:val="hybridMultilevel"/>
    <w:tmpl w:val="051C49B0"/>
    <w:lvl w:ilvl="0" w:tplc="A4D27D34">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2" w15:restartNumberingAfterBreak="0">
    <w:nsid w:val="20701A94"/>
    <w:multiLevelType w:val="hybridMultilevel"/>
    <w:tmpl w:val="7E145A50"/>
    <w:lvl w:ilvl="0" w:tplc="671286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20951"/>
    <w:multiLevelType w:val="hybridMultilevel"/>
    <w:tmpl w:val="44EC879A"/>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11E36"/>
    <w:multiLevelType w:val="hybridMultilevel"/>
    <w:tmpl w:val="4F0E5D9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17" w15:restartNumberingAfterBreak="0">
    <w:nsid w:val="2B761A43"/>
    <w:multiLevelType w:val="hybridMultilevel"/>
    <w:tmpl w:val="6C88260C"/>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893E71"/>
    <w:multiLevelType w:val="hybridMultilevel"/>
    <w:tmpl w:val="54887B1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6593E8A"/>
    <w:multiLevelType w:val="hybridMultilevel"/>
    <w:tmpl w:val="FFA03004"/>
    <w:lvl w:ilvl="0" w:tplc="050279BA">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2" w15:restartNumberingAfterBreak="0">
    <w:nsid w:val="3B1E2393"/>
    <w:multiLevelType w:val="hybridMultilevel"/>
    <w:tmpl w:val="EBD2562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5"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0872A95"/>
    <w:multiLevelType w:val="hybridMultilevel"/>
    <w:tmpl w:val="363C2210"/>
    <w:lvl w:ilvl="0" w:tplc="671286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6A0D5D"/>
    <w:multiLevelType w:val="hybridMultilevel"/>
    <w:tmpl w:val="C4F09F7A"/>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7C176F0"/>
    <w:multiLevelType w:val="hybridMultilevel"/>
    <w:tmpl w:val="366AE93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4D2727BA"/>
    <w:multiLevelType w:val="hybridMultilevel"/>
    <w:tmpl w:val="A6D6E1C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4EA72D61"/>
    <w:multiLevelType w:val="hybridMultilevel"/>
    <w:tmpl w:val="4198F1F8"/>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18B0FC1"/>
    <w:multiLevelType w:val="hybridMultilevel"/>
    <w:tmpl w:val="3F5E6708"/>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3594639"/>
    <w:multiLevelType w:val="hybridMultilevel"/>
    <w:tmpl w:val="6C209EB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4713AC1"/>
    <w:multiLevelType w:val="hybridMultilevel"/>
    <w:tmpl w:val="A1C6CC3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7" w15:restartNumberingAfterBreak="0">
    <w:nsid w:val="564D00B9"/>
    <w:multiLevelType w:val="hybridMultilevel"/>
    <w:tmpl w:val="D9DED6C8"/>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9"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0" w15:restartNumberingAfterBreak="0">
    <w:nsid w:val="5A181420"/>
    <w:multiLevelType w:val="hybridMultilevel"/>
    <w:tmpl w:val="96D0364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1" w15:restartNumberingAfterBreak="0">
    <w:nsid w:val="5A467819"/>
    <w:multiLevelType w:val="hybridMultilevel"/>
    <w:tmpl w:val="39864490"/>
    <w:lvl w:ilvl="0" w:tplc="6712863C">
      <w:start w:val="1"/>
      <w:numFmt w:val="bullet"/>
      <w:lvlText w:val=""/>
      <w:lvlJc w:val="left"/>
      <w:pPr>
        <w:ind w:left="434" w:hanging="360"/>
      </w:pPr>
      <w:rPr>
        <w:rFonts w:ascii="Symbol" w:hAnsi="Symbol" w:hint="default"/>
      </w:rPr>
    </w:lvl>
    <w:lvl w:ilvl="1" w:tplc="18090003" w:tentative="1">
      <w:start w:val="1"/>
      <w:numFmt w:val="bullet"/>
      <w:lvlText w:val="o"/>
      <w:lvlJc w:val="left"/>
      <w:pPr>
        <w:ind w:left="1154" w:hanging="360"/>
      </w:pPr>
      <w:rPr>
        <w:rFonts w:ascii="Courier New" w:hAnsi="Courier New" w:cs="Courier New" w:hint="default"/>
      </w:rPr>
    </w:lvl>
    <w:lvl w:ilvl="2" w:tplc="18090005" w:tentative="1">
      <w:start w:val="1"/>
      <w:numFmt w:val="bullet"/>
      <w:lvlText w:val=""/>
      <w:lvlJc w:val="left"/>
      <w:pPr>
        <w:ind w:left="1874" w:hanging="360"/>
      </w:pPr>
      <w:rPr>
        <w:rFonts w:ascii="Wingdings" w:hAnsi="Wingdings" w:hint="default"/>
      </w:rPr>
    </w:lvl>
    <w:lvl w:ilvl="3" w:tplc="18090001" w:tentative="1">
      <w:start w:val="1"/>
      <w:numFmt w:val="bullet"/>
      <w:lvlText w:val=""/>
      <w:lvlJc w:val="left"/>
      <w:pPr>
        <w:ind w:left="2594" w:hanging="360"/>
      </w:pPr>
      <w:rPr>
        <w:rFonts w:ascii="Symbol" w:hAnsi="Symbol" w:hint="default"/>
      </w:rPr>
    </w:lvl>
    <w:lvl w:ilvl="4" w:tplc="18090003" w:tentative="1">
      <w:start w:val="1"/>
      <w:numFmt w:val="bullet"/>
      <w:lvlText w:val="o"/>
      <w:lvlJc w:val="left"/>
      <w:pPr>
        <w:ind w:left="3314" w:hanging="360"/>
      </w:pPr>
      <w:rPr>
        <w:rFonts w:ascii="Courier New" w:hAnsi="Courier New" w:cs="Courier New" w:hint="default"/>
      </w:rPr>
    </w:lvl>
    <w:lvl w:ilvl="5" w:tplc="18090005" w:tentative="1">
      <w:start w:val="1"/>
      <w:numFmt w:val="bullet"/>
      <w:lvlText w:val=""/>
      <w:lvlJc w:val="left"/>
      <w:pPr>
        <w:ind w:left="4034" w:hanging="360"/>
      </w:pPr>
      <w:rPr>
        <w:rFonts w:ascii="Wingdings" w:hAnsi="Wingdings" w:hint="default"/>
      </w:rPr>
    </w:lvl>
    <w:lvl w:ilvl="6" w:tplc="18090001" w:tentative="1">
      <w:start w:val="1"/>
      <w:numFmt w:val="bullet"/>
      <w:lvlText w:val=""/>
      <w:lvlJc w:val="left"/>
      <w:pPr>
        <w:ind w:left="4754" w:hanging="360"/>
      </w:pPr>
      <w:rPr>
        <w:rFonts w:ascii="Symbol" w:hAnsi="Symbol" w:hint="default"/>
      </w:rPr>
    </w:lvl>
    <w:lvl w:ilvl="7" w:tplc="18090003" w:tentative="1">
      <w:start w:val="1"/>
      <w:numFmt w:val="bullet"/>
      <w:lvlText w:val="o"/>
      <w:lvlJc w:val="left"/>
      <w:pPr>
        <w:ind w:left="5474" w:hanging="360"/>
      </w:pPr>
      <w:rPr>
        <w:rFonts w:ascii="Courier New" w:hAnsi="Courier New" w:cs="Courier New" w:hint="default"/>
      </w:rPr>
    </w:lvl>
    <w:lvl w:ilvl="8" w:tplc="18090005" w:tentative="1">
      <w:start w:val="1"/>
      <w:numFmt w:val="bullet"/>
      <w:lvlText w:val=""/>
      <w:lvlJc w:val="left"/>
      <w:pPr>
        <w:ind w:left="6194" w:hanging="360"/>
      </w:pPr>
      <w:rPr>
        <w:rFonts w:ascii="Wingdings" w:hAnsi="Wingdings" w:hint="default"/>
      </w:rPr>
    </w:lvl>
  </w:abstractNum>
  <w:abstractNum w:abstractNumId="42" w15:restartNumberingAfterBreak="0">
    <w:nsid w:val="5DA71CDB"/>
    <w:multiLevelType w:val="hybridMultilevel"/>
    <w:tmpl w:val="4DA644FC"/>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5E28608B"/>
    <w:multiLevelType w:val="hybridMultilevel"/>
    <w:tmpl w:val="13BA42EA"/>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15:restartNumberingAfterBreak="0">
    <w:nsid w:val="5F8C3B69"/>
    <w:multiLevelType w:val="multilevel"/>
    <w:tmpl w:val="9B14DAA8"/>
    <w:name w:val="Tiret 0"/>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4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9" w15:restartNumberingAfterBreak="0">
    <w:nsid w:val="66C56A60"/>
    <w:multiLevelType w:val="hybridMultilevel"/>
    <w:tmpl w:val="59767FD2"/>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67740750"/>
    <w:multiLevelType w:val="hybridMultilevel"/>
    <w:tmpl w:val="7E6C75A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2"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3" w15:restartNumberingAfterBreak="0">
    <w:nsid w:val="6DDF65C6"/>
    <w:multiLevelType w:val="hybridMultilevel"/>
    <w:tmpl w:val="402C6B62"/>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FCF382E"/>
    <w:multiLevelType w:val="hybridMultilevel"/>
    <w:tmpl w:val="EB280572"/>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367124A"/>
    <w:multiLevelType w:val="hybridMultilevel"/>
    <w:tmpl w:val="A7FE63A4"/>
    <w:lvl w:ilvl="0" w:tplc="6712863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7"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9"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AA609E8"/>
    <w:multiLevelType w:val="hybridMultilevel"/>
    <w:tmpl w:val="9718DF2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1"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2"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22"/>
  </w:num>
  <w:num w:numId="2">
    <w:abstractNumId w:val="50"/>
  </w:num>
  <w:num w:numId="3">
    <w:abstractNumId w:val="20"/>
  </w:num>
  <w:num w:numId="4">
    <w:abstractNumId w:val="33"/>
  </w:num>
  <w:num w:numId="5">
    <w:abstractNumId w:val="18"/>
  </w:num>
  <w:num w:numId="6">
    <w:abstractNumId w:val="7"/>
  </w:num>
  <w:num w:numId="7">
    <w:abstractNumId w:val="36"/>
  </w:num>
  <w:num w:numId="8">
    <w:abstractNumId w:val="12"/>
  </w:num>
  <w:num w:numId="9">
    <w:abstractNumId w:val="26"/>
  </w:num>
  <w:num w:numId="10">
    <w:abstractNumId w:val="14"/>
  </w:num>
  <w:num w:numId="11">
    <w:abstractNumId w:val="28"/>
  </w:num>
  <w:num w:numId="12">
    <w:abstractNumId w:val="40"/>
  </w:num>
  <w:num w:numId="13">
    <w:abstractNumId w:val="11"/>
  </w:num>
  <w:num w:numId="14">
    <w:abstractNumId w:val="43"/>
  </w:num>
  <w:num w:numId="15">
    <w:abstractNumId w:val="9"/>
  </w:num>
  <w:num w:numId="16">
    <w:abstractNumId w:val="13"/>
  </w:num>
  <w:num w:numId="17">
    <w:abstractNumId w:val="30"/>
  </w:num>
  <w:num w:numId="18">
    <w:abstractNumId w:val="60"/>
  </w:num>
  <w:num w:numId="19">
    <w:abstractNumId w:val="19"/>
  </w:num>
  <w:num w:numId="20">
    <w:abstractNumId w:val="8"/>
  </w:num>
  <w:num w:numId="21">
    <w:abstractNumId w:val="35"/>
  </w:num>
  <w:num w:numId="22">
    <w:abstractNumId w:val="5"/>
  </w:num>
  <w:num w:numId="23">
    <w:abstractNumId w:val="17"/>
  </w:num>
  <w:num w:numId="24">
    <w:abstractNumId w:val="56"/>
  </w:num>
  <w:num w:numId="25">
    <w:abstractNumId w:val="10"/>
  </w:num>
  <w:num w:numId="26">
    <w:abstractNumId w:val="54"/>
  </w:num>
  <w:num w:numId="27">
    <w:abstractNumId w:val="49"/>
  </w:num>
  <w:num w:numId="28">
    <w:abstractNumId w:val="32"/>
  </w:num>
  <w:num w:numId="29">
    <w:abstractNumId w:val="42"/>
  </w:num>
  <w:num w:numId="30">
    <w:abstractNumId w:val="37"/>
  </w:num>
  <w:num w:numId="31">
    <w:abstractNumId w:val="31"/>
  </w:num>
  <w:num w:numId="32">
    <w:abstractNumId w:val="41"/>
  </w:num>
  <w:num w:numId="33">
    <w:abstractNumId w:val="53"/>
  </w:num>
  <w:num w:numId="34">
    <w:abstractNumId w:val="27"/>
  </w:num>
  <w:num w:numId="35">
    <w:abstractNumId w:val="23"/>
  </w:num>
  <w:num w:numId="36">
    <w:abstractNumId w:val="21"/>
  </w:num>
  <w:num w:numId="37">
    <w:abstractNumId w:val="47"/>
  </w:num>
  <w:num w:numId="38">
    <w:abstractNumId w:val="24"/>
  </w:num>
  <w:num w:numId="39">
    <w:abstractNumId w:val="38"/>
  </w:num>
  <w:num w:numId="40">
    <w:abstractNumId w:val="55"/>
  </w:num>
  <w:num w:numId="41">
    <w:abstractNumId w:val="61"/>
  </w:num>
  <w:num w:numId="42">
    <w:abstractNumId w:val="34"/>
  </w:num>
  <w:num w:numId="43">
    <w:abstractNumId w:val="46"/>
  </w:num>
  <w:num w:numId="44">
    <w:abstractNumId w:val="44"/>
  </w:num>
  <w:num w:numId="45">
    <w:abstractNumId w:val="29"/>
  </w:num>
  <w:num w:numId="46">
    <w:abstractNumId w:val="51"/>
  </w:num>
  <w:num w:numId="47">
    <w:abstractNumId w:val="52"/>
  </w:num>
  <w:num w:numId="48">
    <w:abstractNumId w:val="25"/>
  </w:num>
  <w:num w:numId="49">
    <w:abstractNumId w:val="48"/>
  </w:num>
  <w:num w:numId="50">
    <w:abstractNumId w:val="39"/>
  </w:num>
  <w:num w:numId="51">
    <w:abstractNumId w:val="58"/>
  </w:num>
  <w:num w:numId="52">
    <w:abstractNumId w:val="62"/>
  </w:num>
  <w:num w:numId="53">
    <w:abstractNumId w:val="59"/>
  </w:num>
  <w:num w:numId="54">
    <w:abstractNumId w:val="15"/>
  </w:num>
  <w:num w:numId="55">
    <w:abstractNumId w:val="6"/>
  </w:num>
  <w:num w:numId="56">
    <w:abstractNumId w:val="4"/>
  </w:num>
  <w:num w:numId="57">
    <w:abstractNumId w:val="3"/>
  </w:num>
  <w:num w:numId="58">
    <w:abstractNumId w:val="2"/>
  </w:num>
  <w:num w:numId="59">
    <w:abstractNumId w:val="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revisionView w:markup="0"/>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5E62E33E-3645-471B-AEB1-3821406C03D1"/>
    <w:docVar w:name="LW_COVERPAGE_TYPE" w:val="1"/>
    <w:docVar w:name="LW_CROSSREFERENCE" w:val="{COM(2020) 660 final} - {SWD(2020) 350 final} - {SWD(2020) 351 final} - {SWD(2020) 352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
    <w:docVar w:name="LW_PART_NBR" w:val="1"/>
    <w:docVar w:name="LW_PART_NBR_TOTAL" w:val="1"/>
    <w:docVar w:name="LW_REF.INST.NEW" w:val="SWD"/>
    <w:docVar w:name="LW_REF.INST.NEW_ADOPTED" w:val="final"/>
    <w:docVar w:name="LW_REF.INST.NEW_TEXT" w:val="(2020)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ontenegro 2020 Report_x000d__x000d__x000d__x000b_"/>
    <w:docVar w:name="LW_TYPE.DOC.CP" w:val="COMMISSION STAFF WORKING DOCUMENT"/>
    <w:docVar w:name="LW_TYPEACTEPRINCIPAL.CP" w:val="Communication from the Commission to the European Parliament, the Council, the European Economic and Social Committee and the Committee of the Regions _x000b__x000b_"/>
  </w:docVars>
  <w:rsids>
    <w:rsidRoot w:val="003C2144"/>
    <w:rsid w:val="003C2144"/>
    <w:rsid w:val="00FB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5BEBE2-B79E-44DB-A361-3D735910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4"/>
      <w:lang w:val="en-GB"/>
    </w:rPr>
  </w:style>
  <w:style w:type="paragraph" w:styleId="Heading1">
    <w:name w:val="heading 1"/>
    <w:basedOn w:val="Normal"/>
    <w:next w:val="Normal"/>
    <w:link w:val="Heading1Char"/>
    <w:qFormat/>
    <w:pPr>
      <w:keepNext/>
      <w:keepLines/>
      <w:spacing w:before="240" w:after="120" w:line="240" w:lineRule="auto"/>
      <w:outlineLvl w:val="0"/>
    </w:pPr>
    <w:rPr>
      <w:rFonts w:eastAsiaTheme="majorEastAsia" w:cstheme="majorBidi"/>
      <w:b/>
      <w:color w:val="000000" w:themeColor="text1"/>
      <w:szCs w:val="32"/>
      <w:lang w:eastAsia="it-IT"/>
    </w:rPr>
  </w:style>
  <w:style w:type="paragraph" w:styleId="Heading2">
    <w:name w:val="heading 2"/>
    <w:basedOn w:val="Normal"/>
    <w:next w:val="Normal"/>
    <w:link w:val="Heading2Char"/>
    <w:unhideWhenUsed/>
    <w:qFormat/>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 w:val="24"/>
      <w:szCs w:val="32"/>
      <w:lang w:val="en-GB" w:eastAsia="it-IT"/>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lang w:val="en-GB"/>
    </w:rPr>
  </w:style>
  <w:style w:type="character" w:customStyle="1" w:styleId="FootnoteTextChar">
    <w:name w:val="Footnote Text Char"/>
    <w:aliases w:val="single space Char,footnote text Char,Footnote Text Char Char Char1,Footnote Text Char Char Char Char,FOOTNOTES Char,fn Char,Tekst przypisu Char1,Tekst przypisu Char Char,Footnote Text Char1 Char Char,Footnote Text Char Char1 Char"/>
    <w:basedOn w:val="DefaultParagraphFont"/>
    <w:link w:val="FootnoteText"/>
    <w:uiPriority w:val="99"/>
    <w:qFormat/>
    <w:locked/>
    <w:rPr>
      <w:rFonts w:ascii="Calibri" w:eastAsia="Calibri" w:hAnsi="Calibri" w:cs="Times New Roman"/>
      <w:sz w:val="20"/>
      <w:szCs w:val="20"/>
    </w:rPr>
  </w:style>
  <w:style w:type="paragraph" w:styleId="FootnoteText">
    <w:name w:val="footnote text"/>
    <w:aliases w:val="single space,footnote text,Footnote Text Char Char,Footnote Text Char Char Char,FOOTNOTES,fn,Tekst przypisu,Tekst przypisu Char,Footnote Text Char1 Char,Footnote Text Char1 Char Char Char Char,Footnote Text Char Char1,~FootnoteText,ft,f,AD"/>
    <w:basedOn w:val="Normal"/>
    <w:link w:val="FootnoteTextChar"/>
    <w:unhideWhenUsed/>
    <w:qFormat/>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Pr>
      <w:rFonts w:ascii="Times New Roman" w:hAnsi="Times New Roman"/>
      <w:sz w:val="20"/>
      <w:szCs w:val="20"/>
      <w:lang w:val="en-GB"/>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tlid-translation">
    <w:name w:val="tlid-translation"/>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qFormat/>
    <w:rPr>
      <w:rFonts w:ascii="Times New Roman" w:hAnsi="Times New Roman"/>
      <w:sz w:val="20"/>
      <w:szCs w:val="20"/>
      <w:lang w:val="en-GB"/>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rPr>
      <w:rFonts w:asciiTheme="minorHAnsi" w:hAnsiTheme="minorHAns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qFormat/>
    <w:pPr>
      <w:spacing w:after="160" w:line="240" w:lineRule="exact"/>
    </w:pPr>
    <w:rPr>
      <w:rFonts w:asciiTheme="minorHAnsi" w:hAnsiTheme="minorHAnsi"/>
      <w:sz w:val="22"/>
      <w:vertAlign w:val="superscript"/>
      <w:lang w:val="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eastAsia="Times New Roman" w:cs="Times New Roman"/>
      <w:b/>
      <w:szCs w:val="24"/>
    </w:rPr>
  </w:style>
  <w:style w:type="table" w:customStyle="1" w:styleId="TableGrid311">
    <w:name w:val="Table Grid31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shd w:val="clear" w:color="auto" w:fill="FFFFFF"/>
      <w:spacing w:after="1440" w:line="264" w:lineRule="exact"/>
      <w:ind w:hanging="460"/>
    </w:pPr>
    <w:rPr>
      <w:rFonts w:asciiTheme="minorHAnsi" w:hAnsiTheme="minorHAnsi"/>
      <w:sz w:val="22"/>
      <w:lang w:val="en-US"/>
    </w:rPr>
  </w:style>
  <w:style w:type="paragraph" w:customStyle="1" w:styleId="Style">
    <w:name w:val="Style"/>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val="bs-Latn-BA" w:eastAsia="zh-CN"/>
    </w:rPr>
  </w:style>
  <w:style w:type="character" w:customStyle="1" w:styleId="Bodytext21">
    <w:name w:val="Body text|2_"/>
    <w:basedOn w:val="DefaultParagraphFont"/>
    <w:link w:val="Bodytext22"/>
    <w:rPr>
      <w:shd w:val="clear" w:color="auto" w:fill="FFFFFF"/>
    </w:rPr>
  </w:style>
  <w:style w:type="paragraph" w:customStyle="1" w:styleId="Bodytext22">
    <w:name w:val="Body text|2"/>
    <w:basedOn w:val="Normal"/>
    <w:link w:val="Bodytext21"/>
    <w:qFormat/>
    <w:pPr>
      <w:widowControl w:val="0"/>
      <w:shd w:val="clear" w:color="auto" w:fill="FFFFFF"/>
      <w:spacing w:after="1440" w:line="274" w:lineRule="exact"/>
      <w:ind w:hanging="440"/>
    </w:pPr>
    <w:rPr>
      <w:rFonts w:asciiTheme="minorHAnsi" w:hAnsiTheme="minorHAnsi"/>
      <w:sz w:val="22"/>
      <w:lang w:val="en-US"/>
    </w:rPr>
  </w:style>
  <w:style w:type="table" w:customStyle="1" w:styleId="TableGrid31">
    <w:name w:val="Table Grid3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lang w:val="en-GB"/>
    </w:rPr>
  </w:style>
  <w:style w:type="table" w:customStyle="1" w:styleId="TableGrid21">
    <w:name w:val="Table Grid21"/>
    <w:basedOn w:val="TableNormal"/>
    <w:uiPriority w:val="5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Strong">
    <w:name w:val="Strong"/>
    <w:basedOn w:val="DefaultParagraphFont"/>
    <w:uiPriority w:val="22"/>
    <w:qFormat/>
    <w:rPr>
      <w:b/>
      <w:bCs/>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lang w:val="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lang w:val="en-GB"/>
    </w:rPr>
  </w:style>
  <w:style w:type="table" w:customStyle="1" w:styleId="TableGrid1">
    <w:name w:val="Table Grid1"/>
    <w:basedOn w:val="TableNormal"/>
    <w:next w:val="TableGrid"/>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5"/>
      </w:numPr>
      <w:spacing w:line="360" w:lineRule="auto"/>
    </w:pPr>
  </w:style>
  <w:style w:type="paragraph" w:customStyle="1" w:styleId="LegalNumPar2">
    <w:name w:val="LegalNumPar2"/>
    <w:basedOn w:val="Normal"/>
    <w:pPr>
      <w:numPr>
        <w:ilvl w:val="1"/>
        <w:numId w:val="5"/>
      </w:numPr>
      <w:spacing w:line="360" w:lineRule="auto"/>
    </w:pPr>
  </w:style>
  <w:style w:type="paragraph" w:customStyle="1" w:styleId="LegalNumPar3">
    <w:name w:val="LegalNumPar3"/>
    <w:basedOn w:val="Normal"/>
    <w:pPr>
      <w:numPr>
        <w:ilvl w:val="2"/>
        <w:numId w:val="5"/>
      </w:numPr>
      <w:spacing w:line="360" w:lineRule="auto"/>
    </w:pPr>
  </w:style>
  <w:style w:type="character" w:customStyle="1" w:styleId="reference-text">
    <w:name w:val="reference-text"/>
    <w:basedOn w:val="DefaultParagraphFont"/>
  </w:style>
  <w:style w:type="paragraph" w:styleId="ListBullet">
    <w:name w:val="List Bullet"/>
    <w:basedOn w:val="Normal"/>
    <w:pPr>
      <w:numPr>
        <w:numId w:val="7"/>
      </w:numPr>
      <w:spacing w:after="240" w:line="240" w:lineRule="auto"/>
      <w:jc w:val="both"/>
    </w:pPr>
    <w:rPr>
      <w:rFonts w:eastAsia="Times New Roman" w:cs="Times New Roman"/>
      <w:szCs w:val="20"/>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I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semiHidden/>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semiHidden/>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semiHidden/>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semiHidden/>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semiHidden/>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semiHidden/>
    <w:pPr>
      <w:tabs>
        <w:tab w:val="right" w:leader="dot" w:pos="9071"/>
      </w:tabs>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pPr>
      <w:numPr>
        <w:numId w:val="40"/>
      </w:numPr>
      <w:spacing w:before="120" w:after="120" w:line="240" w:lineRule="auto"/>
      <w:jc w:val="both"/>
    </w:pPr>
    <w:rPr>
      <w:rFonts w:eastAsia="Times New Roman" w:cs="Times New Roman"/>
      <w:szCs w:val="24"/>
    </w:rPr>
  </w:style>
  <w:style w:type="paragraph" w:customStyle="1" w:styleId="NumPar2">
    <w:name w:val="NumPar 2"/>
    <w:basedOn w:val="Normal"/>
    <w:next w:val="Text1"/>
    <w:pPr>
      <w:numPr>
        <w:ilvl w:val="1"/>
        <w:numId w:val="40"/>
      </w:numPr>
      <w:spacing w:before="120" w:after="120" w:line="240" w:lineRule="auto"/>
      <w:jc w:val="both"/>
    </w:pPr>
    <w:rPr>
      <w:rFonts w:eastAsia="Times New Roman" w:cs="Times New Roman"/>
      <w:szCs w:val="24"/>
    </w:rPr>
  </w:style>
  <w:style w:type="paragraph" w:customStyle="1" w:styleId="NumPar3">
    <w:name w:val="NumPar 3"/>
    <w:basedOn w:val="Normal"/>
    <w:next w:val="Text1"/>
    <w:pPr>
      <w:numPr>
        <w:ilvl w:val="2"/>
        <w:numId w:val="40"/>
      </w:numPr>
      <w:spacing w:before="120" w:after="120" w:line="240" w:lineRule="auto"/>
      <w:jc w:val="both"/>
    </w:pPr>
    <w:rPr>
      <w:rFonts w:eastAsia="Times New Roman" w:cs="Times New Roman"/>
      <w:szCs w:val="24"/>
    </w:rPr>
  </w:style>
  <w:style w:type="paragraph" w:customStyle="1" w:styleId="NumPar4">
    <w:name w:val="NumPar 4"/>
    <w:basedOn w:val="Normal"/>
    <w:next w:val="Text1"/>
    <w:pPr>
      <w:numPr>
        <w:ilvl w:val="3"/>
        <w:numId w:val="40"/>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eastAsia="Times New Roman" w:cs="Times New Roman"/>
      <w:b/>
      <w:sz w:val="28"/>
      <w:szCs w:val="24"/>
    </w:rPr>
  </w:style>
  <w:style w:type="paragraph" w:customStyle="1" w:styleId="Point0number">
    <w:name w:val="Point 0 (number)"/>
    <w:basedOn w:val="Normal"/>
    <w:pPr>
      <w:numPr>
        <w:numId w:val="41"/>
      </w:numPr>
      <w:spacing w:before="120" w:after="120" w:line="240" w:lineRule="auto"/>
      <w:jc w:val="both"/>
    </w:pPr>
    <w:rPr>
      <w:rFonts w:eastAsia="Times New Roman" w:cs="Times New Roman"/>
      <w:szCs w:val="24"/>
    </w:rPr>
  </w:style>
  <w:style w:type="paragraph" w:customStyle="1" w:styleId="Point1number">
    <w:name w:val="Point 1 (number)"/>
    <w:basedOn w:val="Normal"/>
    <w:pPr>
      <w:numPr>
        <w:ilvl w:val="2"/>
        <w:numId w:val="41"/>
      </w:numPr>
      <w:spacing w:before="120" w:after="120" w:line="240" w:lineRule="auto"/>
      <w:jc w:val="both"/>
    </w:pPr>
    <w:rPr>
      <w:rFonts w:eastAsia="Times New Roman" w:cs="Times New Roman"/>
      <w:szCs w:val="24"/>
    </w:rPr>
  </w:style>
  <w:style w:type="paragraph" w:customStyle="1" w:styleId="Point2number">
    <w:name w:val="Point 2 (number)"/>
    <w:basedOn w:val="Normal"/>
    <w:pPr>
      <w:numPr>
        <w:ilvl w:val="4"/>
        <w:numId w:val="41"/>
      </w:numPr>
      <w:spacing w:before="120" w:after="120" w:line="240" w:lineRule="auto"/>
      <w:jc w:val="both"/>
    </w:pPr>
    <w:rPr>
      <w:rFonts w:eastAsia="Times New Roman" w:cs="Times New Roman"/>
      <w:szCs w:val="24"/>
    </w:rPr>
  </w:style>
  <w:style w:type="paragraph" w:customStyle="1" w:styleId="Point3number">
    <w:name w:val="Point 3 (number)"/>
    <w:basedOn w:val="Normal"/>
    <w:pPr>
      <w:numPr>
        <w:ilvl w:val="6"/>
        <w:numId w:val="41"/>
      </w:numPr>
      <w:spacing w:before="120" w:after="120" w:line="240" w:lineRule="auto"/>
      <w:jc w:val="both"/>
    </w:pPr>
    <w:rPr>
      <w:rFonts w:eastAsia="Times New Roman" w:cs="Times New Roman"/>
      <w:szCs w:val="24"/>
    </w:rPr>
  </w:style>
  <w:style w:type="paragraph" w:customStyle="1" w:styleId="Point0letter">
    <w:name w:val="Point 0 (letter)"/>
    <w:basedOn w:val="Normal"/>
    <w:pPr>
      <w:numPr>
        <w:ilvl w:val="1"/>
        <w:numId w:val="41"/>
      </w:numPr>
      <w:spacing w:before="120" w:after="120" w:line="240" w:lineRule="auto"/>
      <w:jc w:val="both"/>
    </w:pPr>
    <w:rPr>
      <w:rFonts w:eastAsia="Times New Roman" w:cs="Times New Roman"/>
      <w:szCs w:val="24"/>
    </w:rPr>
  </w:style>
  <w:style w:type="paragraph" w:customStyle="1" w:styleId="Point1letter">
    <w:name w:val="Point 1 (letter)"/>
    <w:basedOn w:val="Normal"/>
    <w:pPr>
      <w:numPr>
        <w:ilvl w:val="3"/>
        <w:numId w:val="41"/>
      </w:numPr>
      <w:spacing w:before="120" w:after="120" w:line="240" w:lineRule="auto"/>
      <w:jc w:val="both"/>
    </w:pPr>
    <w:rPr>
      <w:rFonts w:eastAsia="Times New Roman" w:cs="Times New Roman"/>
      <w:szCs w:val="24"/>
    </w:rPr>
  </w:style>
  <w:style w:type="paragraph" w:customStyle="1" w:styleId="Point2letter">
    <w:name w:val="Point 2 (letter)"/>
    <w:basedOn w:val="Normal"/>
    <w:pPr>
      <w:numPr>
        <w:ilvl w:val="5"/>
        <w:numId w:val="41"/>
      </w:numPr>
      <w:spacing w:before="120" w:after="120" w:line="240" w:lineRule="auto"/>
      <w:jc w:val="both"/>
    </w:pPr>
    <w:rPr>
      <w:rFonts w:eastAsia="Times New Roman" w:cs="Times New Roman"/>
      <w:szCs w:val="24"/>
    </w:rPr>
  </w:style>
  <w:style w:type="paragraph" w:customStyle="1" w:styleId="Point3letter">
    <w:name w:val="Point 3 (letter)"/>
    <w:basedOn w:val="Normal"/>
    <w:pPr>
      <w:numPr>
        <w:ilvl w:val="7"/>
        <w:numId w:val="41"/>
      </w:numPr>
      <w:spacing w:before="120" w:after="120" w:line="240" w:lineRule="auto"/>
      <w:jc w:val="both"/>
    </w:pPr>
    <w:rPr>
      <w:rFonts w:eastAsia="Times New Roman" w:cs="Times New Roman"/>
      <w:szCs w:val="24"/>
    </w:rPr>
  </w:style>
  <w:style w:type="paragraph" w:customStyle="1" w:styleId="Point4letter">
    <w:name w:val="Point 4 (letter)"/>
    <w:basedOn w:val="Normal"/>
    <w:pPr>
      <w:numPr>
        <w:ilvl w:val="8"/>
        <w:numId w:val="41"/>
      </w:numPr>
      <w:spacing w:before="120" w:after="120" w:line="240" w:lineRule="auto"/>
      <w:jc w:val="both"/>
    </w:pPr>
    <w:rPr>
      <w:rFonts w:eastAsia="Times New Roman" w:cs="Times New Roman"/>
      <w:szCs w:val="24"/>
    </w:rPr>
  </w:style>
  <w:style w:type="paragraph" w:customStyle="1" w:styleId="Bullet0">
    <w:name w:val="Bullet 0"/>
    <w:basedOn w:val="Normal"/>
    <w:pPr>
      <w:numPr>
        <w:numId w:val="42"/>
      </w:numPr>
      <w:spacing w:before="120" w:after="120" w:line="240" w:lineRule="auto"/>
      <w:jc w:val="both"/>
    </w:pPr>
    <w:rPr>
      <w:rFonts w:eastAsia="Times New Roman" w:cs="Times New Roman"/>
      <w:szCs w:val="24"/>
    </w:rPr>
  </w:style>
  <w:style w:type="paragraph" w:customStyle="1" w:styleId="Bullet2">
    <w:name w:val="Bullet 2"/>
    <w:basedOn w:val="Normal"/>
    <w:pPr>
      <w:numPr>
        <w:numId w:val="43"/>
      </w:numPr>
      <w:spacing w:before="120" w:after="120" w:line="240" w:lineRule="auto"/>
      <w:jc w:val="both"/>
    </w:pPr>
    <w:rPr>
      <w:rFonts w:eastAsia="Times New Roman" w:cs="Times New Roman"/>
      <w:szCs w:val="24"/>
    </w:rPr>
  </w:style>
  <w:style w:type="paragraph" w:customStyle="1" w:styleId="Bullet3">
    <w:name w:val="Bullet 3"/>
    <w:basedOn w:val="Normal"/>
    <w:pPr>
      <w:numPr>
        <w:numId w:val="44"/>
      </w:numPr>
      <w:spacing w:before="120" w:after="120" w:line="240" w:lineRule="auto"/>
      <w:jc w:val="both"/>
    </w:pPr>
    <w:rPr>
      <w:rFonts w:eastAsia="Times New Roman" w:cs="Times New Roman"/>
      <w:szCs w:val="24"/>
    </w:rPr>
  </w:style>
  <w:style w:type="paragraph" w:customStyle="1" w:styleId="Bullet4">
    <w:name w:val="Bullet 4"/>
    <w:basedOn w:val="Normal"/>
    <w:pPr>
      <w:numPr>
        <w:numId w:val="45"/>
      </w:numPr>
      <w:spacing w:before="120" w:after="120" w:line="240" w:lineRule="auto"/>
      <w:jc w:val="both"/>
    </w:pPr>
    <w:rPr>
      <w:rFonts w:eastAsia="Times New Roman" w:cs="Times New Roman"/>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rPr>
  </w:style>
  <w:style w:type="paragraph" w:customStyle="1" w:styleId="Fait">
    <w:name w:val="Fait à"/>
    <w:basedOn w:val="Normal"/>
    <w:next w:val="Institutionquisigne"/>
    <w:pPr>
      <w:keepNext/>
      <w:spacing w:before="120" w:after="0" w:line="240" w:lineRule="auto"/>
      <w:jc w:val="both"/>
    </w:pPr>
    <w:rPr>
      <w:rFonts w:eastAsia="Times New Roman" w:cs="Times New Roman"/>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6"/>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Cs w:val="24"/>
    </w:rPr>
  </w:style>
  <w:style w:type="paragraph" w:customStyle="1" w:styleId="Emission">
    <w:name w:val="Emission"/>
    <w:basedOn w:val="Normal"/>
    <w:next w:val="Rfrenceinstitutionnelle"/>
    <w:pPr>
      <w:spacing w:after="0" w:line="240" w:lineRule="auto"/>
      <w:ind w:left="5103"/>
    </w:pPr>
    <w:rPr>
      <w:rFonts w:eastAsia="Times New Roman" w:cs="Times New Roman"/>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Cs w:val="24"/>
    </w:rPr>
  </w:style>
  <w:style w:type="paragraph" w:customStyle="1" w:styleId="Statut">
    <w:name w:val="Statut"/>
    <w:basedOn w:val="Normal"/>
    <w:next w:val="Typedudocument"/>
    <w:pPr>
      <w:spacing w:before="360" w:after="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Pagedecouverture">
    <w:name w:val="Page de couverture"/>
    <w:basedOn w:val="Normal"/>
    <w:next w:val="Normal"/>
    <w:pPr>
      <w:spacing w:after="0" w:line="240" w:lineRule="auto"/>
      <w:jc w:val="both"/>
    </w:pPr>
    <w:rPr>
      <w:rFonts w:eastAsia="Times New Roman" w:cs="Times New Roman"/>
      <w:szCs w:val="24"/>
    </w:rPr>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styleId="ListBullet2">
    <w:name w:val="List Bullet 2"/>
    <w:basedOn w:val="Normal"/>
    <w:pPr>
      <w:numPr>
        <w:numId w:val="54"/>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styleId="ListBullet3">
    <w:name w:val="List Bullet 3"/>
    <w:basedOn w:val="Normal"/>
    <w:pPr>
      <w:numPr>
        <w:numId w:val="55"/>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styleId="ListBullet4">
    <w:name w:val="List Bullet 4"/>
    <w:basedOn w:val="Normal"/>
    <w:pPr>
      <w:numPr>
        <w:numId w:val="56"/>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customStyle="1" w:styleId="ListBullet1">
    <w:name w:val="List Bullet 1"/>
    <w:basedOn w:val="Normal"/>
    <w:pPr>
      <w:numPr>
        <w:numId w:val="47"/>
      </w:numPr>
      <w:spacing w:before="120" w:after="120" w:line="240" w:lineRule="auto"/>
      <w:jc w:val="both"/>
    </w:pPr>
    <w:rPr>
      <w:rFonts w:eastAsia="Times New Roman" w:cs="Times New Roman"/>
      <w:szCs w:val="24"/>
      <w:lang w:eastAsia="de-DE"/>
    </w:rPr>
  </w:style>
  <w:style w:type="paragraph" w:customStyle="1" w:styleId="ListDash">
    <w:name w:val="List Dash"/>
    <w:basedOn w:val="Normal"/>
    <w:pPr>
      <w:numPr>
        <w:numId w:val="48"/>
      </w:numPr>
      <w:spacing w:before="120" w:after="120" w:line="240" w:lineRule="auto"/>
      <w:jc w:val="both"/>
    </w:pPr>
    <w:rPr>
      <w:rFonts w:eastAsia="Times New Roman" w:cs="Times New Roman"/>
      <w:szCs w:val="24"/>
      <w:lang w:eastAsia="de-DE"/>
    </w:rPr>
  </w:style>
  <w:style w:type="paragraph" w:customStyle="1" w:styleId="ListDash1">
    <w:name w:val="List Dash 1"/>
    <w:basedOn w:val="Normal"/>
    <w:pPr>
      <w:numPr>
        <w:numId w:val="49"/>
      </w:numPr>
      <w:spacing w:before="120" w:after="120" w:line="240" w:lineRule="auto"/>
      <w:jc w:val="both"/>
    </w:pPr>
    <w:rPr>
      <w:rFonts w:eastAsia="Times New Roman" w:cs="Times New Roman"/>
      <w:szCs w:val="24"/>
      <w:lang w:eastAsia="de-DE"/>
    </w:rPr>
  </w:style>
  <w:style w:type="paragraph" w:customStyle="1" w:styleId="ListDash2">
    <w:name w:val="List Dash 2"/>
    <w:basedOn w:val="Normal"/>
    <w:pPr>
      <w:numPr>
        <w:numId w:val="50"/>
      </w:numPr>
      <w:spacing w:before="120" w:after="120" w:line="240" w:lineRule="auto"/>
      <w:jc w:val="both"/>
    </w:pPr>
    <w:rPr>
      <w:rFonts w:eastAsia="Times New Roman" w:cs="Times New Roman"/>
      <w:szCs w:val="24"/>
      <w:lang w:eastAsia="de-DE"/>
    </w:rPr>
  </w:style>
  <w:style w:type="paragraph" w:customStyle="1" w:styleId="ListDash3">
    <w:name w:val="List Dash 3"/>
    <w:basedOn w:val="Normal"/>
    <w:pPr>
      <w:numPr>
        <w:numId w:val="51"/>
      </w:numPr>
      <w:spacing w:before="120" w:after="120" w:line="240" w:lineRule="auto"/>
      <w:jc w:val="both"/>
    </w:pPr>
    <w:rPr>
      <w:rFonts w:eastAsia="Times New Roman" w:cs="Times New Roman"/>
      <w:szCs w:val="24"/>
      <w:lang w:eastAsia="de-DE"/>
    </w:rPr>
  </w:style>
  <w:style w:type="paragraph" w:customStyle="1" w:styleId="ListDash4">
    <w:name w:val="List Dash 4"/>
    <w:basedOn w:val="Normal"/>
    <w:pPr>
      <w:numPr>
        <w:numId w:val="52"/>
      </w:numPr>
      <w:spacing w:before="120" w:after="120" w:line="240" w:lineRule="auto"/>
      <w:jc w:val="both"/>
    </w:pPr>
    <w:rPr>
      <w:rFonts w:eastAsia="Times New Roman" w:cs="Times New Roman"/>
      <w:szCs w:val="24"/>
      <w:lang w:eastAsia="de-DE"/>
    </w:rPr>
  </w:style>
  <w:style w:type="paragraph" w:customStyle="1" w:styleId="ListNumber1">
    <w:name w:val="List Number 1"/>
    <w:basedOn w:val="Text1"/>
    <w:pPr>
      <w:numPr>
        <w:numId w:val="53"/>
      </w:numPr>
    </w:pPr>
    <w:rPr>
      <w:lang w:eastAsia="de-DE"/>
    </w:rPr>
  </w:style>
  <w:style w:type="paragraph" w:customStyle="1" w:styleId="ListNumberLevel2">
    <w:name w:val="List Number (Level 2)"/>
    <w:basedOn w:val="Normal"/>
    <w:pPr>
      <w:tabs>
        <w:tab w:val="num" w:pos="1417"/>
      </w:tabs>
      <w:spacing w:before="120" w:after="120" w:line="240" w:lineRule="auto"/>
      <w:ind w:left="1417" w:hanging="708"/>
      <w:jc w:val="both"/>
    </w:pPr>
    <w:rPr>
      <w:rFonts w:eastAsia="Times New Roman" w:cs="Times New Roman"/>
      <w:szCs w:val="24"/>
      <w:lang w:eastAsia="de-DE"/>
    </w:rPr>
  </w:style>
  <w:style w:type="paragraph" w:customStyle="1" w:styleId="ListNumber1Level2">
    <w:name w:val="List Number 1 (Level 2)"/>
    <w:basedOn w:val="Text1"/>
    <w:pPr>
      <w:numPr>
        <w:ilvl w:val="1"/>
        <w:numId w:val="53"/>
      </w:numPr>
    </w:pPr>
    <w:rPr>
      <w:lang w:eastAsia="de-DE"/>
    </w:rPr>
  </w:style>
  <w:style w:type="paragraph" w:customStyle="1" w:styleId="ListNumber2Level2">
    <w:name w:val="List Number 2 (Level 2)"/>
    <w:basedOn w:val="Text2"/>
    <w:pPr>
      <w:numPr>
        <w:ilvl w:val="1"/>
        <w:numId w:val="54"/>
      </w:numPr>
    </w:pPr>
    <w:rPr>
      <w:lang w:eastAsia="de-DE"/>
    </w:rPr>
  </w:style>
  <w:style w:type="paragraph" w:customStyle="1" w:styleId="ListNumber3Level2">
    <w:name w:val="List Number 3 (Level 2)"/>
    <w:basedOn w:val="Text3"/>
    <w:pPr>
      <w:numPr>
        <w:ilvl w:val="1"/>
        <w:numId w:val="55"/>
      </w:numPr>
    </w:pPr>
    <w:rPr>
      <w:lang w:eastAsia="de-DE"/>
    </w:rPr>
  </w:style>
  <w:style w:type="paragraph" w:customStyle="1" w:styleId="ListNumber4Level2">
    <w:name w:val="List Number 4 (Level 2)"/>
    <w:basedOn w:val="Text4"/>
    <w:pPr>
      <w:numPr>
        <w:ilvl w:val="1"/>
        <w:numId w:val="56"/>
      </w:numPr>
    </w:pPr>
    <w:rPr>
      <w:lang w:eastAsia="de-DE"/>
    </w:rPr>
  </w:style>
  <w:style w:type="paragraph" w:customStyle="1" w:styleId="ListNumberLevel3">
    <w:name w:val="List Number (Level 3)"/>
    <w:basedOn w:val="Normal"/>
    <w:pPr>
      <w:tabs>
        <w:tab w:val="num" w:pos="2126"/>
      </w:tabs>
      <w:spacing w:before="120" w:after="120" w:line="240" w:lineRule="auto"/>
      <w:ind w:left="2126" w:hanging="709"/>
      <w:jc w:val="both"/>
    </w:pPr>
    <w:rPr>
      <w:rFonts w:eastAsia="Times New Roman" w:cs="Times New Roman"/>
      <w:szCs w:val="24"/>
      <w:lang w:eastAsia="de-DE"/>
    </w:rPr>
  </w:style>
  <w:style w:type="paragraph" w:customStyle="1" w:styleId="ListNumber1Level3">
    <w:name w:val="List Number 1 (Level 3)"/>
    <w:basedOn w:val="Text1"/>
    <w:pPr>
      <w:numPr>
        <w:ilvl w:val="2"/>
        <w:numId w:val="53"/>
      </w:numPr>
    </w:pPr>
    <w:rPr>
      <w:lang w:eastAsia="de-DE"/>
    </w:rPr>
  </w:style>
  <w:style w:type="paragraph" w:customStyle="1" w:styleId="ListNumber2Level3">
    <w:name w:val="List Number 2 (Level 3)"/>
    <w:basedOn w:val="Text2"/>
    <w:pPr>
      <w:numPr>
        <w:ilvl w:val="2"/>
        <w:numId w:val="54"/>
      </w:numPr>
    </w:pPr>
    <w:rPr>
      <w:lang w:eastAsia="de-DE"/>
    </w:rPr>
  </w:style>
  <w:style w:type="paragraph" w:customStyle="1" w:styleId="ListNumber3Level3">
    <w:name w:val="List Number 3 (Level 3)"/>
    <w:basedOn w:val="Text3"/>
    <w:pPr>
      <w:numPr>
        <w:ilvl w:val="2"/>
        <w:numId w:val="55"/>
      </w:numPr>
    </w:pPr>
    <w:rPr>
      <w:lang w:eastAsia="de-DE"/>
    </w:rPr>
  </w:style>
  <w:style w:type="paragraph" w:customStyle="1" w:styleId="ListNumber4Level3">
    <w:name w:val="List Number 4 (Level 3)"/>
    <w:basedOn w:val="Text4"/>
    <w:pPr>
      <w:numPr>
        <w:ilvl w:val="2"/>
        <w:numId w:val="56"/>
      </w:numPr>
    </w:pPr>
    <w:rPr>
      <w:lang w:eastAsia="de-DE"/>
    </w:rPr>
  </w:style>
  <w:style w:type="paragraph" w:customStyle="1" w:styleId="ListNumberLevel4">
    <w:name w:val="List Number (Level 4)"/>
    <w:basedOn w:val="Normal"/>
    <w:pPr>
      <w:tabs>
        <w:tab w:val="num" w:pos="2835"/>
      </w:tabs>
      <w:spacing w:before="120" w:after="120" w:line="240" w:lineRule="auto"/>
      <w:ind w:left="2835" w:hanging="709"/>
      <w:jc w:val="both"/>
    </w:pPr>
    <w:rPr>
      <w:rFonts w:eastAsia="Times New Roman" w:cs="Times New Roman"/>
      <w:szCs w:val="24"/>
      <w:lang w:eastAsia="de-DE"/>
    </w:rPr>
  </w:style>
  <w:style w:type="paragraph" w:customStyle="1" w:styleId="ListNumber1Level4">
    <w:name w:val="List Number 1 (Level 4)"/>
    <w:basedOn w:val="Text1"/>
    <w:pPr>
      <w:numPr>
        <w:ilvl w:val="3"/>
        <w:numId w:val="53"/>
      </w:numPr>
    </w:pPr>
    <w:rPr>
      <w:lang w:eastAsia="de-DE"/>
    </w:rPr>
  </w:style>
  <w:style w:type="paragraph" w:customStyle="1" w:styleId="ListNumber2Level4">
    <w:name w:val="List Number 2 (Level 4)"/>
    <w:basedOn w:val="Text2"/>
    <w:pPr>
      <w:numPr>
        <w:ilvl w:val="3"/>
        <w:numId w:val="54"/>
      </w:numPr>
    </w:pPr>
    <w:rPr>
      <w:lang w:eastAsia="de-DE"/>
    </w:rPr>
  </w:style>
  <w:style w:type="paragraph" w:customStyle="1" w:styleId="ListNumber3Level4">
    <w:name w:val="List Number 3 (Level 4)"/>
    <w:basedOn w:val="Text3"/>
    <w:pPr>
      <w:numPr>
        <w:ilvl w:val="3"/>
        <w:numId w:val="55"/>
      </w:numPr>
    </w:pPr>
    <w:rPr>
      <w:lang w:eastAsia="de-DE"/>
    </w:rPr>
  </w:style>
  <w:style w:type="paragraph" w:customStyle="1" w:styleId="ListNumber4Level4">
    <w:name w:val="List Number 4 (Level 4)"/>
    <w:basedOn w:val="Text4"/>
    <w:pPr>
      <w:numPr>
        <w:ilvl w:val="3"/>
        <w:numId w:val="56"/>
      </w:numPr>
    </w:pPr>
    <w:rPr>
      <w:lang w:eastAsia="de-DE"/>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eastAsia="Times New Roman" w:cs="Times New Roman"/>
      <w:szCs w:val="24"/>
    </w:rPr>
  </w:style>
  <w:style w:type="paragraph" w:styleId="ListNumber">
    <w:name w:val="List Number"/>
    <w:basedOn w:val="Normal"/>
    <w:pPr>
      <w:numPr>
        <w:numId w:val="57"/>
      </w:numPr>
      <w:spacing w:before="120" w:after="120" w:line="240" w:lineRule="auto"/>
      <w:jc w:val="both"/>
    </w:pPr>
    <w:rPr>
      <w:rFonts w:eastAsia="Times New Roman" w:cs="Times New Roman"/>
      <w:szCs w:val="24"/>
    </w:rPr>
  </w:style>
  <w:style w:type="paragraph" w:styleId="ListNumber2">
    <w:name w:val="List Number 2"/>
    <w:basedOn w:val="Normal"/>
    <w:pPr>
      <w:numPr>
        <w:numId w:val="58"/>
      </w:numPr>
      <w:spacing w:before="120" w:after="120" w:line="240" w:lineRule="auto"/>
      <w:jc w:val="both"/>
    </w:pPr>
    <w:rPr>
      <w:rFonts w:eastAsia="Times New Roman" w:cs="Times New Roman"/>
      <w:szCs w:val="24"/>
    </w:rPr>
  </w:style>
  <w:style w:type="paragraph" w:styleId="ListNumber3">
    <w:name w:val="List Number 3"/>
    <w:basedOn w:val="Normal"/>
    <w:pPr>
      <w:numPr>
        <w:numId w:val="59"/>
      </w:numPr>
      <w:spacing w:before="120" w:after="120" w:line="240" w:lineRule="auto"/>
      <w:jc w:val="both"/>
    </w:pPr>
    <w:rPr>
      <w:rFonts w:eastAsia="Times New Roman" w:cs="Times New Roman"/>
      <w:szCs w:val="24"/>
    </w:rPr>
  </w:style>
  <w:style w:type="paragraph" w:styleId="ListNumber4">
    <w:name w:val="List Number 4"/>
    <w:basedOn w:val="Normal"/>
    <w:pPr>
      <w:numPr>
        <w:numId w:val="60"/>
      </w:numPr>
      <w:spacing w:before="120" w:after="120" w:line="240" w:lineRule="auto"/>
      <w:jc w:val="both"/>
    </w:pPr>
    <w:rPr>
      <w:rFonts w:eastAsia="Times New Roman" w:cs="Times New Roman"/>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2"/>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n-GB"/>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imes New Roman" w:hAnsi="Times New Roman" w:cs="Times New Roman"/>
      <w:b w:val="0"/>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0131">
      <w:bodyDiv w:val="1"/>
      <w:marLeft w:val="0"/>
      <w:marRight w:val="0"/>
      <w:marTop w:val="0"/>
      <w:marBottom w:val="0"/>
      <w:divBdr>
        <w:top w:val="none" w:sz="0" w:space="0" w:color="auto"/>
        <w:left w:val="none" w:sz="0" w:space="0" w:color="auto"/>
        <w:bottom w:val="none" w:sz="0" w:space="0" w:color="auto"/>
        <w:right w:val="none" w:sz="0" w:space="0" w:color="auto"/>
      </w:divBdr>
    </w:div>
    <w:div w:id="142357765">
      <w:bodyDiv w:val="1"/>
      <w:marLeft w:val="0"/>
      <w:marRight w:val="0"/>
      <w:marTop w:val="0"/>
      <w:marBottom w:val="0"/>
      <w:divBdr>
        <w:top w:val="none" w:sz="0" w:space="0" w:color="auto"/>
        <w:left w:val="none" w:sz="0" w:space="0" w:color="auto"/>
        <w:bottom w:val="none" w:sz="0" w:space="0" w:color="auto"/>
        <w:right w:val="none" w:sz="0" w:space="0" w:color="auto"/>
      </w:divBdr>
    </w:div>
    <w:div w:id="261498743">
      <w:bodyDiv w:val="1"/>
      <w:marLeft w:val="0"/>
      <w:marRight w:val="0"/>
      <w:marTop w:val="0"/>
      <w:marBottom w:val="0"/>
      <w:divBdr>
        <w:top w:val="none" w:sz="0" w:space="0" w:color="auto"/>
        <w:left w:val="none" w:sz="0" w:space="0" w:color="auto"/>
        <w:bottom w:val="none" w:sz="0" w:space="0" w:color="auto"/>
        <w:right w:val="none" w:sz="0" w:space="0" w:color="auto"/>
      </w:divBdr>
    </w:div>
    <w:div w:id="303894238">
      <w:bodyDiv w:val="1"/>
      <w:marLeft w:val="0"/>
      <w:marRight w:val="0"/>
      <w:marTop w:val="0"/>
      <w:marBottom w:val="0"/>
      <w:divBdr>
        <w:top w:val="none" w:sz="0" w:space="0" w:color="auto"/>
        <w:left w:val="none" w:sz="0" w:space="0" w:color="auto"/>
        <w:bottom w:val="none" w:sz="0" w:space="0" w:color="auto"/>
        <w:right w:val="none" w:sz="0" w:space="0" w:color="auto"/>
      </w:divBdr>
    </w:div>
    <w:div w:id="532108526">
      <w:bodyDiv w:val="1"/>
      <w:marLeft w:val="0"/>
      <w:marRight w:val="0"/>
      <w:marTop w:val="0"/>
      <w:marBottom w:val="0"/>
      <w:divBdr>
        <w:top w:val="none" w:sz="0" w:space="0" w:color="auto"/>
        <w:left w:val="none" w:sz="0" w:space="0" w:color="auto"/>
        <w:bottom w:val="none" w:sz="0" w:space="0" w:color="auto"/>
        <w:right w:val="none" w:sz="0" w:space="0" w:color="auto"/>
      </w:divBdr>
    </w:div>
    <w:div w:id="787090202">
      <w:bodyDiv w:val="1"/>
      <w:marLeft w:val="0"/>
      <w:marRight w:val="0"/>
      <w:marTop w:val="0"/>
      <w:marBottom w:val="0"/>
      <w:divBdr>
        <w:top w:val="none" w:sz="0" w:space="0" w:color="auto"/>
        <w:left w:val="none" w:sz="0" w:space="0" w:color="auto"/>
        <w:bottom w:val="none" w:sz="0" w:space="0" w:color="auto"/>
        <w:right w:val="none" w:sz="0" w:space="0" w:color="auto"/>
      </w:divBdr>
    </w:div>
    <w:div w:id="803085928">
      <w:bodyDiv w:val="1"/>
      <w:marLeft w:val="0"/>
      <w:marRight w:val="0"/>
      <w:marTop w:val="0"/>
      <w:marBottom w:val="0"/>
      <w:divBdr>
        <w:top w:val="none" w:sz="0" w:space="0" w:color="auto"/>
        <w:left w:val="none" w:sz="0" w:space="0" w:color="auto"/>
        <w:bottom w:val="none" w:sz="0" w:space="0" w:color="auto"/>
        <w:right w:val="none" w:sz="0" w:space="0" w:color="auto"/>
      </w:divBdr>
    </w:div>
    <w:div w:id="917443642">
      <w:bodyDiv w:val="1"/>
      <w:marLeft w:val="0"/>
      <w:marRight w:val="0"/>
      <w:marTop w:val="0"/>
      <w:marBottom w:val="0"/>
      <w:divBdr>
        <w:top w:val="none" w:sz="0" w:space="0" w:color="auto"/>
        <w:left w:val="none" w:sz="0" w:space="0" w:color="auto"/>
        <w:bottom w:val="none" w:sz="0" w:space="0" w:color="auto"/>
        <w:right w:val="none" w:sz="0" w:space="0" w:color="auto"/>
      </w:divBdr>
    </w:div>
    <w:div w:id="933245686">
      <w:bodyDiv w:val="1"/>
      <w:marLeft w:val="0"/>
      <w:marRight w:val="0"/>
      <w:marTop w:val="0"/>
      <w:marBottom w:val="0"/>
      <w:divBdr>
        <w:top w:val="none" w:sz="0" w:space="0" w:color="auto"/>
        <w:left w:val="none" w:sz="0" w:space="0" w:color="auto"/>
        <w:bottom w:val="none" w:sz="0" w:space="0" w:color="auto"/>
        <w:right w:val="none" w:sz="0" w:space="0" w:color="auto"/>
      </w:divBdr>
    </w:div>
    <w:div w:id="1207523064">
      <w:bodyDiv w:val="1"/>
      <w:marLeft w:val="0"/>
      <w:marRight w:val="0"/>
      <w:marTop w:val="0"/>
      <w:marBottom w:val="0"/>
      <w:divBdr>
        <w:top w:val="none" w:sz="0" w:space="0" w:color="auto"/>
        <w:left w:val="none" w:sz="0" w:space="0" w:color="auto"/>
        <w:bottom w:val="none" w:sz="0" w:space="0" w:color="auto"/>
        <w:right w:val="none" w:sz="0" w:space="0" w:color="auto"/>
      </w:divBdr>
    </w:div>
    <w:div w:id="1348485861">
      <w:bodyDiv w:val="1"/>
      <w:marLeft w:val="0"/>
      <w:marRight w:val="0"/>
      <w:marTop w:val="0"/>
      <w:marBottom w:val="0"/>
      <w:divBdr>
        <w:top w:val="none" w:sz="0" w:space="0" w:color="auto"/>
        <w:left w:val="none" w:sz="0" w:space="0" w:color="auto"/>
        <w:bottom w:val="none" w:sz="0" w:space="0" w:color="auto"/>
        <w:right w:val="none" w:sz="0" w:space="0" w:color="auto"/>
      </w:divBdr>
    </w:div>
    <w:div w:id="1413820393">
      <w:bodyDiv w:val="1"/>
      <w:marLeft w:val="0"/>
      <w:marRight w:val="0"/>
      <w:marTop w:val="0"/>
      <w:marBottom w:val="0"/>
      <w:divBdr>
        <w:top w:val="none" w:sz="0" w:space="0" w:color="auto"/>
        <w:left w:val="none" w:sz="0" w:space="0" w:color="auto"/>
        <w:bottom w:val="none" w:sz="0" w:space="0" w:color="auto"/>
        <w:right w:val="none" w:sz="0" w:space="0" w:color="auto"/>
      </w:divBdr>
    </w:div>
    <w:div w:id="1588880319">
      <w:bodyDiv w:val="1"/>
      <w:marLeft w:val="0"/>
      <w:marRight w:val="0"/>
      <w:marTop w:val="0"/>
      <w:marBottom w:val="0"/>
      <w:divBdr>
        <w:top w:val="none" w:sz="0" w:space="0" w:color="auto"/>
        <w:left w:val="none" w:sz="0" w:space="0" w:color="auto"/>
        <w:bottom w:val="none" w:sz="0" w:space="0" w:color="auto"/>
        <w:right w:val="none" w:sz="0" w:space="0" w:color="auto"/>
      </w:divBdr>
    </w:div>
    <w:div w:id="1809125037">
      <w:bodyDiv w:val="1"/>
      <w:marLeft w:val="0"/>
      <w:marRight w:val="0"/>
      <w:marTop w:val="0"/>
      <w:marBottom w:val="0"/>
      <w:divBdr>
        <w:top w:val="none" w:sz="0" w:space="0" w:color="auto"/>
        <w:left w:val="none" w:sz="0" w:space="0" w:color="auto"/>
        <w:bottom w:val="none" w:sz="0" w:space="0" w:color="auto"/>
        <w:right w:val="none" w:sz="0" w:space="0" w:color="auto"/>
      </w:divBdr>
    </w:div>
    <w:div w:id="1819110326">
      <w:bodyDiv w:val="1"/>
      <w:marLeft w:val="0"/>
      <w:marRight w:val="0"/>
      <w:marTop w:val="0"/>
      <w:marBottom w:val="0"/>
      <w:divBdr>
        <w:top w:val="none" w:sz="0" w:space="0" w:color="auto"/>
        <w:left w:val="none" w:sz="0" w:space="0" w:color="auto"/>
        <w:bottom w:val="none" w:sz="0" w:space="0" w:color="auto"/>
        <w:right w:val="none" w:sz="0" w:space="0" w:color="auto"/>
      </w:divBdr>
    </w:div>
    <w:div w:id="20920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3.m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6CF4-A4A4-499E-9342-6F4A98FB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66627</Words>
  <Characters>376443</Characters>
  <Application>Microsoft Office Word</Application>
  <DocSecurity>0</DocSecurity>
  <Lines>6604</Lines>
  <Paragraphs>2475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19</cp:revision>
  <cp:lastPrinted>2020-10-04T21:03:00Z</cp:lastPrinted>
  <dcterms:created xsi:type="dcterms:W3CDTF">2020-10-05T17:43:00Z</dcterms:created>
  <dcterms:modified xsi:type="dcterms:W3CDTF">2020-10-06T09:27:00Z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