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A66482AB-D199-4364-8456-2CE0B8CFAC73" style="width:450.35pt;height:420.4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NormalWeb"/>
        <w:spacing w:after="120"/>
        <w:jc w:val="center"/>
        <w:rPr>
          <w:b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>В контекста на двойния екологичен и цифров преход Комисията ще разгледа разходите, ползите и въздействието на следните приоритетни водещи инвестиционни инициативи и свързаните с тях предложения за проекти с оглед постигането на активен и своевременен напредък по тях.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областта на транспорта Комисията предвижда следните </w:t>
      </w:r>
      <w:r>
        <w:rPr>
          <w:rFonts w:ascii="Times New Roman" w:hAnsi="Times New Roman"/>
          <w:b/>
          <w:noProof/>
          <w:sz w:val="24"/>
          <w:szCs w:val="24"/>
        </w:rPr>
        <w:t>водещи инвестиционни инициативи</w:t>
      </w:r>
      <w:r>
        <w:rPr>
          <w:rFonts w:ascii="Times New Roman" w:hAnsi="Times New Roman"/>
          <w:noProof/>
          <w:sz w:val="24"/>
          <w:szCs w:val="24"/>
        </w:rPr>
        <w:t xml:space="preserve"> да бъдат осъществени или по тях да бъде постигнат напредък до края на мандата на настоящата Комисия: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 1 — СВЪРЗВАНЕ НА ИЗТОКА СЪС ЗАПАДА </w:t>
      </w:r>
    </w:p>
    <w:p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noProof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 xml:space="preserve">Главните връзки изток—запад ще бъдат </w:t>
      </w:r>
      <w:r>
        <w:rPr>
          <w:rFonts w:ascii="Times New Roman" w:hAnsi="Times New Roman"/>
          <w:b/>
          <w:noProof/>
          <w:sz w:val="24"/>
          <w:u w:val="single"/>
        </w:rPr>
        <w:t>завършени или по тях ще бъде постигнат напредък до 2024 г.</w:t>
      </w:r>
      <w:r>
        <w:rPr>
          <w:rFonts w:ascii="Times New Roman" w:hAnsi="Times New Roman"/>
          <w:noProof/>
          <w:sz w:val="24"/>
          <w:u w:val="single"/>
        </w:rPr>
        <w:t>:</w:t>
      </w:r>
    </w:p>
    <w:p>
      <w:pPr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„Магистралата на мира“ в Косово* (</w:t>
      </w:r>
      <w:r>
        <w:rPr>
          <w:rFonts w:ascii="Times New Roman" w:hAnsi="Times New Roman"/>
          <w:noProof/>
          <w:sz w:val="24"/>
          <w:szCs w:val="24"/>
        </w:rPr>
        <w:t>свързваща Прищина с Ниш в Сърбия)</w:t>
      </w:r>
      <w:r>
        <w:rPr>
          <w:rFonts w:ascii="Times New Roman" w:hAnsi="Times New Roman"/>
          <w:b/>
          <w:noProof/>
          <w:sz w:val="24"/>
          <w:szCs w:val="24"/>
        </w:rPr>
        <w:t xml:space="preserve"> ще бъде завършена</w:t>
      </w:r>
      <w:r>
        <w:rPr>
          <w:rFonts w:ascii="Times New Roman" w:hAnsi="Times New Roman"/>
          <w:noProof/>
          <w:sz w:val="24"/>
          <w:szCs w:val="24"/>
        </w:rPr>
        <w:t xml:space="preserve"> и ще бъде постигнат </w:t>
      </w:r>
      <w:r>
        <w:rPr>
          <w:rFonts w:ascii="Times New Roman" w:hAnsi="Times New Roman"/>
          <w:b/>
          <w:noProof/>
          <w:sz w:val="24"/>
          <w:szCs w:val="24"/>
        </w:rPr>
        <w:t>значителен напредък по сръбския участък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(Основната мрежа на) </w:t>
      </w:r>
      <w:r>
        <w:rPr>
          <w:rFonts w:ascii="Times New Roman" w:hAnsi="Times New Roman"/>
          <w:noProof/>
          <w:sz w:val="24"/>
        </w:rPr>
        <w:t>пътния коридор (коридор X)</w:t>
      </w:r>
      <w:r>
        <w:rPr>
          <w:rFonts w:ascii="Times New Roman" w:hAnsi="Times New Roman"/>
          <w:noProof/>
          <w:sz w:val="24"/>
          <w:szCs w:val="24"/>
        </w:rPr>
        <w:t xml:space="preserve"> на югоизток от Унгария през територията на България и Гърция и отвъд нея е практически </w:t>
      </w:r>
      <w:r>
        <w:rPr>
          <w:rFonts w:ascii="Times New Roman" w:hAnsi="Times New Roman"/>
          <w:noProof/>
          <w:sz w:val="24"/>
        </w:rPr>
        <w:t>завършен</w:t>
      </w:r>
      <w:r>
        <w:rPr>
          <w:rFonts w:ascii="Times New Roman" w:hAnsi="Times New Roman"/>
          <w:noProof/>
          <w:sz w:val="24"/>
          <w:szCs w:val="24"/>
        </w:rPr>
        <w:t xml:space="preserve">, включително с подкрепа от ЕС, </w:t>
      </w:r>
      <w:r>
        <w:rPr>
          <w:rFonts w:ascii="Times New Roman" w:hAnsi="Times New Roman"/>
          <w:noProof/>
          <w:sz w:val="24"/>
        </w:rPr>
        <w:t>а паралелният железопътен коридор ще бъде изцяло</w:t>
      </w:r>
      <w:r>
        <w:rPr>
          <w:rFonts w:ascii="Times New Roman" w:hAnsi="Times New Roman"/>
          <w:noProof/>
          <w:sz w:val="24"/>
          <w:szCs w:val="24"/>
        </w:rPr>
        <w:t xml:space="preserve"> модернизиран. По-конкретно </w:t>
      </w:r>
      <w:r>
        <w:rPr>
          <w:rFonts w:ascii="Times New Roman" w:hAnsi="Times New Roman"/>
          <w:noProof/>
          <w:sz w:val="24"/>
        </w:rPr>
        <w:t>околовръстната железопътна линия на Ниш в Сърбия</w:t>
      </w:r>
      <w:r>
        <w:rPr>
          <w:rFonts w:ascii="Times New Roman" w:hAnsi="Times New Roman"/>
          <w:noProof/>
          <w:sz w:val="24"/>
          <w:szCs w:val="24"/>
        </w:rPr>
        <w:t xml:space="preserve"> ще бъде завършена в този срок.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Ще бъде постигнат значителен напредък по проекта в рамките на коридор X за обновяване на железопътната връзка между Сърбия и Хърватия, която е от жизненоважно значение за железопътния товарен превоз, както и по проекта за обновяване на железопътната връзка със Северна Македония.</w:t>
      </w:r>
    </w:p>
    <w:p>
      <w:pPr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се постигне значителен напредък по </w:t>
      </w:r>
      <w:r>
        <w:rPr>
          <w:rFonts w:ascii="Times New Roman" w:hAnsi="Times New Roman"/>
          <w:b/>
          <w:noProof/>
          <w:sz w:val="24"/>
          <w:szCs w:val="24"/>
        </w:rPr>
        <w:t>железопътен коридор VIII между Скопие и българската граница</w:t>
      </w:r>
      <w:r>
        <w:rPr>
          <w:rFonts w:ascii="Times New Roman" w:hAnsi="Times New Roman"/>
          <w:noProof/>
          <w:sz w:val="24"/>
          <w:szCs w:val="24"/>
        </w:rPr>
        <w:t xml:space="preserve">, за да бъдат свързани Скопие и София. </w:t>
      </w:r>
    </w:p>
    <w:p>
      <w:pPr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Дейностите по </w:t>
      </w:r>
      <w:r>
        <w:rPr>
          <w:rFonts w:ascii="Times New Roman" w:hAnsi="Times New Roman"/>
          <w:b/>
          <w:noProof/>
          <w:sz w:val="24"/>
          <w:szCs w:val="24"/>
        </w:rPr>
        <w:t>разминиране на река Сава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и премахване на участъци с недостатъчен капацитет по река Дунав</w:t>
      </w:r>
      <w:r>
        <w:rPr>
          <w:rFonts w:ascii="Times New Roman" w:hAnsi="Times New Roman"/>
          <w:noProof/>
          <w:sz w:val="24"/>
          <w:szCs w:val="24"/>
        </w:rPr>
        <w:t xml:space="preserve"> ще бъдат завършени или по тях ще бъде постигнат напредък с цел да се подобри устойчивият начин на транспорт по тези важни водни пътища като част от мрежата TEN-T и да се улесни по-нататъшното развитие на интермодалния обмен.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 2 — СВЪРЗВАНЕ НА СЕВЕРА С ЮГА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noProof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 xml:space="preserve">Главните връзки север—юг ще бъдат </w:t>
      </w:r>
      <w:r>
        <w:rPr>
          <w:rFonts w:ascii="Times New Roman" w:hAnsi="Times New Roman"/>
          <w:b/>
          <w:noProof/>
          <w:sz w:val="24"/>
          <w:u w:val="single"/>
        </w:rPr>
        <w:t>завършени или по тях ще бъде постигнат напредък до 2024 г.</w:t>
      </w:r>
      <w:r>
        <w:rPr>
          <w:rFonts w:ascii="Times New Roman" w:hAnsi="Times New Roman"/>
          <w:noProof/>
          <w:sz w:val="24"/>
          <w:u w:val="single"/>
        </w:rPr>
        <w:t>: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Работата по </w:t>
      </w:r>
      <w:r>
        <w:rPr>
          <w:rFonts w:ascii="Times New Roman" w:hAnsi="Times New Roman"/>
          <w:b/>
          <w:noProof/>
          <w:sz w:val="24"/>
          <w:szCs w:val="24"/>
        </w:rPr>
        <w:t>75 % от главния коридор „север—юг“</w:t>
      </w:r>
      <w:r>
        <w:rPr>
          <w:rFonts w:ascii="Times New Roman" w:hAnsi="Times New Roman"/>
          <w:noProof/>
          <w:sz w:val="24"/>
          <w:szCs w:val="24"/>
        </w:rPr>
        <w:t>, който свързва централноевропейските столици през Сараево в Босна и Херцеговина с пристанището на Плоче на брега на Адриатическо море (</w:t>
      </w:r>
      <w:r>
        <w:rPr>
          <w:rFonts w:ascii="Times New Roman" w:hAnsi="Times New Roman"/>
          <w:b/>
          <w:noProof/>
          <w:sz w:val="24"/>
          <w:szCs w:val="24"/>
        </w:rPr>
        <w:t>коридор Vc)</w:t>
      </w:r>
      <w:r>
        <w:rPr>
          <w:rFonts w:ascii="Times New Roman" w:hAnsi="Times New Roman"/>
          <w:noProof/>
          <w:sz w:val="24"/>
          <w:szCs w:val="24"/>
        </w:rPr>
        <w:t xml:space="preserve">, ще бъде завършена </w:t>
      </w:r>
      <w:r>
        <w:rPr>
          <w:rFonts w:ascii="Times New Roman" w:hAnsi="Times New Roman"/>
          <w:b/>
          <w:noProof/>
          <w:sz w:val="24"/>
          <w:szCs w:val="24"/>
        </w:rPr>
        <w:t>в съответствие със стандартите за автомагистралите.</w:t>
      </w:r>
      <w:r>
        <w:rPr>
          <w:rFonts w:ascii="Times New Roman" w:hAnsi="Times New Roman"/>
          <w:noProof/>
          <w:sz w:val="24"/>
          <w:szCs w:val="24"/>
        </w:rPr>
        <w:t xml:space="preserve"> Железопътната връзка по същия коридор също ще бъде обновена. 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Железопътният маршрут 4, свързващ Белград с Подгорица и черногорското пристанище Бар</w:t>
      </w:r>
      <w:r>
        <w:rPr>
          <w:rFonts w:ascii="Times New Roman" w:hAnsi="Times New Roman"/>
          <w:noProof/>
          <w:sz w:val="24"/>
          <w:szCs w:val="24"/>
        </w:rPr>
        <w:t xml:space="preserve">, ще бъде изцяло рехабилитиран от сръбската граница до морето. </w:t>
      </w:r>
      <w:r>
        <w:rPr>
          <w:rFonts w:ascii="Times New Roman" w:hAnsi="Times New Roman"/>
          <w:b/>
          <w:noProof/>
          <w:sz w:val="24"/>
          <w:szCs w:val="24"/>
        </w:rPr>
        <w:t>Ще бъде постигнат допълнителен напредък по паралелния пътен коридор, по-специално околовръстния път на Подгорица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Връзката между столиците Сараево и Подгорица ще бъде подобрена,</w:t>
      </w:r>
      <w:r>
        <w:rPr>
          <w:rFonts w:ascii="Times New Roman" w:hAnsi="Times New Roman"/>
          <w:noProof/>
          <w:sz w:val="24"/>
          <w:szCs w:val="24"/>
        </w:rPr>
        <w:t xml:space="preserve"> като ще се свърже допълнително със съществуващите и планираните мрежи в Босна и Херцеговина и ще бъдат осигурени повече преки връзки между съседните държави.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Железопътният маршрут, свързващ Белград с Прищина, ще бъде допълнително обновен</w:t>
      </w:r>
      <w:r>
        <w:rPr>
          <w:rFonts w:ascii="Times New Roman" w:hAnsi="Times New Roman"/>
          <w:noProof/>
          <w:sz w:val="24"/>
          <w:szCs w:val="24"/>
        </w:rPr>
        <w:t xml:space="preserve"> със </w:t>
      </w:r>
      <w:r>
        <w:rPr>
          <w:rFonts w:ascii="Times New Roman" w:hAnsi="Times New Roman"/>
          <w:noProof/>
          <w:sz w:val="24"/>
        </w:rPr>
        <w:t>строителни</w:t>
      </w:r>
      <w:r>
        <w:rPr>
          <w:rFonts w:ascii="Times New Roman" w:hAnsi="Times New Roman"/>
          <w:noProof/>
          <w:sz w:val="24"/>
          <w:szCs w:val="24"/>
        </w:rPr>
        <w:t xml:space="preserve"> работи в Косово и ще бъде изготвена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необходимата техническа документация за дейностите по рехабилитация в Сърбия</w:t>
      </w:r>
      <w:r>
        <w:rPr>
          <w:rFonts w:ascii="Times New Roman" w:hAnsi="Times New Roman"/>
          <w:noProof/>
          <w:sz w:val="24"/>
        </w:rPr>
        <w:t>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 3 — СВЪРЗВАНЕ НА КРАЙБРЕЖНИТЕ РЕГИОНИ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Следните дейности ще бъдат </w:t>
      </w:r>
      <w:r>
        <w:rPr>
          <w:rFonts w:ascii="Times New Roman" w:hAnsi="Times New Roman"/>
          <w:b/>
          <w:noProof/>
          <w:sz w:val="24"/>
          <w:szCs w:val="24"/>
        </w:rPr>
        <w:t>завършени или по тях ще бъде постигнат напредък до 2024 г.</w:t>
      </w:r>
      <w:r>
        <w:rPr>
          <w:rFonts w:ascii="Times New Roman" w:hAnsi="Times New Roman"/>
          <w:noProof/>
          <w:sz w:val="24"/>
          <w:szCs w:val="24"/>
        </w:rPr>
        <w:t>: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Железопътният маршрут 2, който свързва столиците Тирана и Подгорица и продължава до пристанище Драч, е ключов проект за региона и ще бъде подобрен</w:t>
      </w:r>
      <w:r>
        <w:rPr>
          <w:rFonts w:ascii="Times New Roman" w:hAnsi="Times New Roman"/>
          <w:noProof/>
          <w:sz w:val="24"/>
          <w:szCs w:val="24"/>
        </w:rPr>
        <w:t xml:space="preserve"> чрез рехабилитацията на 120 km железопътна линия в Албания по посока на границата с Черна гора. </w:t>
      </w:r>
    </w:p>
    <w:p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бъдат предприети значими стъпки за завършването на </w:t>
      </w:r>
      <w:r>
        <w:rPr>
          <w:rFonts w:ascii="Times New Roman" w:hAnsi="Times New Roman"/>
          <w:b/>
          <w:noProof/>
          <w:sz w:val="24"/>
          <w:szCs w:val="24"/>
        </w:rPr>
        <w:t>„Синята магистрала“</w:t>
      </w:r>
      <w:r>
        <w:rPr>
          <w:rFonts w:ascii="Times New Roman" w:hAnsi="Times New Roman"/>
          <w:noProof/>
          <w:sz w:val="24"/>
          <w:szCs w:val="24"/>
        </w:rPr>
        <w:t xml:space="preserve"> по крайбрежието </w:t>
      </w:r>
      <w:r>
        <w:rPr>
          <w:rFonts w:ascii="Times New Roman" w:hAnsi="Times New Roman"/>
          <w:b/>
          <w:noProof/>
          <w:sz w:val="24"/>
          <w:szCs w:val="24"/>
        </w:rPr>
        <w:t>от Хърватия до Гърция: околовръстният път на Тирана</w:t>
      </w:r>
      <w:r>
        <w:rPr>
          <w:rFonts w:ascii="Times New Roman" w:hAnsi="Times New Roman"/>
          <w:noProof/>
          <w:sz w:val="24"/>
          <w:szCs w:val="24"/>
        </w:rPr>
        <w:t xml:space="preserve"> ще бъде завършен и ще бъде постигнат значителен напредък по </w:t>
      </w:r>
      <w:r>
        <w:rPr>
          <w:rFonts w:ascii="Times New Roman" w:hAnsi="Times New Roman"/>
          <w:b/>
          <w:noProof/>
          <w:sz w:val="24"/>
          <w:szCs w:val="24"/>
        </w:rPr>
        <w:t>други два участъка в Албания</w:t>
      </w:r>
      <w:r>
        <w:rPr>
          <w:rFonts w:ascii="Times New Roman" w:hAnsi="Times New Roman"/>
          <w:noProof/>
          <w:sz w:val="24"/>
          <w:szCs w:val="24"/>
        </w:rPr>
        <w:t xml:space="preserve">, както и по </w:t>
      </w:r>
      <w:r>
        <w:rPr>
          <w:rFonts w:ascii="Times New Roman" w:hAnsi="Times New Roman"/>
          <w:b/>
          <w:noProof/>
          <w:sz w:val="24"/>
          <w:szCs w:val="24"/>
        </w:rPr>
        <w:t>околовръстния път на Будва в Черна гора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предлага следните </w:t>
      </w:r>
      <w:r>
        <w:rPr>
          <w:rFonts w:ascii="Times New Roman" w:hAnsi="Times New Roman"/>
          <w:b/>
          <w:noProof/>
          <w:sz w:val="24"/>
          <w:szCs w:val="24"/>
        </w:rPr>
        <w:t>водещи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инвестиционни инициативи</w:t>
      </w:r>
      <w:r>
        <w:rPr>
          <w:rFonts w:ascii="Times New Roman" w:hAnsi="Times New Roman"/>
          <w:noProof/>
          <w:sz w:val="24"/>
          <w:szCs w:val="24"/>
        </w:rPr>
        <w:t xml:space="preserve"> в областта на </w:t>
      </w:r>
      <w:r>
        <w:rPr>
          <w:rFonts w:ascii="Times New Roman" w:hAnsi="Times New Roman"/>
          <w:b/>
          <w:noProof/>
          <w:sz w:val="24"/>
          <w:szCs w:val="24"/>
        </w:rPr>
        <w:t>енергетиката</w:t>
      </w:r>
      <w:r>
        <w:rPr>
          <w:rFonts w:ascii="Times New Roman" w:hAnsi="Times New Roman"/>
          <w:noProof/>
          <w:sz w:val="24"/>
          <w:szCs w:val="24"/>
        </w:rPr>
        <w:t>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 4 — ЕНЕРГИЯ ОТ ВЪЗОБНОВЯЕМИ ИЗТОЧНИЦИ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бъде предоставена подкрепа, за да се увеличи използването на </w:t>
      </w:r>
      <w:r>
        <w:rPr>
          <w:rFonts w:ascii="Times New Roman" w:hAnsi="Times New Roman"/>
          <w:b/>
          <w:noProof/>
          <w:sz w:val="24"/>
          <w:szCs w:val="24"/>
        </w:rPr>
        <w:t>възобновяеми източници на енергия</w:t>
      </w:r>
      <w:r>
        <w:rPr>
          <w:rFonts w:ascii="Times New Roman" w:hAnsi="Times New Roman"/>
          <w:noProof/>
          <w:sz w:val="24"/>
          <w:szCs w:val="24"/>
        </w:rPr>
        <w:t xml:space="preserve"> в съответствие с потенциала и националните предпочитания в региона.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Може да бъдат подкрепени следните конкретни проекти</w:t>
      </w:r>
      <w:r>
        <w:rPr>
          <w:rFonts w:ascii="Times New Roman" w:hAnsi="Times New Roman"/>
          <w:noProof/>
          <w:sz w:val="24"/>
          <w:szCs w:val="24"/>
          <w:u w:val="single"/>
        </w:rPr>
        <w:t>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— </w:t>
      </w:r>
      <w:r>
        <w:rPr>
          <w:rFonts w:ascii="Times New Roman" w:hAnsi="Times New Roman"/>
          <w:b/>
          <w:bCs/>
          <w:noProof/>
          <w:sz w:val="24"/>
          <w:szCs w:val="24"/>
        </w:rPr>
        <w:t>Рехабилитацията на водноелектрическата централа Fierza в Албания</w:t>
      </w:r>
      <w:r>
        <w:rPr>
          <w:rFonts w:ascii="Times New Roman" w:hAnsi="Times New Roman"/>
          <w:bCs/>
          <w:noProof/>
          <w:sz w:val="24"/>
          <w:szCs w:val="24"/>
        </w:rPr>
        <w:t xml:space="preserve"> ще бъде завършена и ще бъде постигнат напредък по </w:t>
      </w:r>
      <w:r>
        <w:rPr>
          <w:rFonts w:ascii="Times New Roman" w:hAnsi="Times New Roman"/>
          <w:noProof/>
          <w:sz w:val="24"/>
          <w:szCs w:val="24"/>
        </w:rPr>
        <w:t xml:space="preserve">изграждането на </w:t>
      </w:r>
      <w:r>
        <w:rPr>
          <w:rFonts w:ascii="Times New Roman" w:hAnsi="Times New Roman"/>
          <w:b/>
          <w:noProof/>
          <w:sz w:val="24"/>
          <w:szCs w:val="24"/>
        </w:rPr>
        <w:t>водноелектрическата централа Skavica</w:t>
      </w:r>
      <w:r>
        <w:rPr>
          <w:rFonts w:ascii="Times New Roman" w:hAnsi="Times New Roman"/>
          <w:noProof/>
          <w:sz w:val="24"/>
          <w:szCs w:val="24"/>
        </w:rPr>
        <w:t xml:space="preserve"> с цел да се повиши потенциалът на държавата, а оттам и на региона, с оглед увеличаване на износа на електричество, произведено на основата на чиста енергия.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Водноелектрическата централа Piva в Черна гора ще бъде разширена със започването на строителството на </w:t>
      </w:r>
      <w:r>
        <w:rPr>
          <w:rFonts w:ascii="Times New Roman" w:hAnsi="Times New Roman"/>
          <w:b/>
          <w:noProof/>
          <w:sz w:val="24"/>
          <w:szCs w:val="24"/>
        </w:rPr>
        <w:t>водноелектрическата централа Komarnica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Ще бъдат ускорени подготвителните дейности по строителството на </w:t>
      </w:r>
      <w:r>
        <w:rPr>
          <w:rFonts w:ascii="Times New Roman" w:hAnsi="Times New Roman"/>
          <w:b/>
          <w:noProof/>
          <w:sz w:val="24"/>
          <w:szCs w:val="24"/>
        </w:rPr>
        <w:t>хидрологичния комплекс Ibër-Lepenc — фаза II в Косово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Ще бъде постигнат значителен напредък по отношение на </w:t>
      </w:r>
      <w:r>
        <w:rPr>
          <w:rFonts w:ascii="Times New Roman" w:hAnsi="Times New Roman"/>
          <w:b/>
          <w:noProof/>
          <w:sz w:val="24"/>
          <w:szCs w:val="24"/>
        </w:rPr>
        <w:t>инвестициите във ветроенергийни паркове и слънчеви електроцентрали в Северна Македония</w:t>
      </w:r>
      <w:r>
        <w:rPr>
          <w:rFonts w:ascii="Times New Roman" w:hAnsi="Times New Roman"/>
          <w:noProof/>
          <w:sz w:val="24"/>
          <w:szCs w:val="24"/>
        </w:rPr>
        <w:t>, които ще послужат като пример за ориентирани към бъдещето инвестиции, използващи потенциала на региона за добив на енергия от възобновяеми източници.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 5 — ПРЕХОД ОТ ВЪГЛИЩА КЪМ ДРУГИ СУРОВИНИ </w:t>
      </w:r>
    </w:p>
    <w:p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Преходът от въглища, които причиняват сериозно замърсяване, към по-устойчиви и екологични източници за производство на енергия ще бъде от ключово значение, за да може регионът да спази своите ангажименти съгласно Парижкото споразумение. Газопроводите, които са съобразени с изискванията на бъдещето и допринасят за прехода към ниски въглеродни емисии и преноса на декарбонизиран газ и водород, както и ефективните електропреносни линии и интелигентните мрежи, ще бъдат от ключово значение за по-широката употреба на възобновяеми източници на енергия в съответствие с потенциала на региона.</w:t>
      </w:r>
    </w:p>
    <w:p>
      <w:pPr>
        <w:keepNext/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 xml:space="preserve">Може да бъдат подкрепени следните конкретни проекти: </w:t>
      </w:r>
    </w:p>
    <w:p>
      <w:pPr>
        <w:pStyle w:val="ListParagraph"/>
        <w:keepLines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/>
        <w:ind w:left="357" w:hanging="357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Строителството на газопровода Fier-Vlora в Албания ще бъде завършено като част от Трансадриатическия газопровод</w:t>
      </w:r>
      <w:r>
        <w:rPr>
          <w:rFonts w:ascii="Times New Roman" w:hAnsi="Times New Roman"/>
          <w:bCs/>
          <w:noProof/>
          <w:sz w:val="24"/>
          <w:szCs w:val="24"/>
        </w:rPr>
        <w:t xml:space="preserve">, а изграждането на Йонийско-адриатическият тръбопровод по крайбрежието ще бъде издигнато в приоритет, което ще спомогне за значителна диверсификация на източниците на доставки на газ към региона на Западните Балкани и отвъд него. </w:t>
      </w:r>
    </w:p>
    <w:p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Ще бъде завършен </w:t>
      </w:r>
      <w:r>
        <w:rPr>
          <w:rFonts w:ascii="Times New Roman" w:hAnsi="Times New Roman"/>
          <w:b/>
          <w:bCs/>
          <w:noProof/>
          <w:sz w:val="24"/>
          <w:szCs w:val="24"/>
        </w:rPr>
        <w:t>междусистемният газопровод Босна и Херцеговина — Хърватия</w:t>
      </w:r>
      <w:r>
        <w:rPr>
          <w:rFonts w:ascii="Times New Roman" w:hAnsi="Times New Roman"/>
          <w:noProof/>
          <w:sz w:val="24"/>
          <w:szCs w:val="24"/>
        </w:rPr>
        <w:t xml:space="preserve"> като част от гореспоменатата диверсификация, с което ще се увеличи потенциалът и диверсификацията на съществуващите газоразпределителни мрежи в държавата.</w:t>
      </w:r>
    </w:p>
    <w:p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започне строителството на </w:t>
      </w:r>
      <w:r>
        <w:rPr>
          <w:rFonts w:ascii="Times New Roman" w:hAnsi="Times New Roman"/>
          <w:b/>
          <w:bCs/>
          <w:noProof/>
          <w:sz w:val="24"/>
          <w:szCs w:val="24"/>
        </w:rPr>
        <w:t>междусистемната газопроводна връзка Северна Македония — Косово</w:t>
      </w:r>
      <w:r>
        <w:rPr>
          <w:rFonts w:ascii="Times New Roman" w:hAnsi="Times New Roman"/>
          <w:noProof/>
          <w:sz w:val="24"/>
          <w:szCs w:val="24"/>
        </w:rPr>
        <w:t xml:space="preserve"> и разширяването на вече започнатата инвестиция за междусистемната връзка Северна Македония — Гърция. </w:t>
      </w:r>
    </w:p>
    <w:p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бъде извършена подготовка за строителството на </w:t>
      </w:r>
      <w:r>
        <w:rPr>
          <w:rFonts w:ascii="Times New Roman" w:hAnsi="Times New Roman"/>
          <w:b/>
          <w:bCs/>
          <w:noProof/>
          <w:sz w:val="24"/>
          <w:szCs w:val="24"/>
        </w:rPr>
        <w:t>междусистемната газопроводна връзка Северна Македония — Сърбия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Трансбалканският електропреносен коридор в Сърбия</w:t>
      </w:r>
      <w:r>
        <w:rPr>
          <w:rFonts w:ascii="Times New Roman" w:hAnsi="Times New Roman"/>
          <w:noProof/>
          <w:sz w:val="24"/>
          <w:szCs w:val="24"/>
        </w:rPr>
        <w:t xml:space="preserve"> ще бъде завършен като част от междусистемните връзки между Сърбия, Черна гора и Босна и Херцеговина, за да се осигури основата на електроразпределението в целия регион, както и към ЕС.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ВОДЕЩА ИНИЦИАТИВА 6 — ВЪЛНА НА САНИРАНЕ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предлага Западните Балкани да бъдат включени във </w:t>
      </w:r>
      <w:r>
        <w:rPr>
          <w:rFonts w:ascii="Times New Roman" w:hAnsi="Times New Roman"/>
          <w:b/>
          <w:noProof/>
          <w:sz w:val="24"/>
          <w:szCs w:val="24"/>
        </w:rPr>
        <w:t>„вълната на саниране в ЕС“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Сградният сектор има над 40 % дял в общото енергопотребление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в Западните Балкани. Санирането на обществени и частни сгради с цел покриване на минималните стандарти за енергийни характеристики може да допринесе значително за намаляване на емисиите на парникови газове, подобряване на жизнения стандарт на гражданите и опазване на тяхното здраве. Санирането на сгради с помощта на Енергийната общност ще допринесе за декарбонизиране на обществения и частния сграден фонд в Западните Балкани, като се обърне специално внимание на цифровизацията и на енергийната бедност. ЕС заедно с международните финансови институции ще подкрепи усилията на партньорите от Западните Балкани да утроят текущите темпове на саниране и енергийните икономии в съществуващите сгради и да постигнат съответствие със стандартите за почти нулево потребление на енергия и емисии в новите сгради.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предвижда следните </w:t>
      </w:r>
      <w:r>
        <w:rPr>
          <w:rFonts w:ascii="Times New Roman" w:hAnsi="Times New Roman"/>
          <w:b/>
          <w:noProof/>
          <w:sz w:val="24"/>
          <w:szCs w:val="24"/>
        </w:rPr>
        <w:t>водещи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инвестици</w:t>
      </w:r>
      <w:r>
        <w:rPr>
          <w:rFonts w:ascii="Times New Roman" w:hAnsi="Times New Roman"/>
          <w:b/>
          <w:noProof/>
          <w:sz w:val="24"/>
          <w:szCs w:val="24"/>
          <w:lang w:val="en-GB"/>
        </w:rPr>
        <w:t>o</w:t>
      </w:r>
      <w:r>
        <w:rPr>
          <w:rFonts w:ascii="Times New Roman" w:hAnsi="Times New Roman"/>
          <w:b/>
          <w:noProof/>
          <w:sz w:val="24"/>
          <w:szCs w:val="24"/>
        </w:rPr>
        <w:t>нни инициативи</w:t>
      </w:r>
      <w:r>
        <w:rPr>
          <w:rFonts w:ascii="Times New Roman" w:hAnsi="Times New Roman"/>
          <w:noProof/>
          <w:sz w:val="24"/>
          <w:szCs w:val="24"/>
        </w:rPr>
        <w:t xml:space="preserve"> в </w:t>
      </w:r>
      <w:r>
        <w:rPr>
          <w:rFonts w:ascii="Times New Roman" w:hAnsi="Times New Roman"/>
          <w:b/>
          <w:noProof/>
          <w:sz w:val="24"/>
          <w:szCs w:val="24"/>
        </w:rPr>
        <w:t>областта на околната среда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ВОДЕЩА ИНИЦИАТИВА 7 — УПРАВЛЕНИЕ НА ОТПАДЪЦИТЕ и ОТПАДЪЧНИТЕ ВОДИ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Устойчивите и надеждни методи за управление на водоснабдяването, отпадъчните води и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обезвреждането на отпадъци са изключително важни за опазването на околната среда и на здравето на гражданите и може да окажат благоприятно въздействие върху туризма в региона. Те са от съществено значение за екологичните перспективи на региона и за защитата на здравето и благоденствието на населението му.</w:t>
      </w:r>
    </w:p>
    <w:p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noProof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Следва да бъдат подкрепени следните конкретни проекти: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Ще бъде завършено строителството на </w:t>
      </w:r>
      <w:r>
        <w:rPr>
          <w:rFonts w:ascii="Times New Roman" w:hAnsi="Times New Roman"/>
          <w:b/>
          <w:noProof/>
          <w:sz w:val="24"/>
          <w:szCs w:val="24"/>
        </w:rPr>
        <w:t>пречиствателните станции за отпадъчни води в Скопие и Прищина</w:t>
      </w:r>
      <w:r>
        <w:rPr>
          <w:rFonts w:ascii="Times New Roman" w:hAnsi="Times New Roman"/>
          <w:noProof/>
          <w:sz w:val="24"/>
          <w:szCs w:val="24"/>
        </w:rPr>
        <w:t>. Тези проекти имат значително трансгранично въздействие и спомагат за подобряване на условията на живот на населението.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Ще се пристъпи към прилагането на </w:t>
      </w:r>
      <w:r>
        <w:rPr>
          <w:rFonts w:ascii="Times New Roman" w:hAnsi="Times New Roman"/>
          <w:b/>
          <w:noProof/>
          <w:sz w:val="24"/>
          <w:szCs w:val="24"/>
        </w:rPr>
        <w:t>инвестиционна програма в областта на околната среда в Сърбия</w:t>
      </w:r>
      <w:r>
        <w:rPr>
          <w:rFonts w:ascii="Times New Roman" w:hAnsi="Times New Roman"/>
          <w:noProof/>
          <w:sz w:val="24"/>
          <w:szCs w:val="24"/>
        </w:rPr>
        <w:t xml:space="preserve">, включваща проекти за модернизирано пречистване на отпадъчните води за големите и средните градове.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Ще бъдат въведени интегрирани </w:t>
      </w:r>
      <w:r>
        <w:rPr>
          <w:rFonts w:ascii="Times New Roman" w:hAnsi="Times New Roman"/>
          <w:b/>
          <w:noProof/>
          <w:sz w:val="24"/>
          <w:szCs w:val="24"/>
        </w:rPr>
        <w:t>регионални системи за управление на отпадъците в Албания, Черна гора, Северна Македония и Сърбия</w:t>
      </w:r>
      <w:r>
        <w:rPr>
          <w:rFonts w:ascii="Times New Roman" w:hAnsi="Times New Roman"/>
          <w:noProof/>
          <w:sz w:val="24"/>
          <w:szCs w:val="24"/>
        </w:rPr>
        <w:t>, като същевременно ще бъдат закрити несъответстващите с изискванията депа за отпадъци. В бъдеще следва да бъде предоставена подкрепа и за подобни инвестиции на други места в региона, включително за по-добро управление на отпадъците в трансграничните райони.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Подкрепа за въвеждането на подходящи </w:t>
      </w:r>
      <w:r>
        <w:rPr>
          <w:rFonts w:ascii="Times New Roman" w:hAnsi="Times New Roman"/>
          <w:b/>
          <w:noProof/>
          <w:sz w:val="24"/>
          <w:szCs w:val="24"/>
        </w:rPr>
        <w:t>системи за мониторинг на въздуха и водите и мерки за предотвратяване на замърсяването.</w:t>
      </w:r>
    </w:p>
    <w:p>
      <w:pPr>
        <w:spacing w:after="120" w:line="240" w:lineRule="auto"/>
        <w:ind w:left="66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120" w:line="240" w:lineRule="auto"/>
        <w:ind w:left="6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предвижда следните </w:t>
      </w:r>
      <w:r>
        <w:rPr>
          <w:rFonts w:ascii="Times New Roman" w:hAnsi="Times New Roman"/>
          <w:b/>
          <w:noProof/>
          <w:sz w:val="24"/>
          <w:szCs w:val="24"/>
        </w:rPr>
        <w:t>водещи инвестиционни инициативи</w:t>
      </w:r>
      <w:r>
        <w:rPr>
          <w:rFonts w:ascii="Times New Roman" w:hAnsi="Times New Roman"/>
          <w:noProof/>
          <w:sz w:val="24"/>
          <w:szCs w:val="24"/>
        </w:rPr>
        <w:t xml:space="preserve"> в областта на цифровите технологии: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ВОДЕЩА ИНИЦИАТИВА 8 — ЦИФРОВА ИНФРАСТРУКТУРА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Следва да бъдат подкрепени следните конкретни проекти:</w:t>
      </w:r>
    </w:p>
    <w:p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Разработването и въвеждането на </w:t>
      </w:r>
      <w:r>
        <w:rPr>
          <w:rFonts w:ascii="Times New Roman" w:hAnsi="Times New Roman"/>
          <w:b/>
          <w:noProof/>
          <w:sz w:val="24"/>
          <w:szCs w:val="24"/>
        </w:rPr>
        <w:t>национална широколентова инфраструктура в шестте партньори от Западните Балкани</w:t>
      </w:r>
      <w:r>
        <w:rPr>
          <w:rFonts w:ascii="Times New Roman" w:hAnsi="Times New Roman"/>
          <w:noProof/>
          <w:sz w:val="24"/>
          <w:szCs w:val="24"/>
        </w:rPr>
        <w:t xml:space="preserve"> ще продължи, като до 2024 г. ще бъдат завършени най-напредналите инвестиционни проекти в региона. Подготовката на по-нататъшни инвестиции в други области ще бъде ускорена, като се обърне специално внимание на свързването на селските райони. </w:t>
      </w:r>
    </w:p>
    <w:p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Ще бъдат създадени сигурни, енергийноефективни и надеждни центрове за електронно обработване на данни, периферни и облачни инфраструктури, като в същото време се гарантира привеждане в съответствие с правилата и основните ценности на ЕС, включително по отношение на защитата на личните данни, както и свързване с инициативи на ЕС в областта на високопроизводителните компютри, цифровите инкубатори и центровете за иновации. </w:t>
      </w:r>
    </w:p>
    <w:p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Въз основа на опита от текущи инициативи, като например Balkan Digital Highway (балканската цифрова магистрала), следва да бъдат подробно проучени възможностите за полезни взаимодействия с други области на свързаност, като например транспорта и енергетиката, в контекста на споделянето на инфраструктура. Освен това, ако технологиите и данните се използват целенасочено за вземането на по-добри решения, това може да допринесе значително за осигуряване на по-добро качество на живот на гражданите в региона. Ще бъде предоставена подкрепа и за адаптиране към бързото преобразуващо технологично развитие, за да се поддържат просперитетът и конкурентоспособността. ЕС ще насърчава сътрудничеството в областта на цифровото образование в глобален мащаб чрез обновения план за действие в областта на цифровото образование (DEAP), както и равенството в достъпа, особено за групите в неравностойно положение, включително ромите.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С цел да се подкрепи частният сектор Комисията предлага следната </w:t>
      </w:r>
      <w:r>
        <w:rPr>
          <w:rFonts w:ascii="Times New Roman" w:hAnsi="Times New Roman"/>
          <w:b/>
          <w:noProof/>
          <w:spacing w:val="-4"/>
          <w:sz w:val="24"/>
          <w:szCs w:val="24"/>
        </w:rPr>
        <w:t>водеща инициатива</w:t>
      </w:r>
      <w:r>
        <w:rPr>
          <w:rFonts w:ascii="Times New Roman" w:hAnsi="Times New Roman"/>
          <w:noProof/>
          <w:spacing w:val="-4"/>
          <w:sz w:val="24"/>
          <w:szCs w:val="24"/>
        </w:rPr>
        <w:t>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ВОДЕЩА ИНИЦИАТИВА 9 — ИНВЕСТИРАНЕ В КОНКУРЕНТОСПОСОБНОСТТА НА ЧАСТНИЯ СЕКТОР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Развитието на стабилен, иновативен и конкурентоспособен частен сектор е от съществено значение за социално-икономическото развитие на Западните Балкани и за регионалната интеграция на сектора. По-специално това изисква да се увеличат инвестициите в МСП и в техния капацитет за иновации, разширяване и растеж. За да се разгърне потенциалът на частния сектор, ЕС следва: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да планира </w:t>
      </w:r>
      <w:r>
        <w:rPr>
          <w:rFonts w:ascii="Times New Roman" w:hAnsi="Times New Roman"/>
          <w:b/>
          <w:noProof/>
          <w:sz w:val="24"/>
          <w:szCs w:val="24"/>
        </w:rPr>
        <w:t>увеличаване на размера на безвъзмездните средства</w:t>
      </w:r>
      <w:r>
        <w:rPr>
          <w:rFonts w:ascii="Times New Roman" w:hAnsi="Times New Roman"/>
          <w:noProof/>
          <w:sz w:val="24"/>
          <w:szCs w:val="24"/>
        </w:rPr>
        <w:t xml:space="preserve"> за подкрепа на частния сектор в контекста на инвестиционната рамка за Западните Балкани. 50 % от финансирането от ЕС за частния сектор следва да бъде предназначено за иновации и екологосъобразен растеж;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да планира </w:t>
      </w:r>
      <w:r>
        <w:rPr>
          <w:rFonts w:ascii="Times New Roman" w:hAnsi="Times New Roman"/>
          <w:b/>
          <w:noProof/>
          <w:sz w:val="24"/>
          <w:szCs w:val="24"/>
        </w:rPr>
        <w:t>увеличаване на капацитета за гаранции в подкрепа на инвестиции, главно за да укрепи конкурентоспособността на МСП</w:t>
      </w:r>
      <w:r>
        <w:rPr>
          <w:rFonts w:ascii="Times New Roman" w:hAnsi="Times New Roman"/>
          <w:noProof/>
          <w:sz w:val="24"/>
          <w:szCs w:val="24"/>
        </w:rPr>
        <w:t xml:space="preserve"> и да насърчи създаването на работни места, особено в полза на младите хора, посредством </w:t>
      </w:r>
      <w:r>
        <w:rPr>
          <w:rFonts w:ascii="Times New Roman" w:hAnsi="Times New Roman"/>
          <w:b/>
          <w:noProof/>
          <w:sz w:val="24"/>
          <w:szCs w:val="24"/>
        </w:rPr>
        <w:t>гаранционния механизъм за Западните Балкани</w:t>
      </w:r>
      <w:r>
        <w:rPr>
          <w:rFonts w:ascii="Times New Roman" w:hAnsi="Times New Roman"/>
          <w:noProof/>
          <w:sz w:val="24"/>
          <w:szCs w:val="24"/>
        </w:rPr>
        <w:t>;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—</w:t>
      </w:r>
      <w:r>
        <w:rPr>
          <w:rFonts w:ascii="Times New Roman" w:hAnsi="Times New Roman"/>
          <w:noProof/>
          <w:sz w:val="24"/>
          <w:szCs w:val="24"/>
        </w:rPr>
        <w:t xml:space="preserve"> да мобилизира подкрепа за устойчивата трансформация на </w:t>
      </w:r>
      <w:r>
        <w:rPr>
          <w:rFonts w:ascii="Times New Roman" w:hAnsi="Times New Roman"/>
          <w:b/>
          <w:noProof/>
          <w:sz w:val="24"/>
          <w:szCs w:val="24"/>
        </w:rPr>
        <w:t>системите в хранително-вкусовата промишленост</w:t>
      </w:r>
      <w:r>
        <w:rPr>
          <w:rFonts w:ascii="Times New Roman" w:hAnsi="Times New Roman"/>
          <w:noProof/>
          <w:sz w:val="24"/>
          <w:szCs w:val="24"/>
        </w:rPr>
        <w:t xml:space="preserve"> и </w:t>
      </w:r>
      <w:r>
        <w:rPr>
          <w:rFonts w:ascii="Times New Roman" w:hAnsi="Times New Roman"/>
          <w:b/>
          <w:noProof/>
          <w:sz w:val="24"/>
          <w:szCs w:val="24"/>
        </w:rPr>
        <w:t>развитието на селските райони</w:t>
      </w:r>
      <w:r>
        <w:rPr>
          <w:rFonts w:ascii="Times New Roman" w:hAnsi="Times New Roman"/>
          <w:noProof/>
          <w:sz w:val="24"/>
          <w:szCs w:val="24"/>
        </w:rPr>
        <w:t xml:space="preserve"> в региона.</w:t>
      </w:r>
    </w:p>
    <w:p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  <w:lang w:eastAsia="fr-BE"/>
        </w:rPr>
      </w:pP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цел да се подкрепи заетостта и да се осигурят решения и перспективи за младите хора на местно равнище, Комисията предлага следната </w:t>
      </w:r>
      <w:r>
        <w:rPr>
          <w:rFonts w:ascii="Times New Roman" w:hAnsi="Times New Roman"/>
          <w:b/>
          <w:noProof/>
          <w:sz w:val="24"/>
          <w:szCs w:val="24"/>
        </w:rPr>
        <w:t>водеща инициатива</w:t>
      </w:r>
      <w:r>
        <w:rPr>
          <w:rFonts w:ascii="Times New Roman" w:hAnsi="Times New Roman"/>
          <w:noProof/>
          <w:sz w:val="24"/>
          <w:szCs w:val="24"/>
        </w:rPr>
        <w:t>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ВОДЕЩА ИНИЦИАТИВА 10 — ГАРАНЦИЯ ЗА МЛАДЕЖТА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Гаранцията за младежта е схема за активизиране, имаща за цел да се гарантира, че младите хора получават добро предложение за работа, продължаване на образованието, чиракуване или стаж в рамките на срок от четири месеца, след като останат без работа или напуснат системата на формалното образование.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Водещата инициатива за гаранцията за младежта следва да бъде приложена от правителствата на Западните Балкани в съответствие с гаранцията на ЕС за младежта. Предлага се тя да бъде осъществена в четири фази, за всички от които подкрепата от ЕС може да бъде потенциално полезна: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Фаза 1 — </w:t>
      </w:r>
      <w:r>
        <w:rPr>
          <w:rFonts w:ascii="Times New Roman" w:hAnsi="Times New Roman"/>
          <w:b/>
          <w:noProof/>
          <w:sz w:val="24"/>
          <w:szCs w:val="24"/>
        </w:rPr>
        <w:t>План за изпълнение</w:t>
      </w:r>
      <w:r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набелязване на планираните мерки и техните срокове, бюджет, необходими промени в правната уредба, определяне на централен координиращ орган и на ролите на съответните публични органи (ресорни министерства и техните агенции, включително служби по заетостта и центрове за социални дейности, образователни и обучителни институции, в това число училища за професионално образование и обучение и т.н.) и на заинтересованите страни (работодатели и синдикални организации, стопански камари, младежки организации, НПО и т.н.).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— Фаза 2 — </w:t>
      </w:r>
      <w:r>
        <w:rPr>
          <w:rFonts w:ascii="Times New Roman" w:hAnsi="Times New Roman"/>
          <w:b/>
          <w:noProof/>
          <w:sz w:val="24"/>
          <w:szCs w:val="24"/>
        </w:rPr>
        <w:t>Подготвителна работа</w:t>
      </w:r>
      <w:r>
        <w:rPr>
          <w:rFonts w:ascii="Times New Roman" w:hAnsi="Times New Roman"/>
          <w:noProof/>
          <w:sz w:val="24"/>
          <w:szCs w:val="24"/>
        </w:rPr>
        <w:t>: задълбочаване на ангажимента на политическо равнище; задълбочаване на ангажимента и изграждане на капацитета на публичните органи и заинтересованите страни, набиране на персонал и развитие на инфраструктура; промени в правната уредба, изготвяне на рамки за мониторинг и оценка.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 Фаза 3 — </w:t>
      </w:r>
      <w:r>
        <w:rPr>
          <w:rFonts w:ascii="Times New Roman" w:hAnsi="Times New Roman"/>
          <w:b/>
          <w:noProof/>
          <w:sz w:val="24"/>
          <w:szCs w:val="24"/>
        </w:rPr>
        <w:t>Пилотна фаза</w:t>
      </w:r>
      <w:r>
        <w:rPr>
          <w:rFonts w:ascii="Times New Roman" w:hAnsi="Times New Roman"/>
          <w:noProof/>
          <w:sz w:val="24"/>
          <w:szCs w:val="24"/>
        </w:rPr>
        <w:t>: прилагане в ограничен брой населени места/региони, мониторинг и оценка;</w:t>
      </w:r>
    </w:p>
    <w:p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— Фаза 4 — </w:t>
      </w:r>
      <w:r>
        <w:rPr>
          <w:rFonts w:ascii="Times New Roman" w:hAnsi="Times New Roman"/>
          <w:b/>
          <w:noProof/>
          <w:sz w:val="24"/>
          <w:szCs w:val="24"/>
        </w:rPr>
        <w:t>Прогресивно/общо разгръщане</w:t>
      </w:r>
      <w:r>
        <w:rPr>
          <w:rFonts w:ascii="Times New Roman" w:hAnsi="Times New Roman"/>
          <w:noProof/>
          <w:sz w:val="24"/>
          <w:szCs w:val="24"/>
        </w:rPr>
        <w:t>: прилагане в повече региони/цялата държава, мониторинг и оценка.</w:t>
      </w:r>
    </w:p>
    <w:p>
      <w:pPr>
        <w:pStyle w:val="NormalWeb"/>
        <w:spacing w:after="120"/>
        <w:rPr>
          <w:noProof/>
          <w:lang w:val="cs-CZ"/>
        </w:rPr>
      </w:pPr>
    </w:p>
    <w:p>
      <w:pPr>
        <w:pStyle w:val="NormalWeb"/>
        <w:spacing w:after="120"/>
        <w:jc w:val="center"/>
        <w:rPr>
          <w:noProof/>
        </w:rPr>
      </w:pPr>
      <w:r>
        <w:rPr>
          <w:noProof/>
        </w:rPr>
        <w:t>**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062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Източник: Секретариат на Енергийната общност — WB6 Energy Transition Tracker (доклад относно напредъка по енергийния преход на инициативата на Шестте относно Западните Балкани), юли 2020 г.: </w:t>
      </w:r>
      <w:hyperlink r:id="rId1" w:history="1">
        <w:r>
          <w:rPr>
            <w:rStyle w:val="Hyperlink"/>
            <w:rFonts w:ascii="Times New Roman" w:hAnsi="Times New Roman"/>
          </w:rPr>
          <w:t>https://www.energy-community.org/dam/jcr:2077a2ba-805a-4ca2-afcb-91c90ecc0878/EnC_WB6_072020.pdf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51E2"/>
    <w:multiLevelType w:val="hybridMultilevel"/>
    <w:tmpl w:val="29B8FF8C"/>
    <w:lvl w:ilvl="0" w:tplc="FDEE484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66482AB-D199-4364-8456-2CE0B8CFAC73"/>
    <w:docVar w:name="LW_COVERPAGE_TYPE" w:val="1"/>
    <w:docVar w:name="LW_CROSSREFERENCE" w:val="{SWD(2020) 223 final}"/>
    <w:docVar w:name="LW_DocType" w:val="NORMAL"/>
    <w:docVar w:name="LW_EMISSION" w:val="6.10.2020"/>
    <w:docVar w:name="LW_EMISSION_ISODATE" w:val="2020-10-0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48?\u1082?\u1086?\u1085?\u1086?\u1084?\u1080?\u1095?\u1077?\u1089?\u1082?\u1080? \u1080? \u1080?\u1085?\u1074?\u1077?\u1089?\u1090?\u1080?\u1094?\u1080?\u1086?\u1085?\u1077?\u1085? \u1087?\u1083?\u1072?\u1085? \u1079?\u1072? \u1047?\u1072?\u1087?\u1072?\u1076?\u1085?\u1080?\u1090?\u1077? \u1041?\u1072?\u1083?\u1082?\u1072?\u1085?\u1080?&lt;/FMT&gt;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ble/Figure Heading,Colorful List - Accent 11,Dot pt,F5 List Paragraph,List Paragraph1,No Spacing1,List Paragraph Char Char Char,Indicator Text,Numbered Para 1,Bullet 1,Bullet Points,MAIN CONTENT,List Paragraph11,List Paragraph12,L,列出段落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  <w:lang w:eastAsia="fr-BE"/>
    </w:rPr>
  </w:style>
  <w:style w:type="paragraph" w:styleId="FootnoteText">
    <w:name w:val="footnote text"/>
    <w:aliases w:val="Fußnote,Footnote Text Char Char Char,Footnote Text Char Char,single space,Fußnotentextf,Footnote text,fn,Schriftart: 9 pt,Schriftart: 10 pt,Schriftart: 8 pt,WB-Fußnotentext,footnote text Carattere,Geneva 9,Font: Geneva 9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</w:style>
  <w:style w:type="character" w:customStyle="1" w:styleId="FootnoteTextChar">
    <w:name w:val="Footnote Text Char"/>
    <w:aliases w:val="Fußnote Char,Footnote Text Char Char Char Char,Footnote Text Char Char Char1,single space Char,Fußnotentextf Char,Footnote text Char,fn Char,Schriftart: 9 pt Char,Schriftart: 10 pt Char,Schriftart: 8 pt Char,WB-Fußnoten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bg-BG" w:eastAsia="fr-BE"/>
    </w:rPr>
  </w:style>
  <w:style w:type="character" w:styleId="FootnoteReference">
    <w:name w:val="footnote reference"/>
    <w:aliases w:val="Voetnoot verwijzing,number,Footnote reference number,Footnote symbol,note TESI,-E Fußnotenzeichen,SUPERS,stylish,Footnote Reference_EP-LCA,BVI fnr,Odwołanie przypisu,Footnote Reference2,Footnote Reference Number,E FNZ,Footnote#,n,Nota"/>
    <w:basedOn w:val="DefaultParagraphFont"/>
    <w:link w:val="FootnotesymbolCarZchn"/>
    <w:uiPriority w:val="99"/>
    <w:unhideWhenUsed/>
    <w:qFormat/>
    <w:rPr>
      <w:sz w:val="20"/>
      <w:szCs w:val="20"/>
      <w:vertAlign w:val="superscript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istParagraphChar">
    <w:name w:val="List Paragraph Char"/>
    <w:aliases w:val="Table/Figure Heading Char,Colorful List - Accent 11 Char,Dot pt Char,F5 List Paragraph Char,List Paragraph1 Char,No Spacing1 Char,List Paragraph Char Char Char Char,Indicator Text Char,Numbered Para 1 Char,Bullet 1 Char,L Char"/>
    <w:basedOn w:val="DefaultParagraphFont"/>
    <w:link w:val="ListParagraph"/>
    <w:uiPriority w:val="34"/>
    <w:qFormat/>
    <w:rPr>
      <w:rFonts w:ascii="Calibri" w:eastAsia="Calibri" w:hAnsi="Calibri" w:cs="Times New Roman"/>
      <w:lang w:val="bg-BG" w:eastAsia="fr-B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sz w:val="20"/>
      <w:szCs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ble/Figure Heading,Colorful List - Accent 11,Dot pt,F5 List Paragraph,List Paragraph1,No Spacing1,List Paragraph Char Char Char,Indicator Text,Numbered Para 1,Bullet 1,Bullet Points,MAIN CONTENT,List Paragraph11,List Paragraph12,L,列出段落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  <w:lang w:eastAsia="fr-BE"/>
    </w:rPr>
  </w:style>
  <w:style w:type="paragraph" w:styleId="FootnoteText">
    <w:name w:val="footnote text"/>
    <w:aliases w:val="Fußnote,Footnote Text Char Char Char,Footnote Text Char Char,single space,Fußnotentextf,Footnote text,fn,Schriftart: 9 pt,Schriftart: 10 pt,Schriftart: 8 pt,WB-Fußnotentext,footnote text Carattere,Geneva 9,Font: Geneva 9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</w:style>
  <w:style w:type="character" w:customStyle="1" w:styleId="FootnoteTextChar">
    <w:name w:val="Footnote Text Char"/>
    <w:aliases w:val="Fußnote Char,Footnote Text Char Char Char Char,Footnote Text Char Char Char1,single space Char,Fußnotentextf Char,Footnote text Char,fn Char,Schriftart: 9 pt Char,Schriftart: 10 pt Char,Schriftart: 8 pt Char,WB-Fußnoten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bg-BG" w:eastAsia="fr-BE"/>
    </w:rPr>
  </w:style>
  <w:style w:type="character" w:styleId="FootnoteReference">
    <w:name w:val="footnote reference"/>
    <w:aliases w:val="Voetnoot verwijzing,number,Footnote reference number,Footnote symbol,note TESI,-E Fußnotenzeichen,SUPERS,stylish,Footnote Reference_EP-LCA,BVI fnr,Odwołanie przypisu,Footnote Reference2,Footnote Reference Number,E FNZ,Footnote#,n,Nota"/>
    <w:basedOn w:val="DefaultParagraphFont"/>
    <w:link w:val="FootnotesymbolCarZchn"/>
    <w:uiPriority w:val="99"/>
    <w:unhideWhenUsed/>
    <w:qFormat/>
    <w:rPr>
      <w:sz w:val="20"/>
      <w:szCs w:val="20"/>
      <w:vertAlign w:val="superscript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istParagraphChar">
    <w:name w:val="List Paragraph Char"/>
    <w:aliases w:val="Table/Figure Heading Char,Colorful List - Accent 11 Char,Dot pt Char,F5 List Paragraph Char,List Paragraph1 Char,No Spacing1 Char,List Paragraph Char Char Char Char,Indicator Text Char,Numbered Para 1 Char,Bullet 1 Char,L Char"/>
    <w:basedOn w:val="DefaultParagraphFont"/>
    <w:link w:val="ListParagraph"/>
    <w:uiPriority w:val="34"/>
    <w:qFormat/>
    <w:rPr>
      <w:rFonts w:ascii="Calibri" w:eastAsia="Calibri" w:hAnsi="Calibri" w:cs="Times New Roman"/>
      <w:lang w:val="bg-BG" w:eastAsia="fr-B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line="240" w:lineRule="exact"/>
      <w:jc w:val="both"/>
    </w:pPr>
    <w:rPr>
      <w:sz w:val="20"/>
      <w:szCs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com/v3/__https:/www.energy-community.org/dam/jcr:2077a2ba-805a-4ca2-afcb-91c90ecc0878/EnC_WB6_072020.pdf__;!!DOxrgLBm!WrJBX7TMl0kPEJa8XlpWcvipNV_1eH0zQz9InVdgGi2ePZB65jlg6MYiu-F4-hRsIokP82CTPt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2024</Words>
  <Characters>12208</Characters>
  <Application>Microsoft Office Word</Application>
  <DocSecurity>0</DocSecurity>
  <Lines>239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WES PDFC Administrator</cp:lastModifiedBy>
  <cp:revision>29</cp:revision>
  <dcterms:created xsi:type="dcterms:W3CDTF">2020-10-06T07:44:00Z</dcterms:created>
  <dcterms:modified xsi:type="dcterms:W3CDTF">2020-11-08T10:19:00Z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