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6C64DC-1DC9-4C8D-95AD-ADC640CE4312"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Общия съвет на Световната търговска организация (СТО) по предложение, чиято цел е закупуването на храни с нетърговски хуманитарни цели по линия на Световната продоволствена програма да бъде освободено от прилагането на забрани или ограничения за износ.</w:t>
      </w:r>
    </w:p>
    <w:p>
      <w:pPr>
        <w:pStyle w:val="ManualHeading1"/>
        <w:rPr>
          <w:noProof/>
        </w:rPr>
      </w:pPr>
      <w:r>
        <w:t>2.</w:t>
      </w:r>
      <w:r>
        <w:tab/>
      </w:r>
      <w:r>
        <w:rPr>
          <w:noProof/>
        </w:rPr>
        <w:t>Контекст на предложението</w:t>
      </w:r>
    </w:p>
    <w:p>
      <w:pPr>
        <w:pStyle w:val="ManualHeading2"/>
        <w:rPr>
          <w:rFonts w:eastAsia="Arial Unicode MS"/>
          <w:noProof/>
        </w:rPr>
      </w:pPr>
      <w:r>
        <w:t>2.1.</w:t>
      </w:r>
      <w:r>
        <w:tab/>
      </w:r>
      <w:r>
        <w:rPr>
          <w:noProof/>
        </w:rPr>
        <w:t xml:space="preserve">Маракешкото споразумение за създаване на Световната търговска организация </w:t>
      </w:r>
    </w:p>
    <w:p>
      <w:pPr>
        <w:rPr>
          <w:rFonts w:eastAsia="Arial Unicode MS"/>
          <w:noProof/>
        </w:rPr>
      </w:pPr>
      <w:r>
        <w:rPr>
          <w:noProof/>
        </w:rPr>
        <w:t>Предложеното Решение на Съвета има за цел да упълномощи Европейската комисия да подкрепи от името на Съюза решение, което трябва да бъде взето в рамките на Общия съвет на Световната търговска организация (СТО). Световната търговска организация е създадена с Маракешкото споразумение („Споразумението за СТО“), което влезе в сила на 1 януари 1995 г.</w:t>
      </w:r>
    </w:p>
    <w:p>
      <w:pPr>
        <w:rPr>
          <w:noProof/>
        </w:rPr>
      </w:pPr>
      <w:r>
        <w:rPr>
          <w:noProof/>
        </w:rPr>
        <w:t xml:space="preserve">Европейският съюз е страна по това споразумение. </w:t>
      </w:r>
    </w:p>
    <w:p>
      <w:pPr>
        <w:pStyle w:val="ManualHeading2"/>
        <w:rPr>
          <w:noProof/>
        </w:rPr>
      </w:pPr>
      <w:r>
        <w:t>2.2.</w:t>
      </w:r>
      <w:r>
        <w:tab/>
      </w:r>
      <w:r>
        <w:rPr>
          <w:noProof/>
        </w:rPr>
        <w:t>Министерска конференция и Общ съвет на Световната търговска организация</w:t>
      </w:r>
    </w:p>
    <w:p>
      <w:pPr>
        <w:rPr>
          <w:noProof/>
        </w:rPr>
      </w:pPr>
      <w:r>
        <w:rPr>
          <w:noProof/>
        </w:rPr>
        <w:t>Съгласно член IV, параграф 1 от Споразумението за СТО Министерската конференция има правомощията да взема решения относно всички въпроси по многостранните търговски споразумения.</w:t>
      </w:r>
    </w:p>
    <w:p>
      <w:pPr>
        <w:rPr>
          <w:noProof/>
        </w:rPr>
      </w:pPr>
      <w:r>
        <w:rPr>
          <w:noProof/>
        </w:rPr>
        <w:t>Съгласно член IV, параграф 2 от Споразумението за СТО обаче в периода между заседанията на Министерската конференция нейните функции се изпълняват от Общия съвет.</w:t>
      </w:r>
    </w:p>
    <w:p>
      <w:pPr>
        <w:rPr>
          <w:noProof/>
        </w:rPr>
      </w:pPr>
      <w:r>
        <w:rPr>
          <w:noProof/>
        </w:rPr>
        <w:t>Съгласно член IХ, параграф 1 от Споразумението за СТО, органите на СТО се стремят да вземат своите решения с консенсус.</w:t>
      </w:r>
    </w:p>
    <w:p>
      <w:pPr>
        <w:pStyle w:val="ManualHeading2"/>
        <w:rPr>
          <w:noProof/>
        </w:rPr>
      </w:pPr>
      <w:r>
        <w:t>2.3.</w:t>
      </w:r>
      <w:r>
        <w:tab/>
      </w:r>
      <w:r>
        <w:rPr>
          <w:noProof/>
        </w:rPr>
        <w:t>Предвиденият акт на</w:t>
      </w:r>
      <w:r>
        <w:t xml:space="preserve"> </w:t>
      </w:r>
      <w:r>
        <w:rPr>
          <w:noProof/>
        </w:rPr>
        <w:t>Общия съвет на Световната търговска организация</w:t>
      </w:r>
    </w:p>
    <w:p>
      <w:pPr>
        <w:rPr>
          <w:rFonts w:eastAsia="Arial Unicode MS"/>
          <w:noProof/>
        </w:rPr>
      </w:pPr>
      <w:r>
        <w:rPr>
          <w:noProof/>
        </w:rPr>
        <w:t xml:space="preserve">По силата на член XI, параграф 2, буква а) от ГАТТ от 1994 г. на страните — членки на СТО, се позволява  да налагат забрани и ограничения за износа на селскостопански продукти, включително храни за хуманитарни цели, при спазване на правилата, предвидени в член 12 от Споразумението на СТО за селското стопанство. </w:t>
      </w:r>
    </w:p>
    <w:p>
      <w:pPr>
        <w:rPr>
          <w:rFonts w:eastAsia="Arial Unicode MS"/>
          <w:noProof/>
        </w:rPr>
      </w:pPr>
      <w:r>
        <w:rPr>
          <w:noProof/>
        </w:rPr>
        <w:t>В контекста на пандемията от COVID-19 някои страни — членки на СТО, отново се върнаха към прилагането на ограничения или забрани върху износа на селскостопански продукти.</w:t>
      </w:r>
    </w:p>
    <w:p>
      <w:pPr>
        <w:rPr>
          <w:rFonts w:eastAsia="Arial Unicode MS"/>
          <w:noProof/>
        </w:rPr>
      </w:pPr>
      <w:r>
        <w:rPr>
          <w:noProof/>
        </w:rPr>
        <w:t xml:space="preserve">От Общия съвет на СТО може да бъде поискано на заседанието му през декември 2020 г. или на следващо заседание през 2021 г. да приеме решение, целящо освобождаване от прилагането на забрани или ограничения за износа на храни, закупени с нетърговски хуманитарни цели по линия на Световната продоволствена програма. </w:t>
      </w:r>
    </w:p>
    <w:p>
      <w:pPr>
        <w:rPr>
          <w:rFonts w:eastAsia="Arial Unicode MS"/>
          <w:noProof/>
        </w:rPr>
      </w:pPr>
      <w:r>
        <w:rPr>
          <w:noProof/>
        </w:rPr>
        <w:t xml:space="preserve">Предложението е представено с оглед на жизненоважната хуманитарна подкрепа, предоставяна от Световната продоволствена програма, която стана по-спешна в контекста на пандемията от COVID-19 и други кризи. </w:t>
      </w:r>
    </w:p>
    <w:p>
      <w:pPr>
        <w:rPr>
          <w:rFonts w:eastAsia="Arial Unicode MS"/>
          <w:noProof/>
        </w:rPr>
      </w:pPr>
      <w:r>
        <w:rPr>
          <w:noProof/>
        </w:rPr>
        <w:lastRenderedPageBreak/>
        <w:t xml:space="preserve">Решенията в рамките на СТО се вземат с консенсус. Поради това Съветът трябва да приеме решение съгласно член 218, параграф 9 от ДФЕС за упълномощаване на ЕС да се присъедини към консенсуса.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Целта на настоящото предложение е да се даде възможност на Европейския съюз да се присъедини към консенсуса относно приемането на решение за освобождаване на закупуването на храни с нетърговски хуманитарни цели по линия на Световната продоволствена програма от прилагането на забрани или ограничения за износ, евентуално още на заседанието на Общия съвет на СТО през декември 2020 г. или на следващо заседание на Съвета през 2021 г.</w:t>
      </w:r>
    </w:p>
    <w:p>
      <w:pPr>
        <w:rPr>
          <w:rFonts w:eastAsia="Arial Unicode MS"/>
          <w:noProof/>
        </w:rPr>
      </w:pPr>
      <w:r>
        <w:rPr>
          <w:noProof/>
        </w:rPr>
        <w:t>От гледна точка на Съюза своевременното решение на Съвета да се присъедини към консенсуса по този въпрос в рамките на Общия съвет е от решаващо значение за поддържане на позицията на ЕС в СТО, по-специално като се има предвид неотложното хуманитарно естество на въпроса поради пандемията от COVID-19.</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ManualHeading3"/>
        <w:rPr>
          <w:noProof/>
        </w:rPr>
      </w:pPr>
      <w:r>
        <w:t>4.1.2.</w:t>
      </w:r>
      <w:r>
        <w:tab/>
      </w:r>
      <w:r>
        <w:rPr>
          <w:noProof/>
        </w:rPr>
        <w:t>Приложение в конкретния случай</w:t>
      </w:r>
    </w:p>
    <w:p>
      <w:pPr>
        <w:rPr>
          <w:noProof/>
        </w:rPr>
      </w:pPr>
      <w:r>
        <w:rPr>
          <w:noProof/>
        </w:rPr>
        <w:t>Министерската конференция на СТО е орган, създаден със споразумение, а именно Споразумението за СТО, като по силата на член IV, параграф 1 този орган има правомощията да взема решения относно всички въпроси по многостранните търговски споразумения, включително решения с правно действие.</w:t>
      </w:r>
    </w:p>
    <w:p>
      <w:pPr>
        <w:rPr>
          <w:noProof/>
        </w:rPr>
      </w:pPr>
      <w:r>
        <w:rPr>
          <w:noProof/>
        </w:rPr>
        <w:t>Съгласно член IV, параграф 2 от Споразумението за СТО в периода между заседанията на Министерската конференция нейните функции се изпълняват от Общия съвет.</w:t>
      </w:r>
    </w:p>
    <w:p>
      <w:pPr>
        <w:rPr>
          <w:noProof/>
        </w:rPr>
      </w:pPr>
      <w:r>
        <w:rPr>
          <w:noProof/>
        </w:rPr>
        <w:t xml:space="preserve">Предвидените актове, посочени по-горе, представляват актове с правно действие, тъй като те могат да окажат въздействие върху правата и задълженията на Съюза.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color w:val="0000FF"/>
        </w:rPr>
      </w:pPr>
      <w:r>
        <w:rPr>
          <w:noProof/>
        </w:rPr>
        <w:t xml:space="preserve">Тъй като актът на Общия съвет на СТО ще допълни Споразумението за СТО, като изключи храните, закупени с нетърговски хуманитарни цели по линия на Световната продоволствена програма, от забрани или ограничения за износ,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Общия съвет на Световната търговска организация по отношение на приемането на решение за освобождаване на някои покупки на храни от прилагането на забрани или ограничения за износа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w:t>
      </w:r>
      <w:r>
        <w:t>,</w:t>
      </w:r>
      <w:r>
        <w:rPr>
          <w:noProof/>
        </w:rPr>
        <w:t xml:space="preserve">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22 декември 1994 г. Маракешкото споразумение за създаване на Световната търговска организация („Споразумението за СТО“) беше сключено от Съюза с Решение 94/800/ЕО на Съвета</w:t>
      </w:r>
      <w:r>
        <w:rPr>
          <w:rStyle w:val="FootnoteReference"/>
          <w:noProof/>
        </w:rPr>
        <w:footnoteReference w:id="1"/>
      </w:r>
      <w:r>
        <w:rPr>
          <w:noProof/>
        </w:rPr>
        <w:t xml:space="preserve"> и влезе в сила на 1 януари 1995 г.</w:t>
      </w:r>
    </w:p>
    <w:p>
      <w:pPr>
        <w:pStyle w:val="ManualConsidrant"/>
        <w:rPr>
          <w:noProof/>
        </w:rPr>
      </w:pPr>
      <w:r>
        <w:t>(2)</w:t>
      </w:r>
      <w:r>
        <w:tab/>
      </w:r>
      <w:r>
        <w:rPr>
          <w:noProof/>
        </w:rPr>
        <w:t xml:space="preserve">Съгласно член IV, параграф 1 от Споразумението за СТО Министерската конференция на СТО има правомощията да взема решения относно всички въпроси по многостранните търговски споразумения. </w:t>
      </w:r>
    </w:p>
    <w:p>
      <w:pPr>
        <w:pStyle w:val="ManualConsidrant"/>
        <w:rPr>
          <w:noProof/>
        </w:rPr>
      </w:pPr>
      <w:r>
        <w:t>(3)</w:t>
      </w:r>
      <w:r>
        <w:tab/>
      </w:r>
      <w:r>
        <w:rPr>
          <w:noProof/>
        </w:rPr>
        <w:t>Съгласно член IV, параграф 2 от Споразумението за СТО в периода между заседанията на Министерската конференция нейните функции се изпълняват от Общия съвет на СТО.</w:t>
      </w:r>
    </w:p>
    <w:p>
      <w:pPr>
        <w:pStyle w:val="ManualConsidrant"/>
        <w:rPr>
          <w:noProof/>
        </w:rPr>
      </w:pPr>
      <w:r>
        <w:t>(4)</w:t>
      </w:r>
      <w:r>
        <w:tab/>
      </w:r>
      <w:r>
        <w:rPr>
          <w:noProof/>
        </w:rPr>
        <w:t>Съгласно член IХ, параграф 1 от Споразумението за СТО органите на СТО при възможност вземат своите решения с консенсус.</w:t>
      </w:r>
    </w:p>
    <w:p>
      <w:pPr>
        <w:pStyle w:val="ManualConsidrant"/>
        <w:rPr>
          <w:noProof/>
        </w:rPr>
      </w:pPr>
      <w:r>
        <w:t>(5)</w:t>
      </w:r>
      <w:r>
        <w:tab/>
      </w:r>
      <w:r>
        <w:rPr>
          <w:noProof/>
        </w:rPr>
        <w:t>От Общия съвет на СТО може да бъде поискано на заседанието му през декември 2020 г. или на следващо заседание през 2021 г. да разгледа предложение, целящо освобождаване от забрани и ограничения на износа на храни, закупени с нетърговски хуманитарни цели по линия на Световната продоволствена програма на Организацията на обединените нации.</w:t>
      </w:r>
    </w:p>
    <w:p>
      <w:pPr>
        <w:pStyle w:val="ManualConsidrant"/>
        <w:rPr>
          <w:noProof/>
        </w:rPr>
      </w:pPr>
      <w:r>
        <w:t>(6)</w:t>
      </w:r>
      <w:r>
        <w:tab/>
      </w:r>
      <w:r>
        <w:rPr>
          <w:noProof/>
        </w:rPr>
        <w:t xml:space="preserve">Тъй като решението, което трябва да бъде прието, ще бъде обвързващо за Съюза, е целесъобразно да се установи позицията, която трябва да се заеме от името на Съюза в рамките на Общия съвет на СТО. </w:t>
      </w:r>
    </w:p>
    <w:p>
      <w:pPr>
        <w:pStyle w:val="ManualConsidrant"/>
        <w:rPr>
          <w:noProof/>
        </w:rPr>
      </w:pPr>
      <w:r>
        <w:t>(7)</w:t>
      </w:r>
      <w:r>
        <w:tab/>
      </w:r>
      <w:r>
        <w:rPr>
          <w:noProof/>
        </w:rPr>
        <w:t>По силата на член XI, параграф 2, буква а) от ГАТТ от 1994 г.  при определени обстоятелства на страните — членки на СТО, се позволява да прилагат забрани или ограничения за износа. В член 12 от Споразумението на СТО за селското стопанство се определят допълнителни условия, които трябва да се спазват от страните — членки на СТО, в такива случаи. По време на пандемията от COVID-19 страните — членки на СТО, започнаха да прилагат такива мерки, които може да засегнат и храните, закупени с нетърговски хуманитарни цели.</w:t>
      </w:r>
    </w:p>
    <w:p>
      <w:pPr>
        <w:pStyle w:val="ManualConsidrant"/>
        <w:rPr>
          <w:noProof/>
        </w:rPr>
      </w:pPr>
      <w:r>
        <w:lastRenderedPageBreak/>
        <w:t>(8)</w:t>
      </w:r>
      <w:r>
        <w:tab/>
      </w:r>
      <w:r>
        <w:rPr>
          <w:noProof/>
        </w:rPr>
        <w:t>Хуманитарните покупки по линия на Световната продоволствена програма следва да бъдат освободени от забрани и ограничения за износ с оглед на жизненоважната хуманитарна подкрепа, предоставяна от Световната продоволствена програма, която стана още по-ключова по време на пандемията от COVID-19.</w:t>
      </w:r>
    </w:p>
    <w:p>
      <w:pPr>
        <w:pStyle w:val="ManualConsidrant"/>
        <w:rPr>
          <w:noProof/>
        </w:rPr>
      </w:pPr>
      <w:r>
        <w:t>(9)</w:t>
      </w:r>
      <w:r>
        <w:tab/>
      </w:r>
      <w:r>
        <w:rPr>
          <w:noProof/>
        </w:rPr>
        <w:t>В Общия съвет на СТО Съюзът се представлява от Комисията в съответствие с член 17, параграф 1 от Договора за Европейския съюз,</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Общия съвет на Световната търговска организация („Общия съвет на СТО“) на заседанието му през декември 2020 г. или на следващо заседание през 2021 г., е следната:  </w:t>
      </w:r>
    </w:p>
    <w:p>
      <w:pPr>
        <w:rPr>
          <w:noProof/>
        </w:rPr>
      </w:pPr>
      <w:r>
        <w:rPr>
          <w:noProof/>
        </w:rPr>
        <w:t>Ако бъде постигнат консенсус между страните — членки на СТО, храните, закупени с нетърговски хуманитарни цели по линия на Световната продоволствена програма, да бъдат освободени от прилагането на забрани или ограничения за износа, Съюзът се присъединява към този консенсус. Представителите на Съюза в Общия съвет на СТО могат да договарят незначителни промени в този проект на позиция, без да е необходимо допълнително решение на Съвета.</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336, 23.12.1994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3:01: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E6C64DC-1DC9-4C8D-95AD-ADC640CE4312"/>
    <w:docVar w:name="LW_COVERPAGE_TYPE" w:val="1"/>
    <w:docVar w:name="LW_CROSSREFERENCE" w:val="&lt;UNUSED&gt;"/>
    <w:docVar w:name="LW_DocType" w:val="COM"/>
    <w:docVar w:name="LW_EMISSION" w:val="10.11.2020"/>
    <w:docVar w:name="LW_EMISSION_ISODATE" w:val="2020-11-1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5"/>
    <w:docVar w:name="LW_REF.II.NEW.CP_YEAR" w:val="2020"/>
    <w:docVar w:name="LW_REF.INST.NEW" w:val="COM"/>
    <w:docVar w:name="LW_REF.INST.NEW_ADOPTED" w:val="final"/>
    <w:docVar w:name="LW_REF.INST.NEW_TEXT" w:val="(2020)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u1087?\u1086? \u1086?\u1090?\u1085?\u1086?\u1096?\u1077?\u1085?\u1080?\u1077? \u1085?\u1072? \u1087?\u1088?\u1080?\u1077?\u1084?\u1072?\u1085?\u1077?\u1090?\u1086? \u1085?\u1072? \u1088?\u1077?\u1096?\u1077?\u1085?\u1080?\u1077? \u1079?\u1072? \u1086?\u1089?\u1074?\u1086?\u1073?\u1086?\u1078?\u1076?\u1072?\u1074?\u1072?\u1085?\u1077? \u1085?\u1072? \u1085?\u1103?\u1082?\u1086?\u1080? \u1087?\u1086?\u1082?\u1091?\u1087?\u1082?\u1080? \u1085?\u1072? \u1093?\u1088?\u1072?\u1085?\u1080? \u1086?\u1090? \u1087?\u1088?\u1080?\u1083?\u1072?\u1075?\u1072?\u1085?\u1077?\u1090?\u1086? \u1085?\u1072? \u1079?\u1072?\u1073?\u1088?\u1072?\u1085?\u1080? \u1080?\u1083?\u1080? \u1086?\u1075?\u1088?\u1072?\u1085?\u1080?\u1095?\u1077?\u1085?\u1080?\u1103? \u1079?\u1072? \u1080?\u1079?\u1085?\u1086?\u1089?\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2528">
      <w:bodyDiv w:val="1"/>
      <w:marLeft w:val="0"/>
      <w:marRight w:val="0"/>
      <w:marTop w:val="0"/>
      <w:marBottom w:val="0"/>
      <w:divBdr>
        <w:top w:val="none" w:sz="0" w:space="0" w:color="auto"/>
        <w:left w:val="none" w:sz="0" w:space="0" w:color="auto"/>
        <w:bottom w:val="none" w:sz="0" w:space="0" w:color="auto"/>
        <w:right w:val="none" w:sz="0" w:space="0" w:color="auto"/>
      </w:divBdr>
    </w:div>
    <w:div w:id="15926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C2E2CE-DCC2-40FA-AB10-67242369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1488</Words>
  <Characters>8275</Characters>
  <Application>Microsoft Office Word</Application>
  <DocSecurity>0</DocSecurity>
  <Lines>165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2020-10-15T08:13:00Z</cp:lastPrinted>
  <dcterms:created xsi:type="dcterms:W3CDTF">2020-11-10T07:57:00Z</dcterms:created>
  <dcterms:modified xsi:type="dcterms:W3CDTF">2020-11-11T12:01:00Z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