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B2225C-F87F-4EA9-B048-CF5A74D69314" style="width:450.75pt;height:42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draft Decision of the EEA Joint Committee (annexed to the proposed Council Decision) aims to amend Annex IV (Energy) to the EEA Agreement in order to incorporate </w:t>
      </w:r>
      <w:r>
        <w:rPr>
          <w:bCs/>
          <w:noProof/>
          <w:szCs w:val="24"/>
          <w:lang w:val="en"/>
        </w:rPr>
        <w:t>Commission Regulation (EU) 2015/1222 of 24 July 2015 establishing a guideline on capacity allocation and congestion management</w:t>
      </w:r>
      <w:r>
        <w:rPr>
          <w:rStyle w:val="FootnoteReference0"/>
          <w:noProof/>
        </w:rPr>
        <w:footnoteReference w:id="1"/>
      </w:r>
      <w:r>
        <w:rPr>
          <w:bCs/>
          <w:noProof/>
          <w:szCs w:val="24"/>
          <w:lang w:val="en"/>
        </w:rPr>
        <w:t xml:space="preserve"> </w:t>
      </w:r>
      <w:r>
        <w:rPr>
          <w:noProof/>
        </w:rPr>
        <w:t>into the EEA Agreement.</w:t>
      </w:r>
    </w:p>
    <w:p>
      <w:pPr>
        <w:pBdr>
          <w:top w:val="nil"/>
          <w:left w:val="nil"/>
          <w:bottom w:val="nil"/>
          <w:right w:val="nil"/>
          <w:between w:val="nil"/>
          <w:bar w:val="nil"/>
        </w:pBdr>
        <w:spacing w:before="0" w:after="240"/>
        <w:rPr>
          <w:noProof/>
        </w:rPr>
      </w:pPr>
      <w:r>
        <w:rPr>
          <w:noProof/>
        </w:rPr>
        <w:t>The electricity network codes and guidelines, as established with a basis in the 3</w:t>
      </w:r>
      <w:r>
        <w:rPr>
          <w:noProof/>
          <w:vertAlign w:val="superscript"/>
        </w:rPr>
        <w:t>rd</w:t>
      </w:r>
      <w:r>
        <w:rPr>
          <w:noProof/>
        </w:rPr>
        <w:t xml:space="preserve"> Energy Package, set out technical rules to facilitate trade within the EU internal electricity market. A fully functioning and interconnected internal energy market is crucial to the objectives of security of supply, increasing competitiveness and ensuring that consumers can purchase energy at affordable prices. Significant electricity interconnections have been established between Norway, as an EEA EFTA State, and EU Member States. It is therefore imperative that the technical rules applicable to trade within the EU internal electricity market are extended to the EEA to ensure legal homogeneity as a basis for trade in electricity.</w:t>
      </w:r>
    </w:p>
    <w:p>
      <w:pPr>
        <w:pBdr>
          <w:top w:val="nil"/>
          <w:left w:val="nil"/>
          <w:bottom w:val="nil"/>
          <w:right w:val="nil"/>
          <w:between w:val="nil"/>
          <w:bar w:val="nil"/>
        </w:pBdr>
        <w:spacing w:before="0" w:after="240"/>
        <w:rPr>
          <w:noProof/>
        </w:rPr>
      </w:pPr>
      <w:r>
        <w:rPr>
          <w:noProof/>
        </w:rPr>
        <w:t>Commission Regulation (EU) 2015/1222 sets out rules for the allocation of available capacity on interconnectors spanning the borders in the internal electricity market for the purpose of facilitating trade in day-ahead and intraday markets. It sets requirements for the establishment of common methodologies for determining available capacity, criteria to assess efficiency and a review process for bidding zones. It applies to all transmission system operators, except for those on islands which are not connected to another system.</w:t>
      </w:r>
    </w:p>
    <w:p>
      <w:pPr>
        <w:pBdr>
          <w:top w:val="nil"/>
          <w:left w:val="nil"/>
          <w:bottom w:val="nil"/>
          <w:right w:val="nil"/>
          <w:between w:val="nil"/>
          <w:bar w:val="nil"/>
        </w:pBdr>
        <w:spacing w:before="0" w:after="240"/>
        <w:rPr>
          <w:rFonts w:eastAsia="Arial Unicode MS"/>
          <w:noProof/>
        </w:rPr>
      </w:pPr>
      <w:r>
        <w:rPr>
          <w:noProof/>
        </w:rPr>
        <w:t xml:space="preserve">The adaptations appearing in the draft of the annexed Decision of the EEA Joint Committee go beyond what can be considered mere technical adaptations in the sense of the Council Regulation No 2894/94. The Union position shall therefore be established by the Council.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EEA Joint Committee Decision extends the already existing EU policy to the EEA EFTA States (Norway, Iceland and Liechtenstein).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extension of the EU acquis to the EEA EFTA States, through its incorporation into the EEA Agreement is conducted in conformity with the objectives and principles of that Agreement, aiming at establishing a dynamic and homogeneous European Economic Area, based on common rules and equal conditions of competition.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legislation to be incorporated into the EEA Agreement is based on Article 194 of the Treaty on the Functioning of the European Union.</w:t>
      </w:r>
    </w:p>
    <w:p>
      <w:pPr>
        <w:pStyle w:val="Normal1"/>
        <w:jc w:val="both"/>
        <w:rPr>
          <w:noProof/>
        </w:rPr>
      </w:pPr>
      <w:r>
        <w:rPr>
          <w:noProof/>
        </w:rPr>
        <w:lastRenderedPageBreak/>
        <w:t>Article 1(3) of Council Regulation (EC) No 2894/94</w:t>
      </w:r>
      <w:r>
        <w:rPr>
          <w:rStyle w:val="FootnoteReference0"/>
          <w:noProof/>
        </w:rPr>
        <w:footnoteReference w:id="2"/>
      </w:r>
      <w:r>
        <w:rPr>
          <w:rStyle w:val="footnotereference"/>
          <w:noProof/>
        </w:rPr>
        <w:t xml:space="preserve"> </w:t>
      </w:r>
      <w:r>
        <w:rPr>
          <w:noProof/>
        </w:rPr>
        <w:t xml:space="preserve">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There are no budgetary implications expected as a result of incorporation of the above mentioned Regulation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i/>
          <w:noProof/>
          <w:u w:val="single"/>
        </w:rPr>
      </w:pPr>
      <w:r>
        <w:rPr>
          <w:i/>
          <w:noProof/>
          <w:u w:val="single"/>
        </w:rPr>
        <w:t>Adaptation (a) – non applicability to Iceland and Lichtenstein</w:t>
      </w:r>
    </w:p>
    <w:p>
      <w:pPr>
        <w:pBdr>
          <w:top w:val="nil"/>
          <w:left w:val="nil"/>
          <w:bottom w:val="nil"/>
          <w:right w:val="nil"/>
          <w:between w:val="nil"/>
          <w:bar w:val="nil"/>
        </w:pBdr>
        <w:spacing w:before="0" w:after="240"/>
        <w:rPr>
          <w:noProof/>
        </w:rPr>
      </w:pPr>
      <w:r>
        <w:rPr>
          <w:bCs/>
          <w:noProof/>
          <w:szCs w:val="24"/>
        </w:rPr>
        <w:t>As the transmission system of Iceland is not connected with other transmission systems</w:t>
      </w:r>
      <w:r>
        <w:rPr>
          <w:noProof/>
        </w:rPr>
        <w:t xml:space="preserve">, therefore, </w:t>
      </w:r>
      <w:r>
        <w:rPr>
          <w:bCs/>
          <w:noProof/>
          <w:szCs w:val="24"/>
          <w:lang w:val="en"/>
        </w:rPr>
        <w:t xml:space="preserve">Commission Regulation (EU) 2015/1222 </w:t>
      </w:r>
      <w:r>
        <w:rPr>
          <w:noProof/>
        </w:rPr>
        <w:t xml:space="preserve">should not apply to Iceland. </w:t>
      </w:r>
    </w:p>
    <w:p>
      <w:pPr>
        <w:pBdr>
          <w:top w:val="nil"/>
          <w:left w:val="nil"/>
          <w:bottom w:val="nil"/>
          <w:right w:val="nil"/>
          <w:between w:val="nil"/>
          <w:bar w:val="nil"/>
        </w:pBdr>
        <w:spacing w:before="0" w:after="240"/>
        <w:rPr>
          <w:noProof/>
        </w:rPr>
      </w:pPr>
      <w:r>
        <w:rPr>
          <w:bCs/>
          <w:noProof/>
          <w:szCs w:val="24"/>
          <w:lang w:val="en"/>
        </w:rPr>
        <w:t xml:space="preserve">Commission Regulation (EU) 2015/1222 </w:t>
      </w:r>
      <w:r>
        <w:rPr>
          <w:noProof/>
        </w:rPr>
        <w:t>should not apply to Liechtenstein, as due to its small size and the limited number of electricity customers, Liechtenstein does not have an own transmission electricity network.</w:t>
      </w:r>
    </w:p>
    <w:p>
      <w:pPr>
        <w:pBdr>
          <w:top w:val="nil"/>
          <w:left w:val="nil"/>
          <w:bottom w:val="nil"/>
          <w:right w:val="nil"/>
          <w:between w:val="nil"/>
          <w:bar w:val="nil"/>
        </w:pBdr>
        <w:spacing w:before="0" w:after="240"/>
        <w:rPr>
          <w:i/>
          <w:noProof/>
          <w:u w:val="single"/>
        </w:rPr>
      </w:pPr>
      <w:r>
        <w:rPr>
          <w:i/>
          <w:noProof/>
          <w:u w:val="single"/>
        </w:rPr>
        <w:t>Adaptation (b) and recital (6) – sensitive information about the electricity system</w:t>
      </w:r>
    </w:p>
    <w:p>
      <w:pPr>
        <w:pBdr>
          <w:top w:val="nil"/>
          <w:left w:val="nil"/>
          <w:bottom w:val="nil"/>
          <w:right w:val="nil"/>
          <w:between w:val="nil"/>
          <w:bar w:val="nil"/>
        </w:pBdr>
        <w:spacing w:before="0" w:after="240"/>
        <w:rPr>
          <w:noProof/>
        </w:rPr>
      </w:pPr>
      <w:r>
        <w:rPr>
          <w:bCs/>
          <w:noProof/>
          <w:szCs w:val="24"/>
          <w:lang w:val="en"/>
        </w:rPr>
        <w:t xml:space="preserve">Commission Regulation (EU) 2015/1222 </w:t>
      </w:r>
      <w:r>
        <w:rPr>
          <w:noProof/>
        </w:rPr>
        <w:t xml:space="preserve">there are provisions setting out obligations to provide information to the European Network of Transmission System Operators for </w:t>
      </w:r>
      <w:r>
        <w:rPr>
          <w:noProof/>
        </w:rPr>
        <w:lastRenderedPageBreak/>
        <w:t>Electricity (ENTSO-E) and Agency for the Cooperation of Energy Regulators (ACER). Adaptation (b) makes it possible that respective Transmission System Operators (“TSOs”) and Regulators exchange such information and protect it.</w:t>
      </w:r>
    </w:p>
    <w:p>
      <w:pPr>
        <w:pBdr>
          <w:top w:val="nil"/>
          <w:left w:val="nil"/>
          <w:bottom w:val="nil"/>
          <w:right w:val="nil"/>
          <w:between w:val="nil"/>
          <w:bar w:val="nil"/>
        </w:pBdr>
        <w:spacing w:before="0" w:after="240"/>
        <w:rPr>
          <w:i/>
          <w:noProof/>
          <w:u w:val="single"/>
        </w:rPr>
      </w:pPr>
      <w:r>
        <w:rPr>
          <w:i/>
          <w:noProof/>
          <w:u w:val="single"/>
        </w:rPr>
        <w:t>Adaptation (c) and recital (7) – reference to the participation rights of the Norwegian TSO, Nominated Electricity Market Operator (NEMO) and National Regulatory Authority (NRA) in the development and approval of terms, conditions and methodologies</w:t>
      </w:r>
    </w:p>
    <w:p>
      <w:pPr>
        <w:pBdr>
          <w:top w:val="nil"/>
          <w:left w:val="nil"/>
          <w:bottom w:val="nil"/>
          <w:right w:val="nil"/>
          <w:between w:val="nil"/>
          <w:bar w:val="nil"/>
        </w:pBdr>
        <w:spacing w:before="0" w:after="240"/>
        <w:rPr>
          <w:noProof/>
        </w:rPr>
      </w:pPr>
      <w:r>
        <w:rPr>
          <w:noProof/>
        </w:rPr>
        <w:t xml:space="preserve">The adaptation and the recital referred to above adapt relevant provisions of Article 9 of </w:t>
      </w:r>
      <w:r>
        <w:rPr>
          <w:bCs/>
          <w:noProof/>
          <w:szCs w:val="24"/>
          <w:lang w:val="en"/>
        </w:rPr>
        <w:t xml:space="preserve">Commission Regulation (EU) 2015/1222 </w:t>
      </w:r>
      <w:r>
        <w:rPr>
          <w:noProof/>
        </w:rPr>
        <w:t>concerning participation rights of relevant entities in the development and approval of terms, conditions and methodologies to include Norway.</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Annex IV (Energy) to the EEA Agreement</w:t>
      </w:r>
      <w:r>
        <w:rPr>
          <w:noProof/>
        </w:rPr>
        <w:br/>
      </w:r>
      <w:r>
        <w:rPr>
          <w:noProof/>
        </w:rPr>
        <w:br/>
        <w:t>[32015R1222  - Guideline on congestion management "CM"]</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194 in conjunction with Article 218(9) thereof,</w:t>
      </w:r>
    </w:p>
    <w:p>
      <w:pPr>
        <w:rPr>
          <w:noProof/>
        </w:rPr>
      </w:pPr>
      <w:r>
        <w:rPr>
          <w:noProof/>
        </w:rPr>
        <w:t>Having regard to Council Regulation (EC) No 2894/94 of 28 November 1994 concerning arrangements for implementing the Agreement on the European Economic Area</w:t>
      </w:r>
      <w:r>
        <w:rPr>
          <w:rStyle w:val="FootnoteReference0"/>
          <w:noProof/>
        </w:rPr>
        <w:footnoteReference w:id="3"/>
      </w:r>
      <w:r>
        <w:rPr>
          <w:noProof/>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0"/>
          <w:noProof/>
        </w:rPr>
        <w:footnoteReference w:id="4"/>
      </w:r>
      <w:r>
        <w:rPr>
          <w:rStyle w:val="footnotereference"/>
          <w:noProof/>
        </w:rPr>
        <w:t xml:space="preserve"> </w:t>
      </w:r>
      <w:r>
        <w:rPr>
          <w:noProof/>
        </w:rPr>
        <w:t>('the EEA Agreement') entered into force on 1 January 1994.</w:t>
      </w:r>
    </w:p>
    <w:p>
      <w:pPr>
        <w:pStyle w:val="ManualConsidrant"/>
        <w:rPr>
          <w:noProof/>
        </w:rPr>
      </w:pPr>
      <w:r>
        <w:t>(2)</w:t>
      </w:r>
      <w:r>
        <w:tab/>
      </w:r>
      <w:r>
        <w:rPr>
          <w:noProof/>
        </w:rPr>
        <w:t>Pursuant to Article 98 of the EEA Agreement, the EEA Joint Committee may decide to amend, inter alia, Annex IV to the EEA Agreement.</w:t>
      </w:r>
    </w:p>
    <w:p>
      <w:pPr>
        <w:pStyle w:val="ManualConsidrant"/>
        <w:rPr>
          <w:noProof/>
        </w:rPr>
      </w:pPr>
      <w:r>
        <w:t>(3)</w:t>
      </w:r>
      <w:r>
        <w:tab/>
      </w:r>
      <w:r>
        <w:rPr>
          <w:noProof/>
          <w:lang w:val="en"/>
        </w:rPr>
        <w:t>Commission Regulation (EU) 2015/1222 of 24 July 2015 establishing a guideline on capacity allocation and congestion management</w:t>
      </w:r>
      <w:r>
        <w:rPr>
          <w:rStyle w:val="FootnoteReference0"/>
          <w:noProof/>
        </w:rPr>
        <w:footnoteReference w:id="5"/>
      </w:r>
      <w:r>
        <w:rPr>
          <w:noProof/>
          <w:lang w:val="en"/>
        </w:rPr>
        <w:t xml:space="preserve"> </w:t>
      </w:r>
      <w:r>
        <w:rPr>
          <w:noProof/>
        </w:rPr>
        <w:t>is to be incorporated into the EEA Agreement.</w:t>
      </w:r>
    </w:p>
    <w:p>
      <w:pPr>
        <w:pStyle w:val="ManualConsidrant"/>
        <w:rPr>
          <w:noProof/>
        </w:rPr>
      </w:pPr>
      <w:r>
        <w:t>(4)</w:t>
      </w:r>
      <w:r>
        <w:tab/>
      </w:r>
      <w:r>
        <w:rPr>
          <w:noProof/>
        </w:rPr>
        <w:t>Annex IV to the EEA Agreement should therefore be amended accordingly.</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IV (Energy) to the EEA Agreement, shall be based on the draft decisions of the EEA Joint Committee attached to this Decision.</w:t>
      </w:r>
    </w:p>
    <w:p>
      <w:pPr>
        <w:pStyle w:val="Titrearticle"/>
        <w:rPr>
          <w:noProof/>
        </w:rPr>
      </w:pPr>
      <w:r>
        <w:rPr>
          <w:noProof/>
        </w:rPr>
        <w:lastRenderedPageBreak/>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t>OJ L 197, 25.7.2015, p. 24.</w:t>
      </w:r>
    </w:p>
  </w:footnote>
  <w:footnote w:id="2">
    <w:p>
      <w:pPr>
        <w:pStyle w:val="FootnoteText"/>
        <w:rPr>
          <w:lang w:val="pl-PL"/>
        </w:rPr>
      </w:pPr>
      <w:r>
        <w:rPr>
          <w:rStyle w:val="FootnoteReference0"/>
        </w:rPr>
        <w:footnoteRef/>
      </w:r>
      <w:r>
        <w:rPr>
          <w:lang w:val="pl-PL"/>
        </w:rPr>
        <w:tab/>
        <w:t>OJ L 305, 30.11.1994, p. 6–8</w:t>
      </w:r>
    </w:p>
  </w:footnote>
  <w:footnote w:id="3">
    <w:p>
      <w:pPr>
        <w:pStyle w:val="FootnoteText"/>
        <w:rPr>
          <w:lang w:val="pl-PL"/>
        </w:rPr>
      </w:pPr>
      <w:r>
        <w:rPr>
          <w:rStyle w:val="FootnoteReference0"/>
        </w:rPr>
        <w:footnoteRef/>
      </w:r>
      <w:r>
        <w:rPr>
          <w:lang w:val="pl-PL"/>
        </w:rPr>
        <w:tab/>
        <w:t>OJ L 305, 30.11.1994, p. 6.</w:t>
      </w:r>
    </w:p>
  </w:footnote>
  <w:footnote w:id="4">
    <w:p>
      <w:pPr>
        <w:pStyle w:val="FootnoteText"/>
        <w:rPr>
          <w:lang w:val="pl-PL"/>
        </w:rPr>
      </w:pPr>
      <w:r>
        <w:rPr>
          <w:rStyle w:val="FootnoteReference0"/>
        </w:rPr>
        <w:footnoteRef/>
      </w:r>
      <w:r>
        <w:rPr>
          <w:lang w:val="pl-PL"/>
        </w:rPr>
        <w:tab/>
        <w:t>OJ L 1, 3.1.1994, p. 3.</w:t>
      </w:r>
    </w:p>
  </w:footnote>
  <w:footnote w:id="5">
    <w:p>
      <w:pPr>
        <w:pStyle w:val="FootnoteText"/>
        <w:rPr>
          <w:lang w:val="pl-PL"/>
        </w:rPr>
      </w:pPr>
      <w:r>
        <w:rPr>
          <w:rStyle w:val="FootnoteReference0"/>
        </w:rPr>
        <w:footnoteRef/>
      </w:r>
      <w:r>
        <w:rPr>
          <w:lang w:val="pl-PL"/>
        </w:rPr>
        <w:tab/>
        <w:t>OJ L 197, 25.7.2015,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08:17: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EB2225C-F87F-4EA9-B048-CF5A74D69314"/>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4"/>
    <w:docVar w:name="LW_REF.II.NEW.CP_YEAR" w:val="2020"/>
    <w:docVar w:name="LW_REF.INST.NEW" w:val="COM"/>
    <w:docVar w:name="LW_REF.INST.NEW_ADOPTED" w:val="final"/>
    <w:docVar w:name="LW_REF.INST.NEW_TEXT" w:val="(2020)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Annex IV (Energy) to the EEA Agreement_x000b__x000b_[32015R1222  - Guideline on congestion management &quot;CM&quo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1113</Words>
  <Characters>6294</Characters>
  <Application>Microsoft Office Word</Application>
  <DocSecurity>0</DocSecurity>
  <Lines>118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2020-10-13T09:44:00Z</dcterms:created>
  <dcterms:modified xsi:type="dcterms:W3CDTF">2020-11-04T07:17:00Z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