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12E4B938-FD00-4EC7-B064-C64EFAD7A8FB" style="width:450.75pt;height:438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>
      <w:pPr>
        <w:spacing w:before="360" w:after="0"/>
        <w:jc w:val="center"/>
        <w:rPr>
          <w:b/>
          <w:noProof/>
          <w:szCs w:val="24"/>
        </w:rPr>
      </w:pPr>
      <w:r>
        <w:rPr>
          <w:b/>
          <w:noProof/>
          <w:szCs w:val="24"/>
        </w:rPr>
        <w:t>РЕШЕНИЕ НА СЪВМЕСТНИЯ КОМИТЕТ НА ЕИП</w:t>
      </w:r>
    </w:p>
    <w:p>
      <w:pPr>
        <w:spacing w:after="0"/>
        <w:jc w:val="center"/>
        <w:rPr>
          <w:b/>
          <w:noProof/>
          <w:color w:val="0000FF"/>
          <w:szCs w:val="24"/>
        </w:rPr>
      </w:pPr>
      <w:r>
        <w:rPr>
          <w:b/>
          <w:noProof/>
          <w:szCs w:val="24"/>
        </w:rPr>
        <w:t xml:space="preserve">№ </w:t>
      </w:r>
      <w:r>
        <w:rPr>
          <w:b/>
          <w:noProof/>
          <w:color w:val="0000FF"/>
          <w:szCs w:val="24"/>
        </w:rPr>
        <w:t>[...]</w:t>
      </w:r>
    </w:p>
    <w:p>
      <w:pPr>
        <w:spacing w:before="360" w:after="0"/>
        <w:jc w:val="center"/>
        <w:rPr>
          <w:b/>
          <w:noProof/>
          <w:color w:val="0000FF"/>
          <w:szCs w:val="24"/>
        </w:rPr>
      </w:pPr>
      <w:r>
        <w:rPr>
          <w:b/>
          <w:noProof/>
          <w:color w:val="000000" w:themeColor="text1"/>
          <w:szCs w:val="24"/>
        </w:rPr>
        <w:t>от</w:t>
      </w:r>
      <w:r>
        <w:rPr>
          <w:b/>
          <w:noProof/>
          <w:szCs w:val="24"/>
        </w:rPr>
        <w:t xml:space="preserve"> </w:t>
      </w:r>
      <w:r>
        <w:rPr>
          <w:b/>
          <w:noProof/>
          <w:color w:val="0000FF"/>
          <w:szCs w:val="24"/>
        </w:rPr>
        <w:t>[...]</w:t>
      </w:r>
      <w:r>
        <w:rPr>
          <w:b/>
          <w:noProof/>
          <w:szCs w:val="24"/>
        </w:rPr>
        <w:t xml:space="preserve"> година</w:t>
      </w:r>
    </w:p>
    <w:p>
      <w:pPr>
        <w:spacing w:before="360" w:after="360"/>
        <w:jc w:val="center"/>
        <w:rPr>
          <w:b/>
          <w:noProof/>
          <w:color w:val="000000" w:themeColor="text1"/>
          <w:szCs w:val="24"/>
        </w:rPr>
      </w:pPr>
      <w:r>
        <w:rPr>
          <w:b/>
          <w:noProof/>
          <w:color w:val="000000" w:themeColor="text1"/>
          <w:szCs w:val="24"/>
        </w:rPr>
        <w:t>за изменение на приложение IV (Енергетика) към Споразумението за ЕИП</w:t>
      </w:r>
    </w:p>
    <w:p>
      <w:pPr>
        <w:pStyle w:val="Institutionquiagit"/>
        <w:rPr>
          <w:noProof/>
        </w:rPr>
      </w:pPr>
      <w:r>
        <w:rPr>
          <w:noProof/>
        </w:rPr>
        <w:t>СЪВМЕСТНИЯТ КОМИТЕТ НА ЕИП,</w:t>
      </w:r>
    </w:p>
    <w:p>
      <w:pPr>
        <w:rPr>
          <w:rFonts w:eastAsia="Calibri"/>
          <w:noProof/>
          <w:color w:val="000000"/>
          <w:szCs w:val="24"/>
        </w:rPr>
      </w:pPr>
      <w:r>
        <w:rPr>
          <w:noProof/>
          <w:color w:val="000000"/>
          <w:szCs w:val="24"/>
        </w:rPr>
        <w:t>като взе предвид Споразумението за Европейското икономическо пространство („Споразумението за ЕИП“), и по-специално членове 86 и 98 от него,</w:t>
      </w:r>
    </w:p>
    <w:p>
      <w:pPr>
        <w:jc w:val="left"/>
        <w:rPr>
          <w:rFonts w:eastAsia="Calibri"/>
          <w:noProof/>
          <w:color w:val="000000"/>
          <w:szCs w:val="24"/>
        </w:rPr>
      </w:pPr>
      <w:r>
        <w:rPr>
          <w:noProof/>
          <w:color w:val="000000"/>
          <w:szCs w:val="24"/>
        </w:rPr>
        <w:t>като има предвид, че:</w:t>
      </w:r>
    </w:p>
    <w:p>
      <w:pPr>
        <w:pStyle w:val="Considrant"/>
        <w:numPr>
          <w:ilvl w:val="0"/>
          <w:numId w:val="9"/>
        </w:numPr>
        <w:rPr>
          <w:noProof/>
        </w:rPr>
      </w:pPr>
      <w:r>
        <w:rPr>
          <w:noProof/>
        </w:rPr>
        <w:t>Регламент (ЕС) 2017/1485 на Комисията от 2 август 2017 г. за установяване на насоки относно експлоатацията на системата за пренос на електроенергия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следва да бъде включен в Споразумението за ЕИП.</w:t>
      </w:r>
    </w:p>
    <w:p>
      <w:pPr>
        <w:pStyle w:val="Considrant"/>
        <w:rPr>
          <w:noProof/>
        </w:rPr>
      </w:pPr>
      <w:r>
        <w:rPr>
          <w:noProof/>
        </w:rPr>
        <w:t xml:space="preserve">Регламент (ЕС) 2017/1485 на Комисията не се прилага за преносни системи на острови, които не са свързани с други преносни системи чрез междусистемни връзки. </w:t>
      </w:r>
    </w:p>
    <w:p>
      <w:pPr>
        <w:pStyle w:val="Considrant"/>
        <w:rPr>
          <w:noProof/>
        </w:rPr>
      </w:pPr>
      <w:r>
        <w:rPr>
          <w:noProof/>
        </w:rPr>
        <w:t>Тъй като преносната система на Исландия не е свързана с други преносни системи, Регламент (ЕС) 2017/1485 на Комисията не следва да се прилага за Исландия.</w:t>
      </w:r>
    </w:p>
    <w:p>
      <w:pPr>
        <w:pStyle w:val="Considrant"/>
        <w:rPr>
          <w:noProof/>
        </w:rPr>
      </w:pPr>
      <w:r>
        <w:rPr>
          <w:noProof/>
        </w:rPr>
        <w:t xml:space="preserve">Поради малкия си размер и ограничения брой потребители на електроенергия Лихтенщайн не разполага със собствена преносна мрежа за електроенергия. Поради това Регламент (ЕС) 2017/1485 на Комисията не следва да се прилага по отношение на Лихтенщайн. </w:t>
      </w:r>
    </w:p>
    <w:p>
      <w:pPr>
        <w:pStyle w:val="Considrant"/>
        <w:rPr>
          <w:noProof/>
        </w:rPr>
      </w:pPr>
      <w:r>
        <w:rPr>
          <w:noProof/>
        </w:rPr>
        <w:t>Позоваванията на операторите на преносни системи (ОПС),  операторите на разпределителни системи (ОРС), значителните потребители на електроенергийната мрежа (ЗПЕМ), регулаторните органи, заинтересованите страни и определените организации следва да се разбират като включващи ОПС, ОРС, ЗПЕМ, регулаторните органи, заинтересованите страни и определените организации, представляващи Норвегия.</w:t>
      </w:r>
    </w:p>
    <w:p>
      <w:pPr>
        <w:pStyle w:val="Considrant"/>
        <w:rPr>
          <w:noProof/>
        </w:rPr>
      </w:pPr>
      <w:r>
        <w:rPr>
          <w:noProof/>
        </w:rPr>
        <w:t>При съвместното разработване на условията и методите съгласно Регламент (ЕС) 2017/1485 на Комисията е от съществено значение цялата необходима информация да се предоставя незабавно. Тясното сътрудничество между ОПС и регулаторните органи следва да гарантира, че чувствителната информация, като например подробна информация за електрическите подстанции, точното местоположение на подземното предаване, информацията за системите за контрол и подробните анализи на уязвимостта, които могат да се използват за саботаж, е ефективно защитена в процеса на разработване на условия или методики. За да се гарантира ефективното прилагане на този регламент, в сътрудничеството с Норвегия следва да се установи същото ниво на сътрудничество по отношение на обмена на информация и защитата на чувствителна информация.</w:t>
      </w:r>
    </w:p>
    <w:p>
      <w:pPr>
        <w:pStyle w:val="Considrant"/>
        <w:rPr>
          <w:noProof/>
        </w:rPr>
      </w:pPr>
      <w:r>
        <w:rPr>
          <w:noProof/>
        </w:rPr>
        <w:t xml:space="preserve">Приносът на всички основни заинтересовани страни в разработването на регионалните условия и методики или условията и методиките за целия ЕИП, които могат да станат задължителни чрез регулаторно одобрение, е от решаващо значение за една ефективна трансгранична регулаторна рамка. Поради това ОПС и другите заинтересовани страни следва да участват в процесите на разработване на предложения за условия и методики, посочени в различните разпоредби на този регламент. Норвежките ОПС и НОПЕ следва по-специално да участват във вземането на решения от заинтересованите страни по подобен начин като ОПС и НОПЕ, представляващи държава — членка на ЕС. </w:t>
      </w:r>
    </w:p>
    <w:p>
      <w:pPr>
        <w:pStyle w:val="Considrant"/>
        <w:rPr>
          <w:noProof/>
          <w:spacing w:val="-4"/>
        </w:rPr>
      </w:pPr>
      <w:r>
        <w:rPr>
          <w:noProof/>
          <w:spacing w:val="-4"/>
        </w:rPr>
        <w:t xml:space="preserve">За предложения на регионално равнище или на равнището на Съюза, когато одобрението на предложения от ОПС изисква решение на повече от един регулаторен орган, регулаторните органи следва да се консултират и да си сътрудничат, за да постигнат съгласие преди регулаторните органи да приемат решение. Норвежкият регулаторен орган следва да участва в това сътрудничество. </w:t>
      </w:r>
    </w:p>
    <w:p>
      <w:pPr>
        <w:pStyle w:val="Considrant"/>
        <w:rPr>
          <w:noProof/>
          <w:sz w:val="20"/>
          <w:szCs w:val="20"/>
        </w:rPr>
      </w:pPr>
      <w:r>
        <w:rPr>
          <w:noProof/>
        </w:rPr>
        <w:t>Тъй като този регламент е приет въз основа на Регламент (ЕО) № 714/2009 на Европейския парламент и на Съвета от 13 юли 2009 г. относно условията за достъп до мрежата за трансграничен обмен на електроенергия и за отмяна на Регламент (ЕО) № 1228/2003</w:t>
      </w:r>
      <w:r>
        <w:rPr>
          <w:rStyle w:val="FootnoteReference"/>
          <w:noProof/>
        </w:rPr>
        <w:footnoteReference w:id="2"/>
      </w:r>
      <w:r>
        <w:rPr>
          <w:noProof/>
        </w:rPr>
        <w:t>, текстовете за адаптиране, разработени и приети съгласно Решение на Съвместния комитет на ЕИП № 93/2017 от 5 май 2017 г.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за прилагането на Регламент (EO) № 714/2009, по-специално разпоредбите в член 1, параграфи 1 и 5 от него, които предвиждат адаптации по отношение на ролята на Агенцията за сътрудничество между регулаторите на енергия в контекста на ЕИП, са от значение за прилагането на този регламент в ЕИП, по-специално на член 6, параграф 8 и член 7, параграф 3.</w:t>
      </w:r>
    </w:p>
    <w:p>
      <w:pPr>
        <w:pStyle w:val="Considrant"/>
        <w:rPr>
          <w:noProof/>
        </w:rPr>
      </w:pPr>
      <w:r>
        <w:rPr>
          <w:noProof/>
        </w:rPr>
        <w:t>Поради това приложение IV към Споразумението за ЕИП следва да бъде съответно изменено,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tabs>
          <w:tab w:val="left" w:pos="709"/>
        </w:tabs>
        <w:spacing w:before="0" w:after="200" w:line="276" w:lineRule="auto"/>
        <w:rPr>
          <w:rFonts w:eastAsia="Calibri"/>
          <w:noProof/>
          <w:color w:val="000000"/>
          <w:szCs w:val="24"/>
        </w:rPr>
      </w:pPr>
      <w:r>
        <w:rPr>
          <w:noProof/>
          <w:color w:val="000000"/>
          <w:szCs w:val="24"/>
        </w:rPr>
        <w:t>След точка 50 (Регламент (ЕС) № 2016/1719 на Комисията) от приложение IV към Споразумението за ЕИП се вмъква следното:</w:t>
      </w:r>
    </w:p>
    <w:p>
      <w:pPr>
        <w:ind w:left="720" w:hanging="720"/>
        <w:rPr>
          <w:noProof/>
        </w:rPr>
      </w:pPr>
      <w:r>
        <w:rPr>
          <w:noProof/>
          <w:color w:val="000000"/>
        </w:rPr>
        <w:t>„51.</w:t>
      </w:r>
      <w:r>
        <w:rPr>
          <w:noProof/>
        </w:rPr>
        <w:tab/>
      </w:r>
      <w:r>
        <w:rPr>
          <w:b/>
          <w:noProof/>
          <w:color w:val="000000"/>
        </w:rPr>
        <w:t>32017 R 1485</w:t>
      </w:r>
      <w:r>
        <w:rPr>
          <w:noProof/>
          <w:color w:val="000000"/>
        </w:rPr>
        <w:t xml:space="preserve">: </w:t>
      </w:r>
      <w:bookmarkStart w:id="1" w:name="_Hlk25070556"/>
      <w:r>
        <w:rPr>
          <w:noProof/>
        </w:rPr>
        <w:t>Регламент (ЕС) 2017/1485 на Комисията</w:t>
      </w:r>
      <w:bookmarkEnd w:id="1"/>
      <w:r>
        <w:rPr>
          <w:noProof/>
        </w:rPr>
        <w:t xml:space="preserve"> от 2 август 2017 г. за установяване на насоки относно експлоатацията на системата за пренос на електроенергия (ОВ L 220, 25.8.2017 г., стр. 1).</w:t>
      </w:r>
    </w:p>
    <w:p>
      <w:pPr>
        <w:spacing w:before="0" w:after="200" w:line="276" w:lineRule="auto"/>
        <w:ind w:left="720"/>
        <w:rPr>
          <w:rFonts w:eastAsia="Calibri"/>
          <w:bCs/>
          <w:noProof/>
          <w:szCs w:val="24"/>
        </w:rPr>
      </w:pPr>
      <w:r>
        <w:rPr>
          <w:noProof/>
        </w:rPr>
        <w:t>За целите на настоящото споразумение разпоредбите на регламента се тълкуват със следните адаптации: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Регламентът не се прилага за Исландия и Лихтенщайн.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В член 12 се добавя следното:</w:t>
      </w:r>
    </w:p>
    <w:p>
      <w:pPr>
        <w:pStyle w:val="Text2"/>
        <w:rPr>
          <w:noProof/>
        </w:rPr>
      </w:pPr>
      <w:r>
        <w:rPr>
          <w:noProof/>
        </w:rPr>
        <w:t>„Споразуменията между ОПС и/или регулаторите могат да осигурят ефективна защита на поверителната или чувствителната информация и да спомогнат да се гарантира, че цялата информация, необходима за разработването на общите условия и методи, се предоставя незабавно.“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 xml:space="preserve">В член 5:  </w:t>
      </w:r>
    </w:p>
    <w:p>
      <w:pPr>
        <w:pStyle w:val="Point3"/>
        <w:rPr>
          <w:noProof/>
        </w:rPr>
      </w:pPr>
      <w:r>
        <w:rPr>
          <w:noProof/>
        </w:rPr>
        <w:t xml:space="preserve">i) </w:t>
      </w:r>
      <w:r>
        <w:rPr>
          <w:noProof/>
        </w:rPr>
        <w:tab/>
        <w:t>Позоваванията на „населението на Съюза“ в член 5, параграф 3, буква б), на „населението на съответния регион“ в член 5, параграф 5, буква б) и на „населението на участващите държави членки“ в член 5, параграф 6 се разбират като включващи населението на Норвегия, когато се преценява дали е достигнат съответният праг на населението за постигане на квалифицирано мнозинство.</w:t>
      </w:r>
    </w:p>
    <w:p>
      <w:pPr>
        <w:pStyle w:val="Point3"/>
        <w:rPr>
          <w:noProof/>
        </w:rPr>
      </w:pPr>
      <w:r>
        <w:rPr>
          <w:noProof/>
        </w:rPr>
        <w:t xml:space="preserve">ii) </w:t>
      </w:r>
      <w:r>
        <w:rPr>
          <w:noProof/>
        </w:rPr>
        <w:tab/>
        <w:t xml:space="preserve">Позоваванията на „региони, съставени от повече от пет държави членки“ в член 5, параграф 5 и на „региони, съставени от пет държави членки или по-малко“ в член 5, параграф 7 се четат като „региони, съставени от повече от четири държави — членки на Съюза, и Норвегия“ или като „региони, съставени от четири държави — членки на Съюза, и Норвегия или по-малко“. 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tabs>
          <w:tab w:val="left" w:pos="709"/>
        </w:tabs>
        <w:spacing w:before="0" w:after="200" w:line="276" w:lineRule="auto"/>
        <w:rPr>
          <w:rFonts w:eastAsia="Calibri"/>
          <w:noProof/>
          <w:color w:val="000000"/>
          <w:szCs w:val="24"/>
        </w:rPr>
      </w:pPr>
      <w:r>
        <w:rPr>
          <w:noProof/>
        </w:rPr>
        <w:t xml:space="preserve">Текстовете на Регламент (ЕС) 2017/1485 на исландски и норвежки език, които ще бъдат публикувани в притурката за ЕИП към </w:t>
      </w:r>
      <w:r>
        <w:rPr>
          <w:i/>
          <w:iCs/>
          <w:noProof/>
        </w:rPr>
        <w:t>Официален вестник на Европейския съюз</w:t>
      </w:r>
      <w:r>
        <w:rPr>
          <w:noProof/>
        </w:rPr>
        <w:t>, са автентични.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tabs>
          <w:tab w:val="left" w:pos="709"/>
        </w:tabs>
        <w:spacing w:before="0" w:after="200" w:line="276" w:lineRule="auto"/>
        <w:rPr>
          <w:rFonts w:eastAsia="Calibri"/>
          <w:noProof/>
          <w:color w:val="000000"/>
          <w:szCs w:val="24"/>
        </w:rPr>
      </w:pPr>
      <w:r>
        <w:rPr>
          <w:noProof/>
          <w:color w:val="000000"/>
          <w:szCs w:val="24"/>
        </w:rPr>
        <w:t>Настоящото решение влиза в сила на […] г. или в деня след внасянето на последната нотификация в Съвместния комитет на ЕИП съгласно член 103, параграф 1 от Споразумението за ЕИП</w:t>
      </w:r>
      <w:r>
        <w:rPr>
          <w:rFonts w:eastAsia="Calibri"/>
          <w:noProof/>
          <w:color w:val="000000"/>
          <w:szCs w:val="24"/>
        </w:rPr>
        <w:footnoteReference w:customMarkFollows="1" w:id="4"/>
        <w:sym w:font="Symbol" w:char="F02A"/>
      </w:r>
      <w:r>
        <w:rPr>
          <w:noProof/>
          <w:color w:val="000000"/>
          <w:szCs w:val="24"/>
        </w:rPr>
        <w:t>, ако тази дата е по-късна.</w:t>
      </w:r>
    </w:p>
    <w:p>
      <w:pPr>
        <w:pStyle w:val="Titrearticle"/>
        <w:rPr>
          <w:noProof/>
        </w:rPr>
      </w:pPr>
      <w:r>
        <w:rPr>
          <w:noProof/>
        </w:rPr>
        <w:t>Член 4</w:t>
      </w:r>
    </w:p>
    <w:p>
      <w:pPr>
        <w:tabs>
          <w:tab w:val="left" w:pos="709"/>
        </w:tabs>
        <w:spacing w:before="0" w:after="200" w:line="276" w:lineRule="auto"/>
        <w:jc w:val="left"/>
        <w:rPr>
          <w:rFonts w:eastAsia="Calibri"/>
          <w:noProof/>
          <w:color w:val="000000"/>
          <w:szCs w:val="24"/>
        </w:rPr>
      </w:pPr>
      <w:r>
        <w:rPr>
          <w:noProof/>
          <w:color w:val="000000"/>
          <w:szCs w:val="24"/>
        </w:rPr>
        <w:t xml:space="preserve">Настоящото решение се публикува в раздела за ЕИП и в притурката за ЕИП към </w:t>
      </w:r>
      <w:r>
        <w:rPr>
          <w:i/>
          <w:noProof/>
          <w:color w:val="000000"/>
          <w:szCs w:val="24"/>
        </w:rPr>
        <w:t>Официален вестник на Европейския съюз</w:t>
      </w:r>
      <w:r>
        <w:rPr>
          <w:noProof/>
          <w:color w:val="000000"/>
          <w:szCs w:val="24"/>
        </w:rPr>
        <w:t>.</w:t>
      </w:r>
    </w:p>
    <w:p>
      <w:pPr>
        <w:pStyle w:val="Fait"/>
        <w:rPr>
          <w:noProof/>
        </w:rPr>
      </w:pPr>
      <w:r>
        <w:rPr>
          <w:noProof/>
        </w:rPr>
        <w:t xml:space="preserve">Съставено в Брюксел на </w:t>
      </w:r>
      <w:r>
        <w:rPr>
          <w:noProof/>
          <w:color w:val="0000FF"/>
          <w:sz w:val="20"/>
          <w:szCs w:val="20"/>
        </w:rPr>
        <w:t>[…]</w:t>
      </w:r>
      <w:r>
        <w:rPr>
          <w:noProof/>
        </w:rPr>
        <w:t xml:space="preserve"> година.</w:t>
      </w:r>
    </w:p>
    <w:p>
      <w:pPr>
        <w:tabs>
          <w:tab w:val="left" w:pos="4253"/>
        </w:tabs>
        <w:spacing w:before="720" w:after="0"/>
        <w:jc w:val="left"/>
        <w:rPr>
          <w:rFonts w:eastAsia="Calibri"/>
          <w:i/>
          <w:noProof/>
          <w:szCs w:val="24"/>
        </w:rPr>
      </w:pPr>
      <w:r>
        <w:rPr>
          <w:noProof/>
        </w:rPr>
        <w:tab/>
      </w:r>
      <w:r>
        <w:rPr>
          <w:i/>
          <w:noProof/>
          <w:szCs w:val="24"/>
        </w:rPr>
        <w:t>За Съвместния комитет на ЕИП</w:t>
      </w:r>
    </w:p>
    <w:p>
      <w:pPr>
        <w:tabs>
          <w:tab w:val="left" w:pos="4253"/>
        </w:tabs>
        <w:spacing w:before="0" w:after="0"/>
        <w:jc w:val="left"/>
        <w:rPr>
          <w:rFonts w:eastAsia="Calibri"/>
          <w:i/>
          <w:noProof/>
          <w:szCs w:val="24"/>
        </w:rPr>
      </w:pPr>
      <w:r>
        <w:rPr>
          <w:noProof/>
        </w:rPr>
        <w:tab/>
      </w:r>
      <w:r>
        <w:rPr>
          <w:i/>
          <w:noProof/>
          <w:szCs w:val="24"/>
        </w:rPr>
        <w:t>Председател</w:t>
      </w:r>
    </w:p>
    <w:p>
      <w:pPr>
        <w:tabs>
          <w:tab w:val="left" w:pos="4253"/>
        </w:tabs>
        <w:spacing w:before="0" w:after="0"/>
        <w:jc w:val="left"/>
        <w:rPr>
          <w:rFonts w:eastAsia="Calibri"/>
          <w:i/>
          <w:noProof/>
          <w:szCs w:val="24"/>
        </w:rPr>
      </w:pPr>
      <w:r>
        <w:rPr>
          <w:noProof/>
        </w:rPr>
        <w:tab/>
      </w:r>
      <w:r>
        <w:rPr>
          <w:i/>
          <w:noProof/>
          <w:color w:val="0000FF"/>
          <w:sz w:val="20"/>
          <w:szCs w:val="20"/>
        </w:rPr>
        <w:t>[…]</w:t>
      </w:r>
    </w:p>
    <w:p>
      <w:pPr>
        <w:spacing w:before="0" w:after="200" w:line="276" w:lineRule="auto"/>
        <w:contextualSpacing/>
        <w:jc w:val="left"/>
        <w:rPr>
          <w:rFonts w:eastAsia="Calibri"/>
          <w:noProof/>
          <w:color w:val="0000FF"/>
          <w:sz w:val="20"/>
          <w:szCs w:val="20"/>
        </w:rPr>
      </w:pPr>
    </w:p>
    <w:p>
      <w:pPr>
        <w:spacing w:before="0" w:after="200" w:line="276" w:lineRule="auto"/>
        <w:contextualSpacing/>
        <w:jc w:val="left"/>
        <w:rPr>
          <w:rFonts w:eastAsia="Calibri"/>
          <w:noProof/>
          <w:color w:val="0000FF"/>
          <w:sz w:val="20"/>
          <w:szCs w:val="20"/>
        </w:rPr>
      </w:pPr>
    </w:p>
    <w:p>
      <w:pPr>
        <w:tabs>
          <w:tab w:val="left" w:pos="4253"/>
        </w:tabs>
        <w:spacing w:before="0" w:after="200" w:line="276" w:lineRule="auto"/>
        <w:contextualSpacing/>
        <w:jc w:val="left"/>
        <w:rPr>
          <w:rFonts w:eastAsia="Calibri"/>
          <w:i/>
          <w:noProof/>
          <w:szCs w:val="24"/>
        </w:rPr>
      </w:pPr>
      <w:r>
        <w:rPr>
          <w:noProof/>
        </w:rPr>
        <w:tab/>
      </w:r>
      <w:r>
        <w:rPr>
          <w:i/>
          <w:noProof/>
          <w:szCs w:val="24"/>
        </w:rPr>
        <w:t>Секретари</w:t>
      </w:r>
    </w:p>
    <w:p>
      <w:pPr>
        <w:tabs>
          <w:tab w:val="left" w:pos="4253"/>
        </w:tabs>
        <w:spacing w:before="0" w:after="200" w:line="276" w:lineRule="auto"/>
        <w:contextualSpacing/>
        <w:jc w:val="left"/>
        <w:rPr>
          <w:rFonts w:eastAsia="Calibri"/>
          <w:i/>
          <w:noProof/>
          <w:szCs w:val="24"/>
        </w:rPr>
      </w:pPr>
      <w:r>
        <w:rPr>
          <w:noProof/>
        </w:rPr>
        <w:tab/>
      </w:r>
      <w:r>
        <w:rPr>
          <w:i/>
          <w:noProof/>
          <w:szCs w:val="24"/>
        </w:rPr>
        <w:t>на Съвместния комитет на ЕИП</w:t>
      </w:r>
    </w:p>
    <w:p>
      <w:pPr>
        <w:tabs>
          <w:tab w:val="left" w:pos="4253"/>
        </w:tabs>
        <w:spacing w:before="0" w:after="200" w:line="276" w:lineRule="auto"/>
        <w:contextualSpacing/>
        <w:jc w:val="left"/>
        <w:rPr>
          <w:rFonts w:eastAsia="Calibri"/>
          <w:i/>
          <w:noProof/>
          <w:szCs w:val="24"/>
        </w:rPr>
      </w:pPr>
      <w:r>
        <w:rPr>
          <w:noProof/>
        </w:rPr>
        <w:tab/>
      </w:r>
      <w:r>
        <w:rPr>
          <w:i/>
          <w:noProof/>
          <w:color w:val="0000FF"/>
          <w:sz w:val="20"/>
          <w:szCs w:val="20"/>
        </w:rPr>
        <w:t>[…]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color w:val="0000FF"/>
        </w:rPr>
      </w:pPr>
      <w:r>
        <w:rPr>
          <w:rStyle w:val="FootnoteReference"/>
        </w:rPr>
        <w:footnoteRef/>
      </w:r>
      <w:r>
        <w:tab/>
        <w:t>OВ L 220, 25.8.2017 г., стр. 1.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ОВ L 211, 14.8.2009 г., стр. 15.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ОВ L 36, 7.2.2019 г., стр. 44.</w:t>
      </w:r>
    </w:p>
  </w:footnote>
  <w:footnote w:id="4">
    <w:p>
      <w:pPr>
        <w:pStyle w:val="FootnoteText"/>
        <w:rPr>
          <w:rFonts w:eastAsia="Calibri"/>
        </w:rPr>
      </w:pPr>
      <w:r>
        <w:rPr>
          <w:rStyle w:val="FootnoteReference"/>
        </w:rPr>
        <w:sym w:font="Symbol" w:char="F02A"/>
      </w:r>
      <w:r>
        <w:tab/>
        <w:t>С отбелязани конституционни изисквания.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A453C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A0C148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F30B6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90127B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02ACD0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89E47E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75A3C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E08ABF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21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11-10 16:55:4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1"/>
    <w:docVar w:name="DQCResult_LinkedStyles" w:val="0;0"/>
    <w:docVar w:name="DQCResult_ModifiedMargins" w:val="0;2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12E4B938-FD00-4EC7-B064-C64EFAD7A8FB"/>
    <w:docVar w:name="LW_COVERPAGE_TYPE" w:val="1"/>
    <w:docVar w:name="LW_CROSSREFERENCE" w:val="&lt;UNUSED&gt;"/>
    <w:docVar w:name="LW_DocType" w:val="ANNEX"/>
    <w:docVar w:name="LW_EMISSION" w:val="12.11.2020"/>
    <w:docVar w:name="LW_EMISSION_ISODATE" w:val="2020-11-12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87?\u1088?\u1080?\u1083?\u1086?\u1078?\u1077?\u1085?\u1080?\u1077? IV (\u1045?\u1085?\u1077?\u1088?\u1075?\u1077?\u1090?\u1080?\u1082?\u1072?) \u1082?\u1098?\u1084? \u1057?\u1087?\u1086?\u1088?\u1072?\u1079?\u1091?\u1084?\u1077?\u1085?\u1080?\u1077?\u1090?\u1086? \u1079?\u1072? \u1045?\u1048?\u1055?_x000d__x000d__x000b__x000d__x000d__x000b_[32017R1485 \u8211? \u1053?\u1072?\u1089?\u1086?\u1082?\u1080? \u1086?\u1090?\u1085?\u1086?\u1089?\u1085?\u1086? \u1077?\u1082?\u1089?\u1087?\u1083?\u1086?\u1072?\u1090?\u1072?\u1094?\u1080?\u1103?\u1090?\u1072? \u1085?\u1072? \u1089?\u1080?\u1089?\u1090?\u1077?\u1084?\u1072?\u1090?\u1072? \u1079?\u1072? \u1087?\u1088?\u1077?\u1085?\u1086?\u1089? \u1085?\u1072? \u1077?\u1083?\u1077?\u1082?\u1090?\u1088?\u1086?\u1077?\u1085?\u1077?\u1088?\u1075?\u1080?\u1103?]"/>
    <w:docVar w:name="LW_OBJETACTEPRINCIPAL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87?\u1088?\u1080?\u1083?\u1086?\u1078?\u1077?\u1085?\u1080?\u1077? IV (\u1045?\u1085?\u1077?\u1088?\u1075?\u1077?\u1090?\u1080?\u1082?\u1072?) \u1082?\u1098?\u1084? \u1057?\u1087?\u1086?\u1088?\u1072?\u1079?\u1091?\u1084?\u1077?\u1085?\u1080?\u1077?\u1090?\u1086? \u1079?\u1072? \u1045?\u1048?\u1055?_x000d__x000d__x000b__x000d__x000d__x000b_[32017R1485 \u8211? \u1053?\u1072?\u1089?\u1086?\u1082?\u1080? \u1086?\u1090?\u1085?\u1086?\u1089?\u1085?\u1086? \u1077?\u1082?\u1089?\u1087?\u1083?\u1086?\u1072?\u1090?\u1072?\u1094?\u1080?\u1103?\u1090?\u1072? \u1085?\u1072? \u1089?\u1080?\u1089?\u1090?\u1077?\u1084?\u1072?\u1090?\u1072? \u1079?\u1072? \u1087?\u1088?\u1077?\u1085?\u1086?\u1089? \u1085?\u1072? \u1077?\u1083?\u1077?\u1082?\u1090?\u1088?\u1086?\u1077?\u1085?\u1077?\u1088?\u1075?\u1080?\u1103?]"/>
    <w:docVar w:name="LW_PART_NBR" w:val="1"/>
    <w:docVar w:name="LW_PART_NBR_TOTAL" w:val="1"/>
    <w:docVar w:name="LW_REF.INST.NEW" w:val="COM"/>
    <w:docVar w:name="LW_REF.INST.NEW_ADOPTED" w:val="final"/>
    <w:docVar w:name="LW_REF.INST.NEW_TEXT" w:val="(2020) 70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96?\u1077?\u1085?\u1080?\u1077? \u1085?\u1072? \u1057?\u1098?\u1074?\u1077?\u1090?\u1072?"/>
    <w:docVar w:name="LW_TYPEACTEPRINCIPAL.CP" w:val="\u1055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cstheme="minorBidi"/>
      <w:sz w:val="20"/>
      <w:szCs w:val="20"/>
    </w:rPr>
  </w:style>
  <w:style w:type="paragraph" w:customStyle="1" w:styleId="Articleheading">
    <w:name w:val="Article heading"/>
    <w:basedOn w:val="Normal"/>
    <w:link w:val="ArticleheadingChar"/>
    <w:qFormat/>
    <w:pPr>
      <w:keepNext/>
      <w:tabs>
        <w:tab w:val="left" w:pos="709"/>
      </w:tabs>
      <w:spacing w:before="360"/>
      <w:jc w:val="center"/>
    </w:pPr>
    <w:rPr>
      <w:i/>
      <w:color w:val="000000" w:themeColor="text1"/>
      <w:szCs w:val="24"/>
    </w:rPr>
  </w:style>
  <w:style w:type="paragraph" w:customStyle="1" w:styleId="Articletext">
    <w:name w:val="Article text"/>
    <w:basedOn w:val="Articleheading"/>
    <w:link w:val="ArticletextChar"/>
    <w:qFormat/>
    <w:pPr>
      <w:keepNext w:val="0"/>
      <w:spacing w:before="120"/>
      <w:jc w:val="both"/>
    </w:pPr>
    <w:rPr>
      <w:i w:val="0"/>
    </w:rPr>
  </w:style>
  <w:style w:type="character" w:customStyle="1" w:styleId="ArticleheadingChar">
    <w:name w:val="Article heading Char"/>
    <w:basedOn w:val="DefaultParagraphFont"/>
    <w:link w:val="Articleheading"/>
    <w:rPr>
      <w:rFonts w:ascii="Times New Roman" w:hAnsi="Times New Roman" w:cs="Times New Roman"/>
      <w:i/>
      <w:color w:val="000000" w:themeColor="text1"/>
      <w:sz w:val="24"/>
      <w:szCs w:val="24"/>
    </w:rPr>
  </w:style>
  <w:style w:type="character" w:customStyle="1" w:styleId="ArticletextChar">
    <w:name w:val="Article text Char"/>
    <w:basedOn w:val="ArticleheadingChar"/>
    <w:link w:val="Articletext"/>
    <w:rPr>
      <w:rFonts w:ascii="Times New Roman" w:hAnsi="Times New Roman" w:cs="Times New Roman"/>
      <w:i w:val="0"/>
      <w:color w:val="000000" w:themeColor="text1"/>
      <w:sz w:val="24"/>
      <w:szCs w:val="24"/>
    </w:rPr>
  </w:style>
  <w:style w:type="character" w:customStyle="1" w:styleId="Point0Char">
    <w:name w:val="Point 0 Char"/>
    <w:basedOn w:val="DefaultParagraphFont"/>
    <w:rPr>
      <w:rFonts w:ascii="Times New Roman" w:hAnsi="Times New Roman" w:cs="Times New Roman"/>
      <w:sz w:val="24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cstheme="minorBidi"/>
      <w:sz w:val="20"/>
      <w:szCs w:val="20"/>
    </w:rPr>
  </w:style>
  <w:style w:type="paragraph" w:customStyle="1" w:styleId="Articleheading">
    <w:name w:val="Article heading"/>
    <w:basedOn w:val="Normal"/>
    <w:link w:val="ArticleheadingChar"/>
    <w:qFormat/>
    <w:pPr>
      <w:keepNext/>
      <w:tabs>
        <w:tab w:val="left" w:pos="709"/>
      </w:tabs>
      <w:spacing w:before="360"/>
      <w:jc w:val="center"/>
    </w:pPr>
    <w:rPr>
      <w:i/>
      <w:color w:val="000000" w:themeColor="text1"/>
      <w:szCs w:val="24"/>
    </w:rPr>
  </w:style>
  <w:style w:type="paragraph" w:customStyle="1" w:styleId="Articletext">
    <w:name w:val="Article text"/>
    <w:basedOn w:val="Articleheading"/>
    <w:link w:val="ArticletextChar"/>
    <w:qFormat/>
    <w:pPr>
      <w:keepNext w:val="0"/>
      <w:spacing w:before="120"/>
      <w:jc w:val="both"/>
    </w:pPr>
    <w:rPr>
      <w:i w:val="0"/>
    </w:rPr>
  </w:style>
  <w:style w:type="character" w:customStyle="1" w:styleId="ArticleheadingChar">
    <w:name w:val="Article heading Char"/>
    <w:basedOn w:val="DefaultParagraphFont"/>
    <w:link w:val="Articleheading"/>
    <w:rPr>
      <w:rFonts w:ascii="Times New Roman" w:hAnsi="Times New Roman" w:cs="Times New Roman"/>
      <w:i/>
      <w:color w:val="000000" w:themeColor="text1"/>
      <w:sz w:val="24"/>
      <w:szCs w:val="24"/>
    </w:rPr>
  </w:style>
  <w:style w:type="character" w:customStyle="1" w:styleId="ArticletextChar">
    <w:name w:val="Article text Char"/>
    <w:basedOn w:val="ArticleheadingChar"/>
    <w:link w:val="Articletext"/>
    <w:rPr>
      <w:rFonts w:ascii="Times New Roman" w:hAnsi="Times New Roman" w:cs="Times New Roman"/>
      <w:i w:val="0"/>
      <w:color w:val="000000" w:themeColor="text1"/>
      <w:sz w:val="24"/>
      <w:szCs w:val="24"/>
    </w:rPr>
  </w:style>
  <w:style w:type="character" w:customStyle="1" w:styleId="Point0Char">
    <w:name w:val="Point 0 Char"/>
    <w:basedOn w:val="DefaultParagraphFont"/>
    <w:rPr>
      <w:rFonts w:ascii="Times New Roman" w:hAnsi="Times New Roman" w:cs="Times New Roman"/>
      <w:sz w:val="24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6C1B3-D7FC-4845-BA1E-0568C572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4</Pages>
  <Words>953</Words>
  <Characters>5361</Characters>
  <Application>Microsoft Office Word</Application>
  <DocSecurity>0</DocSecurity>
  <Lines>119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KARLOWSKI Mikolaj (EEAS)</dc:creator>
  <cp:keywords/>
  <dc:description/>
  <cp:lastModifiedBy>DIGIT/C6</cp:lastModifiedBy>
  <cp:revision>9</cp:revision>
  <dcterms:created xsi:type="dcterms:W3CDTF">2020-11-09T10:26:00Z</dcterms:created>
  <dcterms:modified xsi:type="dcterms:W3CDTF">2020-11-10T15:55:00Z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