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5921445-134E-424D-A3B4-A133904061DA" style="width:450.55pt;height:422.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projet de décision du Comité mixte de l’EEE (joint à la proposition de décision du Conseil) vise à modifier l’annexe IV (Énergie) de l’accord EEE afin d’y intégrer le règlement (UE) 2017/1485 de la Commission du 2 août 2017 établissant une ligne directrice sur la gestion du réseau de transport de l’électricité</w:t>
      </w:r>
      <w:r>
        <w:rPr>
          <w:rStyle w:val="FootnoteReference0"/>
          <w:rFonts w:eastAsia="Arial Unicode MS"/>
          <w:noProof/>
        </w:rPr>
        <w:footnoteReference w:id="1"/>
      </w:r>
      <w:r>
        <w:rPr>
          <w:noProof/>
        </w:rPr>
        <w:t>.</w:t>
      </w:r>
    </w:p>
    <w:p>
      <w:pPr>
        <w:pBdr>
          <w:top w:val="nil"/>
          <w:left w:val="nil"/>
          <w:bottom w:val="nil"/>
          <w:right w:val="nil"/>
          <w:between w:val="nil"/>
          <w:bar w:val="nil"/>
        </w:pBdr>
        <w:spacing w:before="0" w:after="240"/>
        <w:rPr>
          <w:noProof/>
        </w:rPr>
      </w:pPr>
      <w:r>
        <w:rPr>
          <w:noProof/>
        </w:rPr>
        <w:t>Les codes de réseau et lignes directrices pour l’électricité, tels qu’établis sur la base du troisième paquet «énergie», définissent des règles techniques visant à faciliter les échanges au sein du marché intérieur de l’électricité de l’UE. Un marché intérieur de l’énergie pleinement fonctionnel et interconnecté est essentiel à la réalisation des objectifs consistant à garantir la sécurité d’approvisionnement, à renforcer la concurrence et à garantir des prix de l’énergie abordables pour les consommateurs. D’importantes interconnexions électriques ont été établies entre la Norvège, en tant qu’État de l’AELE membre de l’EEE, et les États membres de l’UE. Il est donc impératif que les règles techniques applicables aux échanges au sein du marché intérieur de l’électricité de l’UE soient étendues à l’EEE afin de garantir l’homogénéité juridique en tant que base pour les échanges d’électricité.</w:t>
      </w:r>
    </w:p>
    <w:p>
      <w:pPr>
        <w:pBdr>
          <w:top w:val="nil"/>
          <w:left w:val="nil"/>
          <w:bottom w:val="nil"/>
          <w:right w:val="nil"/>
          <w:between w:val="nil"/>
          <w:bar w:val="nil"/>
        </w:pBdr>
        <w:spacing w:before="0" w:after="240"/>
        <w:rPr>
          <w:noProof/>
        </w:rPr>
      </w:pPr>
      <w:r>
        <w:rPr>
          <w:noProof/>
        </w:rPr>
        <w:t xml:space="preserve">Le règlement (UE) 2017/1485 de la Commission définit des lignes directrices relatives à la sécurité opérationnelle, à la coordination en matière d’échange de données, à la formation et à la certification des employés, à la coordination en cas de pannes, à la programmation en matière de gestion du réseau, ainsi qu’au réglage fréquence-puissance et aux réserves. Le règlement (UE) 2017/1485 de la Commission s’applique à tous les réseaux de transport, réseaux de distribution et interconnexions et aux coordinateurs régionaux en matière de sécurité, sauf aux réseaux situés sur les territoires insulaires, qui ne sont pas exploités de manière synchrone. </w:t>
      </w:r>
    </w:p>
    <w:p>
      <w:pPr>
        <w:pBdr>
          <w:top w:val="nil"/>
          <w:left w:val="nil"/>
          <w:bottom w:val="nil"/>
          <w:right w:val="nil"/>
          <w:between w:val="nil"/>
          <w:bar w:val="nil"/>
        </w:pBdr>
        <w:spacing w:before="0" w:after="240"/>
        <w:rPr>
          <w:rFonts w:eastAsia="Arial Unicode MS"/>
          <w:noProof/>
        </w:rPr>
      </w:pPr>
      <w:r>
        <w:rPr>
          <w:noProof/>
        </w:rPr>
        <w:t xml:space="preserve">Les adaptations figurant dans le projet ci-joint de décision du Comité mixte de l’EEE vont au-delà de ce qui peut être considéré comme de simples adaptations techniques au sens du règlement (CE) nº 2894/94 du Conseil. La position de l’Union doit donc être arrêtée par le Conseil.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ci-joint de décision du Comité mixte de l’EEE étend la politique déjà existante de l’UE aux États de l’AELE membres de l’EEE (Norvège, Islande et Liechtenstein).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t>Base juridique</w:t>
      </w:r>
    </w:p>
    <w:p>
      <w:pPr>
        <w:pBdr>
          <w:top w:val="nil"/>
          <w:left w:val="nil"/>
          <w:bottom w:val="nil"/>
          <w:right w:val="nil"/>
          <w:between w:val="nil"/>
          <w:bar w:val="nil"/>
        </w:pBdr>
        <w:spacing w:before="0" w:after="240"/>
        <w:rPr>
          <w:noProof/>
        </w:rPr>
      </w:pPr>
      <w:r>
        <w:rPr>
          <w:noProof/>
        </w:rPr>
        <w:t>La législation à intégrer dans l’accord EEE repose sur l’article 194 du traité sur le fonctionnement de l’Union européenne.</w:t>
      </w:r>
    </w:p>
    <w:p>
      <w:pPr>
        <w:pStyle w:val="Normal1"/>
        <w:jc w:val="both"/>
        <w:rPr>
          <w:noProof/>
        </w:rPr>
      </w:pPr>
      <w:r>
        <w:rPr>
          <w:noProof/>
        </w:rPr>
        <w:t>L’article 1</w:t>
      </w:r>
      <w:r>
        <w:rPr>
          <w:noProof/>
          <w:vertAlign w:val="superscript"/>
        </w:rPr>
        <w:t>er</w:t>
      </w:r>
      <w:r>
        <w:rPr>
          <w:noProof/>
        </w:rPr>
        <w:t>, paragraphe 3, du règlement (CE) nº 2894/94 du Conseil</w:t>
      </w:r>
      <w:r>
        <w:rPr>
          <w:rStyle w:val="FootnoteReference0"/>
          <w:noProof/>
        </w:rPr>
        <w:footnoteReference w:id="2"/>
      </w:r>
      <w:r>
        <w:rPr>
          <w:rStyle w:val="footnotereference"/>
          <w:noProof/>
        </w:rPr>
        <w:t xml:space="preserve"> </w:t>
      </w:r>
      <w:r>
        <w:rPr>
          <w:noProof/>
        </w:rPr>
        <w:t xml:space="preserve">relatif à certaines modalités d’application de l’accord EEE prévoit que le Conseil arrête, sur proposition de la Commission, la position à prendre au nom de l’Union à l’égard de décisions de ce type. </w:t>
      </w:r>
    </w:p>
    <w:p>
      <w:pPr>
        <w:pStyle w:val="ManualHeading2"/>
        <w:rPr>
          <w:rFonts w:eastAsia="Arial Unicode MS"/>
          <w:noProof/>
          <w:u w:color="000000"/>
          <w:bdr w:val="nil"/>
        </w:rPr>
      </w:pPr>
      <w:r>
        <w:rPr>
          <w:noProof/>
          <w:u w:color="000000"/>
          <w:bdr w:val="nil"/>
        </w:rPr>
        <w:t>•</w:t>
      </w:r>
      <w:r>
        <w:rPr>
          <w:noProof/>
        </w:rPr>
        <w:tab/>
        <w:t>Subsidiarité (en cas de compétence non exclusive)</w:t>
      </w:r>
      <w:r>
        <w:rPr>
          <w:noProof/>
          <w:u w:color="000000"/>
          <w:bdr w:val="nil"/>
        </w:rPr>
        <w:t xml:space="preserve"> </w:t>
      </w:r>
    </w:p>
    <w:p>
      <w:pPr>
        <w:pBdr>
          <w:top w:val="nil"/>
          <w:left w:val="nil"/>
          <w:bottom w:val="nil"/>
          <w:right w:val="nil"/>
          <w:between w:val="nil"/>
          <w:bar w:val="nil"/>
        </w:pBdr>
        <w:spacing w:before="0" w:after="240"/>
        <w:rPr>
          <w:noProof/>
        </w:rPr>
      </w:pPr>
      <w:r>
        <w:rPr>
          <w:noProof/>
        </w:rPr>
        <w:t>La proposition respecte le principe de subsidiarité pour la raison exposée ci-après.</w:t>
      </w:r>
    </w:p>
    <w:p>
      <w:pPr>
        <w:pBdr>
          <w:top w:val="nil"/>
          <w:left w:val="nil"/>
          <w:bottom w:val="nil"/>
          <w:right w:val="nil"/>
          <w:between w:val="nil"/>
          <w:bar w:val="nil"/>
        </w:pBdr>
        <w:spacing w:before="0" w:after="240"/>
        <w:rPr>
          <w:rFonts w:eastAsia="Arial Unicode MS"/>
          <w:noProof/>
        </w:rPr>
      </w:pPr>
      <w:r>
        <w:rPr>
          <w:noProof/>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u w:color="000000"/>
          <w:bdr w:val="nil"/>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L’intégration du règlement susmentionné dans l’accord EEE ne devrait pas avoir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t>Explication détaillée des différentes dispositions de la proposition</w:t>
      </w:r>
    </w:p>
    <w:p>
      <w:pPr>
        <w:pBdr>
          <w:top w:val="nil"/>
          <w:left w:val="nil"/>
          <w:bottom w:val="nil"/>
          <w:right w:val="nil"/>
          <w:between w:val="nil"/>
          <w:bar w:val="nil"/>
        </w:pBdr>
        <w:spacing w:before="0" w:after="240"/>
        <w:rPr>
          <w:i/>
          <w:noProof/>
          <w:u w:val="single"/>
        </w:rPr>
      </w:pPr>
      <w:r>
        <w:rPr>
          <w:i/>
          <w:noProof/>
          <w:u w:val="single"/>
        </w:rPr>
        <w:t>Adaptation a) – non-applicabilité à l’Islande et au Liechtenstein</w:t>
      </w:r>
    </w:p>
    <w:p>
      <w:pPr>
        <w:pBdr>
          <w:top w:val="nil"/>
          <w:left w:val="nil"/>
          <w:bottom w:val="nil"/>
          <w:right w:val="nil"/>
          <w:between w:val="nil"/>
          <w:bar w:val="nil"/>
        </w:pBdr>
        <w:spacing w:before="0" w:after="240"/>
        <w:rPr>
          <w:noProof/>
        </w:rPr>
      </w:pPr>
      <w:r>
        <w:rPr>
          <w:noProof/>
        </w:rPr>
        <w:t xml:space="preserve">Le règlement (UE) 2017/1485 de la Commission s’applique à tous les réseaux de transport, réseaux de distribution et interconnexions et aux coordinateurs régionaux en matière de sécurité, sauf aux réseaux situés sur les territoires insulaires, qui ne font pas partie des zones synchrones. Il ne devrait donc pas s’appliquer à l’Islande. </w:t>
      </w:r>
    </w:p>
    <w:p>
      <w:pPr>
        <w:pBdr>
          <w:top w:val="nil"/>
          <w:left w:val="nil"/>
          <w:bottom w:val="nil"/>
          <w:right w:val="nil"/>
          <w:between w:val="nil"/>
          <w:bar w:val="nil"/>
        </w:pBdr>
        <w:spacing w:before="0" w:after="240"/>
        <w:rPr>
          <w:noProof/>
        </w:rPr>
      </w:pPr>
      <w:r>
        <w:rPr>
          <w:noProof/>
        </w:rPr>
        <w:lastRenderedPageBreak/>
        <w:t>Le règlement (UE) 2017/1485 de la Commission ne devrait pas s’appliquer au Liechtenstein, car en raison de sa petite taille et du nombre limité de consommateurs d’électricité, le Liechtenstein ne dispose pas de son propre réseau de transport d’électricité.</w:t>
      </w:r>
    </w:p>
    <w:p>
      <w:pPr>
        <w:pBdr>
          <w:top w:val="nil"/>
          <w:left w:val="nil"/>
          <w:bottom w:val="nil"/>
          <w:right w:val="nil"/>
          <w:between w:val="nil"/>
          <w:bar w:val="nil"/>
        </w:pBdr>
        <w:spacing w:before="0" w:after="240"/>
        <w:rPr>
          <w:i/>
          <w:noProof/>
          <w:u w:val="single"/>
        </w:rPr>
      </w:pPr>
      <w:r>
        <w:rPr>
          <w:i/>
          <w:noProof/>
          <w:u w:val="single"/>
        </w:rPr>
        <w:t>Adaptation b) et considérant 6) – informations sensibles concernant le réseau électrique</w:t>
      </w:r>
    </w:p>
    <w:p>
      <w:pPr>
        <w:pBdr>
          <w:top w:val="nil"/>
          <w:left w:val="nil"/>
          <w:bottom w:val="nil"/>
          <w:right w:val="nil"/>
          <w:between w:val="nil"/>
          <w:bar w:val="nil"/>
        </w:pBdr>
        <w:spacing w:before="0" w:after="240"/>
        <w:rPr>
          <w:noProof/>
        </w:rPr>
      </w:pPr>
      <w:r>
        <w:rPr>
          <w:noProof/>
        </w:rPr>
        <w:t>Le règlement (UE) 2017/1485 de la Commission contient des dispositions prévoyant des obligations de fournir des informations au réseau européen de gestionnaires de réseau de transport pour l’électricité (REGRT-E) et à l’Agence de coopération des régulateurs de l’énergie (ACER). L’adaptation b) permet aux gestionnaires de réseau de transport (GRT) et aux régulateurs respectifs d’échanger ces informations et de les protéger.</w:t>
      </w:r>
    </w:p>
    <w:p>
      <w:pPr>
        <w:pBdr>
          <w:top w:val="nil"/>
          <w:left w:val="nil"/>
          <w:bottom w:val="nil"/>
          <w:right w:val="nil"/>
          <w:between w:val="nil"/>
          <w:bar w:val="nil"/>
        </w:pBdr>
        <w:spacing w:before="0" w:after="240"/>
        <w:rPr>
          <w:i/>
          <w:noProof/>
          <w:u w:val="single"/>
        </w:rPr>
      </w:pPr>
      <w:r>
        <w:rPr>
          <w:i/>
          <w:noProof/>
          <w:u w:val="single"/>
        </w:rPr>
        <w:t>Adaptation c) et considérant 7) – référence aux droits de participation du GRT norvégien, de l’opérateur désigné du marché de l’électricité (NEMO) et de l’autorité de régulation nationale (ARN) à l’élaboration et à l’approbation des modalités, conditions et méthodes</w:t>
      </w:r>
    </w:p>
    <w:p>
      <w:pPr>
        <w:pBdr>
          <w:top w:val="nil"/>
          <w:left w:val="nil"/>
          <w:bottom w:val="nil"/>
          <w:right w:val="nil"/>
          <w:between w:val="nil"/>
          <w:bar w:val="nil"/>
        </w:pBdr>
        <w:spacing w:before="0" w:after="240"/>
        <w:rPr>
          <w:noProof/>
        </w:rPr>
      </w:pPr>
      <w:r>
        <w:rPr>
          <w:noProof/>
        </w:rPr>
        <w:t>L’adaptation et le considérant susmentionnés adaptent les dispositions pertinentes de l’article 5 du règlement (UE) 2017/1485 de la Commission concernant les droits de participation des entités concernées à l’élaboration et à l’approbation des modalités, conditions et méthodes afin d’inclure la Norvège.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en ce qui concerne une modification de l’annexe IV (Énergie) de l’accord EEE </w:t>
      </w:r>
      <w:r>
        <w:rPr>
          <w:noProof/>
        </w:rPr>
        <w:br/>
        <w:t xml:space="preserve"> </w:t>
      </w:r>
      <w:r>
        <w:rPr>
          <w:noProof/>
        </w:rPr>
        <w:br/>
        <w:t>[32017R1485 — Ligne directrice sur la gestion du réseau de transport de l’électricité]</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194,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0"/>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0"/>
          <w:noProof/>
        </w:rPr>
        <w:footnoteReference w:id="4"/>
      </w:r>
      <w:r>
        <w:rPr>
          <w:rStyle w:val="footnotereference"/>
          <w:noProof/>
        </w:rPr>
        <w:t xml:space="preserve"> </w:t>
      </w:r>
      <w:r>
        <w:rPr>
          <w:noProof/>
        </w:rPr>
        <w:t>(ci-après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l’annexe IV de l’accord EEE.</w:t>
      </w:r>
    </w:p>
    <w:p>
      <w:pPr>
        <w:pStyle w:val="ManualConsidrant"/>
        <w:rPr>
          <w:noProof/>
        </w:rPr>
      </w:pPr>
      <w:r>
        <w:t>(3)</w:t>
      </w:r>
      <w:r>
        <w:tab/>
      </w:r>
      <w:r>
        <w:rPr>
          <w:noProof/>
        </w:rPr>
        <w:t>Le règlement (UE) 2017/1485 de la Commission du 2 août 2017 établissant une ligne directrice sur la gestion du réseau de transport de l’électricité</w:t>
      </w:r>
      <w:r>
        <w:rPr>
          <w:rStyle w:val="FootnoteReference0"/>
          <w:noProof/>
        </w:rPr>
        <w:footnoteReference w:id="5"/>
      </w:r>
      <w:r>
        <w:rPr>
          <w:noProof/>
        </w:rPr>
        <w:t xml:space="preserve"> doit être intégré dans l’accord EEE.</w:t>
      </w:r>
    </w:p>
    <w:p>
      <w:pPr>
        <w:pStyle w:val="ManualConsidrant"/>
        <w:rPr>
          <w:noProof/>
        </w:rPr>
      </w:pPr>
      <w:r>
        <w:t>(4)</w:t>
      </w:r>
      <w:r>
        <w:tab/>
      </w:r>
      <w:r>
        <w:rPr>
          <w:noProof/>
        </w:rPr>
        <w:t>Il y a donc lieu de modifier l’annexe IV de l’accord EEE en conséquence.</w:t>
      </w:r>
    </w:p>
    <w:p>
      <w:pPr>
        <w:pStyle w:val="ManualConsidrant"/>
        <w:rPr>
          <w:noProof/>
        </w:rPr>
      </w:pPr>
      <w:r>
        <w:t>(5)</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IV (Énergie) de l’accord EEE est fondée sur les projets de décisions du Comité mixte de l’EEE joints à la présente décision.</w:t>
      </w:r>
    </w:p>
    <w:p>
      <w:pPr>
        <w:pStyle w:val="Titrearticle"/>
        <w:rPr>
          <w:noProof/>
        </w:rPr>
      </w:pPr>
      <w:r>
        <w:rPr>
          <w:noProof/>
        </w:rPr>
        <w:lastRenderedPageBreak/>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0"/>
        </w:rPr>
        <w:footnoteRef/>
      </w:r>
      <w:r>
        <w:rPr>
          <w:lang w:val="fr-BE"/>
        </w:rPr>
        <w:tab/>
        <w:t>JO L 220 du 25.8.2017, p. 1.</w:t>
      </w:r>
    </w:p>
  </w:footnote>
  <w:footnote w:id="2">
    <w:p>
      <w:pPr>
        <w:pStyle w:val="FootnoteText"/>
        <w:rPr>
          <w:lang w:val="fr-BE"/>
        </w:rPr>
      </w:pPr>
      <w:r>
        <w:rPr>
          <w:rStyle w:val="FootnoteReference0"/>
        </w:rPr>
        <w:footnoteRef/>
      </w:r>
      <w:r>
        <w:rPr>
          <w:lang w:val="fr-BE"/>
        </w:rPr>
        <w:tab/>
        <w:t>JO L 305 du 30.11.1994, p. 6.</w:t>
      </w:r>
    </w:p>
  </w:footnote>
  <w:footnote w:id="3">
    <w:p>
      <w:pPr>
        <w:pStyle w:val="FootnoteText"/>
        <w:rPr>
          <w:lang w:val="fr-BE"/>
        </w:rPr>
      </w:pPr>
      <w:r>
        <w:rPr>
          <w:rStyle w:val="FootnoteReference0"/>
        </w:rPr>
        <w:footnoteRef/>
      </w:r>
      <w:r>
        <w:rPr>
          <w:lang w:val="fr-BE"/>
        </w:rPr>
        <w:tab/>
        <w:t>JO L 305 du 30.11.1994, p. 6.</w:t>
      </w:r>
    </w:p>
  </w:footnote>
  <w:footnote w:id="4">
    <w:p>
      <w:pPr>
        <w:pStyle w:val="FootnoteText"/>
        <w:rPr>
          <w:lang w:val="fr-BE"/>
        </w:rPr>
      </w:pPr>
      <w:r>
        <w:rPr>
          <w:rStyle w:val="FootnoteReference0"/>
        </w:rPr>
        <w:footnoteRef/>
      </w:r>
      <w:r>
        <w:rPr>
          <w:lang w:val="fr-BE"/>
        </w:rPr>
        <w:tab/>
        <w:t>JO L 1 du 3.1.1994, p. 3.</w:t>
      </w:r>
    </w:p>
  </w:footnote>
  <w:footnote w:id="5">
    <w:p>
      <w:pPr>
        <w:pStyle w:val="FootnoteText"/>
        <w:rPr>
          <w:color w:val="0000FF"/>
        </w:rPr>
      </w:pPr>
      <w:r>
        <w:rPr>
          <w:rStyle w:val="FootnoteReference0"/>
        </w:rPr>
        <w:footnoteRef/>
      </w:r>
      <w:r>
        <w:tab/>
        <w:t>JO L 220 du 25.8.2017,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16:54: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5921445-134E-424D-A3B4-A133904061DA"/>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5"/>
    <w:docVar w:name="LW_REF.II.NEW.CP_YEAR" w:val="2020"/>
    <w:docVar w:name="LW_REF.INST.NEW" w:val="COM"/>
    <w:docVar w:name="LW_REF.INST.NEW_ADOPTED" w:val="final"/>
    <w:docVar w:name="LW_REF.INST.NEW_TEXT" w:val="(2020)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 l\u8217?EEE en ce qui concerne une modification de l\u8217?annexe IV (Énergie) de l\u8217?accord EEE _x000b_ _x000b_[32017R1485 \u8212? Ligne directrice sur la gestion du réseau de transport de l\u8217?électricité]"/>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1258</Words>
  <Characters>6933</Characters>
  <Application>Microsoft Office Word</Application>
  <DocSecurity>0</DocSecurity>
  <Lines>128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2020-10-26T08:51:00Z</dcterms:created>
  <dcterms:modified xsi:type="dcterms:W3CDTF">2020-11-10T15:54:00Z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