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DBD9BE6-C4E7-4515-B0C4-6F778821610D" style="width:450.75pt;height:450.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С проекта на решение на Съвместния комитет на ЕИП (приложен към предложението за решение на Съвета) се цели да се измени приложение IV (Енергетика) към Споразумението за ЕИП, за да се включи Регламент (ЕС) 2017/1485 на Комисията от 2 август 2017 г. за установяване на насоки относно експлоатацията на системата за пренос на електроенергия</w:t>
      </w:r>
      <w:r>
        <w:rPr>
          <w:rStyle w:val="FootnoteReference0"/>
          <w:rFonts w:eastAsia="Arial Unicode MS"/>
          <w:noProof/>
        </w:rPr>
        <w:footnoteReference w:id="1"/>
      </w:r>
      <w:r>
        <w:rPr>
          <w:noProof/>
        </w:rPr>
        <w:t xml:space="preserve"> в Споразумението за ЕИП.</w:t>
      </w:r>
    </w:p>
    <w:p>
      <w:pPr>
        <w:pBdr>
          <w:top w:val="nil"/>
          <w:left w:val="nil"/>
          <w:bottom w:val="nil"/>
          <w:right w:val="nil"/>
          <w:between w:val="nil"/>
          <w:bar w:val="nil"/>
        </w:pBdr>
        <w:spacing w:before="0" w:after="240"/>
        <w:rPr>
          <w:noProof/>
        </w:rPr>
      </w:pPr>
      <w:r>
        <w:rPr>
          <w:noProof/>
        </w:rPr>
        <w:t>Мрежовите кодекси и насоки за електроенергия, установени въз основа на 3-ия енергиен пакет, определят технически правила за улесняване на търговията в рамките на вътрешния пазар на електроенергия на ЕС. Напълно функциониращ взаимосвързан вътрешен енергиен пазар е от решаващо значение за постигането на целите за сигурност на енергийните доставки, повишаване на конкурентоспособността и гарантиране на възможност за потребителите да купуват енергия на достъпни цени. Между Норвегия, в качеството ѝ на държава от ЕАСТ, членуваща в ЕИП, и държавите — членки на ЕС, бяха установени значителни електроенергийни междусистемни връзки. Поради това е наложително техническите правила, приложими за търговията в рамките на вътрешния пазар на електроенергия на ЕС, да бъдат разширени, така че да обхванат ЕИП, за да се осигури правна хомогенност като основа за търговията с електроенергия.</w:t>
      </w:r>
    </w:p>
    <w:p>
      <w:pPr>
        <w:pBdr>
          <w:top w:val="nil"/>
          <w:left w:val="nil"/>
          <w:bottom w:val="nil"/>
          <w:right w:val="nil"/>
          <w:between w:val="nil"/>
          <w:bar w:val="nil"/>
        </w:pBdr>
        <w:spacing w:before="0" w:after="240"/>
        <w:rPr>
          <w:noProof/>
        </w:rPr>
      </w:pPr>
      <w:r>
        <w:rPr>
          <w:noProof/>
        </w:rPr>
        <w:t>С Регламент (ЕС) 2017/1485 на Комисията се определят насоки относно експлоатационната сигурност, координацията на обмена на данни, обучението и сертифицирането на служители, координацията в случай на отпадания, съставянето на графици за експлоатацията на системата, както и относно регулирането на товара и честотата и резервите. Регламент (ЕС) 2017/1485 на Комисията се прилага за всички преносни системи, разпределителни системи и междусистемни връзки и за координаторите за регионалната сигурност, освен  намиращите се на острови, които не са съответните синхронни зони.</w:t>
      </w:r>
    </w:p>
    <w:p>
      <w:pPr>
        <w:pBdr>
          <w:top w:val="nil"/>
          <w:left w:val="nil"/>
          <w:bottom w:val="nil"/>
          <w:right w:val="nil"/>
          <w:between w:val="nil"/>
          <w:bar w:val="nil"/>
        </w:pBdr>
        <w:spacing w:before="0" w:after="240"/>
        <w:rPr>
          <w:rFonts w:eastAsia="Arial Unicode MS"/>
          <w:noProof/>
        </w:rPr>
      </w:pPr>
      <w:r>
        <w:rPr>
          <w:noProof/>
        </w:rPr>
        <w:t xml:space="preserve">Адаптациите, които фигурират в приложения проект на решение на Съвместния комитет на ЕИП, надхвърлят това, което може да се счита за чисто технически адаптации по смисъла на Регламент № 2894/94 на Съвета. Поради това позицията на Съюза следва да бъде определена от Съвета.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Приложеният проект на решение на Съвместния комитет на ЕИП разширява вече съществуващата политика на ЕС, за да включи в нея членуващите в ЕИП държави от ЕАСТ (Норвегия, Исландия и Лихтенщайн).</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 xml:space="preserve">Разширяването на прилагането на достиженията на правото на ЕС за членуващите в ЕИП държави от ЕАСТ чрез включването на тези достижения в Споразумението за ЕИП се извършва в съответствие с целите и принципите на това споразумение, с цел </w:t>
      </w:r>
      <w:r>
        <w:rPr>
          <w:noProof/>
        </w:rPr>
        <w:lastRenderedPageBreak/>
        <w:t>създаването на динамично и хомогенно европейско икономическо пространство, основано на общи правила и еднакви условия на конкуренция.</w:t>
      </w:r>
    </w:p>
    <w:p>
      <w:pPr>
        <w:pStyle w:val="ManualHeading1"/>
        <w:rPr>
          <w:noProof/>
        </w:rPr>
      </w:pPr>
      <w:r>
        <w:rPr>
          <w:noProof/>
        </w:rPr>
        <w:t>2.</w:t>
      </w:r>
      <w:r>
        <w:rPr>
          <w:noProof/>
        </w:rPr>
        <w:tab/>
        <w:t>ПРАВНО ОСНОВАНИЕ, СУБИСИДИАРНОСТ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noProof/>
        </w:rPr>
      </w:pPr>
      <w:r>
        <w:rPr>
          <w:noProof/>
        </w:rPr>
        <w:t>Законодателството, което следва да бъде включено в Споразумението за ЕИП, се основава на член 194 от Договора за функционирането на Европейския съюз.</w:t>
      </w:r>
    </w:p>
    <w:p>
      <w:pPr>
        <w:pStyle w:val="Normal1"/>
        <w:jc w:val="both"/>
        <w:rPr>
          <w:noProof/>
        </w:rPr>
      </w:pPr>
      <w:r>
        <w:rPr>
          <w:noProof/>
        </w:rPr>
        <w:t>Съгласно член 1, параграф 3 от Регламент (ЕО) № 2894/94 на Съвета</w:t>
      </w:r>
      <w:r>
        <w:rPr>
          <w:rStyle w:val="FootnoteReference0"/>
          <w:noProof/>
        </w:rPr>
        <w:footnoteReference w:id="2"/>
      </w:r>
      <w:r>
        <w:rPr>
          <w:rStyle w:val="footnotereference"/>
          <w:noProof/>
        </w:rPr>
        <w:t xml:space="preserve"> </w:t>
      </w:r>
      <w:r>
        <w:rPr>
          <w:noProof/>
        </w:rPr>
        <w:t xml:space="preserve">относно условията за прилагане на Споразумението за ЕИП Съветът определя въз основа на предложение на Комисията позицията, която трябва да се заеме от името на Съюза по отношение на подобни решения. </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Предложението е в съответствие с принципа на субсидиарност по следните причини:</w:t>
      </w:r>
    </w:p>
    <w:p>
      <w:pPr>
        <w:pBdr>
          <w:top w:val="nil"/>
          <w:left w:val="nil"/>
          <w:bottom w:val="nil"/>
          <w:right w:val="nil"/>
          <w:between w:val="nil"/>
          <w:bar w:val="nil"/>
        </w:pBdr>
        <w:spacing w:before="0" w:after="240"/>
        <w:rPr>
          <w:rFonts w:eastAsia="Arial Unicode MS"/>
          <w:noProof/>
        </w:rPr>
      </w:pPr>
      <w:r>
        <w:rPr>
          <w:noProof/>
        </w:rPr>
        <w:t>Целта на настоящото предложение, а именно да се гарантира хомогенността на вътрешния пазар, не може да бъде постигната в достатъчна степен от държавите членки и следователно може, с оглед на въздействието, да бъде постигната по-добре на равнището на Съюза.</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rFonts w:eastAsia="Arial Unicode MS"/>
          <w:noProof/>
        </w:rPr>
      </w:pPr>
      <w:r>
        <w:rPr>
          <w:noProof/>
        </w:rPr>
        <w:t>В съответствие с принципа на пропорционалност настоящото предложение не надхвърля необходимото за постигането на своята цел.</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rFonts w:eastAsia="Arial Unicode MS"/>
          <w:noProof/>
        </w:rPr>
      </w:pPr>
      <w:r>
        <w:rPr>
          <w:noProof/>
        </w:rPr>
        <w:t>В съответствие с член 98 от Споразумението за ЕИП избраният инструмент е решение на Съвместния комитет на ЕИП. Съвместният комитет на ЕИП следва да осигурява ефективното изпълнение и функциониране на Споразумението за ЕИП. За тази цел той следва да взема решения в случаите, предвидени в това споразумение.</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Не се очаква отражение върху бюджета в резултат от включването на горепосочения регламент в Споразумението за ЕИП.</w:t>
      </w:r>
    </w:p>
    <w:p>
      <w:pPr>
        <w:pStyle w:val="ManualHeading1"/>
        <w:rPr>
          <w:noProof/>
        </w:rPr>
      </w:pPr>
      <w:r>
        <w:rPr>
          <w:noProof/>
        </w:rPr>
        <w:lastRenderedPageBreak/>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Подробно разяснение на отделните разпоредби на предложението</w:t>
      </w:r>
    </w:p>
    <w:p>
      <w:pPr>
        <w:pBdr>
          <w:top w:val="nil"/>
          <w:left w:val="nil"/>
          <w:bottom w:val="nil"/>
          <w:right w:val="nil"/>
          <w:between w:val="nil"/>
          <w:bar w:val="nil"/>
        </w:pBdr>
        <w:spacing w:before="0" w:after="240"/>
        <w:rPr>
          <w:i/>
          <w:noProof/>
          <w:u w:val="single"/>
        </w:rPr>
      </w:pPr>
      <w:r>
        <w:rPr>
          <w:i/>
          <w:noProof/>
          <w:u w:val="single"/>
        </w:rPr>
        <w:t>Адаптация а) — неприложимост по отношение на Исландия и Лихтенщайн</w:t>
      </w:r>
    </w:p>
    <w:p>
      <w:pPr>
        <w:pBdr>
          <w:top w:val="nil"/>
          <w:left w:val="nil"/>
          <w:bottom w:val="nil"/>
          <w:right w:val="nil"/>
          <w:between w:val="nil"/>
          <w:bar w:val="nil"/>
        </w:pBdr>
        <w:spacing w:before="0" w:after="240"/>
        <w:rPr>
          <w:noProof/>
        </w:rPr>
      </w:pPr>
      <w:r>
        <w:rPr>
          <w:noProof/>
        </w:rPr>
        <w:t xml:space="preserve">Регламент (ЕС) 2017/1485 на Комисията се прилага за всички преносни системи, разпределителни системи и междусистемни връзки и за координаторите за регионалната сигурност, освен намиращите се на острови, които не са съответните синхронни зони. Следователно той не следва да се прилага за Исландия. </w:t>
      </w:r>
    </w:p>
    <w:p>
      <w:pPr>
        <w:pBdr>
          <w:top w:val="nil"/>
          <w:left w:val="nil"/>
          <w:bottom w:val="nil"/>
          <w:right w:val="nil"/>
          <w:between w:val="nil"/>
          <w:bar w:val="nil"/>
        </w:pBdr>
        <w:spacing w:before="0" w:after="240"/>
        <w:rPr>
          <w:noProof/>
        </w:rPr>
      </w:pPr>
      <w:r>
        <w:rPr>
          <w:noProof/>
        </w:rPr>
        <w:t>Регламент (ЕС) 2017/1485 на Комисията не следва да се прилага за Лихтенщайн, тъй като поради малкия си размер и ограничения брой потребители на електроенергия Лихтенщайн не разполага със собствена преносна мрежа за електроенергия.</w:t>
      </w:r>
    </w:p>
    <w:p>
      <w:pPr>
        <w:pBdr>
          <w:top w:val="nil"/>
          <w:left w:val="nil"/>
          <w:bottom w:val="nil"/>
          <w:right w:val="nil"/>
          <w:between w:val="nil"/>
          <w:bar w:val="nil"/>
        </w:pBdr>
        <w:spacing w:before="0" w:after="240"/>
        <w:rPr>
          <w:i/>
          <w:noProof/>
          <w:u w:val="single"/>
        </w:rPr>
      </w:pPr>
      <w:r>
        <w:rPr>
          <w:i/>
          <w:noProof/>
          <w:u w:val="single"/>
        </w:rPr>
        <w:t>Адаптация б) и съображение 6 — чувствителна информация за електроенергийната система</w:t>
      </w:r>
    </w:p>
    <w:p>
      <w:pPr>
        <w:pBdr>
          <w:top w:val="nil"/>
          <w:left w:val="nil"/>
          <w:bottom w:val="nil"/>
          <w:right w:val="nil"/>
          <w:between w:val="nil"/>
          <w:bar w:val="nil"/>
        </w:pBdr>
        <w:spacing w:before="0" w:after="240"/>
        <w:rPr>
          <w:noProof/>
        </w:rPr>
      </w:pPr>
      <w:r>
        <w:rPr>
          <w:noProof/>
        </w:rPr>
        <w:t>Регламент (ЕС) 2017/1485 на Комисията съдържа разпоредби, с които се определят задълженията за предоставяне на информация на Европейската мрежа на операторите на преносни системи за електроенергия (ENTSO-E) и на Агенцията за сътрудничество между регулаторите на енергия (ACER). Адаптация б) дава възможност на съответните оператори на преносни системи (ОПС) и на регулаторите да обменят такава информация и да я защитават.</w:t>
      </w:r>
    </w:p>
    <w:p>
      <w:pPr>
        <w:pBdr>
          <w:top w:val="nil"/>
          <w:left w:val="nil"/>
          <w:bottom w:val="nil"/>
          <w:right w:val="nil"/>
          <w:between w:val="nil"/>
          <w:bar w:val="nil"/>
        </w:pBdr>
        <w:spacing w:before="0" w:after="240"/>
        <w:rPr>
          <w:i/>
          <w:noProof/>
          <w:u w:val="single"/>
        </w:rPr>
      </w:pPr>
      <w:r>
        <w:rPr>
          <w:i/>
          <w:noProof/>
          <w:u w:val="single"/>
        </w:rPr>
        <w:t>Адаптация в) и съображение 7 — позоваване на правата за участие на норвежкия ОПС, номинирания оператор на пазара на електроенергия (НОПЕ) и националния регулаторен орган (НРО) в разработването и одобряването на условията и методиките</w:t>
      </w:r>
    </w:p>
    <w:p>
      <w:pPr>
        <w:pBdr>
          <w:top w:val="nil"/>
          <w:left w:val="nil"/>
          <w:bottom w:val="nil"/>
          <w:right w:val="nil"/>
          <w:between w:val="nil"/>
          <w:bar w:val="nil"/>
        </w:pBdr>
        <w:spacing w:before="0" w:after="240"/>
        <w:rPr>
          <w:noProof/>
        </w:rPr>
      </w:pPr>
      <w:r>
        <w:rPr>
          <w:noProof/>
        </w:rPr>
        <w:t>С адаптацията и посоченото по-горе съображение се адаптират съответните разпоредби на член 5 от Регламент (ЕС) 2017/1485 на Комисията относно правата на участие на съответните субекти в разработването и одобряването на условията и методиките за включване на Норвегия.</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2020/0315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 xml:space="preserve">относно позицията, която трябва да се заеме от името на Европейския съюз в рамките на Съвместния комитет на ЕИП във връзка с изменение на приложение IV (Енергетика) към Споразумението за ЕИП </w:t>
      </w:r>
      <w:r>
        <w:rPr>
          <w:noProof/>
        </w:rPr>
        <w:br/>
        <w:t xml:space="preserve"> </w:t>
      </w:r>
      <w:r>
        <w:rPr>
          <w:noProof/>
        </w:rPr>
        <w:br/>
        <w:t>[32017R1485 – Насоки относно експлоатацията на системата за пренос на електроенергия]</w:t>
      </w:r>
    </w:p>
    <w:p>
      <w:pPr>
        <w:pStyle w:val="IntrtEEE"/>
        <w:rPr>
          <w:noProof/>
        </w:rPr>
      </w:pPr>
      <w:r>
        <w:rPr>
          <w:noProof/>
        </w:rPr>
        <w:t>(текст от значение за ЕИП)</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194 във връзка с член 218, параграф 9 от него,</w:t>
      </w:r>
    </w:p>
    <w:p>
      <w:pPr>
        <w:rPr>
          <w:noProof/>
        </w:rPr>
      </w:pPr>
      <w:r>
        <w:rPr>
          <w:noProof/>
        </w:rPr>
        <w:t>като взе предвид Регламент (ЕО) № 2894/94 на Съвета от 28 ноември 1994 г. относно условията за прилагане на Споразумението за Европейското икономическо пространство</w:t>
      </w:r>
      <w:r>
        <w:rPr>
          <w:rStyle w:val="FootnoteReference0"/>
          <w:noProof/>
        </w:rPr>
        <w:footnoteReference w:id="3"/>
      </w:r>
      <w:r>
        <w:rPr>
          <w:noProof/>
        </w:rPr>
        <w:t>, и по-специално член 1,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Европейското икономическо пространство</w:t>
      </w:r>
      <w:r>
        <w:rPr>
          <w:rStyle w:val="FootnoteReference0"/>
          <w:noProof/>
        </w:rPr>
        <w:footnoteReference w:id="4"/>
      </w:r>
      <w:r>
        <w:rPr>
          <w:rStyle w:val="footnotereference"/>
          <w:noProof/>
        </w:rPr>
        <w:t xml:space="preserve"> </w:t>
      </w:r>
      <w:r>
        <w:rPr>
          <w:noProof/>
        </w:rPr>
        <w:t>(„Споразумението за ЕИП“) влезе в сила на 1 януари 1994 г.</w:t>
      </w:r>
    </w:p>
    <w:p>
      <w:pPr>
        <w:pStyle w:val="ManualConsidrant"/>
        <w:rPr>
          <w:noProof/>
        </w:rPr>
      </w:pPr>
      <w:r>
        <w:t>(2)</w:t>
      </w:r>
      <w:r>
        <w:tab/>
      </w:r>
      <w:r>
        <w:rPr>
          <w:noProof/>
        </w:rPr>
        <w:t xml:space="preserve">В съответствие с член 98 от Споразумението за ЕИП Съвместният комитет на ЕИП може да реши да измени, </w:t>
      </w:r>
      <w:r>
        <w:rPr>
          <w:i/>
          <w:noProof/>
        </w:rPr>
        <w:t>inter alia</w:t>
      </w:r>
      <w:r>
        <w:rPr>
          <w:noProof/>
        </w:rPr>
        <w:t>, приложение IV към Споразумението за ЕИП.</w:t>
      </w:r>
    </w:p>
    <w:p>
      <w:pPr>
        <w:pStyle w:val="ManualConsidrant"/>
        <w:rPr>
          <w:noProof/>
        </w:rPr>
      </w:pPr>
      <w:r>
        <w:t>(3)</w:t>
      </w:r>
      <w:r>
        <w:tab/>
      </w:r>
      <w:r>
        <w:rPr>
          <w:noProof/>
        </w:rPr>
        <w:t>Регламент (ЕС) 2017/1485 на Комисията от 2 август 2017 г. за установяване на насоки относно експлоатацията на системата за пренос на електроенергия</w:t>
      </w:r>
      <w:r>
        <w:rPr>
          <w:rStyle w:val="FootnoteReference0"/>
          <w:noProof/>
        </w:rPr>
        <w:footnoteReference w:id="5"/>
      </w:r>
      <w:r>
        <w:rPr>
          <w:noProof/>
        </w:rPr>
        <w:t xml:space="preserve"> следва да бъде включен в Споразумението за ЕИП.</w:t>
      </w:r>
    </w:p>
    <w:p>
      <w:pPr>
        <w:pStyle w:val="ManualConsidrant"/>
        <w:rPr>
          <w:noProof/>
        </w:rPr>
      </w:pPr>
      <w:r>
        <w:t>(4)</w:t>
      </w:r>
      <w:r>
        <w:tab/>
      </w:r>
      <w:r>
        <w:rPr>
          <w:noProof/>
        </w:rPr>
        <w:t>Поради това приложение IV към Споразумението за ЕИП следва да бъде съответно изменено.</w:t>
      </w:r>
    </w:p>
    <w:p>
      <w:pPr>
        <w:pStyle w:val="ManualConsidrant"/>
        <w:rPr>
          <w:noProof/>
        </w:rPr>
      </w:pPr>
      <w:r>
        <w:t>(5)</w:t>
      </w:r>
      <w:r>
        <w:tab/>
      </w:r>
      <w:r>
        <w:rPr>
          <w:noProof/>
        </w:rPr>
        <w:t>Ето защо позицията на Съюза в рамките на Съвместния комитет на ЕИП следва да се основава на приложения проект на решение,</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 xml:space="preserve">Позицията, която трябва да се заеме от името на Съюза в рамките на Съвместния комитет на ЕИП във връзка с предложеното изменение на приложение IV (Енергетика) </w:t>
      </w:r>
      <w:r>
        <w:rPr>
          <w:noProof/>
        </w:rPr>
        <w:lastRenderedPageBreak/>
        <w:t>към Споразумението за ЕИП, се основава на проектите на решения на Съвместния комитет на ЕИП, приложени към настоящото решение.</w:t>
      </w:r>
    </w:p>
    <w:p>
      <w:pPr>
        <w:pStyle w:val="Titrearticle"/>
        <w:rPr>
          <w:noProof/>
        </w:rPr>
      </w:pPr>
      <w:r>
        <w:rPr>
          <w:noProof/>
        </w:rPr>
        <w:t>Член 2</w:t>
      </w:r>
    </w:p>
    <w:p>
      <w:pPr>
        <w:keepLines/>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0"/>
        </w:rPr>
        <w:footnoteRef/>
      </w:r>
      <w:r>
        <w:tab/>
        <w:t>OВ L 220, 25.8.2017 г., стр. 1.</w:t>
      </w:r>
    </w:p>
  </w:footnote>
  <w:footnote w:id="2">
    <w:p>
      <w:pPr>
        <w:pStyle w:val="FootnoteText"/>
      </w:pPr>
      <w:r>
        <w:rPr>
          <w:rStyle w:val="FootnoteReference0"/>
        </w:rPr>
        <w:footnoteRef/>
      </w:r>
      <w:r>
        <w:tab/>
        <w:t>OВ L 305, 30.11.1994 г., стр. 6—8.</w:t>
      </w:r>
    </w:p>
  </w:footnote>
  <w:footnote w:id="3">
    <w:p>
      <w:pPr>
        <w:pStyle w:val="FootnoteText"/>
      </w:pPr>
      <w:r>
        <w:rPr>
          <w:rStyle w:val="FootnoteReference0"/>
        </w:rPr>
        <w:footnoteRef/>
      </w:r>
      <w:r>
        <w:tab/>
        <w:t>OВ L 305, 30.11.1994 г., стр. 6.</w:t>
      </w:r>
    </w:p>
  </w:footnote>
  <w:footnote w:id="4">
    <w:p>
      <w:pPr>
        <w:pStyle w:val="FootnoteText"/>
      </w:pPr>
      <w:r>
        <w:rPr>
          <w:rStyle w:val="FootnoteReference0"/>
        </w:rPr>
        <w:footnoteRef/>
      </w:r>
      <w:r>
        <w:tab/>
        <w:t>ОВ L 1, 3.1.1994 г., стр. 3.</w:t>
      </w:r>
    </w:p>
  </w:footnote>
  <w:footnote w:id="5">
    <w:p>
      <w:pPr>
        <w:pStyle w:val="FootnoteText"/>
        <w:rPr>
          <w:color w:val="0000FF"/>
        </w:rPr>
      </w:pPr>
      <w:r>
        <w:rPr>
          <w:rStyle w:val="FootnoteReference0"/>
        </w:rPr>
        <w:footnoteRef/>
      </w:r>
      <w:r>
        <w:tab/>
        <w:t>OВ L 220, 25.8.2017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90A445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8D07C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087272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F64600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49873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E63D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7D08B3C"/>
    <w:lvl w:ilvl="0">
      <w:start w:val="1"/>
      <w:numFmt w:val="decimal"/>
      <w:pStyle w:val="ListNumber"/>
      <w:lvlText w:val="%1."/>
      <w:lvlJc w:val="left"/>
      <w:pPr>
        <w:tabs>
          <w:tab w:val="num" w:pos="360"/>
        </w:tabs>
        <w:ind w:left="360" w:hanging="360"/>
      </w:pPr>
    </w:lvl>
  </w:abstractNum>
  <w:abstractNum w:abstractNumId="7">
    <w:nsid w:val="FFFFFF89"/>
    <w:multiLevelType w:val="singleLevel"/>
    <w:tmpl w:val="0EECC3B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ttachedTemplate r:id="rId1"/>
  <w:revisionView w:markup="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10 16:53:2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CDBD9BE6-C4E7-4515-B0C4-6F778821610D"/>
    <w:docVar w:name="LW_COVERPAGE_TYPE" w:val="1"/>
    <w:docVar w:name="LW_CROSSREFERENCE" w:val="&lt;UNUSED&gt;"/>
    <w:docVar w:name="LW_DocType" w:val="COM"/>
    <w:docVar w:name="LW_EMISSION" w:val="12.11.2020"/>
    <w:docVar w:name="LW_EMISSION_ISODATE" w:val="2020-11-12"/>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15"/>
    <w:docVar w:name="LW_REF.II.NEW.CP_YEAR" w:val="2020"/>
    <w:docVar w:name="LW_REF.INST.NEW" w:val="COM"/>
    <w:docVar w:name="LW_REF.INST.NEW_ADOPTED" w:val="final"/>
    <w:docVar w:name="LW_REF.INST.NEW_TEXT" w:val="(2020) 7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5?\u1072? \u1045?\u1048?\u1055? \u1074?\u1098?\u1074? \u1074?\u1088?\u1098?\u1079?\u1082?\u1072? \u1089? \u1080?\u1079?\u1084?\u1077?\u1085?\u1077?\u1085?\u1080?\u1077? \u1085?\u1072? \u1087?\u1088?\u1080?\u1083?\u1086?\u1078?\u1077?\u1085?\u1080?\u1077? IV (\u1045?\u1085?\u1077?\u1088?\u1075?\u1077?\u1090?\u1080?\u1082?\u1072?) \u1082?\u1098?\u1084? \u1057?\u1087?\u1086?\u1088?\u1072?\u1079?\u1091?\u1084?\u1077?\u1085?\u1080?\u1077?\u1090?\u1086? \u1079?\u1072? \u1045?\u1048?\u1055? _x000b_ _x000b_[32017R1485 \u8211? \u1053?\u1072?\u1089?\u1086?\u1082?\u1080? \u1086?\u1090?\u1085?\u1086?\u1089?\u1085?\u1086? \u1077?\u1082?\u1089?\u1087?\u1083?\u1086?\u1072?\u1090?\u1072?\u1094?\u1080?\u1103?\u1090?\u1072? \u1085?\u1072? \u1089?\u1080?\u1089?\u1090?\u1077?\u1084?\u1072?\u1090?\u1072? \u1079?\u1072? \u1087?\u1088?\u1077?\u1085?\u1086?\u1089? \u1085?\u1072? \u1077?\u1083?\u1077?\u1082?\u1090?\u1088?\u1086?\u1077?\u1085?\u1077?\u1088?\u1075?\u1080?\u110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78674">
      <w:bodyDiv w:val="1"/>
      <w:marLeft w:val="0"/>
      <w:marRight w:val="0"/>
      <w:marTop w:val="0"/>
      <w:marBottom w:val="0"/>
      <w:divBdr>
        <w:top w:val="none" w:sz="0" w:space="0" w:color="auto"/>
        <w:left w:val="none" w:sz="0" w:space="0" w:color="auto"/>
        <w:bottom w:val="none" w:sz="0" w:space="0" w:color="auto"/>
        <w:right w:val="none" w:sz="0" w:space="0" w:color="auto"/>
      </w:divBdr>
      <w:divsChild>
        <w:div w:id="2029524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735A3-2ED7-4151-A8C8-05DC3C7A9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1194</Words>
  <Characters>6989</Characters>
  <Application>Microsoft Office Word</Application>
  <DocSecurity>0</DocSecurity>
  <Lines>145</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2020-11-06T11:03:00Z</dcterms:created>
  <dcterms:modified xsi:type="dcterms:W3CDTF">2020-11-10T15:53:00Z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