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4579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2008960-E697-4466-8A7F-922B890EA725" style="width:450.65pt;height:376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rFonts w:eastAsiaTheme="minorHAnsi"/>
          <w:noProof/>
        </w:rPr>
      </w:pPr>
      <w:bookmarkStart w:id="2" w:name="_GoBack"/>
      <w:bookmarkEnd w:id="2"/>
    </w:p>
    <w:sdt>
      <w:sdtPr>
        <w:rPr>
          <w:rFonts w:asciiTheme="minorHAnsi" w:eastAsiaTheme="minorHAnsi" w:hAnsiTheme="minorHAnsi" w:cstheme="minorBidi"/>
          <w:b w:val="0"/>
          <w:caps w:val="0"/>
          <w:noProof/>
          <w:sz w:val="22"/>
          <w:szCs w:val="22"/>
        </w:rPr>
        <w:id w:val="-864828770"/>
        <w:docPartObj>
          <w:docPartGallery w:val="Table of Contents"/>
          <w:docPartUnique/>
        </w:docPartObj>
      </w:sdtPr>
      <w:sdtEndPr>
        <w:rPr>
          <w:rFonts w:ascii="Times New Roman" w:hAnsi="Times New Roman" w:cs="Times New Roman"/>
          <w:bCs/>
        </w:rPr>
      </w:sdtEndPr>
      <w:sdtContent>
        <w:p>
          <w:pPr>
            <w:pStyle w:val="TOCHeading"/>
            <w:rPr>
              <w:noProof/>
            </w:rPr>
          </w:pPr>
          <w:r>
            <w:rPr>
              <w:noProof/>
            </w:rPr>
            <w:t>Съдържание</w:t>
          </w:r>
        </w:p>
        <w:p>
          <w:pPr>
            <w:pStyle w:val="TOC1"/>
            <w:tabs>
              <w:tab w:val="right" w:leader="dot" w:pos="9350"/>
            </w:tabs>
            <w:rPr>
              <w:rFonts w:cstheme="minorBidi"/>
              <w:noProof/>
              <w:lang w:val="en-US"/>
            </w:rPr>
          </w:pPr>
          <w:r>
            <w:rPr>
              <w:rFonts w:ascii="Times New Roman" w:hAnsi="Times New Roman"/>
              <w:b/>
              <w:noProof/>
            </w:rPr>
            <w:fldChar w:fldCharType="begin"/>
          </w:r>
          <w:r>
            <w:rPr>
              <w:rFonts w:ascii="Times New Roman" w:hAnsi="Times New Roman"/>
              <w:b/>
              <w:noProof/>
            </w:rPr>
            <w:instrText xml:space="preserve"> TOC \o "1-3" \h \z \u </w:instrText>
          </w:r>
          <w:r>
            <w:rPr>
              <w:rFonts w:ascii="Times New Roman" w:hAnsi="Times New Roman"/>
              <w:b/>
              <w:noProof/>
            </w:rPr>
            <w:fldChar w:fldCharType="separate"/>
          </w:r>
          <w:hyperlink w:anchor="_Toc55319741" w:history="1">
            <w:r>
              <w:rPr>
                <w:rStyle w:val="Hyperlink"/>
                <w:noProof/>
              </w:rPr>
              <w:t>1. ВЪВЕДЕНИЕ</w:t>
            </w:r>
            <w:r>
              <w:rPr>
                <w:noProof/>
                <w:webHidden/>
              </w:rPr>
              <w:tab/>
            </w:r>
            <w:r>
              <w:rPr>
                <w:noProof/>
                <w:webHidden/>
              </w:rPr>
              <w:fldChar w:fldCharType="begin"/>
            </w:r>
            <w:r>
              <w:rPr>
                <w:noProof/>
                <w:webHidden/>
              </w:rPr>
              <w:instrText xml:space="preserve"> PAGEREF _Toc55319741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350"/>
            </w:tabs>
            <w:rPr>
              <w:rFonts w:cstheme="minorBidi"/>
              <w:noProof/>
              <w:lang w:val="en-US"/>
            </w:rPr>
          </w:pPr>
          <w:hyperlink w:anchor="_Toc55319742" w:history="1">
            <w:r>
              <w:rPr>
                <w:rStyle w:val="Hyperlink"/>
                <w:noProof/>
              </w:rPr>
              <w:t>2. ПРЕГЛЕД НА ОСНОВНИТЕ КОНСТАТАЦИИ: ТЪРГОВСКИ ПОТОЦИ</w:t>
            </w:r>
            <w:r>
              <w:rPr>
                <w:noProof/>
                <w:webHidden/>
              </w:rPr>
              <w:tab/>
            </w:r>
            <w:r>
              <w:rPr>
                <w:noProof/>
                <w:webHidden/>
              </w:rPr>
              <w:fldChar w:fldCharType="begin"/>
            </w:r>
            <w:r>
              <w:rPr>
                <w:noProof/>
                <w:webHidden/>
              </w:rPr>
              <w:instrText xml:space="preserve"> PAGEREF _Toc55319742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350"/>
            </w:tabs>
            <w:rPr>
              <w:rFonts w:cstheme="minorBidi"/>
              <w:noProof/>
              <w:lang w:val="en-US"/>
            </w:rPr>
          </w:pPr>
          <w:hyperlink w:anchor="_Toc55319743" w:history="1">
            <w:r>
              <w:rPr>
                <w:rStyle w:val="Hyperlink"/>
                <w:noProof/>
              </w:rPr>
              <w:t>3. ПРЕГЛЕД НА ОСНОВНИТЕ КОНСТАТАЦИИ ЗА ВСЕКИ РЕГИОН</w:t>
            </w:r>
            <w:r>
              <w:rPr>
                <w:noProof/>
                <w:webHidden/>
              </w:rPr>
              <w:tab/>
            </w:r>
            <w:r>
              <w:rPr>
                <w:noProof/>
                <w:webHidden/>
              </w:rPr>
              <w:fldChar w:fldCharType="begin"/>
            </w:r>
            <w:r>
              <w:rPr>
                <w:noProof/>
                <w:webHidden/>
              </w:rPr>
              <w:instrText xml:space="preserve"> PAGEREF _Toc55319743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350"/>
            </w:tabs>
            <w:rPr>
              <w:rFonts w:cstheme="minorBidi"/>
              <w:noProof/>
              <w:lang w:val="en-US"/>
            </w:rPr>
          </w:pPr>
          <w:hyperlink w:anchor="_Toc55319744" w:history="1">
            <w:r>
              <w:rPr>
                <w:rStyle w:val="Hyperlink"/>
                <w:noProof/>
              </w:rPr>
              <w:t>3.1 АЗИЯ</w:t>
            </w:r>
            <w:r>
              <w:rPr>
                <w:noProof/>
                <w:webHidden/>
              </w:rPr>
              <w:tab/>
            </w:r>
            <w:r>
              <w:rPr>
                <w:noProof/>
                <w:webHidden/>
              </w:rPr>
              <w:fldChar w:fldCharType="begin"/>
            </w:r>
            <w:r>
              <w:rPr>
                <w:noProof/>
                <w:webHidden/>
              </w:rPr>
              <w:instrText xml:space="preserve"> PAGEREF _Toc55319744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en-US"/>
            </w:rPr>
          </w:pPr>
          <w:hyperlink w:anchor="_Toc55319745" w:history="1">
            <w:r>
              <w:rPr>
                <w:rStyle w:val="Hyperlink"/>
                <w:noProof/>
              </w:rPr>
              <w:t>3.1.1 Южна Корея</w:t>
            </w:r>
            <w:r>
              <w:rPr>
                <w:noProof/>
                <w:webHidden/>
              </w:rPr>
              <w:tab/>
            </w:r>
            <w:r>
              <w:rPr>
                <w:noProof/>
                <w:webHidden/>
              </w:rPr>
              <w:fldChar w:fldCharType="begin"/>
            </w:r>
            <w:r>
              <w:rPr>
                <w:noProof/>
                <w:webHidden/>
              </w:rPr>
              <w:instrText xml:space="preserve"> PAGEREF _Toc55319745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en-US"/>
            </w:rPr>
          </w:pPr>
          <w:hyperlink w:anchor="_Toc55319746" w:history="1">
            <w:r>
              <w:rPr>
                <w:rStyle w:val="Hyperlink"/>
                <w:noProof/>
              </w:rPr>
              <w:t>3.1.2 Япония</w:t>
            </w:r>
            <w:r>
              <w:rPr>
                <w:noProof/>
                <w:webHidden/>
              </w:rPr>
              <w:tab/>
            </w:r>
            <w:r>
              <w:rPr>
                <w:noProof/>
                <w:webHidden/>
              </w:rPr>
              <w:fldChar w:fldCharType="begin"/>
            </w:r>
            <w:r>
              <w:rPr>
                <w:noProof/>
                <w:webHidden/>
              </w:rPr>
              <w:instrText xml:space="preserve"> PAGEREF _Toc55319746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350"/>
            </w:tabs>
            <w:rPr>
              <w:rFonts w:cstheme="minorBidi"/>
              <w:noProof/>
              <w:lang w:val="en-US"/>
            </w:rPr>
          </w:pPr>
          <w:hyperlink w:anchor="_Toc55319747" w:history="1">
            <w:r>
              <w:rPr>
                <w:rStyle w:val="Hyperlink"/>
                <w:noProof/>
              </w:rPr>
              <w:t>3.1.3 Сингапур (подготовка за влизането в сила)</w:t>
            </w:r>
            <w:r>
              <w:rPr>
                <w:noProof/>
                <w:webHidden/>
              </w:rPr>
              <w:tab/>
            </w:r>
            <w:r>
              <w:rPr>
                <w:noProof/>
                <w:webHidden/>
              </w:rPr>
              <w:fldChar w:fldCharType="begin"/>
            </w:r>
            <w:r>
              <w:rPr>
                <w:noProof/>
                <w:webHidden/>
              </w:rPr>
              <w:instrText xml:space="preserve"> PAGEREF _Toc55319747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cstheme="minorBidi"/>
              <w:noProof/>
              <w:lang w:val="en-US"/>
            </w:rPr>
          </w:pPr>
          <w:hyperlink w:anchor="_Toc55319748" w:history="1">
            <w:r>
              <w:rPr>
                <w:rStyle w:val="Hyperlink"/>
                <w:noProof/>
              </w:rPr>
              <w:t>3.2 СЕВЕРНА И ЮЖНА АМЕРИКА</w:t>
            </w:r>
            <w:r>
              <w:rPr>
                <w:noProof/>
                <w:webHidden/>
              </w:rPr>
              <w:tab/>
            </w:r>
            <w:r>
              <w:rPr>
                <w:noProof/>
                <w:webHidden/>
              </w:rPr>
              <w:fldChar w:fldCharType="begin"/>
            </w:r>
            <w:r>
              <w:rPr>
                <w:noProof/>
                <w:webHidden/>
              </w:rPr>
              <w:instrText xml:space="preserve"> PAGEREF _Toc55319748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cstheme="minorBidi"/>
              <w:noProof/>
              <w:lang w:val="en-US"/>
            </w:rPr>
          </w:pPr>
          <w:hyperlink w:anchor="_Toc55319749" w:history="1">
            <w:r>
              <w:rPr>
                <w:rStyle w:val="Hyperlink"/>
                <w:noProof/>
              </w:rPr>
              <w:t>3.2.1 Канада</w:t>
            </w:r>
            <w:r>
              <w:rPr>
                <w:noProof/>
                <w:webHidden/>
              </w:rPr>
              <w:tab/>
            </w:r>
            <w:r>
              <w:rPr>
                <w:noProof/>
                <w:webHidden/>
              </w:rPr>
              <w:fldChar w:fldCharType="begin"/>
            </w:r>
            <w:r>
              <w:rPr>
                <w:noProof/>
                <w:webHidden/>
              </w:rPr>
              <w:instrText xml:space="preserve"> PAGEREF _Toc55319749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cstheme="minorBidi"/>
              <w:noProof/>
              <w:lang w:val="en-US"/>
            </w:rPr>
          </w:pPr>
          <w:hyperlink w:anchor="_Toc55319750" w:history="1">
            <w:r>
              <w:rPr>
                <w:rStyle w:val="Hyperlink"/>
                <w:noProof/>
              </w:rPr>
              <w:t>3.2.2 Латиноамерикански държави партньори</w:t>
            </w:r>
            <w:r>
              <w:rPr>
                <w:noProof/>
                <w:webHidden/>
              </w:rPr>
              <w:tab/>
            </w:r>
            <w:r>
              <w:rPr>
                <w:noProof/>
                <w:webHidden/>
              </w:rPr>
              <w:fldChar w:fldCharType="begin"/>
            </w:r>
            <w:r>
              <w:rPr>
                <w:noProof/>
                <w:webHidden/>
              </w:rPr>
              <w:instrText xml:space="preserve"> PAGEREF _Toc55319750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350"/>
            </w:tabs>
            <w:rPr>
              <w:rFonts w:cstheme="minorBidi"/>
              <w:noProof/>
              <w:lang w:val="en-US"/>
            </w:rPr>
          </w:pPr>
          <w:hyperlink w:anchor="_Toc55319751" w:history="1">
            <w:r>
              <w:rPr>
                <w:rStyle w:val="Hyperlink"/>
                <w:noProof/>
              </w:rPr>
              <w:t>3.3 СЪСЕДНИ НА ЕС ДЪРЖАВИ</w:t>
            </w:r>
            <w:r>
              <w:rPr>
                <w:noProof/>
                <w:webHidden/>
              </w:rPr>
              <w:tab/>
            </w:r>
            <w:r>
              <w:rPr>
                <w:noProof/>
                <w:webHidden/>
              </w:rPr>
              <w:fldChar w:fldCharType="begin"/>
            </w:r>
            <w:r>
              <w:rPr>
                <w:noProof/>
                <w:webHidden/>
              </w:rPr>
              <w:instrText xml:space="preserve"> PAGEREF _Toc55319751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350"/>
            </w:tabs>
            <w:rPr>
              <w:rFonts w:cstheme="minorBidi"/>
              <w:noProof/>
              <w:lang w:val="en-US"/>
            </w:rPr>
          </w:pPr>
          <w:hyperlink w:anchor="_Toc55319752" w:history="1">
            <w:r>
              <w:rPr>
                <w:rStyle w:val="Hyperlink"/>
                <w:noProof/>
              </w:rPr>
              <w:t>3.3.1 Партньори от Средиземноморието и Близкия Изток</w:t>
            </w:r>
            <w:r>
              <w:rPr>
                <w:noProof/>
                <w:webHidden/>
              </w:rPr>
              <w:tab/>
            </w:r>
            <w:r>
              <w:rPr>
                <w:noProof/>
                <w:webHidden/>
              </w:rPr>
              <w:fldChar w:fldCharType="begin"/>
            </w:r>
            <w:r>
              <w:rPr>
                <w:noProof/>
                <w:webHidden/>
              </w:rPr>
              <w:instrText xml:space="preserve"> PAGEREF _Toc55319752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350"/>
            </w:tabs>
            <w:rPr>
              <w:rFonts w:cstheme="minorBidi"/>
              <w:noProof/>
              <w:lang w:val="en-US"/>
            </w:rPr>
          </w:pPr>
          <w:hyperlink w:anchor="_Toc55319753" w:history="1">
            <w:r>
              <w:rPr>
                <w:rStyle w:val="Hyperlink"/>
                <w:noProof/>
              </w:rPr>
              <w:t>3.3.2 Грузия, Молдова, Украйна</w:t>
            </w:r>
            <w:r>
              <w:rPr>
                <w:noProof/>
                <w:webHidden/>
              </w:rPr>
              <w:tab/>
            </w:r>
            <w:r>
              <w:rPr>
                <w:noProof/>
                <w:webHidden/>
              </w:rPr>
              <w:fldChar w:fldCharType="begin"/>
            </w:r>
            <w:r>
              <w:rPr>
                <w:noProof/>
                <w:webHidden/>
              </w:rPr>
              <w:instrText xml:space="preserve"> PAGEREF _Toc55319753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350"/>
            </w:tabs>
            <w:rPr>
              <w:rFonts w:cstheme="minorBidi"/>
              <w:noProof/>
              <w:lang w:val="en-US"/>
            </w:rPr>
          </w:pPr>
          <w:hyperlink w:anchor="_Toc55319754" w:history="1">
            <w:r>
              <w:rPr>
                <w:rStyle w:val="Hyperlink"/>
                <w:noProof/>
              </w:rPr>
              <w:t>3.3.3 Западни Балкани</w:t>
            </w:r>
            <w:r>
              <w:rPr>
                <w:noProof/>
                <w:webHidden/>
              </w:rPr>
              <w:tab/>
            </w:r>
            <w:r>
              <w:rPr>
                <w:noProof/>
                <w:webHidden/>
              </w:rPr>
              <w:fldChar w:fldCharType="begin"/>
            </w:r>
            <w:r>
              <w:rPr>
                <w:noProof/>
                <w:webHidden/>
              </w:rPr>
              <w:instrText xml:space="preserve"> PAGEREF _Toc55319754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350"/>
            </w:tabs>
            <w:rPr>
              <w:rFonts w:cstheme="minorBidi"/>
              <w:noProof/>
              <w:lang w:val="en-US"/>
            </w:rPr>
          </w:pPr>
          <w:hyperlink w:anchor="_Toc55319755" w:history="1">
            <w:r>
              <w:rPr>
                <w:rStyle w:val="Hyperlink"/>
                <w:noProof/>
              </w:rPr>
              <w:t>3.3.4 Швейцария</w:t>
            </w:r>
            <w:r>
              <w:rPr>
                <w:noProof/>
                <w:webHidden/>
              </w:rPr>
              <w:tab/>
            </w:r>
            <w:r>
              <w:rPr>
                <w:noProof/>
                <w:webHidden/>
              </w:rPr>
              <w:fldChar w:fldCharType="begin"/>
            </w:r>
            <w:r>
              <w:rPr>
                <w:noProof/>
                <w:webHidden/>
              </w:rPr>
              <w:instrText xml:space="preserve"> PAGEREF _Toc55319755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9350"/>
            </w:tabs>
            <w:rPr>
              <w:rFonts w:cstheme="minorBidi"/>
              <w:noProof/>
              <w:lang w:val="en-US"/>
            </w:rPr>
          </w:pPr>
          <w:hyperlink w:anchor="_Toc55319756" w:history="1">
            <w:r>
              <w:rPr>
                <w:rStyle w:val="Hyperlink"/>
                <w:noProof/>
              </w:rPr>
              <w:t>3.3.5 Норвегия</w:t>
            </w:r>
            <w:r>
              <w:rPr>
                <w:noProof/>
                <w:webHidden/>
              </w:rPr>
              <w:tab/>
            </w:r>
            <w:r>
              <w:rPr>
                <w:noProof/>
                <w:webHidden/>
              </w:rPr>
              <w:fldChar w:fldCharType="begin"/>
            </w:r>
            <w:r>
              <w:rPr>
                <w:noProof/>
                <w:webHidden/>
              </w:rPr>
              <w:instrText xml:space="preserve"> PAGEREF _Toc55319756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350"/>
            </w:tabs>
            <w:rPr>
              <w:rFonts w:cstheme="minorBidi"/>
              <w:noProof/>
              <w:lang w:val="en-US"/>
            </w:rPr>
          </w:pPr>
          <w:hyperlink w:anchor="_Toc55319757" w:history="1">
            <w:r>
              <w:rPr>
                <w:rStyle w:val="Hyperlink"/>
                <w:noProof/>
              </w:rPr>
              <w:t>3.3.6 Турция</w:t>
            </w:r>
            <w:r>
              <w:rPr>
                <w:noProof/>
                <w:webHidden/>
              </w:rPr>
              <w:tab/>
            </w:r>
            <w:r>
              <w:rPr>
                <w:noProof/>
                <w:webHidden/>
              </w:rPr>
              <w:fldChar w:fldCharType="begin"/>
            </w:r>
            <w:r>
              <w:rPr>
                <w:noProof/>
                <w:webHidden/>
              </w:rPr>
              <w:instrText xml:space="preserve"> PAGEREF _Toc55319757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9350"/>
            </w:tabs>
            <w:rPr>
              <w:rFonts w:cstheme="minorBidi"/>
              <w:noProof/>
              <w:lang w:val="en-US"/>
            </w:rPr>
          </w:pPr>
          <w:hyperlink w:anchor="_Toc55319758" w:history="1">
            <w:r>
              <w:rPr>
                <w:rStyle w:val="Hyperlink"/>
                <w:noProof/>
              </w:rPr>
              <w:t xml:space="preserve">3.4 </w:t>
            </w:r>
            <w:r>
              <w:rPr>
                <w:rFonts w:cstheme="minorBidi"/>
                <w:noProof/>
                <w:lang w:val="en-US"/>
              </w:rPr>
              <w:tab/>
            </w:r>
            <w:r>
              <w:rPr>
                <w:rStyle w:val="Hyperlink"/>
                <w:noProof/>
              </w:rPr>
              <w:t>ДЪРЖАВИ ОТ АФРИКА, КАРИБИТЕ И ТИХООКЕАНСКИЯ БАСЕЙН</w:t>
            </w:r>
            <w:r>
              <w:rPr>
                <w:noProof/>
                <w:webHidden/>
              </w:rPr>
              <w:tab/>
            </w:r>
            <w:r>
              <w:rPr>
                <w:noProof/>
                <w:webHidden/>
              </w:rPr>
              <w:fldChar w:fldCharType="begin"/>
            </w:r>
            <w:r>
              <w:rPr>
                <w:noProof/>
                <w:webHidden/>
              </w:rPr>
              <w:instrText xml:space="preserve"> PAGEREF _Toc55319758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350"/>
            </w:tabs>
            <w:rPr>
              <w:rFonts w:cstheme="minorBidi"/>
              <w:noProof/>
              <w:lang w:val="en-US"/>
            </w:rPr>
          </w:pPr>
          <w:hyperlink w:anchor="_Toc55319759" w:history="1">
            <w:r>
              <w:rPr>
                <w:rStyle w:val="Hyperlink"/>
                <w:noProof/>
              </w:rPr>
              <w:t>4. ТЪРГОВИЯ И УСТОЙЧИВО РАЗВИТИЕ</w:t>
            </w:r>
            <w:r>
              <w:rPr>
                <w:noProof/>
                <w:webHidden/>
              </w:rPr>
              <w:tab/>
            </w:r>
            <w:r>
              <w:rPr>
                <w:noProof/>
                <w:webHidden/>
              </w:rPr>
              <w:fldChar w:fldCharType="begin"/>
            </w:r>
            <w:r>
              <w:rPr>
                <w:noProof/>
                <w:webHidden/>
              </w:rPr>
              <w:instrText xml:space="preserve"> PAGEREF _Toc55319759 \h </w:instrText>
            </w:r>
            <w:r>
              <w:rPr>
                <w:noProof/>
                <w:webHidden/>
              </w:rPr>
            </w:r>
            <w:r>
              <w:rPr>
                <w:noProof/>
                <w:webHidden/>
              </w:rPr>
              <w:fldChar w:fldCharType="separate"/>
            </w:r>
            <w:r>
              <w:rPr>
                <w:noProof/>
                <w:webHidden/>
              </w:rPr>
              <w:t>34</w:t>
            </w:r>
            <w:r>
              <w:rPr>
                <w:noProof/>
                <w:webHidden/>
              </w:rPr>
              <w:fldChar w:fldCharType="end"/>
            </w:r>
          </w:hyperlink>
        </w:p>
        <w:p>
          <w:pPr>
            <w:pStyle w:val="TOC1"/>
            <w:tabs>
              <w:tab w:val="right" w:leader="dot" w:pos="9350"/>
            </w:tabs>
            <w:rPr>
              <w:rFonts w:cstheme="minorBidi"/>
              <w:noProof/>
              <w:lang w:val="en-US"/>
            </w:rPr>
          </w:pPr>
          <w:hyperlink w:anchor="_Toc55319760" w:history="1">
            <w:r>
              <w:rPr>
                <w:rStyle w:val="Hyperlink"/>
                <w:noProof/>
              </w:rPr>
              <w:t>5. ТЪРГОВИЯ С ПРОДУКТИ НА ХРАНИТЕЛНО-ВКУСОВАТА ПРОМИШЛЕНОСТ ПО ТЪРГОВСКИТЕ СПОРАЗУМЕНИЯ НА ЕС</w:t>
            </w:r>
            <w:r>
              <w:rPr>
                <w:noProof/>
                <w:webHidden/>
              </w:rPr>
              <w:tab/>
            </w:r>
            <w:r>
              <w:rPr>
                <w:noProof/>
                <w:webHidden/>
              </w:rPr>
              <w:fldChar w:fldCharType="begin"/>
            </w:r>
            <w:r>
              <w:rPr>
                <w:noProof/>
                <w:webHidden/>
              </w:rPr>
              <w:instrText xml:space="preserve"> PAGEREF _Toc55319760 \h </w:instrText>
            </w:r>
            <w:r>
              <w:rPr>
                <w:noProof/>
                <w:webHidden/>
              </w:rPr>
            </w:r>
            <w:r>
              <w:rPr>
                <w:noProof/>
                <w:webHidden/>
              </w:rPr>
              <w:fldChar w:fldCharType="separate"/>
            </w:r>
            <w:r>
              <w:rPr>
                <w:noProof/>
                <w:webHidden/>
              </w:rPr>
              <w:t>38</w:t>
            </w:r>
            <w:r>
              <w:rPr>
                <w:noProof/>
                <w:webHidden/>
              </w:rPr>
              <w:fldChar w:fldCharType="end"/>
            </w:r>
          </w:hyperlink>
        </w:p>
        <w:p>
          <w:pPr>
            <w:pStyle w:val="TOC1"/>
            <w:tabs>
              <w:tab w:val="right" w:leader="dot" w:pos="9350"/>
            </w:tabs>
            <w:rPr>
              <w:rFonts w:cstheme="minorBidi"/>
              <w:noProof/>
              <w:lang w:val="en-US"/>
            </w:rPr>
          </w:pPr>
          <w:hyperlink w:anchor="_Toc55319761" w:history="1">
            <w:r>
              <w:rPr>
                <w:rStyle w:val="Hyperlink"/>
                <w:noProof/>
              </w:rPr>
              <w:t>6.  УСЛУГИ, ОБЩЕСТВЕНИ ПОРЪЧКИ, ПРАВА ВЪРХУ ИНТЕЛЕКТУАЛНА СОБСТВЕНОСТ</w:t>
            </w:r>
            <w:r>
              <w:rPr>
                <w:noProof/>
                <w:webHidden/>
              </w:rPr>
              <w:tab/>
            </w:r>
            <w:r>
              <w:rPr>
                <w:noProof/>
                <w:webHidden/>
              </w:rPr>
              <w:fldChar w:fldCharType="begin"/>
            </w:r>
            <w:r>
              <w:rPr>
                <w:noProof/>
                <w:webHidden/>
              </w:rPr>
              <w:instrText xml:space="preserve"> PAGEREF _Toc55319761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350"/>
            </w:tabs>
            <w:rPr>
              <w:rFonts w:cstheme="minorBidi"/>
              <w:noProof/>
              <w:lang w:val="en-US"/>
            </w:rPr>
          </w:pPr>
          <w:hyperlink w:anchor="_Toc55319762" w:history="1">
            <w:r>
              <w:rPr>
                <w:rStyle w:val="Hyperlink"/>
                <w:noProof/>
              </w:rPr>
              <w:t>6. 1 Услуги и преки чуждестранни инвестиции (ПЧИ)</w:t>
            </w:r>
            <w:r>
              <w:rPr>
                <w:noProof/>
                <w:webHidden/>
              </w:rPr>
              <w:tab/>
            </w:r>
            <w:r>
              <w:rPr>
                <w:noProof/>
                <w:webHidden/>
              </w:rPr>
              <w:fldChar w:fldCharType="begin"/>
            </w:r>
            <w:r>
              <w:rPr>
                <w:noProof/>
                <w:webHidden/>
              </w:rPr>
              <w:instrText xml:space="preserve"> PAGEREF _Toc55319762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350"/>
            </w:tabs>
            <w:rPr>
              <w:rFonts w:cstheme="minorBidi"/>
              <w:noProof/>
              <w:lang w:val="en-US"/>
            </w:rPr>
          </w:pPr>
          <w:hyperlink w:anchor="_Toc55319763" w:history="1">
            <w:r>
              <w:rPr>
                <w:rStyle w:val="Hyperlink"/>
                <w:noProof/>
              </w:rPr>
              <w:t>6.2 Обществени поръчки</w:t>
            </w:r>
            <w:r>
              <w:rPr>
                <w:noProof/>
                <w:webHidden/>
              </w:rPr>
              <w:tab/>
            </w:r>
            <w:r>
              <w:rPr>
                <w:noProof/>
                <w:webHidden/>
              </w:rPr>
              <w:fldChar w:fldCharType="begin"/>
            </w:r>
            <w:r>
              <w:rPr>
                <w:noProof/>
                <w:webHidden/>
              </w:rPr>
              <w:instrText xml:space="preserve"> PAGEREF _Toc55319763 \h </w:instrText>
            </w:r>
            <w:r>
              <w:rPr>
                <w:noProof/>
                <w:webHidden/>
              </w:rPr>
            </w:r>
            <w:r>
              <w:rPr>
                <w:noProof/>
                <w:webHidden/>
              </w:rPr>
              <w:fldChar w:fldCharType="separate"/>
            </w:r>
            <w:r>
              <w:rPr>
                <w:noProof/>
                <w:webHidden/>
              </w:rPr>
              <w:t>48</w:t>
            </w:r>
            <w:r>
              <w:rPr>
                <w:noProof/>
                <w:webHidden/>
              </w:rPr>
              <w:fldChar w:fldCharType="end"/>
            </w:r>
          </w:hyperlink>
        </w:p>
        <w:p>
          <w:pPr>
            <w:pStyle w:val="TOC2"/>
            <w:tabs>
              <w:tab w:val="right" w:leader="dot" w:pos="9350"/>
            </w:tabs>
            <w:rPr>
              <w:rFonts w:cstheme="minorBidi"/>
              <w:noProof/>
              <w:lang w:val="en-US"/>
            </w:rPr>
          </w:pPr>
          <w:hyperlink w:anchor="_Toc55319764" w:history="1">
            <w:r>
              <w:rPr>
                <w:rStyle w:val="Hyperlink"/>
                <w:noProof/>
              </w:rPr>
              <w:t>6.3 Права върху интелектуална собственост (ПИС)</w:t>
            </w:r>
            <w:r>
              <w:rPr>
                <w:noProof/>
                <w:webHidden/>
              </w:rPr>
              <w:tab/>
            </w:r>
            <w:r>
              <w:rPr>
                <w:noProof/>
                <w:webHidden/>
              </w:rPr>
              <w:fldChar w:fldCharType="begin"/>
            </w:r>
            <w:r>
              <w:rPr>
                <w:noProof/>
                <w:webHidden/>
              </w:rPr>
              <w:instrText xml:space="preserve"> PAGEREF _Toc55319764 \h </w:instrText>
            </w:r>
            <w:r>
              <w:rPr>
                <w:noProof/>
                <w:webHidden/>
              </w:rPr>
            </w:r>
            <w:r>
              <w:rPr>
                <w:noProof/>
                <w:webHidden/>
              </w:rPr>
              <w:fldChar w:fldCharType="separate"/>
            </w:r>
            <w:r>
              <w:rPr>
                <w:noProof/>
                <w:webHidden/>
              </w:rPr>
              <w:t>52</w:t>
            </w:r>
            <w:r>
              <w:rPr>
                <w:noProof/>
                <w:webHidden/>
              </w:rPr>
              <w:fldChar w:fldCharType="end"/>
            </w:r>
          </w:hyperlink>
        </w:p>
        <w:p>
          <w:pPr>
            <w:pStyle w:val="TOC1"/>
            <w:tabs>
              <w:tab w:val="right" w:leader="dot" w:pos="9350"/>
            </w:tabs>
            <w:rPr>
              <w:rFonts w:cstheme="minorBidi"/>
              <w:noProof/>
              <w:lang w:val="en-US"/>
            </w:rPr>
          </w:pPr>
          <w:hyperlink w:anchor="_Toc55319765" w:history="1">
            <w:r>
              <w:rPr>
                <w:rStyle w:val="Hyperlink"/>
                <w:noProof/>
              </w:rPr>
              <w:t>7. МАЛКИ И СРЕДНИ ПРЕДПРИЯТИЯ</w:t>
            </w:r>
            <w:r>
              <w:rPr>
                <w:noProof/>
                <w:webHidden/>
              </w:rPr>
              <w:tab/>
            </w:r>
            <w:r>
              <w:rPr>
                <w:noProof/>
                <w:webHidden/>
              </w:rPr>
              <w:fldChar w:fldCharType="begin"/>
            </w:r>
            <w:r>
              <w:rPr>
                <w:noProof/>
                <w:webHidden/>
              </w:rPr>
              <w:instrText xml:space="preserve"> PAGEREF _Toc55319765 \h </w:instrText>
            </w:r>
            <w:r>
              <w:rPr>
                <w:noProof/>
                <w:webHidden/>
              </w:rPr>
            </w:r>
            <w:r>
              <w:rPr>
                <w:noProof/>
                <w:webHidden/>
              </w:rPr>
              <w:fldChar w:fldCharType="separate"/>
            </w:r>
            <w:r>
              <w:rPr>
                <w:noProof/>
                <w:webHidden/>
              </w:rPr>
              <w:t>54</w:t>
            </w:r>
            <w:r>
              <w:rPr>
                <w:noProof/>
                <w:webHidden/>
              </w:rPr>
              <w:fldChar w:fldCharType="end"/>
            </w:r>
          </w:hyperlink>
        </w:p>
        <w:p>
          <w:pPr>
            <w:pStyle w:val="TOC1"/>
            <w:tabs>
              <w:tab w:val="right" w:leader="dot" w:pos="9350"/>
            </w:tabs>
            <w:rPr>
              <w:rFonts w:cstheme="minorBidi"/>
              <w:noProof/>
              <w:lang w:val="en-US"/>
            </w:rPr>
          </w:pPr>
          <w:hyperlink w:anchor="_Toc55319766" w:history="1">
            <w:r>
              <w:rPr>
                <w:rStyle w:val="Hyperlink"/>
                <w:noProof/>
              </w:rPr>
              <w:t>8. ПРАВОПРИЛАГАНЕ</w:t>
            </w:r>
            <w:r>
              <w:rPr>
                <w:noProof/>
                <w:webHidden/>
              </w:rPr>
              <w:tab/>
            </w:r>
            <w:r>
              <w:rPr>
                <w:noProof/>
                <w:webHidden/>
              </w:rPr>
              <w:fldChar w:fldCharType="begin"/>
            </w:r>
            <w:r>
              <w:rPr>
                <w:noProof/>
                <w:webHidden/>
              </w:rPr>
              <w:instrText xml:space="preserve"> PAGEREF _Toc55319766 \h </w:instrText>
            </w:r>
            <w:r>
              <w:rPr>
                <w:noProof/>
                <w:webHidden/>
              </w:rPr>
            </w:r>
            <w:r>
              <w:rPr>
                <w:noProof/>
                <w:webHidden/>
              </w:rPr>
              <w:fldChar w:fldCharType="separate"/>
            </w:r>
            <w:r>
              <w:rPr>
                <w:noProof/>
                <w:webHidden/>
              </w:rPr>
              <w:t>57</w:t>
            </w:r>
            <w:r>
              <w:rPr>
                <w:noProof/>
                <w:webHidden/>
              </w:rPr>
              <w:fldChar w:fldCharType="end"/>
            </w:r>
          </w:hyperlink>
        </w:p>
        <w:p>
          <w:pPr>
            <w:pStyle w:val="TOC2"/>
            <w:tabs>
              <w:tab w:val="left" w:pos="880"/>
              <w:tab w:val="right" w:leader="dot" w:pos="9350"/>
            </w:tabs>
            <w:rPr>
              <w:rFonts w:cstheme="minorBidi"/>
              <w:noProof/>
              <w:lang w:val="en-US"/>
            </w:rPr>
          </w:pPr>
          <w:hyperlink w:anchor="_Toc55319767" w:history="1">
            <w:r>
              <w:rPr>
                <w:rStyle w:val="Hyperlink"/>
                <w:noProof/>
              </w:rPr>
              <w:t xml:space="preserve">8.1 </w:t>
            </w:r>
            <w:r>
              <w:rPr>
                <w:rFonts w:cstheme="minorBidi"/>
                <w:noProof/>
                <w:lang w:val="en-US"/>
              </w:rPr>
              <w:tab/>
            </w:r>
            <w:r>
              <w:rPr>
                <w:rStyle w:val="Hyperlink"/>
                <w:noProof/>
              </w:rPr>
              <w:t>Уреждане на спорове в областта на търговията и устойчивото развитие с Южна Корея</w:t>
            </w:r>
            <w:r>
              <w:rPr>
                <w:noProof/>
                <w:webHidden/>
              </w:rPr>
              <w:tab/>
            </w:r>
            <w:r>
              <w:rPr>
                <w:noProof/>
                <w:webHidden/>
              </w:rPr>
              <w:fldChar w:fldCharType="begin"/>
            </w:r>
            <w:r>
              <w:rPr>
                <w:noProof/>
                <w:webHidden/>
              </w:rPr>
              <w:instrText xml:space="preserve"> PAGEREF _Toc55319767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880"/>
              <w:tab w:val="right" w:leader="dot" w:pos="9350"/>
            </w:tabs>
            <w:rPr>
              <w:rFonts w:cstheme="minorBidi"/>
              <w:noProof/>
              <w:lang w:val="en-US"/>
            </w:rPr>
          </w:pPr>
          <w:hyperlink w:anchor="_Toc55319768" w:history="1">
            <w:r>
              <w:rPr>
                <w:rStyle w:val="Hyperlink"/>
                <w:noProof/>
              </w:rPr>
              <w:t>8.2</w:t>
            </w:r>
            <w:r>
              <w:rPr>
                <w:rFonts w:cstheme="minorBidi"/>
                <w:noProof/>
                <w:lang w:val="en-US"/>
              </w:rPr>
              <w:tab/>
            </w:r>
            <w:r>
              <w:rPr>
                <w:rStyle w:val="Hyperlink"/>
                <w:noProof/>
              </w:rPr>
              <w:t>Уреждане на спорове с Украйна</w:t>
            </w:r>
            <w:r>
              <w:rPr>
                <w:noProof/>
                <w:webHidden/>
              </w:rPr>
              <w:tab/>
            </w:r>
            <w:r>
              <w:rPr>
                <w:noProof/>
                <w:webHidden/>
              </w:rPr>
              <w:fldChar w:fldCharType="begin"/>
            </w:r>
            <w:r>
              <w:rPr>
                <w:noProof/>
                <w:webHidden/>
              </w:rPr>
              <w:instrText xml:space="preserve"> PAGEREF _Toc55319768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880"/>
              <w:tab w:val="right" w:leader="dot" w:pos="9350"/>
            </w:tabs>
            <w:rPr>
              <w:rFonts w:cstheme="minorBidi"/>
              <w:noProof/>
              <w:lang w:val="en-US"/>
            </w:rPr>
          </w:pPr>
          <w:hyperlink w:anchor="_Toc55319769" w:history="1">
            <w:r>
              <w:rPr>
                <w:rStyle w:val="Hyperlink"/>
                <w:noProof/>
              </w:rPr>
              <w:t>8.3</w:t>
            </w:r>
            <w:r>
              <w:rPr>
                <w:rFonts w:cstheme="minorBidi"/>
                <w:noProof/>
                <w:lang w:val="en-US"/>
              </w:rPr>
              <w:tab/>
            </w:r>
            <w:r>
              <w:rPr>
                <w:rStyle w:val="Hyperlink"/>
                <w:noProof/>
              </w:rPr>
              <w:t>Уреждане на спорове с Южноафриканския митнически съюз (ЮАМС)</w:t>
            </w:r>
            <w:r>
              <w:rPr>
                <w:noProof/>
                <w:webHidden/>
              </w:rPr>
              <w:tab/>
            </w:r>
            <w:r>
              <w:rPr>
                <w:noProof/>
                <w:webHidden/>
              </w:rPr>
              <w:fldChar w:fldCharType="begin"/>
            </w:r>
            <w:r>
              <w:rPr>
                <w:noProof/>
                <w:webHidden/>
              </w:rPr>
              <w:instrText xml:space="preserve"> PAGEREF _Toc55319769 \h </w:instrText>
            </w:r>
            <w:r>
              <w:rPr>
                <w:noProof/>
                <w:webHidden/>
              </w:rPr>
            </w:r>
            <w:r>
              <w:rPr>
                <w:noProof/>
                <w:webHidden/>
              </w:rPr>
              <w:fldChar w:fldCharType="separate"/>
            </w:r>
            <w:r>
              <w:rPr>
                <w:noProof/>
                <w:webHidden/>
              </w:rPr>
              <w:t>59</w:t>
            </w:r>
            <w:r>
              <w:rPr>
                <w:noProof/>
                <w:webHidden/>
              </w:rPr>
              <w:fldChar w:fldCharType="end"/>
            </w:r>
          </w:hyperlink>
        </w:p>
        <w:p>
          <w:pPr>
            <w:pStyle w:val="TOC1"/>
            <w:tabs>
              <w:tab w:val="right" w:leader="dot" w:pos="9350"/>
            </w:tabs>
            <w:rPr>
              <w:rFonts w:cstheme="minorBidi"/>
              <w:noProof/>
              <w:lang w:val="en-US"/>
            </w:rPr>
          </w:pPr>
          <w:hyperlink w:anchor="_Toc55319770" w:history="1">
            <w:r>
              <w:rPr>
                <w:rStyle w:val="Hyperlink"/>
                <w:noProof/>
              </w:rPr>
              <w:t>9.  ЗАКЛЮЧЕНИЯ</w:t>
            </w:r>
            <w:r>
              <w:rPr>
                <w:noProof/>
                <w:webHidden/>
              </w:rPr>
              <w:tab/>
            </w:r>
            <w:r>
              <w:rPr>
                <w:noProof/>
                <w:webHidden/>
              </w:rPr>
              <w:fldChar w:fldCharType="begin"/>
            </w:r>
            <w:r>
              <w:rPr>
                <w:noProof/>
                <w:webHidden/>
              </w:rPr>
              <w:instrText xml:space="preserve"> PAGEREF _Toc55319770 \h </w:instrText>
            </w:r>
            <w:r>
              <w:rPr>
                <w:noProof/>
                <w:webHidden/>
              </w:rPr>
            </w:r>
            <w:r>
              <w:rPr>
                <w:noProof/>
                <w:webHidden/>
              </w:rPr>
              <w:fldChar w:fldCharType="separate"/>
            </w:r>
            <w:r>
              <w:rPr>
                <w:noProof/>
                <w:webHidden/>
              </w:rPr>
              <w:t>59</w:t>
            </w:r>
            <w:r>
              <w:rPr>
                <w:noProof/>
                <w:webHidden/>
              </w:rPr>
              <w:fldChar w:fldCharType="end"/>
            </w:r>
          </w:hyperlink>
        </w:p>
        <w:p>
          <w:pPr>
            <w:rPr>
              <w:rFonts w:ascii="Times New Roman" w:hAnsi="Times New Roman" w:cs="Times New Roman"/>
              <w:b/>
              <w:noProof/>
            </w:rPr>
          </w:pPr>
          <w:r>
            <w:rPr>
              <w:rFonts w:ascii="Times New Roman" w:hAnsi="Times New Roman" w:cs="Times New Roman"/>
              <w:b/>
              <w:bCs/>
              <w:noProof/>
            </w:rPr>
            <w:fldChar w:fldCharType="end"/>
          </w:r>
        </w:p>
      </w:sdtContent>
    </w:sdt>
    <w:p>
      <w:pPr>
        <w:jc w:val="center"/>
        <w:rPr>
          <w:rFonts w:ascii="Times New Roman" w:hAnsi="Times New Roman" w:cs="Times New Roman"/>
          <w:b/>
          <w:noProof/>
          <w:sz w:val="24"/>
          <w:szCs w:val="24"/>
        </w:rPr>
      </w:pPr>
      <w:r>
        <w:rPr>
          <w:rFonts w:ascii="Times New Roman" w:hAnsi="Times New Roman"/>
          <w:b/>
          <w:noProof/>
          <w:sz w:val="24"/>
          <w:szCs w:val="24"/>
        </w:rPr>
        <w:t>ТЪРГОВСКИ СПОРАЗУМЕНИЯ, ОБХВАНАТИ ОТ НАСТОЯЩИЯ ДОКЛАД</w:t>
      </w:r>
      <w:bookmarkEnd w:id="0"/>
    </w:p>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szCs w:val="24"/>
        </w:rPr>
        <w:t>(Споразумение/дата на прилагане)</w:t>
      </w:r>
      <w:r>
        <w:rPr>
          <w:rStyle w:val="FootnoteReference"/>
          <w:rFonts w:ascii="Times New Roman" w:eastAsia="Calibri" w:hAnsi="Times New Roman" w:cs="Times New Roman"/>
          <w:noProof/>
          <w:sz w:val="24"/>
          <w:szCs w:val="24"/>
          <w:lang w:val="en-GB"/>
        </w:rPr>
        <w:footnoteReference w:id="2"/>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b/>
                <w:noProof/>
                <w:sz w:val="24"/>
                <w:szCs w:val="24"/>
              </w:rPr>
              <w:t>АЗИЯ</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Споразумение за икономическо партньорство между EС и Япония</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 февруари 2019 г.</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Споразумение за свободна търговия между ЕС и Южна Корея</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 юли 2011 г.</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b/>
                <w:noProof/>
                <w:sz w:val="24"/>
                <w:szCs w:val="24"/>
              </w:rPr>
              <w:t>СЕВЕРНА И ЮЖНА АМЕРИКА</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hAnsi="Times New Roman"/>
                <w:noProof/>
                <w:sz w:val="24"/>
                <w:szCs w:val="24"/>
              </w:rPr>
              <w:t xml:space="preserve">Всеобхватно икономическо и търговско споразумение между ЕС и Канада </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b/>
                <w:noProof/>
                <w:sz w:val="24"/>
                <w:szCs w:val="24"/>
              </w:rPr>
            </w:pPr>
            <w:r>
              <w:rPr>
                <w:rFonts w:ascii="Times New Roman" w:hAnsi="Times New Roman"/>
                <w:noProof/>
                <w:sz w:val="24"/>
                <w:szCs w:val="24"/>
              </w:rPr>
              <w:t>21 септември 2017 г.</w:t>
            </w:r>
          </w:p>
          <w:p>
            <w:pPr>
              <w:rPr>
                <w:rFonts w:ascii="Times New Roman" w:hAnsi="Times New Roman" w:cs="Times New Roman"/>
                <w:b/>
                <w:noProof/>
                <w:sz w:val="24"/>
                <w:szCs w:val="24"/>
                <w:u w:val="single"/>
              </w:rPr>
            </w:pP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Споразумение за търговия между ЕС и Колумбия, Перу и Еквадор</w:t>
            </w:r>
          </w:p>
        </w:tc>
        <w:tc>
          <w:tcPr>
            <w:tcW w:w="4337" w:type="dxa"/>
          </w:tcPr>
          <w:p>
            <w:pPr>
              <w:contextualSpacing/>
              <w:rPr>
                <w:rFonts w:ascii="Times New Roman" w:hAnsi="Times New Roman" w:cs="Times New Roman"/>
                <w:b/>
                <w:noProof/>
                <w:sz w:val="24"/>
                <w:szCs w:val="24"/>
                <w:u w:val="single"/>
              </w:rPr>
            </w:pPr>
            <w:r>
              <w:rPr>
                <w:rFonts w:ascii="Times New Roman" w:hAnsi="Times New Roman"/>
                <w:noProof/>
                <w:sz w:val="24"/>
                <w:szCs w:val="24"/>
              </w:rPr>
              <w:t>1 март 2013 г. за Перу; 1 август 2013 г. за Колумбия; 1 януари 2017 г. за Еквадор.</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 xml:space="preserve">Споразумение за асоцииране между ЕС и Централна Америка </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 август 2013 г.: стълбът относно търговията се прилага за Хондурас, Никарагуа и Панама; 1 октомври 2013 г.: за Коста Рика и Ел Салвадор; 1 декември 2013 г.: за Гватемала.</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Споразумение за асоцииране между ЕС и Чили</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февруари 2003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Глобално споразумение между ЕС и Мексико</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За стоки се прилага от 1 юли 2000 г.; за услуги се прилага от 1 март 2001 г.</w:t>
            </w:r>
          </w:p>
        </w:tc>
      </w:tr>
      <w:tr>
        <w:tc>
          <w:tcPr>
            <w:tcW w:w="8692" w:type="dxa"/>
            <w:gridSpan w:val="2"/>
            <w:hideMark/>
          </w:tcPr>
          <w:p>
            <w:pPr>
              <w:jc w:val="center"/>
              <w:rPr>
                <w:rFonts w:ascii="Times New Roman" w:hAnsi="Times New Roman" w:cs="Times New Roman"/>
                <w:b/>
                <w:noProof/>
                <w:sz w:val="24"/>
                <w:szCs w:val="24"/>
              </w:rPr>
            </w:pPr>
            <w:r>
              <w:rPr>
                <w:rFonts w:ascii="Times New Roman" w:hAnsi="Times New Roman"/>
                <w:b/>
                <w:noProof/>
                <w:sz w:val="24"/>
                <w:szCs w:val="24"/>
              </w:rPr>
              <w:t>СЪСЕДНИ НА ЕС ДЪРЖАВИ</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Държави от Средиземноморието и Близкия изток — Зони за свободна търговия</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Алжир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септември 2005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Египет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21 декември 2003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Ливан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март 2003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Йордания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май 2002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Мароко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18 март 2000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Тунис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март 1998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ЕС — Палестина</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xml:space="preserve">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юли 1997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Израел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януари 1996 г.</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Източни държави — Задълбочени и всеобхватни зони за свободна търговия</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hAnsi="Times New Roman"/>
                <w:noProof/>
                <w:sz w:val="24"/>
                <w:szCs w:val="24"/>
              </w:rPr>
              <w:t xml:space="preserve">ЕС — Украйна </w:t>
            </w:r>
          </w:p>
        </w:tc>
        <w:tc>
          <w:tcPr>
            <w:tcW w:w="4337"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noProof/>
                <w:sz w:val="24"/>
                <w:szCs w:val="24"/>
                <w:u w:val="single"/>
              </w:rPr>
            </w:pPr>
            <w:r>
              <w:rPr>
                <w:rFonts w:ascii="Times New Roman" w:hAnsi="Times New Roman"/>
                <w:noProof/>
                <w:sz w:val="24"/>
                <w:szCs w:val="24"/>
              </w:rPr>
              <w:t>1 януари 2016 г. и влезе в сила на 1 септември 2017 г.</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 xml:space="preserve">ЕС — Грузия </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 септември 2014 г. и влезе в сила на 1 юли 2016 г.</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ЕС — Молдова</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 септември 2014 г. и влезе в сила на 1 юли 2016 г.</w:t>
            </w:r>
          </w:p>
        </w:tc>
      </w:tr>
    </w:tbl>
    <w:p>
      <w:pPr>
        <w:rPr>
          <w:rFonts w:ascii="Times New Roman" w:hAnsi="Times New Roman" w:cs="Times New Roman"/>
          <w:noProof/>
          <w:sz w:val="24"/>
          <w:szCs w:val="24"/>
        </w:rPr>
      </w:pPr>
      <w:r>
        <w:rPr>
          <w:noProof/>
        </w:rPr>
        <w:br w:type="page"/>
      </w:r>
    </w:p>
    <w:p>
      <w:pPr>
        <w:jc w:val="center"/>
        <w:rPr>
          <w:rFonts w:ascii="Times New Roman" w:hAnsi="Times New Roman" w:cs="Times New Roman"/>
          <w:b/>
          <w:noProof/>
          <w:sz w:val="24"/>
          <w:szCs w:val="24"/>
        </w:rPr>
      </w:pPr>
      <w:r>
        <w:rPr>
          <w:rFonts w:ascii="Times New Roman" w:hAnsi="Times New Roman"/>
          <w:b/>
          <w:noProof/>
          <w:sz w:val="24"/>
          <w:szCs w:val="24"/>
        </w:rPr>
        <w:t>ТЪРГОВСКИ СПОРАЗУМЕНИЯ, ОБХВАНАТИ ОТ НАСТОЯЩИЯ ДОКЛАД</w:t>
      </w:r>
    </w:p>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szCs w:val="24"/>
        </w:rPr>
        <w:t>(Споразумение/дата на прилагане)</w:t>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Западни Балкани — Споразумения за стабилизиране и асоцииране</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ЕС — Косово*</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xml:space="preserve">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април 2016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Сърбия </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Временно споразумение относно търговията за Сърбия: 1 февруари 2009 г.; за ЕС: 8 декември 2009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Босна и Херцеговина </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Временно споразумение относно търговията: 1 юли 2008 г. </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ЕС — Черна гора</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Временно споразумение относно търговията: 1 януари 2008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Албания </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Временно споразумение относно търговията: 1 декември 2006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ЕС — Северна Македония</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Временно споразумение относно търговията: 1 юни 2001 г.</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hAnsi="Times New Roman"/>
                <w:b/>
                <w:noProof/>
                <w:sz w:val="24"/>
                <w:szCs w:val="24"/>
              </w:rPr>
              <w:t>Швейцария, Норвегия, Турция</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Споразумение за свободна търговия между ЕС и Швейцария</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1972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Споразумение за свободна търговия между ЕС и Норвегия</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 юли 1973 г.</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Митнически съюз между ЕС и Турция </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Споразумение за асоцииране, подписано през 1963 г.; крайната фаза на митническия съюз е завършена на 1 януари 1996 г.</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hAnsi="Times New Roman"/>
                <w:b/>
                <w:noProof/>
                <w:sz w:val="24"/>
                <w:szCs w:val="24"/>
              </w:rPr>
              <w:t xml:space="preserve">АФРИКА, КАРИБИТЕ И ТИХООКЕАНСКИЯ БАСЕЙН — Споразумения за икономическо партньорство </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ЕС — Гана (временно споразумение)</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15 декември 2016 г.</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 xml:space="preserve">ЕС — Южноафриканска общност за развитие (ЮАОР) </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10 октомври 2016 г. за Ботсуана, Есватини, Лесото, Намибия и Южна Африка; 4 февруари 2018 г. за Мозамбик.</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ЕС — Кот д'Ивоар (временно споразумение)</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3 септември 2016 г.</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ЕС — Централна Африка (Камерун)</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4 август 2014 г. за Камерун</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ЕС — държавите от Източна и Южна Африка (временно споразумение)</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14 май 2012 г. за Мадагаскар, Мавриций, Сейшелските острови и Зимбабве</w:t>
            </w:r>
            <w:r>
              <w:rPr>
                <w:rFonts w:ascii="Times New Roman" w:eastAsia="Calibri" w:hAnsi="Times New Roman" w:cs="Times New Roman"/>
                <w:noProof/>
                <w:sz w:val="24"/>
                <w:szCs w:val="24"/>
                <w:vertAlign w:val="superscript"/>
              </w:rPr>
              <w:footnoteReference w:id="5"/>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ЕС — държавите от Тихоокеанския басейн (временно споразумение)</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20 декември 2009 г. за Папуа-Нова Гвинея; 28 юли 2014 г. за Фиджи.</w:t>
            </w:r>
            <w:r>
              <w:rPr>
                <w:rFonts w:ascii="Times New Roman" w:eastAsia="Calibri" w:hAnsi="Times New Roman" w:cs="Times New Roman"/>
                <w:noProof/>
                <w:sz w:val="24"/>
                <w:szCs w:val="24"/>
                <w:vertAlign w:val="superscript"/>
              </w:rPr>
              <w:footnoteReference w:id="6"/>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ЕС — КАРИФОРУМ</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29 декември 2008 г. за Антигуа и Барбуда, Белиз, Бахамски острови, Барбадос, Доминика, Доминиканска република, Гренада, Гвиана, Ямайка, Сейнт Китс и Невис, Сейнт Лусия, Сейнт Винсент и Гренадини, Суринам и Тринидад и Тобаго.</w:t>
            </w:r>
          </w:p>
        </w:tc>
      </w:tr>
    </w:tbl>
    <w:p>
      <w:pPr>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pStyle w:val="Heading1"/>
        <w:rPr>
          <w:noProof/>
        </w:rPr>
      </w:pPr>
      <w:bookmarkStart w:id="3" w:name="_Toc55319741"/>
      <w:r>
        <w:rPr>
          <w:noProof/>
        </w:rPr>
        <w:t>1. ВЪВЕДЕНИЕ</w:t>
      </w:r>
      <w:bookmarkEnd w:id="3"/>
    </w:p>
    <w:p>
      <w:pPr>
        <w:rPr>
          <w:rFonts w:ascii="Times New Roman" w:hAnsi="Times New Roman" w:cs="Times New Roman"/>
          <w:noProof/>
          <w:sz w:val="24"/>
          <w:szCs w:val="24"/>
        </w:rPr>
      </w:pPr>
      <w:r>
        <w:rPr>
          <w:rFonts w:ascii="Times New Roman" w:hAnsi="Times New Roman"/>
          <w:noProof/>
          <w:sz w:val="24"/>
          <w:szCs w:val="24"/>
        </w:rPr>
        <w:t>През 2019 г. европейската търговска политика постигна добър напредък. ЕС отбеляза напредък при дневния си ред в двустранната търговия, като ратифицира търговските си споразумения със Сингапур и Виетнам, които влязоха в сила съответно през ноември 2019 г. и август 2020 г. През 2019 г. ЕС приложи 44 търговски споразумения със 76 партньора</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търговията с тези партньори възлиза на 1 345 млрд. евро, което представлява 33 % от външната търговия на ЕС (34 % от общия износ и 33 % от общия внос). </w:t>
      </w:r>
    </w:p>
    <w:p>
      <w:pPr>
        <w:rPr>
          <w:rFonts w:ascii="Times New Roman" w:hAnsi="Times New Roman" w:cs="Times New Roman"/>
          <w:noProof/>
          <w:sz w:val="24"/>
          <w:szCs w:val="24"/>
        </w:rPr>
      </w:pPr>
      <w:r>
        <w:rPr>
          <w:rFonts w:ascii="Times New Roman" w:hAnsi="Times New Roman"/>
          <w:noProof/>
          <w:sz w:val="24"/>
          <w:szCs w:val="24"/>
        </w:rPr>
        <w:t>В същото време за</w:t>
      </w:r>
      <w:r>
        <w:rPr>
          <w:rFonts w:ascii="Times New Roman" w:hAnsi="Times New Roman"/>
          <w:noProof/>
          <w:color w:val="FF0000"/>
          <w:sz w:val="24"/>
          <w:szCs w:val="24"/>
        </w:rPr>
        <w:t xml:space="preserve"> </w:t>
      </w:r>
      <w:r>
        <w:rPr>
          <w:rFonts w:ascii="Times New Roman" w:hAnsi="Times New Roman"/>
          <w:noProof/>
          <w:sz w:val="24"/>
          <w:szCs w:val="24"/>
        </w:rPr>
        <w:t xml:space="preserve">2020 г. може да се очаква, че </w:t>
      </w:r>
      <w:r>
        <w:rPr>
          <w:rFonts w:ascii="Times New Roman" w:hAnsi="Times New Roman"/>
          <w:b/>
          <w:noProof/>
          <w:sz w:val="24"/>
          <w:szCs w:val="24"/>
        </w:rPr>
        <w:t>причинената от коронавируса пандемията</w:t>
      </w:r>
      <w:r>
        <w:rPr>
          <w:rFonts w:ascii="Times New Roman" w:hAnsi="Times New Roman"/>
          <w:noProof/>
          <w:sz w:val="24"/>
          <w:szCs w:val="24"/>
        </w:rPr>
        <w:t xml:space="preserve"> ще има сериозен забавящ ефект върху търговията между ЕС и неговите търговски партньори, включително преференциалните. По оценки на Европейската комисия износът на ЕС за трети държави може да спадне с между 9 % и 15 %, а вносът — с между 11 % и 14 % (стоки и услуги, взети заедно). Голямата мрежа от търговски споразумения на ЕС може да допринесе за противодействие и смекчаване на тези отрицателни въздействия, за изграждане на устойчивост и диверсифициране на веригите за доставки. Европейската комисия засилва усилията си за по-нататъшно подобряване на изпълнението и прилагането на тези споразумения, като гарантира, че всички дружества, и по-специално по-малките, могат да се възползват. Първият </w:t>
      </w:r>
      <w:r>
        <w:rPr>
          <w:rFonts w:ascii="Times New Roman" w:hAnsi="Times New Roman"/>
          <w:b/>
          <w:noProof/>
          <w:sz w:val="24"/>
          <w:szCs w:val="24"/>
        </w:rPr>
        <w:t>главен служител по правоприлагането в областта на търговията</w:t>
      </w:r>
      <w:r>
        <w:rPr>
          <w:rFonts w:ascii="Times New Roman" w:hAnsi="Times New Roman"/>
          <w:noProof/>
          <w:sz w:val="24"/>
          <w:szCs w:val="24"/>
        </w:rPr>
        <w:t>, номиниран от Колегиума на 24 юли</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 ще осигури насоки за тези усилия, в тясно сътрудничество с всички заинтересовани страни, както и с държавите членки и институциите на ЕС.</w:t>
      </w:r>
    </w:p>
    <w:p>
      <w:pPr>
        <w:rPr>
          <w:rFonts w:ascii="Times New Roman" w:hAnsi="Times New Roman" w:cs="Times New Roman"/>
          <w:noProof/>
          <w:sz w:val="24"/>
          <w:szCs w:val="24"/>
        </w:rPr>
      </w:pPr>
      <w:r>
        <w:rPr>
          <w:rFonts w:ascii="Times New Roman" w:hAnsi="Times New Roman"/>
          <w:noProof/>
          <w:sz w:val="24"/>
          <w:szCs w:val="24"/>
        </w:rPr>
        <w:t>Настоящият доклад предоставя актуализация на 36 от основните търговски споразумения на ЕС с 65 търговски партньора</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rPr>
        <w:t xml:space="preserve">. Споразуменията обхващат 91 % от търговията на ЕС с преференциални партньори и съставляват 30,4 % от общата външна търговия на ЕС. </w:t>
      </w:r>
    </w:p>
    <w:p>
      <w:pPr>
        <w:rPr>
          <w:rFonts w:ascii="Times New Roman" w:hAnsi="Times New Roman" w:cs="Times New Roman"/>
          <w:noProof/>
          <w:sz w:val="24"/>
          <w:szCs w:val="24"/>
        </w:rPr>
      </w:pPr>
    </w:p>
    <w:p>
      <w:pPr>
        <w:rPr>
          <w:rFonts w:ascii="Times New Roman" w:hAnsi="Times New Roman" w:cs="Times New Roman"/>
          <w:noProof/>
          <w:sz w:val="24"/>
          <w:szCs w:val="24"/>
        </w:rPr>
      </w:pPr>
      <w:r>
        <w:rPr>
          <w:noProof/>
          <w:lang w:val="en-GB" w:eastAsia="en-GB"/>
        </w:rPr>
        <w:drawing>
          <wp:inline distT="0" distB="0" distL="0" distR="0">
            <wp:extent cx="5943600" cy="275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750884"/>
                    </a:xfrm>
                    <a:prstGeom prst="rect">
                      <a:avLst/>
                    </a:prstGeom>
                    <a:noFill/>
                    <a:ln>
                      <a:noFill/>
                    </a:ln>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 xml:space="preserve">Докладът подчертава изпълнението на споразуменията на ЕС в Азия, Северна и Южна Америка, съседните на ЕС държави (източните и южните съседни държави и Западните Балкани) и държавите от Африка, Карибите и Тихоокеанския басейн. В допълнение към разделите за търговията и устойчивото развитие, търговията с продукти на хранително-вкусовата промишленост и малките и средните предприятия, тазгодишният доклад включва отделен раздел за услугите, инвестициите, обществените поръчки и правата върху интелектуалната собственост. Придружаващият </w:t>
      </w:r>
      <w:r>
        <w:rPr>
          <w:rFonts w:ascii="Times New Roman" w:hAnsi="Times New Roman"/>
          <w:b/>
          <w:noProof/>
          <w:sz w:val="24"/>
          <w:szCs w:val="24"/>
        </w:rPr>
        <w:t>работен документ на службите на Комисията</w:t>
      </w:r>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rPr>
        <w:t xml:space="preserve"> се състои от 36 информационни листа за държавите</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В него се разглежда колко ефективно се изпълняват споразуменията, предоставени са статистически данни и се съдържа актуална информация относно изпълнението на плана за действие от 15 точки на Европейската комисия относно търговията и устойчивото развитие</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Статистика за търговията със стоки</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Общи статистически данни</w:t>
      </w:r>
      <w:r>
        <w:rPr>
          <w:rFonts w:ascii="Times New Roman" w:hAnsi="Times New Roman"/>
          <w:noProof/>
          <w:sz w:val="24"/>
          <w:szCs w:val="24"/>
        </w:rPr>
        <w:t xml:space="preserve"> за търговията със стоки и услуги и за преките чуждестранни инвестиции за всяка държава партньор могат да бъдат намерени в работния документ на службите на Комисията. Статистиката</w:t>
      </w:r>
      <w:r>
        <w:rPr>
          <w:rFonts w:ascii="Times New Roman" w:hAnsi="Times New Roman"/>
          <w:noProof/>
          <w:sz w:val="24"/>
          <w:szCs w:val="24"/>
          <w:vertAlign w:val="superscript"/>
        </w:rPr>
        <w:t xml:space="preserve"> </w:t>
      </w:r>
      <w:r>
        <w:rPr>
          <w:rFonts w:ascii="Times New Roman" w:hAnsi="Times New Roman"/>
          <w:noProof/>
          <w:sz w:val="24"/>
          <w:szCs w:val="24"/>
        </w:rPr>
        <w:t>относно развитието на търговските и инвестиционните потоци се основава на данни на Евростат за ЕС-27 от</w:t>
      </w:r>
      <w:r>
        <w:rPr>
          <w:rFonts w:ascii="Times New Roman" w:hAnsi="Times New Roman"/>
          <w:bCs/>
          <w:noProof/>
          <w:sz w:val="24"/>
          <w:szCs w:val="24"/>
        </w:rPr>
        <w:t xml:space="preserve"> март 2020 г., </w:t>
      </w:r>
      <w:r>
        <w:rPr>
          <w:rFonts w:ascii="Times New Roman" w:hAnsi="Times New Roman"/>
          <w:noProof/>
          <w:sz w:val="24"/>
          <w:szCs w:val="24"/>
        </w:rPr>
        <w:t xml:space="preserve">освен ако е посочено друго. Последните годишни данни за търговията със стоки са за 2019 г., освен ако е посочено друго.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В деня на приемането на настоящия доклад Европейската комисия/ГД „Търговия“ ще публикува на своя уебсайт статистика относно </w:t>
      </w:r>
      <w:r>
        <w:rPr>
          <w:rFonts w:ascii="Times New Roman" w:hAnsi="Times New Roman"/>
          <w:b/>
          <w:noProof/>
          <w:sz w:val="24"/>
          <w:szCs w:val="24"/>
        </w:rPr>
        <w:t>използването на преференции</w:t>
      </w:r>
      <w:r>
        <w:rPr>
          <w:rFonts w:ascii="Times New Roman" w:hAnsi="Times New Roman"/>
          <w:noProof/>
          <w:sz w:val="24"/>
          <w:szCs w:val="24"/>
        </w:rPr>
        <w:t xml:space="preserve"> за износа и вноса на ЕС за всеки търговски партньор на ЕС и всяка държава членка, заедно с обяснение на източниците и методологията.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u w:val="single"/>
        </w:rPr>
        <w:t>Важна забележка:</w:t>
      </w:r>
      <w:r>
        <w:rPr>
          <w:rFonts w:ascii="Times New Roman" w:hAnsi="Times New Roman"/>
          <w:noProof/>
          <w:sz w:val="24"/>
          <w:szCs w:val="24"/>
        </w:rPr>
        <w:t xml:space="preserve"> данните за използването на преференции за вноса и износа на ЕС се основават на различни набори от данни от различни източници. Степените на използване на преференции за вноса използват данни на Евростат и са хармонизирани. Степените на използване на преференции за износа на ЕС използват данни, предоставени от митническите органи на търговските партньори на ЕС, които прилагат различни методи и практики: поради това данните не са хармонизирани и не са съпоставими.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Статистика за търговията с услуги</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Основните източници на данни за търговията с услуги са </w:t>
      </w:r>
      <w:r>
        <w:rPr>
          <w:rFonts w:ascii="Times New Roman" w:hAnsi="Times New Roman"/>
          <w:b/>
          <w:noProof/>
          <w:sz w:val="24"/>
          <w:szCs w:val="24"/>
        </w:rPr>
        <w:t>статистиката за платежния баланс</w:t>
      </w:r>
      <w:r>
        <w:rPr>
          <w:rFonts w:ascii="Times New Roman" w:hAnsi="Times New Roman"/>
          <w:noProof/>
          <w:sz w:val="24"/>
          <w:szCs w:val="24"/>
        </w:rPr>
        <w:t xml:space="preserve"> (ПБ) и </w:t>
      </w:r>
      <w:r>
        <w:rPr>
          <w:rFonts w:ascii="Times New Roman" w:hAnsi="Times New Roman"/>
          <w:b/>
          <w:noProof/>
          <w:sz w:val="24"/>
          <w:szCs w:val="24"/>
        </w:rPr>
        <w:t>базата данни на Евростат относно дейностите на мултинационалните дружества</w:t>
      </w:r>
      <w:r>
        <w:rPr>
          <w:rFonts w:ascii="Times New Roman" w:hAnsi="Times New Roman"/>
          <w:noProof/>
          <w:sz w:val="24"/>
          <w:szCs w:val="24"/>
        </w:rPr>
        <w:t xml:space="preserve"> (статистика относно предприятията с чуждестранен контрол). Първата обхваща начин на предлагане 1 (трансграничен), 2 (потребление в чужбина) и 4 (предлагане от физически лица в другата държава), а втората обхваща начин 3 (установяване). Най-скорошните годишни данни за търговията с услуги са за 2018 г., освен ако е посочено друго.</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u w:val="single"/>
        </w:rPr>
        <w:t>Важна забележка:</w:t>
      </w:r>
      <w:r>
        <w:rPr>
          <w:rFonts w:ascii="Times New Roman" w:hAnsi="Times New Roman"/>
          <w:noProof/>
          <w:sz w:val="24"/>
          <w:szCs w:val="24"/>
        </w:rPr>
        <w:t xml:space="preserve"> данните от платежния баланс имат ограничена разбивка на търговските потоци по сектори и не е предоставена разбивка на потоците на търговията с услуги по начини на предлагане. Данните от статистиката относно предприятията с чуждестранен контрол са представени с подробна разбивка, но за да се получи действителната стойност на търговията с услуги (или стоки) с начин на предлагане 3, данните трябва да бъдат коригирани за реекспорта (например, статистиката относно предприятията с чуждестранен контрол представя оборота на многонационалните дружества от ЕС в САЩ — за да се получи стойността на местните продажби, износа с начин на предлагане 3, данните трябва да изключват износа на дружествата от ЕС, намиращи се в САЩ.).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Статистика за преките чуждестранни инвестиции (ПЧИ)</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noProof/>
          <w:sz w:val="24"/>
          <w:szCs w:val="24"/>
        </w:rPr>
        <w:t xml:space="preserve">За данните за потоците и наличностите на ПЧИ, основните източници са </w:t>
      </w:r>
      <w:r>
        <w:rPr>
          <w:rFonts w:ascii="Times New Roman" w:hAnsi="Times New Roman"/>
          <w:b/>
          <w:noProof/>
          <w:sz w:val="24"/>
          <w:szCs w:val="24"/>
        </w:rPr>
        <w:t>Евростат и Конференцията на ООН за търговия и развитие</w:t>
      </w:r>
      <w:r>
        <w:rPr>
          <w:rFonts w:ascii="Times New Roman" w:hAnsi="Times New Roman"/>
          <w:noProof/>
          <w:sz w:val="24"/>
          <w:szCs w:val="24"/>
        </w:rPr>
        <w:t xml:space="preserve">.  Най-скорошните годишни данни за търговията с услуги са за 2018 г., освен ако е посочено друго. </w:t>
      </w:r>
    </w:p>
    <w:p>
      <w:pPr>
        <w:rPr>
          <w:rFonts w:ascii="Times New Roman" w:hAnsi="Times New Roman" w:cs="Times New Roman"/>
          <w:b/>
          <w:noProof/>
          <w:sz w:val="24"/>
          <w:szCs w:val="24"/>
          <w:lang w:val="en-GB"/>
        </w:rPr>
      </w:pPr>
    </w:p>
    <w:p>
      <w:pPr>
        <w:pStyle w:val="Heading1"/>
        <w:rPr>
          <w:noProof/>
        </w:rPr>
      </w:pPr>
      <w:bookmarkStart w:id="4" w:name="_Toc55319742"/>
      <w:r>
        <w:rPr>
          <w:noProof/>
        </w:rPr>
        <w:t>2. ПРЕГЛЕД НА ОСНОВНИТЕ КОНСТАТАЦИИ: ТЪРГОВСКИ ПОТОЦИ</w:t>
      </w:r>
      <w:bookmarkEnd w:id="4"/>
    </w:p>
    <w:p>
      <w:pPr>
        <w:rPr>
          <w:rFonts w:ascii="Times New Roman" w:hAnsi="Times New Roman" w:cs="Times New Roman"/>
          <w:noProof/>
          <w:sz w:val="24"/>
          <w:szCs w:val="24"/>
        </w:rPr>
      </w:pPr>
      <w:r>
        <w:rPr>
          <w:rFonts w:ascii="Times New Roman" w:hAnsi="Times New Roman"/>
          <w:noProof/>
          <w:sz w:val="24"/>
          <w:szCs w:val="24"/>
        </w:rPr>
        <w:t xml:space="preserve">Настоящият раздел обхваща развитието на търговията между ЕС и 65 основни преференциални търговски партньора през 2019 г., представляващи 29 % от общия внос на ЕС и 32 % от общия износ на ЕС, довело до търговски излишък на ЕС от 113 млрд. евро — увеличение с 12 % в сравнение с предходната година. </w:t>
      </w:r>
    </w:p>
    <w:p>
      <w:pPr>
        <w:jc w:val="center"/>
        <w:rPr>
          <w:rFonts w:ascii="Times New Roman" w:hAnsi="Times New Roman" w:cs="Times New Roman"/>
          <w:noProof/>
          <w:sz w:val="24"/>
          <w:szCs w:val="24"/>
        </w:rPr>
      </w:pPr>
      <w:r>
        <w:rPr>
          <w:noProof/>
          <w:lang w:val="en-GB" w:eastAsia="en-GB"/>
        </w:rPr>
        <w:drawing>
          <wp:inline distT="0" distB="0" distL="0" distR="0">
            <wp:extent cx="5943600" cy="27984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98458"/>
                    </a:xfrm>
                    <a:prstGeom prst="rect">
                      <a:avLst/>
                    </a:prstGeom>
                    <a:noFill/>
                    <a:ln>
                      <a:noFill/>
                    </a:ln>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 xml:space="preserve">Швейцария остава най-големият преференциален партньор на ЕС, като на нея се падат 21 % от търговията, следвана от Турция с 11 %, Япония с 10 % и Норвегия с 8,5 %.  Заедно тези партньори представляват половината от преференциалната търговия на ЕС. </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lang w:val="en-GB" w:eastAsia="en-GB"/>
        </w:rPr>
        <w:drawing>
          <wp:inline distT="0" distB="0" distL="0" distR="0">
            <wp:extent cx="5943600" cy="2324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24935"/>
                    </a:xfrm>
                    <a:prstGeom prst="rect">
                      <a:avLst/>
                    </a:prstGeom>
                    <a:noFill/>
                    <a:ln>
                      <a:noFill/>
                    </a:ln>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 xml:space="preserve">През 2019 г. търговията със стоки на ЕС с 65-те партньора нарасна с 3,4 %. Това е повече от нарастването на търговията на ЕС с останалата част от света (т.е. всички търговски партньори на ЕС — +2,5 %) и на търговията на ЕС с непреференциалните му партньори (останалата част на света минус 65-те преференциални партньора — +2,1 %), взети поотделно.  Ръстът на преференциалния износ (+4,1 %) и преференциалния внос (+2,6 %) на стоки нарасна по-бързо от износа и вноса за и от останалата част на света, съответно 3,5 % и 1,4 %. </w:t>
      </w:r>
    </w:p>
    <w:p>
      <w:pPr>
        <w:jc w:val="center"/>
        <w:rPr>
          <w:rFonts w:ascii="Times New Roman" w:hAnsi="Times New Roman" w:cs="Times New Roman"/>
          <w:noProof/>
          <w:sz w:val="24"/>
          <w:szCs w:val="24"/>
        </w:rPr>
      </w:pPr>
      <w:r>
        <w:rPr>
          <w:noProof/>
          <w:lang w:val="en-GB" w:eastAsia="en-GB"/>
        </w:rPr>
        <w:drawing>
          <wp:inline distT="0" distB="0" distL="0" distR="0">
            <wp:extent cx="5943600" cy="2207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07955"/>
                    </a:xfrm>
                    <a:prstGeom prst="rect">
                      <a:avLst/>
                    </a:prstGeom>
                    <a:noFill/>
                    <a:ln>
                      <a:noFill/>
                    </a:ln>
                  </pic:spPr>
                </pic:pic>
              </a:graphicData>
            </a:graphic>
          </wp:inline>
        </w:drawing>
      </w:r>
    </w:p>
    <w:p>
      <w:pPr>
        <w:spacing w:after="0"/>
        <w:rPr>
          <w:rFonts w:ascii="Times New Roman" w:hAnsi="Times New Roman" w:cs="Times New Roman"/>
          <w:b/>
          <w:i/>
          <w:noProof/>
          <w:sz w:val="24"/>
          <w:szCs w:val="24"/>
          <w:lang w:val="en-GB"/>
        </w:rPr>
      </w:pPr>
    </w:p>
    <w:p>
      <w:pPr>
        <w:rPr>
          <w:rFonts w:ascii="Arial" w:eastAsia="Times New Roman" w:hAnsi="Arial" w:cs="Arial"/>
          <w:noProof/>
          <w:sz w:val="16"/>
          <w:szCs w:val="16"/>
        </w:rPr>
      </w:pPr>
      <w:r>
        <w:rPr>
          <w:rFonts w:ascii="Times New Roman" w:hAnsi="Times New Roman"/>
          <w:b/>
          <w:i/>
          <w:noProof/>
          <w:sz w:val="24"/>
          <w:szCs w:val="24"/>
        </w:rPr>
        <w:t xml:space="preserve">Тенденции при износа на стоки </w:t>
      </w:r>
    </w:p>
    <w:p>
      <w:pPr>
        <w:rPr>
          <w:rFonts w:ascii="Times New Roman" w:hAnsi="Times New Roman" w:cs="Times New Roman"/>
          <w:noProof/>
          <w:sz w:val="24"/>
          <w:szCs w:val="24"/>
        </w:rPr>
      </w:pPr>
      <w:r>
        <w:rPr>
          <w:rFonts w:ascii="Times New Roman" w:hAnsi="Times New Roman"/>
          <w:noProof/>
          <w:sz w:val="24"/>
          <w:szCs w:val="24"/>
        </w:rPr>
        <w:t xml:space="preserve">През 2019 г. 92 % от целия износ на ЕС за преференциални партньори са </w:t>
      </w:r>
      <w:r>
        <w:rPr>
          <w:rFonts w:ascii="Times New Roman" w:hAnsi="Times New Roman"/>
          <w:b/>
          <w:noProof/>
          <w:sz w:val="24"/>
          <w:szCs w:val="24"/>
        </w:rPr>
        <w:t>промишлени продукти</w:t>
      </w:r>
      <w:r>
        <w:rPr>
          <w:rFonts w:ascii="Times New Roman" w:hAnsi="Times New Roman"/>
          <w:noProof/>
          <w:sz w:val="24"/>
          <w:szCs w:val="24"/>
        </w:rPr>
        <w:t>. Машините, химикалите и транспортното оборудване запазиха високия си дял в износа на ЕС и отбелязаха ръст съответно от 1,5 %, 6,3 % и 5,7 %. Машините и апаратите остават единствената най-важна категория, съставляваща приблизително 25 % от износа по преференциални споразумения. Машините и апаратите и моторните превозни средства остават най-важни по отношение на стойността с около 30 % от общия износ на неселскостопански продукти за 65-те преференциални партньора. Електрическите машини и оборудване и фармацевтичните продукти възлизат поотделно на приблизително 9 %. Най-голямото годишно увеличение на износа е за самолети (+50 %), кожа (+43 %) и перли и скъпоценни камъни (+35 %).</w:t>
      </w:r>
    </w:p>
    <w:p>
      <w:pPr>
        <w:rPr>
          <w:rFonts w:ascii="Times New Roman" w:hAnsi="Times New Roman" w:cs="Times New Roman"/>
          <w:noProof/>
          <w:sz w:val="24"/>
          <w:szCs w:val="24"/>
        </w:rPr>
      </w:pPr>
      <w:r>
        <w:rPr>
          <w:rFonts w:ascii="Times New Roman" w:hAnsi="Times New Roman"/>
          <w:noProof/>
          <w:sz w:val="24"/>
          <w:szCs w:val="24"/>
        </w:rPr>
        <w:t xml:space="preserve">През 2019 г. износът на ЕС на </w:t>
      </w:r>
      <w:r>
        <w:rPr>
          <w:rFonts w:ascii="Times New Roman" w:hAnsi="Times New Roman"/>
          <w:b/>
          <w:noProof/>
          <w:sz w:val="24"/>
          <w:szCs w:val="24"/>
        </w:rPr>
        <w:t>продукти на хранително-вкусовата промишленост</w:t>
      </w:r>
      <w:r>
        <w:rPr>
          <w:rFonts w:ascii="Times New Roman" w:hAnsi="Times New Roman"/>
          <w:noProof/>
          <w:sz w:val="24"/>
          <w:szCs w:val="24"/>
        </w:rPr>
        <w:t xml:space="preserve"> се увеличи с 8,7 %.  Напитките са с най-висока стойност, като съставляват 15 % от преференциалния износ на продукти на хранително-вкусовата промишленост (+8,6 %). Зърнените култури, млечните продукти и месото възлизат поотделно на приблизително 8 % и нарастват съответно с 39 %, 13,2 % и 0,7 %.  </w:t>
      </w:r>
    </w:p>
    <w:p>
      <w:pPr>
        <w:spacing w:after="0"/>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В настоящия доклад не може да се разгледа </w:t>
      </w:r>
      <w:r>
        <w:rPr>
          <w:rFonts w:ascii="Times New Roman" w:hAnsi="Times New Roman"/>
          <w:b/>
          <w:noProof/>
          <w:sz w:val="24"/>
          <w:szCs w:val="24"/>
        </w:rPr>
        <w:t>използването на преференции за износ на ЕС</w:t>
      </w:r>
      <w:r>
        <w:rPr>
          <w:rFonts w:ascii="Times New Roman" w:hAnsi="Times New Roman"/>
          <w:noProof/>
          <w:sz w:val="24"/>
          <w:szCs w:val="24"/>
        </w:rPr>
        <w:t xml:space="preserve"> поради наличието на съответните данни на по-късен етап и поради броя на обхванатите споразумения. Европейската комисия използва проучвания за последваща оценка</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или проучвания за изпълнение, за да разгледа използването на преференции, и ще положи допълнителни усилия в това отношение. Европейската комисия събира данни за използването на преференции от държавите партньори.  Тя ще ги публикува на уебсайта си, за да повиши прозрачността и да насърчи бизнес асоциациите и държавите членки да извършват собствени проучвания. Европейската комисия продължава да работи с търговските партньори за получаване на надеждни данни за преференциалния износ, както и да води диалог с държавите членки, бизнес асоциациите и секторите, за да разбере по-добре причините, поради които тарифните преференции не се използват в максимална степен.</w:t>
      </w:r>
    </w:p>
    <w:p>
      <w:pPr>
        <w:spacing w:after="0"/>
        <w:rPr>
          <w:rFonts w:ascii="Times New Roman" w:hAnsi="Times New Roman" w:cs="Times New Roman"/>
          <w:b/>
          <w:i/>
          <w:noProof/>
          <w:sz w:val="24"/>
          <w:szCs w:val="24"/>
          <w:lang w:val="en-GB"/>
        </w:rPr>
      </w:pPr>
    </w:p>
    <w:p>
      <w:pPr>
        <w:spacing w:after="0"/>
        <w:rPr>
          <w:rFonts w:ascii="Times New Roman" w:hAnsi="Times New Roman" w:cs="Times New Roman"/>
          <w:b/>
          <w:i/>
          <w:noProof/>
          <w:sz w:val="24"/>
          <w:szCs w:val="24"/>
          <w:lang w:val="en-GB"/>
        </w:rPr>
      </w:pPr>
    </w:p>
    <w:p>
      <w:pPr>
        <w:rPr>
          <w:rFonts w:ascii="Times New Roman" w:hAnsi="Times New Roman" w:cs="Times New Roman"/>
          <w:b/>
          <w:i/>
          <w:noProof/>
          <w:sz w:val="24"/>
          <w:szCs w:val="24"/>
        </w:rPr>
      </w:pPr>
      <w:r>
        <w:rPr>
          <w:rFonts w:ascii="Times New Roman" w:hAnsi="Times New Roman"/>
          <w:b/>
          <w:i/>
          <w:noProof/>
          <w:sz w:val="24"/>
          <w:szCs w:val="24"/>
        </w:rPr>
        <w:t>Тенденции при вноса на стоки</w:t>
      </w:r>
    </w:p>
    <w:p>
      <w:pPr>
        <w:rPr>
          <w:rFonts w:ascii="Times New Roman" w:hAnsi="Times New Roman" w:cs="Times New Roman"/>
          <w:noProof/>
          <w:sz w:val="24"/>
          <w:szCs w:val="24"/>
        </w:rPr>
      </w:pPr>
      <w:r>
        <w:rPr>
          <w:rFonts w:ascii="Times New Roman" w:hAnsi="Times New Roman"/>
          <w:noProof/>
          <w:sz w:val="24"/>
          <w:szCs w:val="24"/>
        </w:rPr>
        <w:t>Дял от 91 % от целия внос от 65-те преференциални партньора имат промишлените продукти; вносът на тези продукти се увеличи с 2 % през 2019 г.  Първите три категории са машини и апарати (+3 %), химикали (+16 %) и минерални продукти (-7 %). Вносът на продукти на хранително-вкусовата промишленост нарасна с 8,3 %.  Вносът с най-голям дял е на плодове и ядки, годни за консумация (+3,9 %), продукти от какао (+6,5 %), кафе и чай (-0,2 %) и зърнени култури (+22,9 %)</w:t>
      </w:r>
      <w:r>
        <w:rPr>
          <w:rStyle w:val="FootnoteReference"/>
          <w:rFonts w:ascii="Times New Roman" w:hAnsi="Times New Roman" w:cs="Times New Roman"/>
          <w:noProof/>
          <w:sz w:val="24"/>
          <w:szCs w:val="24"/>
          <w:lang w:val="en-GB"/>
        </w:rPr>
        <w:footnoteReference w:id="14"/>
      </w:r>
      <w:r>
        <w:rPr>
          <w:noProof/>
        </w:rPr>
        <w:t>.</w:t>
      </w:r>
    </w:p>
    <w:p>
      <w:pPr>
        <w:rPr>
          <w:rFonts w:ascii="Times New Roman" w:hAnsi="Times New Roman" w:cs="Times New Roman"/>
          <w:b/>
          <w:i/>
          <w:noProof/>
          <w:sz w:val="24"/>
          <w:szCs w:val="24"/>
        </w:rPr>
      </w:pPr>
      <w:r>
        <w:rPr>
          <w:rFonts w:ascii="Times New Roman" w:hAnsi="Times New Roman"/>
          <w:b/>
          <w:i/>
          <w:noProof/>
          <w:sz w:val="24"/>
          <w:szCs w:val="24"/>
        </w:rPr>
        <w:t>Промишлени стоки и продукти на хранително-вкусовата промишленост</w:t>
      </w:r>
    </w:p>
    <w:p>
      <w:pPr>
        <w:rPr>
          <w:rFonts w:ascii="Times New Roman" w:hAnsi="Times New Roman" w:cs="Times New Roman"/>
          <w:noProof/>
          <w:sz w:val="24"/>
          <w:szCs w:val="24"/>
        </w:rPr>
      </w:pPr>
      <w:r>
        <w:rPr>
          <w:rFonts w:ascii="Times New Roman" w:hAnsi="Times New Roman"/>
          <w:noProof/>
          <w:sz w:val="24"/>
          <w:szCs w:val="24"/>
        </w:rPr>
        <w:t>Търговията с промишлени продукти с 65-те партньора отбеляза ръст от 3 %, докато търговията с продукти на хранително-вкусовата промишленост нарасна с 8,5 %. Търговията на ЕС с промишлени продукти отбеляза излишък от 106,6 млрд. евро, което е увеличение от 11,8 млрд. евро в сравнение с 2018 г. Търговията с продукти на хранително-вкусовата промишленост в ЕС отбеляза излишък от 6,4 млрд. евро, което е увеличение от 651 млн. евро в сравнение с 2018 г.</w:t>
      </w: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rPr>
      </w:pPr>
      <w:r>
        <w:rPr>
          <w:noProof/>
          <w:lang w:val="en-GB" w:eastAsia="en-GB"/>
        </w:rPr>
        <w:drawing>
          <wp:inline distT="0" distB="0" distL="0" distR="0">
            <wp:extent cx="5943600" cy="2161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161380"/>
                    </a:xfrm>
                    <a:prstGeom prst="rect">
                      <a:avLst/>
                    </a:prstGeom>
                    <a:noFill/>
                    <a:ln>
                      <a:noFill/>
                    </a:ln>
                  </pic:spPr>
                </pic:pic>
              </a:graphicData>
            </a:graphic>
          </wp:inline>
        </w:drawing>
      </w: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p>
    <w:p>
      <w:pPr>
        <w:rPr>
          <w:rFonts w:ascii="Times New Roman" w:hAnsi="Times New Roman" w:cs="Times New Roman"/>
          <w:b/>
          <w:i/>
          <w:noProof/>
          <w:sz w:val="24"/>
          <w:szCs w:val="24"/>
        </w:rPr>
      </w:pPr>
      <w:r>
        <w:rPr>
          <w:rFonts w:ascii="Times New Roman" w:hAnsi="Times New Roman"/>
          <w:b/>
          <w:i/>
          <w:noProof/>
          <w:sz w:val="24"/>
          <w:szCs w:val="24"/>
        </w:rPr>
        <w:t xml:space="preserve">Тенденции в търговията с услуги </w:t>
      </w:r>
    </w:p>
    <w:p>
      <w:pPr>
        <w:rPr>
          <w:rFonts w:ascii="Times New Roman" w:hAnsi="Times New Roman" w:cs="Times New Roman"/>
          <w:noProof/>
          <w:sz w:val="24"/>
          <w:szCs w:val="24"/>
        </w:rPr>
      </w:pPr>
      <w:r>
        <w:rPr>
          <w:rFonts w:ascii="Times New Roman" w:hAnsi="Times New Roman"/>
          <w:noProof/>
          <w:sz w:val="24"/>
          <w:szCs w:val="24"/>
        </w:rPr>
        <w:t xml:space="preserve">За </w:t>
      </w:r>
      <w:r>
        <w:rPr>
          <w:rFonts w:ascii="Times New Roman" w:hAnsi="Times New Roman"/>
          <w:b/>
          <w:noProof/>
          <w:sz w:val="24"/>
          <w:szCs w:val="24"/>
        </w:rPr>
        <w:t>търговията с услуги</w:t>
      </w:r>
      <w:r>
        <w:rPr>
          <w:rFonts w:ascii="Times New Roman" w:hAnsi="Times New Roman"/>
          <w:noProof/>
          <w:sz w:val="24"/>
          <w:szCs w:val="24"/>
        </w:rPr>
        <w:t xml:space="preserve"> най-актуалните данни са тези за 2018 г. Търговията с услуги с 65-те партньора, обхванати от настоящия доклад, нарасна с 1,7 % през 2018 г., което е по-слабо от общата търговия на ЕС с услуги (+2,3 %), като същевременно генерира търговски излишък от 80 млрд. евро, което е увеличение от 11,5 % в сравнение с 2017 г. Много от споразуменията, сключени преди Съобщението за глобална Европа от 2007 г.</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rPr>
        <w:t>, не съдържат амбициозни правила относно услугите — например търговското споразумение на ЕС с втория по важност търговски партньор за услугите Швейцария. Търговията с услуги с преференциалните партньори, обхванати от настоящия доклад, които са поели ангажименти в сферата на услугите</w:t>
      </w:r>
      <w:r>
        <w:rPr>
          <w:rStyle w:val="FootnoteReference"/>
          <w:rFonts w:ascii="Times New Roman" w:hAnsi="Times New Roman" w:cs="Times New Roman"/>
          <w:noProof/>
          <w:sz w:val="24"/>
          <w:szCs w:val="24"/>
          <w:lang w:val="en-GB"/>
        </w:rPr>
        <w:footnoteReference w:id="16"/>
      </w:r>
      <w:r>
        <w:rPr>
          <w:rFonts w:ascii="Times New Roman" w:hAnsi="Times New Roman"/>
          <w:noProof/>
          <w:sz w:val="24"/>
          <w:szCs w:val="24"/>
        </w:rPr>
        <w:t xml:space="preserve">, нарасна с 3,3 % през 2018 г., което е по-бързо от общата търговия с услуги на ЕС. Търговията с услуги нарасна значително повече с преференциалните партньори, с които наскоро са сключени търговски споразумения (+7,6 %), отколкото с по-ранни партньори (+0,8 %). </w:t>
      </w:r>
    </w:p>
    <w:p>
      <w:pPr>
        <w:jc w:val="center"/>
        <w:rPr>
          <w:rFonts w:ascii="Times New Roman" w:hAnsi="Times New Roman" w:cs="Times New Roman"/>
          <w:b/>
          <w:noProof/>
          <w:sz w:val="24"/>
          <w:szCs w:val="24"/>
        </w:rPr>
      </w:pPr>
      <w:r>
        <w:rPr>
          <w:noProof/>
          <w:lang w:val="en-GB" w:eastAsia="en-GB"/>
        </w:rPr>
        <w:drawing>
          <wp:inline distT="0" distB="0" distL="0" distR="0">
            <wp:extent cx="5943600" cy="2156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156527"/>
                    </a:xfrm>
                    <a:prstGeom prst="rect">
                      <a:avLst/>
                    </a:prstGeom>
                    <a:noFill/>
                    <a:ln>
                      <a:noFill/>
                    </a:ln>
                  </pic:spPr>
                </pic:pic>
              </a:graphicData>
            </a:graphic>
          </wp:inline>
        </w:drawing>
      </w:r>
    </w:p>
    <w:p>
      <w:pPr>
        <w:pStyle w:val="Heading1"/>
        <w:rPr>
          <w:noProof/>
        </w:rPr>
      </w:pPr>
      <w:bookmarkStart w:id="5" w:name="_Toc55319743"/>
      <w:r>
        <w:rPr>
          <w:noProof/>
        </w:rPr>
        <w:t>3. ПРЕГЛЕД НА ОСНОВНИТЕ КОНСТАТАЦИИ ЗА ВСЕКИ РЕГИОН</w:t>
      </w:r>
      <w:bookmarkEnd w:id="5"/>
    </w:p>
    <w:p>
      <w:pPr>
        <w:pStyle w:val="Heading2"/>
        <w:rPr>
          <w:b w:val="0"/>
          <w:noProof/>
        </w:rPr>
      </w:pPr>
      <w:bookmarkStart w:id="6" w:name="_Toc55319744"/>
      <w:r>
        <w:rPr>
          <w:noProof/>
        </w:rPr>
        <w:t>3.1 АЗИЯ</w:t>
      </w:r>
      <w:bookmarkEnd w:id="6"/>
    </w:p>
    <w:p>
      <w:pPr>
        <w:rPr>
          <w:rFonts w:ascii="Times New Roman" w:eastAsia="Times New Roman" w:hAnsi="Times New Roman" w:cs="Times New Roman"/>
          <w:noProof/>
          <w:sz w:val="24"/>
          <w:szCs w:val="24"/>
        </w:rPr>
      </w:pPr>
      <w:r>
        <w:rPr>
          <w:rFonts w:ascii="Times New Roman" w:hAnsi="Times New Roman"/>
          <w:noProof/>
          <w:sz w:val="24"/>
          <w:szCs w:val="24"/>
        </w:rPr>
        <w:t>През 2019 г. ЕС е приложил преференциални търговски споразумения с три азиатски икономики: Южна Корея, Япония и Сингапур</w:t>
      </w:r>
      <w:r>
        <w:rPr>
          <w:rStyle w:val="FootnoteReference"/>
          <w:rFonts w:ascii="Times New Roman" w:hAnsi="Times New Roman" w:cs="Times New Roman"/>
          <w:noProof/>
          <w:sz w:val="24"/>
          <w:szCs w:val="24"/>
          <w:lang w:val="en-GB"/>
        </w:rPr>
        <w:footnoteReference w:id="17"/>
      </w:r>
      <w:r>
        <w:rPr>
          <w:noProof/>
        </w:rPr>
        <w:t>.</w:t>
      </w:r>
      <w:r>
        <w:rPr>
          <w:rFonts w:ascii="Times New Roman" w:hAnsi="Times New Roman"/>
          <w:noProof/>
          <w:sz w:val="24"/>
          <w:szCs w:val="24"/>
        </w:rPr>
        <w:t xml:space="preserve"> Тези споразумения помагат на дружествата от ЕС да останат конкурентоспособни с оглед на наскоро сключените търговски споразумения между трети държави, като </w:t>
      </w:r>
      <w:r>
        <w:rPr>
          <w:rFonts w:ascii="Times New Roman" w:hAnsi="Times New Roman"/>
          <w:i/>
          <w:noProof/>
          <w:sz w:val="24"/>
          <w:szCs w:val="24"/>
        </w:rPr>
        <w:t>Всеобхватното и прогресивно споразумение за транстихоокеанско партньорство</w:t>
      </w:r>
      <w:r>
        <w:rPr>
          <w:rStyle w:val="FootnoteReference"/>
          <w:rFonts w:ascii="Times New Roman" w:hAnsi="Times New Roman" w:cs="Times New Roman"/>
          <w:noProof/>
          <w:sz w:val="24"/>
          <w:szCs w:val="24"/>
          <w:lang w:val="en-GB"/>
        </w:rPr>
        <w:footnoteReference w:id="18"/>
      </w:r>
      <w:r>
        <w:rPr>
          <w:rStyle w:val="FootnoteReference"/>
          <w:noProof/>
          <w:lang w:val="en-GB"/>
        </w:rPr>
        <w:t xml:space="preserve"> </w:t>
      </w:r>
      <w:r>
        <w:rPr>
          <w:rStyle w:val="FootnoteReference"/>
          <w:noProof/>
        </w:rPr>
        <w:t xml:space="preserve">, </w:t>
      </w:r>
      <w:r>
        <w:rPr>
          <w:rFonts w:ascii="Times New Roman" w:hAnsi="Times New Roman"/>
          <w:noProof/>
          <w:sz w:val="24"/>
          <w:szCs w:val="24"/>
        </w:rPr>
        <w:t>по което Япония и Сингапур са страни. Те също така допринасят за укрепването на международните стандарти, които са гръбнакът на нетарифните ангажименти в трите споразумения. По-специално най-новите споразумения със Сингапур, член на Асоциацията на народите от Югоизточна Азия (АСЕАН), и с Япония играят важна роля за целия регион, от които предприятията на ЕС могат да разширят дейността си в съседните държави. Споразумението за свободна търговия (ССТ) между ЕС и Южна Корея се прилага в продължение на осем години и според последващата му оценка</w:t>
      </w:r>
      <w:r>
        <w:rPr>
          <w:rFonts w:ascii="Times New Roman" w:eastAsia="Times New Roman" w:hAnsi="Times New Roman" w:cs="Times New Roman"/>
          <w:noProof/>
          <w:sz w:val="24"/>
          <w:szCs w:val="24"/>
          <w:vertAlign w:val="superscript"/>
          <w:lang w:val="en-GB" w:eastAsia="en-GB"/>
        </w:rPr>
        <w:footnoteReference w:id="19"/>
      </w:r>
      <w:r>
        <w:rPr>
          <w:rFonts w:ascii="Times New Roman" w:hAnsi="Times New Roman"/>
          <w:noProof/>
          <w:sz w:val="24"/>
          <w:szCs w:val="24"/>
        </w:rPr>
        <w:t>, публикувана през март 2019 г., е довело до ползи както за икономиката на ЕС (+4,4 млрд. евро</w:t>
      </w:r>
      <w:r>
        <w:rPr>
          <w:rFonts w:ascii="Times New Roman" w:hAnsi="Times New Roman"/>
          <w:b/>
          <w:noProof/>
          <w:sz w:val="24"/>
          <w:szCs w:val="24"/>
        </w:rPr>
        <w:t>)</w:t>
      </w:r>
      <w:r>
        <w:rPr>
          <w:rFonts w:ascii="Times New Roman" w:hAnsi="Times New Roman"/>
          <w:noProof/>
          <w:sz w:val="24"/>
          <w:szCs w:val="24"/>
        </w:rPr>
        <w:t xml:space="preserve">, така и за икономиката на Южна Корея (+4,9 млрд. евро), въпреки трудния период след финансовата криза, която доведе до намаляване на търсенето и международната търговия. </w:t>
      </w:r>
    </w:p>
    <w:p>
      <w:pPr>
        <w:pStyle w:val="Heading3"/>
        <w:rPr>
          <w:rFonts w:eastAsia="Times New Roman"/>
          <w:noProof/>
        </w:rPr>
      </w:pPr>
      <w:bookmarkStart w:id="7" w:name="_Toc55319745"/>
      <w:r>
        <w:rPr>
          <w:noProof/>
        </w:rPr>
        <w:t>3.1.1 Южна Корея</w:t>
      </w:r>
      <w:bookmarkEnd w:id="7"/>
      <w:r>
        <w:rPr>
          <w:noProof/>
        </w:rPr>
        <w:t xml:space="preserve"> </w:t>
      </w:r>
    </w:p>
    <w:p>
      <w:pPr>
        <w:rPr>
          <w:rFonts w:ascii="Times New Roman" w:eastAsia="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икономическият растеж в Южна Корея продължава да бележи спад</w:t>
      </w:r>
      <w:r>
        <w:rPr>
          <w:rFonts w:ascii="Times New Roman" w:hAnsi="Times New Roman"/>
          <w:noProof/>
          <w:sz w:val="24"/>
          <w:szCs w:val="24"/>
        </w:rPr>
        <w:t xml:space="preserve">, тъй като глобалното забавяне и напрежението в търговията задържат износа, а голямата несигурност възпрепятства инвестициите. </w:t>
      </w:r>
      <w:r>
        <w:rPr>
          <w:rFonts w:ascii="Times New Roman" w:hAnsi="Times New Roman"/>
          <w:b/>
          <w:noProof/>
          <w:sz w:val="24"/>
          <w:szCs w:val="24"/>
        </w:rPr>
        <w:t>Намалението на промишления износ на ЕС</w:t>
      </w:r>
      <w:r>
        <w:rPr>
          <w:rFonts w:ascii="Times New Roman" w:hAnsi="Times New Roman"/>
          <w:noProof/>
          <w:sz w:val="24"/>
          <w:szCs w:val="24"/>
        </w:rPr>
        <w:t xml:space="preserve"> за Южна Корея с </w:t>
      </w:r>
      <w:r>
        <w:rPr>
          <w:rFonts w:ascii="Times New Roman" w:hAnsi="Times New Roman"/>
          <w:bCs/>
          <w:noProof/>
          <w:sz w:val="24"/>
          <w:szCs w:val="24"/>
        </w:rPr>
        <w:t>1,3</w:t>
      </w:r>
      <w:r>
        <w:rPr>
          <w:rFonts w:ascii="Times New Roman" w:hAnsi="Times New Roman"/>
          <w:noProof/>
          <w:sz w:val="24"/>
          <w:szCs w:val="24"/>
        </w:rPr>
        <w:t xml:space="preserve"> % може да бъде обяснено до известна степен със слабото вътрешно търсене поради спада в цикъла на полупроводниците и търговския спор между САЩ и Китай, </w:t>
      </w:r>
      <w:r>
        <w:rPr>
          <w:rFonts w:ascii="Times New Roman" w:hAnsi="Times New Roman"/>
          <w:bCs/>
          <w:noProof/>
          <w:sz w:val="24"/>
          <w:szCs w:val="24"/>
        </w:rPr>
        <w:t>освен всичко останало</w:t>
      </w:r>
      <w:r>
        <w:rPr>
          <w:rFonts w:ascii="Times New Roman" w:hAnsi="Times New Roman"/>
          <w:noProof/>
          <w:sz w:val="24"/>
          <w:szCs w:val="24"/>
        </w:rPr>
        <w:t>.</w:t>
      </w:r>
      <w:r>
        <w:rPr>
          <w:rFonts w:ascii="Times New Roman" w:hAnsi="Times New Roman"/>
          <w:b/>
          <w:noProof/>
          <w:sz w:val="24"/>
          <w:szCs w:val="24"/>
        </w:rPr>
        <w:t xml:space="preserve"> През 2018 г. търговията с услуги продължава да се разширява</w:t>
      </w:r>
      <w:r>
        <w:rPr>
          <w:rFonts w:ascii="Times New Roman" w:hAnsi="Times New Roman"/>
          <w:noProof/>
          <w:sz w:val="24"/>
          <w:szCs w:val="24"/>
        </w:rPr>
        <w:t xml:space="preserve"> с 3,6 % в сравнение с 2017 г., по-бързо от търговията на ЕС с останалия свят. Споразумението за свободна търговия между ЕС и Южна Корея също така стимулира растежа на ПЧИ между двата партньора. Последните налични данни показват, че през 2018 г. размерът на наличните ПЧИ от ЕС в Южна Корея се е увеличил с 4 % и те са достигнали 46 млрд. евро, докато размерът на наличните южнокорейски ПЧИ в ЕС е нараснал с 1 % до 25 млрд. евро.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Напредък в изпълнението през 2019 г.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Южна Корея разреши износа на говеждо месо</w:t>
      </w:r>
      <w:r>
        <w:rPr>
          <w:rFonts w:ascii="Times New Roman" w:hAnsi="Times New Roman"/>
          <w:noProof/>
          <w:sz w:val="24"/>
          <w:szCs w:val="24"/>
        </w:rPr>
        <w:t xml:space="preserve"> от Дания и Нидерландия;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 Работната група за ГО на ЕС и Южна Корея подготви </w:t>
      </w:r>
      <w:r>
        <w:rPr>
          <w:rFonts w:ascii="Times New Roman" w:hAnsi="Times New Roman"/>
          <w:b/>
          <w:noProof/>
          <w:sz w:val="24"/>
          <w:szCs w:val="24"/>
        </w:rPr>
        <w:t>разширяването на списъка с географските означения (ГО)</w:t>
      </w:r>
      <w:r>
        <w:rPr>
          <w:rFonts w:ascii="Times New Roman" w:hAnsi="Times New Roman"/>
          <w:noProof/>
          <w:sz w:val="24"/>
          <w:szCs w:val="24"/>
        </w:rPr>
        <w:t>, защитени със споразумението.</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Нерешени въпроси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10 държави членки все още чакат да изнасят говеждо месо за Южна Корея; Южна Корея не приема принципа на регионализация за болестите по животните, който е от значение за създаването на предвидими и стабилни условия за търговия за месни и птичи продукти.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Южна Корея все още трябва да създаде ефективна система за възнаграждения за правата за публично изпълнение.</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ЕС продължи делото си срещу Южна Корея в рамките на глава „Търговия и устойчиво развитие“ на споразумението поради неспазването на ангажиментите от страна на Корея за ратифициране на основните конвенции на МОТ и защита на трудовите права. През юли ЕС поиска експертна група, която беше създадена през декември</w:t>
      </w:r>
      <w:r>
        <w:rPr>
          <w:rStyle w:val="FootnoteReference"/>
          <w:rFonts w:ascii="Times New Roman" w:eastAsia="Calibri" w:hAnsi="Times New Roman" w:cs="Times New Roman"/>
          <w:noProof/>
          <w:sz w:val="24"/>
          <w:szCs w:val="24"/>
          <w:lang w:val="en-GB"/>
        </w:rPr>
        <w:footnoteReference w:id="20"/>
      </w:r>
      <w:r>
        <w:rPr>
          <w:noProof/>
        </w:rPr>
        <w:t>.</w:t>
      </w:r>
      <w:r>
        <w:rPr>
          <w:rFonts w:ascii="Times New Roman" w:hAnsi="Times New Roman"/>
          <w:noProof/>
          <w:sz w:val="24"/>
          <w:szCs w:val="24"/>
        </w:rPr>
        <w:t xml:space="preserve"> </w:t>
      </w:r>
    </w:p>
    <w:p>
      <w:pPr>
        <w:spacing w:after="0"/>
        <w:rPr>
          <w:rFonts w:ascii="Times New Roman" w:hAnsi="Times New Roman" w:cs="Times New Roman"/>
          <w:b/>
          <w:i/>
          <w:noProof/>
          <w:sz w:val="24"/>
          <w:szCs w:val="24"/>
          <w:lang w:val="en-GB"/>
        </w:rPr>
      </w:pPr>
    </w:p>
    <w:p>
      <w:pPr>
        <w:pStyle w:val="Heading3"/>
        <w:rPr>
          <w:rFonts w:eastAsia="Times New Roman"/>
          <w:noProof/>
        </w:rPr>
      </w:pPr>
      <w:bookmarkStart w:id="8" w:name="_Toc55319746"/>
      <w:r>
        <w:rPr>
          <w:noProof/>
        </w:rPr>
        <w:t>3.1.2 Япония</w:t>
      </w:r>
      <w:bookmarkEnd w:id="8"/>
      <w:r>
        <w:rPr>
          <w:noProof/>
        </w:rPr>
        <w:t xml:space="preserve"> </w:t>
      </w:r>
    </w:p>
    <w:p>
      <w:pPr>
        <w:spacing w:after="0" w:line="240" w:lineRule="auto"/>
        <w:rPr>
          <w:rFonts w:ascii="Times New Roman" w:hAnsi="Times New Roman" w:cs="Times New Roman"/>
          <w:noProof/>
          <w:sz w:val="24"/>
          <w:szCs w:val="24"/>
        </w:rPr>
      </w:pPr>
      <w:r>
        <w:rPr>
          <w:rFonts w:ascii="Times New Roman" w:hAnsi="Times New Roman"/>
          <w:noProof/>
          <w:sz w:val="24"/>
          <w:szCs w:val="24"/>
        </w:rPr>
        <w:t>2019 г. беше първата пълна календарна година на прилагане на Споразумението за икономическо партньорство между ЕС и Япония</w:t>
      </w:r>
      <w:r>
        <w:rPr>
          <w:rFonts w:ascii="Times New Roman" w:hAnsi="Times New Roman" w:cs="Times New Roman"/>
          <w:noProof/>
          <w:sz w:val="24"/>
          <w:szCs w:val="24"/>
          <w:vertAlign w:val="superscript"/>
          <w:lang w:val="en-GB"/>
        </w:rPr>
        <w:footnoteReference w:id="21"/>
      </w:r>
      <w:r>
        <w:rPr>
          <w:rFonts w:ascii="Times New Roman" w:hAnsi="Times New Roman"/>
          <w:noProof/>
          <w:sz w:val="24"/>
          <w:szCs w:val="24"/>
        </w:rPr>
        <w:t xml:space="preserve">. Япония е </w:t>
      </w:r>
      <w:r>
        <w:rPr>
          <w:rFonts w:ascii="Times New Roman" w:hAnsi="Times New Roman"/>
          <w:b/>
          <w:noProof/>
          <w:sz w:val="24"/>
          <w:szCs w:val="24"/>
        </w:rPr>
        <w:t>седмият по големина търговски партньор на ЕС</w:t>
      </w:r>
      <w:r>
        <w:rPr>
          <w:rFonts w:ascii="Times New Roman" w:hAnsi="Times New Roman"/>
          <w:noProof/>
          <w:sz w:val="24"/>
          <w:szCs w:val="24"/>
        </w:rPr>
        <w:t xml:space="preserve">, на който се падат 3 % от външната търговия на ЕС. </w:t>
      </w:r>
    </w:p>
    <w:p>
      <w:pPr>
        <w:spacing w:after="0" w:line="240" w:lineRule="auto"/>
        <w:rPr>
          <w:rFonts w:ascii="Times New Roman" w:hAnsi="Times New Roman" w:cs="Times New Roman"/>
          <w:b/>
          <w:noProof/>
          <w:sz w:val="24"/>
          <w:szCs w:val="24"/>
          <w:lang w:val="en-GB"/>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търговията със стоки</w:t>
      </w:r>
      <w:r>
        <w:rPr>
          <w:rFonts w:ascii="Times New Roman" w:hAnsi="Times New Roman"/>
          <w:noProof/>
          <w:sz w:val="24"/>
          <w:szCs w:val="24"/>
        </w:rPr>
        <w:t xml:space="preserve"> между партньорите нарасна с </w:t>
      </w:r>
      <w:r>
        <w:rPr>
          <w:rFonts w:ascii="Times New Roman" w:hAnsi="Times New Roman"/>
          <w:b/>
          <w:noProof/>
          <w:sz w:val="24"/>
          <w:szCs w:val="24"/>
        </w:rPr>
        <w:t>5,8</w:t>
      </w:r>
      <w:r>
        <w:rPr>
          <w:rFonts w:ascii="Times New Roman" w:hAnsi="Times New Roman"/>
          <w:noProof/>
          <w:sz w:val="24"/>
          <w:szCs w:val="24"/>
        </w:rPr>
        <w:t xml:space="preserve"> %. Устойчивият растеж оказа благоприятно въздействие върху традиционния износ на ЕС за Япония, като фармацевтични продукти, транспортно оборудване и машини. Продуктовите категории, към които се прилагат тарифните намаления, отбелязаха по-висок растеж, включително текстил, облекло и обувки, които нараснаха средно с около 10 %. </w:t>
      </w: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rPr>
      </w:pPr>
      <w:r>
        <w:rPr>
          <w:rFonts w:ascii="Times New Roman" w:hAnsi="Times New Roman"/>
          <w:iCs/>
          <w:noProof/>
          <w:sz w:val="24"/>
          <w:szCs w:val="24"/>
        </w:rPr>
        <w:t>Япония беше 2-рото</w:t>
      </w:r>
      <w:r>
        <w:rPr>
          <w:rFonts w:ascii="Times New Roman" w:hAnsi="Times New Roman"/>
          <w:iCs/>
          <w:noProof/>
          <w:sz w:val="24"/>
          <w:szCs w:val="24"/>
          <w:vertAlign w:val="superscript"/>
        </w:rPr>
        <w:t xml:space="preserve"> </w:t>
      </w:r>
      <w:r>
        <w:rPr>
          <w:rFonts w:ascii="Times New Roman" w:hAnsi="Times New Roman"/>
          <w:iCs/>
          <w:noProof/>
          <w:sz w:val="24"/>
          <w:szCs w:val="24"/>
        </w:rPr>
        <w:t xml:space="preserve">по големина местоназначение сред обхванатите от настоящия доклад преференциални партньори </w:t>
      </w:r>
      <w:r>
        <w:rPr>
          <w:rFonts w:ascii="Times New Roman" w:hAnsi="Times New Roman"/>
          <w:b/>
          <w:iCs/>
          <w:noProof/>
          <w:sz w:val="24"/>
          <w:szCs w:val="24"/>
        </w:rPr>
        <w:t>за износа на продукти на хранително-вкусовата промишленост от ЕС</w:t>
      </w:r>
      <w:r>
        <w:rPr>
          <w:rFonts w:ascii="Times New Roman" w:hAnsi="Times New Roman"/>
          <w:iCs/>
          <w:noProof/>
          <w:sz w:val="24"/>
          <w:szCs w:val="24"/>
        </w:rPr>
        <w:t xml:space="preserve">, който </w:t>
      </w:r>
      <w:r>
        <w:rPr>
          <w:rFonts w:ascii="Times New Roman" w:hAnsi="Times New Roman"/>
          <w:b/>
          <w:iCs/>
          <w:noProof/>
          <w:sz w:val="24"/>
          <w:szCs w:val="24"/>
        </w:rPr>
        <w:t>нарасна с 16 %</w:t>
      </w:r>
      <w:r>
        <w:rPr>
          <w:rFonts w:ascii="Times New Roman" w:hAnsi="Times New Roman"/>
          <w:iCs/>
          <w:noProof/>
          <w:sz w:val="24"/>
          <w:szCs w:val="24"/>
        </w:rPr>
        <w:t xml:space="preserve"> през 2019 г. </w:t>
      </w:r>
      <w:r>
        <w:rPr>
          <w:rFonts w:ascii="Times New Roman" w:hAnsi="Times New Roman"/>
          <w:noProof/>
          <w:sz w:val="24"/>
          <w:szCs w:val="24"/>
        </w:rPr>
        <w:t xml:space="preserve">По този начин споразумението започва да реализира огромния си потенциал за увеличаване на износа на много продукти от ЕС, като свинско месо, говеждо месо, сирене, преработени селскостопански продукти и вино. Едно забележително постижение е поетапното одобрение от страна на Япония и признаването на енологичните практики на ЕС. </w:t>
      </w:r>
    </w:p>
    <w:p>
      <w:pPr>
        <w:spacing w:after="0" w:line="240" w:lineRule="auto"/>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Немските плодови вина — хит в страната на изгряващото слънце</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Германският производител на плодово вино винарна Katlenburger, дружество с 90 служители, основано през 1925 г., приветства търговското споразумение между ЕС и Япония. То премахна митото за продуктите на Katlenberger, което преди беше 33 евроцента на литър, което помага на дружеството да се конкурира на все по-чувствителния към цените пазар.</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„Малкият бизнес особено зависи от износа, тъй като на вътрешния пазар става все по-трудно и все по-силно се усеща господството на големите фирми с огромни рекламни бюджети.“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Klaus Demuth, главен изпълнителен директор, Katlenburger Kellerei GmbH &amp; co. KG</w:t>
      </w: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noProof/>
        </w:rPr>
      </w:pPr>
      <w:r>
        <w:rPr>
          <w:noProof/>
          <w:lang w:val="en-GB" w:eastAsia="en-GB"/>
        </w:rPr>
        <w:drawing>
          <wp:inline distT="0" distB="0" distL="0" distR="0">
            <wp:extent cx="5943600" cy="32764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276417"/>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През 2019 г. за повече от </w:t>
      </w:r>
      <w:r>
        <w:rPr>
          <w:rFonts w:ascii="Times New Roman" w:hAnsi="Times New Roman"/>
          <w:b/>
          <w:noProof/>
          <w:sz w:val="24"/>
          <w:szCs w:val="24"/>
        </w:rPr>
        <w:t>половината от всички стоки на ЕС, отговарящи на условията</w:t>
      </w:r>
      <w:r>
        <w:rPr>
          <w:rFonts w:ascii="Times New Roman" w:hAnsi="Times New Roman"/>
          <w:noProof/>
          <w:sz w:val="24"/>
          <w:szCs w:val="24"/>
        </w:rPr>
        <w:t xml:space="preserve"> за тарифни преференции съгласно Споразумението за икономическо партньорство между ЕС и Япония, действително </w:t>
      </w:r>
      <w:r>
        <w:rPr>
          <w:rFonts w:ascii="Times New Roman" w:hAnsi="Times New Roman"/>
          <w:b/>
          <w:noProof/>
          <w:sz w:val="24"/>
          <w:szCs w:val="24"/>
        </w:rPr>
        <w:t xml:space="preserve">се ползваха тарифни преференции </w:t>
      </w:r>
      <w:r>
        <w:rPr>
          <w:rFonts w:ascii="Times New Roman" w:hAnsi="Times New Roman"/>
          <w:noProof/>
          <w:sz w:val="24"/>
          <w:szCs w:val="24"/>
        </w:rPr>
        <w:t>(53 %). По-голямата част от износа на селскостопански продукти на ЕС се ползваше с тарифни преференции (86 % средно), с особено високи степени на използване за месото (99 %) и виното (93 %). Степените на използване за промишлените стоки поради сложните вериги за доставки и относително по-малките маржове на преференции бяха значително по-ниски както за Япония, така и за ЕС, т.е. средно от порядъка на 35 %. Като пример, износът на химикали и текстил от ЕС би могъл да спести съответно допълнителни 115 млн. евро и 92 млн. евро. Използването на преференции обикновено нараства през годините, тъй като предприятията често се нуждаят от известно време, за да се приспособят към новите условия за търговия – например чрез преглед на веригите за доставки и вътрешните счетоводни механизми. За да повиши осведомеността, Европейската комисия също така засили сътрудничеството с държавите членки и бизнеса и участва в съвместни инициативи с Япония, по-специално информационни дейности на Центъра за промишлено сътрудничество ЕС—Япония</w:t>
      </w:r>
      <w:r>
        <w:rPr>
          <w:rStyle w:val="FootnoteReference"/>
          <w:rFonts w:ascii="Times New Roman" w:hAnsi="Times New Roman" w:cs="Times New Roman"/>
          <w:noProof/>
          <w:sz w:val="24"/>
          <w:szCs w:val="24"/>
          <w:lang w:val="en-GB"/>
        </w:rPr>
        <w:footnoteReference w:id="22"/>
      </w:r>
      <w:r>
        <w:rPr>
          <w:noProof/>
        </w:rPr>
        <w:t>.</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Напредък в изпълнението през 2019 г.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Япония прие да приложи </w:t>
      </w:r>
      <w:r>
        <w:rPr>
          <w:rFonts w:ascii="Times New Roman" w:hAnsi="Times New Roman"/>
          <w:b/>
          <w:noProof/>
          <w:sz w:val="24"/>
          <w:szCs w:val="24"/>
        </w:rPr>
        <w:t>опростена митническа процедура</w:t>
      </w:r>
      <w:r>
        <w:rPr>
          <w:rFonts w:ascii="Times New Roman" w:hAnsi="Times New Roman"/>
          <w:noProof/>
          <w:sz w:val="24"/>
          <w:szCs w:val="24"/>
        </w:rPr>
        <w:t xml:space="preserve"> за подаване на заявление за тарифни преференции и получаване на такива преференции, като отстрани първоначалните трудности, изпитвани от предприятията</w:t>
      </w:r>
      <w:r>
        <w:rPr>
          <w:rStyle w:val="FootnoteReference"/>
          <w:noProof/>
          <w:lang w:val="en-GB"/>
        </w:rPr>
        <w:footnoteReference w:id="23"/>
      </w:r>
      <w:r>
        <w:rPr>
          <w:noProof/>
        </w:rPr>
        <w:t>.</w:t>
      </w: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Япония </w:t>
      </w:r>
      <w:r>
        <w:rPr>
          <w:rFonts w:ascii="Times New Roman" w:hAnsi="Times New Roman"/>
          <w:b/>
          <w:noProof/>
          <w:sz w:val="24"/>
          <w:szCs w:val="24"/>
        </w:rPr>
        <w:t>подобри процедурите за управление на квотите</w:t>
      </w:r>
      <w:r>
        <w:rPr>
          <w:rFonts w:ascii="Times New Roman" w:hAnsi="Times New Roman"/>
          <w:noProof/>
          <w:sz w:val="24"/>
          <w:szCs w:val="24"/>
        </w:rPr>
        <w:t xml:space="preserve"> за внос на някои селскостопански стоки и преработени селскостопански продукти, за да се улесни използването на квоти.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Япония предприе </w:t>
      </w:r>
      <w:r>
        <w:rPr>
          <w:rFonts w:ascii="Times New Roman" w:hAnsi="Times New Roman"/>
          <w:b/>
          <w:noProof/>
          <w:sz w:val="24"/>
          <w:szCs w:val="24"/>
        </w:rPr>
        <w:t xml:space="preserve">конкретни стъпки за подготовка за прилагане на разпоредбите относно търговията и устойчивото развитие, </w:t>
      </w:r>
      <w:r>
        <w:rPr>
          <w:rFonts w:ascii="Times New Roman" w:hAnsi="Times New Roman"/>
          <w:noProof/>
          <w:sz w:val="24"/>
          <w:szCs w:val="24"/>
        </w:rPr>
        <w:t xml:space="preserve">включително създаването на вътрешна консултативна група. Япония все още трябва да ратифицира две основни конвенции на МОТ относно недискриминацията и принудителния труд. </w:t>
      </w:r>
    </w:p>
    <w:p>
      <w:pPr>
        <w:spacing w:after="0"/>
        <w:rPr>
          <w:rFonts w:ascii="Times New Roman" w:hAnsi="Times New Roman" w:cs="Times New Roman"/>
          <w:b/>
          <w:noProof/>
          <w:sz w:val="24"/>
          <w:szCs w:val="24"/>
        </w:rPr>
      </w:pPr>
    </w:p>
    <w:p>
      <w:pPr>
        <w:pStyle w:val="Heading3"/>
        <w:rPr>
          <w:noProof/>
        </w:rPr>
      </w:pPr>
      <w:bookmarkStart w:id="9" w:name="_Toc55319747"/>
      <w:r>
        <w:rPr>
          <w:noProof/>
        </w:rPr>
        <w:t>3.1.3 Сингапур (подготовка за влизането в сила)</w:t>
      </w:r>
      <w:bookmarkEnd w:id="9"/>
    </w:p>
    <w:p>
      <w:pPr>
        <w:rPr>
          <w:rFonts w:ascii="Times New Roman" w:hAnsi="Times New Roman" w:cs="Times New Roman"/>
          <w:noProof/>
          <w:sz w:val="24"/>
          <w:szCs w:val="24"/>
        </w:rPr>
      </w:pPr>
      <w:r>
        <w:rPr>
          <w:rFonts w:ascii="Times New Roman" w:hAnsi="Times New Roman"/>
          <w:b/>
          <w:noProof/>
          <w:sz w:val="24"/>
          <w:szCs w:val="24"/>
        </w:rPr>
        <w:t>Споразумението за свободна търговия между ЕС и Сингапур</w:t>
      </w:r>
      <w:r>
        <w:rPr>
          <w:rFonts w:ascii="Times New Roman" w:hAnsi="Times New Roman"/>
          <w:noProof/>
          <w:sz w:val="24"/>
          <w:szCs w:val="24"/>
        </w:rPr>
        <w:t xml:space="preserve"> е в сила от 21 ноември 2019 г.  Очаква се то да бъде от полза за износа и инвеститорите от ЕС, включително за повече от 10 000 дружества от ЕС, установени в Сингапур. Сингапур е най-големият търговски партньор на ЕС в Югоизточна Азия, който представлява една трета от търговията на ЕС с региона и над две трети от размера на наличните преки чуждестранни инвестиции на ЕС в региона. </w:t>
      </w:r>
    </w:p>
    <w:p>
      <w:pPr>
        <w:rPr>
          <w:rFonts w:ascii="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Европейската комисия ускори подготовката за влизането в сила на споразумението</w:t>
      </w:r>
      <w:r>
        <w:rPr>
          <w:rFonts w:ascii="Times New Roman" w:hAnsi="Times New Roman"/>
          <w:noProof/>
          <w:sz w:val="24"/>
          <w:szCs w:val="24"/>
        </w:rPr>
        <w:t xml:space="preserve"> чрез комуникация със заинтересованите лица и от двете страни и вече засили своята свързана с мониторинг роля спрямо органите на Сингапур на етапа преди изпълнението. Сред първите постижения бе регистрацията и защитата в Сингапур на наименованията на 138 географски означения на ЕС по сингапурското право.</w:t>
      </w:r>
    </w:p>
    <w:p>
      <w:pPr>
        <w:spacing w:after="0"/>
        <w:rPr>
          <w:rFonts w:ascii="Times New Roman" w:hAnsi="Times New Roman" w:cs="Times New Roman"/>
          <w:b/>
          <w:noProof/>
          <w:sz w:val="24"/>
          <w:szCs w:val="24"/>
          <w:lang w:val="en-GB"/>
        </w:rPr>
      </w:pPr>
    </w:p>
    <w:p>
      <w:pPr>
        <w:pStyle w:val="Heading2"/>
        <w:rPr>
          <w:noProof/>
        </w:rPr>
      </w:pPr>
      <w:bookmarkStart w:id="10" w:name="_Toc55319748"/>
      <w:r>
        <w:rPr>
          <w:noProof/>
        </w:rPr>
        <w:t>3.2 СЕВЕРНА И ЮЖНА АМЕРИКА</w:t>
      </w:r>
      <w:bookmarkEnd w:id="10"/>
    </w:p>
    <w:p>
      <w:pPr>
        <w:pStyle w:val="Heading3"/>
        <w:rPr>
          <w:noProof/>
        </w:rPr>
      </w:pPr>
      <w:bookmarkStart w:id="11" w:name="_Toc55319749"/>
      <w:r>
        <w:rPr>
          <w:noProof/>
        </w:rPr>
        <w:t>3.2.1 Канада</w:t>
      </w:r>
      <w:bookmarkEnd w:id="11"/>
      <w:r>
        <w:rPr>
          <w:noProof/>
        </w:rPr>
        <w:t xml:space="preserve"> </w:t>
      </w:r>
    </w:p>
    <w:p>
      <w:pPr>
        <w:rPr>
          <w:rFonts w:ascii="Times New Roman" w:eastAsia="Times New Roman" w:hAnsi="Times New Roman" w:cs="Times New Roman"/>
          <w:noProof/>
          <w:sz w:val="24"/>
          <w:szCs w:val="24"/>
        </w:rPr>
      </w:pPr>
      <w:r>
        <w:rPr>
          <w:rFonts w:ascii="Times New Roman" w:hAnsi="Times New Roman"/>
          <w:noProof/>
          <w:sz w:val="24"/>
          <w:szCs w:val="24"/>
        </w:rPr>
        <w:t>Всеобхватното икономическо и търговско споразумение между ЕС и Канада (</w:t>
      </w:r>
      <w:r>
        <w:rPr>
          <w:rFonts w:ascii="Times New Roman" w:hAnsi="Times New Roman"/>
          <w:b/>
          <w:noProof/>
          <w:sz w:val="24"/>
          <w:szCs w:val="24"/>
        </w:rPr>
        <w:t>ВИТС</w:t>
      </w:r>
      <w:r>
        <w:rPr>
          <w:rFonts w:ascii="Times New Roman" w:hAnsi="Times New Roman"/>
          <w:noProof/>
          <w:sz w:val="24"/>
          <w:szCs w:val="24"/>
        </w:rPr>
        <w:t xml:space="preserve">) се прилага временно от 21 септември 2017 г., с изключение на няколко разпоредби, по-специално тези, свързани с инвестиционната съдебна система. През 2019 г. беше направена важна стъпка напред относно бъдещото прилагане на </w:t>
      </w:r>
      <w:r>
        <w:rPr>
          <w:rFonts w:ascii="Times New Roman" w:hAnsi="Times New Roman"/>
          <w:b/>
          <w:noProof/>
          <w:sz w:val="24"/>
          <w:szCs w:val="24"/>
        </w:rPr>
        <w:t>инвестиционната съдебна система (ИСС)</w:t>
      </w:r>
      <w:r>
        <w:rPr>
          <w:rStyle w:val="FootnoteReference"/>
          <w:rFonts w:ascii="Times New Roman" w:eastAsia="Times New Roman" w:hAnsi="Times New Roman" w:cs="Times New Roman"/>
          <w:noProof/>
          <w:sz w:val="24"/>
          <w:szCs w:val="24"/>
          <w:lang w:val="en-GB" w:eastAsia="en-GB"/>
        </w:rPr>
        <w:footnoteReference w:id="24"/>
      </w:r>
      <w:r>
        <w:rPr>
          <w:rFonts w:ascii="Times New Roman" w:hAnsi="Times New Roman"/>
          <w:noProof/>
          <w:sz w:val="24"/>
          <w:szCs w:val="24"/>
        </w:rPr>
        <w:t>:  през октомври Европейската комисия прие четири предложения</w:t>
      </w:r>
      <w:r>
        <w:rPr>
          <w:rStyle w:val="FootnoteReference"/>
          <w:rFonts w:ascii="Times New Roman" w:eastAsia="Times New Roman" w:hAnsi="Times New Roman" w:cs="Times New Roman"/>
          <w:noProof/>
          <w:sz w:val="24"/>
          <w:szCs w:val="24"/>
          <w:lang w:val="en-GB" w:eastAsia="en-GB"/>
        </w:rPr>
        <w:footnoteReference w:id="25"/>
      </w:r>
      <w:r>
        <w:rPr>
          <w:rFonts w:ascii="Times New Roman" w:hAnsi="Times New Roman"/>
          <w:noProof/>
          <w:sz w:val="24"/>
          <w:szCs w:val="24"/>
        </w:rPr>
        <w:t xml:space="preserve">, които ще спомогнат да се осигури спазването на стандартите за етика и почтеност на съдебните заседатели и ефективната функция на ИСС за обжалване. Това ще бъде първата такава функция за обжалване, която ще влезе в действие в международните инвестиционни споразумения. </w:t>
      </w:r>
    </w:p>
    <w:p>
      <w:pPr>
        <w:rPr>
          <w:rFonts w:ascii="Times New Roman" w:eastAsia="Times New Roman" w:hAnsi="Times New Roman" w:cs="Times New Roman"/>
          <w:noProof/>
          <w:sz w:val="24"/>
          <w:szCs w:val="24"/>
        </w:rPr>
      </w:pPr>
      <w:r>
        <w:rPr>
          <w:rFonts w:ascii="Times New Roman" w:hAnsi="Times New Roman"/>
          <w:noProof/>
          <w:sz w:val="24"/>
          <w:szCs w:val="24"/>
        </w:rPr>
        <w:t xml:space="preserve">По време на втората година от временното прилагане на ВИТС </w:t>
      </w:r>
      <w:r>
        <w:rPr>
          <w:rFonts w:ascii="Times New Roman" w:hAnsi="Times New Roman"/>
          <w:b/>
          <w:noProof/>
          <w:sz w:val="24"/>
          <w:szCs w:val="24"/>
        </w:rPr>
        <w:t>Европейската комисия постигна допълнителен напредък в ефективното изпълнение на</w:t>
      </w:r>
      <w:r>
        <w:rPr>
          <w:rFonts w:ascii="Times New Roman" w:hAnsi="Times New Roman"/>
          <w:noProof/>
          <w:sz w:val="24"/>
          <w:szCs w:val="24"/>
        </w:rPr>
        <w:t xml:space="preserve"> </w:t>
      </w:r>
      <w:r>
        <w:rPr>
          <w:rFonts w:ascii="Times New Roman" w:hAnsi="Times New Roman"/>
          <w:b/>
          <w:noProof/>
          <w:sz w:val="24"/>
          <w:szCs w:val="24"/>
        </w:rPr>
        <w:t>споразумението</w:t>
      </w:r>
      <w:r>
        <w:rPr>
          <w:rFonts w:ascii="Times New Roman" w:hAnsi="Times New Roman"/>
          <w:noProof/>
          <w:sz w:val="24"/>
          <w:szCs w:val="24"/>
        </w:rPr>
        <w:t xml:space="preserve">, като доразви постигнатото от 20 комитета и диалозите, започнати през 2018 г. Европейската комисия повдигна някои спорни търговски въпроси, главно по отношение на износа на селскостопански продукти. Успоредно с това Европейската комисия продължи да засилва и обогатява програмата си за сътрудничество с Канада по въпроси от общ интерес (например МСП, пол и изменение на климата) на двустранно и на многостранно равнище. </w:t>
      </w:r>
    </w:p>
    <w:p>
      <w:pPr>
        <w:spacing w:after="0"/>
        <w:rPr>
          <w:rFonts w:ascii="Times New Roman" w:eastAsia="Times New Roman" w:hAnsi="Times New Roman" w:cs="Times New Roman"/>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Напредък в изпълнението през 2019 г.</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Тарифна квота за сирене</w:t>
      </w:r>
      <w:r>
        <w:rPr>
          <w:rFonts w:ascii="Times New Roman" w:hAnsi="Times New Roman"/>
          <w:noProof/>
          <w:sz w:val="24"/>
          <w:szCs w:val="24"/>
        </w:rPr>
        <w:t>: продължи работата с Канада за преразглеждане на тарифната квота по ВИТС, за да се подобри нейното функциониране. Понастоящем Канада е четвъртият по стойност пазар на ЕС за износ на сирене.</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Дискриминационни практики в сектора на вината и спиртните напитки</w:t>
      </w:r>
      <w:r>
        <w:rPr>
          <w:rStyle w:val="FootnoteReference"/>
          <w:rFonts w:ascii="Times New Roman" w:eastAsia="Times New Roman" w:hAnsi="Times New Roman" w:cs="Times New Roman"/>
          <w:noProof/>
          <w:sz w:val="24"/>
          <w:szCs w:val="24"/>
          <w:lang w:val="en-GB" w:eastAsia="en-GB"/>
        </w:rPr>
        <w:footnoteReference w:id="26"/>
      </w:r>
      <w:r>
        <w:rPr>
          <w:rFonts w:ascii="Times New Roman" w:hAnsi="Times New Roman"/>
          <w:noProof/>
          <w:sz w:val="24"/>
          <w:szCs w:val="24"/>
        </w:rPr>
        <w:t>: те бяха обсъдени в Комитета за вина и спиртни напитки. Постигнат е известен напредък, тъй като Британска Колумбия премахна разпоредбите, които позволяваха нейното вино да се продава само в хранителни магазини. Остават обаче пречки в други провинции.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Разходи за такси за услуги</w:t>
      </w:r>
      <w:r>
        <w:rPr>
          <w:rFonts w:ascii="Times New Roman" w:hAnsi="Times New Roman"/>
          <w:noProof/>
          <w:sz w:val="24"/>
          <w:szCs w:val="24"/>
        </w:rPr>
        <w:t>: в резултат на одитите, извършени в Онтарио и Квебек по искане на ЕС, разходите за такси за услуги, прилагани за вината и спиртните напитки на ЕС в тези провинции, следва да намалеят. Тези такси са свързани с разликите в разходите, направени от провинциите при обработката на вносни и местни продукти.</w:t>
      </w:r>
    </w:p>
    <w:p>
      <w:pPr>
        <w:rPr>
          <w:rFonts w:ascii="Times New Roman" w:eastAsia="Times New Roman" w:hAnsi="Times New Roman" w:cs="Times New Roman"/>
          <w:b/>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Сътрудничество между ЕС и Канада в области от общ интерес</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i/>
          <w:noProof/>
          <w:sz w:val="24"/>
          <w:szCs w:val="24"/>
        </w:rPr>
        <w:t>— Изменение на климата</w:t>
      </w:r>
      <w:r>
        <w:rPr>
          <w:rFonts w:ascii="Times New Roman" w:hAnsi="Times New Roman"/>
          <w:noProof/>
          <w:sz w:val="24"/>
          <w:szCs w:val="24"/>
        </w:rPr>
        <w:t xml:space="preserve">:  след конференция през януари за обсъждане как най-добре да се използва ВИТС за изпълнение на ангажиментите на ЕС и Канада съгласно Парижкото споразумение, през ноември се проведе работна среща за дружествата за чисти технологии от ЕС и Канада, на която присъствах МСП, работещи в сектори, като слънчева енергия, отпадъци, енергийна ефективност и улавяне и съхранение на въглерод.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i/>
          <w:noProof/>
          <w:sz w:val="24"/>
          <w:szCs w:val="24"/>
        </w:rPr>
        <w:t>— Регулаторно сътрудничество</w:t>
      </w:r>
      <w:r>
        <w:rPr>
          <w:rFonts w:ascii="Times New Roman" w:hAnsi="Times New Roman"/>
          <w:noProof/>
          <w:sz w:val="24"/>
          <w:szCs w:val="24"/>
        </w:rPr>
        <w:t xml:space="preserve">: ЕС и Канада започнаха да обменят информация относно сигналите за безопасност на потребителските продукти и преразгледаната регулаторна рамка на Канада за транспортиране на живи животни, която влезе в сила през февруари 2020 г. Канада се съгласи да спре двойното изпитване за слънцезащитни продукти от ЕС, внасяни в Канада. </w:t>
      </w:r>
    </w:p>
    <w:p>
      <w:pPr>
        <w:spacing w:after="120" w:line="264" w:lineRule="auto"/>
        <w:rPr>
          <w:rFonts w:ascii="Times New Roman" w:eastAsia="Times New Roman" w:hAnsi="Times New Roman" w:cs="Times New Roman"/>
          <w:b/>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Френският пипер подправя канадски ястия</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Maritxu и Eric Amestoy отглеждат люти чушки в малкото си земеделско стопанство в Страната на баските в продължение на 10 години и от 2016 г. изнасят своя „piment d’Espelette“ в Канада.  Те диверсифицираха производството си, за да включват зеленчуци и яйца. Земеделското стопанство не използва никакви химически продукти.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ВИТС намали митата, опрости административните процедури и засили защитата на географското означение (ГО) за „piment d’Espelette“. В резултат на това нарасна търсенето нарасна, а производството на Amestoy се увеличи от 30 на 200 кг.</w:t>
      </w:r>
    </w:p>
    <w:p>
      <w:pPr>
        <w:spacing w:after="120" w:line="264" w:lineRule="auto"/>
        <w:rPr>
          <w:rFonts w:ascii="Times New Roman" w:eastAsia="Times New Roman" w:hAnsi="Times New Roman" w:cs="Times New Roman"/>
          <w:b/>
          <w:noProof/>
          <w:sz w:val="24"/>
          <w:szCs w:val="24"/>
          <w:lang w:val="en-GB" w:eastAsia="en-GB"/>
        </w:rPr>
      </w:pPr>
    </w:p>
    <w:p>
      <w:pPr>
        <w:spacing w:after="120" w:line="264" w:lineRule="auto"/>
        <w:rPr>
          <w:rFonts w:ascii="Times New Roman" w:eastAsia="Times New Roman" w:hAnsi="Times New Roman" w:cs="Times New Roman"/>
          <w:noProof/>
          <w:sz w:val="24"/>
          <w:szCs w:val="24"/>
        </w:rPr>
      </w:pPr>
      <w:r>
        <w:rPr>
          <w:rFonts w:ascii="Times New Roman" w:hAnsi="Times New Roman"/>
          <w:b/>
          <w:noProof/>
          <w:sz w:val="24"/>
          <w:szCs w:val="24"/>
        </w:rPr>
        <w:t xml:space="preserve">Двустранна търговия — тенденции през 2019 г. </w:t>
      </w:r>
    </w:p>
    <w:p>
      <w:pPr>
        <w:spacing w:after="120" w:line="264" w:lineRule="auto"/>
        <w:rPr>
          <w:rFonts w:ascii="Times New Roman" w:eastAsia="Times New Roman" w:hAnsi="Times New Roman" w:cs="Times New Roman"/>
          <w:noProof/>
          <w:sz w:val="24"/>
          <w:szCs w:val="24"/>
        </w:rPr>
      </w:pPr>
      <w:r>
        <w:rPr>
          <w:rFonts w:ascii="Times New Roman" w:hAnsi="Times New Roman"/>
          <w:noProof/>
          <w:sz w:val="24"/>
          <w:szCs w:val="24"/>
        </w:rPr>
        <w:t xml:space="preserve">Улеснена от ВИТС, </w:t>
      </w:r>
      <w:r>
        <w:rPr>
          <w:rFonts w:ascii="Times New Roman" w:hAnsi="Times New Roman"/>
          <w:b/>
          <w:noProof/>
          <w:sz w:val="24"/>
          <w:szCs w:val="24"/>
        </w:rPr>
        <w:t>двустранната търговия със стоки и услуги продължи да расте</w:t>
      </w:r>
      <w:r>
        <w:rPr>
          <w:rFonts w:ascii="Times New Roman" w:hAnsi="Times New Roman"/>
          <w:noProof/>
          <w:sz w:val="24"/>
          <w:szCs w:val="24"/>
        </w:rPr>
        <w:t xml:space="preserve">, като достигна 92 млрд. евро, което е увеличение с 24,5 % в сравнение с търговията преди ВИТС, която възлизаше средно на 73,9 млрд. евро през 2015—2017 г. От промишлените стоки машините и фармацевтичните продукти отбелязаха най-висок ръст на износа на ЕС в сравнение с 2018 г., съответно с 15 % и 18 %. </w:t>
      </w:r>
    </w:p>
    <w:p>
      <w:pPr>
        <w:spacing w:after="120" w:line="264" w:lineRule="auto"/>
        <w:rPr>
          <w:rFonts w:ascii="Times New Roman" w:eastAsia="Times New Roman" w:hAnsi="Times New Roman" w:cs="Times New Roman"/>
          <w:noProof/>
          <w:sz w:val="24"/>
          <w:szCs w:val="24"/>
          <w:lang w:val="en-GB" w:eastAsia="en-GB"/>
        </w:rPr>
      </w:pPr>
    </w:p>
    <w:p>
      <w:pPr>
        <w:rPr>
          <w:noProof/>
        </w:rPr>
      </w:pPr>
      <w:r>
        <w:rPr>
          <w:noProof/>
          <w:lang w:val="en-GB" w:eastAsia="en-GB"/>
        </w:rPr>
        <w:drawing>
          <wp:inline distT="0" distB="0" distL="0" distR="0">
            <wp:extent cx="5943600" cy="236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362600"/>
                    </a:xfrm>
                    <a:prstGeom prst="rect">
                      <a:avLst/>
                    </a:prstGeom>
                    <a:noFill/>
                    <a:ln>
                      <a:noFill/>
                    </a:ln>
                  </pic:spPr>
                </pic:pic>
              </a:graphicData>
            </a:graphic>
          </wp:inline>
        </w:drawing>
      </w:r>
    </w:p>
    <w:p>
      <w:pPr>
        <w:spacing w:after="0"/>
        <w:rPr>
          <w:rFonts w:ascii="Times New Roman" w:eastAsia="Times New Roman" w:hAnsi="Times New Roman" w:cs="Times New Roman"/>
          <w:noProof/>
          <w:sz w:val="24"/>
          <w:szCs w:val="24"/>
          <w:lang w:val="en-GB" w:eastAsia="en-GB"/>
        </w:rPr>
      </w:pPr>
    </w:p>
    <w:p>
      <w:pPr>
        <w:rPr>
          <w:rFonts w:ascii="Times New Roman" w:eastAsia="Times New Roman" w:hAnsi="Times New Roman" w:cs="Times New Roman"/>
          <w:noProof/>
          <w:sz w:val="24"/>
          <w:szCs w:val="24"/>
        </w:rPr>
      </w:pPr>
      <w:r>
        <w:rPr>
          <w:rFonts w:ascii="Times New Roman" w:hAnsi="Times New Roman"/>
          <w:b/>
          <w:noProof/>
          <w:sz w:val="24"/>
          <w:szCs w:val="24"/>
        </w:rPr>
        <w:t>Степента на използване на преференции</w:t>
      </w:r>
      <w:r>
        <w:rPr>
          <w:rFonts w:ascii="Times New Roman" w:hAnsi="Times New Roman"/>
          <w:noProof/>
          <w:sz w:val="24"/>
          <w:szCs w:val="24"/>
        </w:rPr>
        <w:t xml:space="preserve"> </w:t>
      </w:r>
      <w:r>
        <w:rPr>
          <w:rFonts w:ascii="Times New Roman" w:hAnsi="Times New Roman"/>
          <w:b/>
          <w:noProof/>
          <w:sz w:val="24"/>
          <w:szCs w:val="24"/>
        </w:rPr>
        <w:t xml:space="preserve"> за износа на стоки от ЕС за Канада</w:t>
      </w:r>
      <w:r>
        <w:rPr>
          <w:rFonts w:ascii="Times New Roman" w:hAnsi="Times New Roman"/>
          <w:noProof/>
          <w:sz w:val="24"/>
          <w:szCs w:val="24"/>
        </w:rPr>
        <w:t xml:space="preserve"> за ЕС-27 се увеличи от 38 % през 2018 г. на 48 %. Общата степен на използване на преференции продължава да бъде засегната от слабото използване на преференции за износа на автомобили и автомобилни части на ЕС (26 %), което представлява 39 % от допустимия износ на ЕС-27 за Канада. Европейската комисия активно работи с браншови асоциации, заинтересовани дружества и експерти за по-добро разбиране на причините.  От промишлеността, най-вече автомобилната, обясниха, че споразумението все още е относително ново и дружествата се нуждаят от повече време, за да внедрят процесите и информационните системи за получаване на необходимите данни от доставчиците. От автомобилната промишленост също така потвърдиха, че възнамеряват да поискат прилагане на тарифните преференции със задна дата, тъй като ВИТС позволява това за период до три години. Като цяло от промишлеността подчертаха необходимостта от допълнително засилване на информираността за дружествата от ЕС относно ползите от ВИТС и как да ги използват. За да улесни използването на преференции, през 2019 г. Европейската комисия продължи да предоставя специализирани насоки, като публикува ръководство за правилата за произход във ВИТС през септември 2019 г.</w:t>
      </w:r>
      <w:r>
        <w:rPr>
          <w:rStyle w:val="FootnoteReference"/>
          <w:rFonts w:ascii="Times New Roman" w:eastAsia="Times New Roman" w:hAnsi="Times New Roman" w:cs="Times New Roman"/>
          <w:noProof/>
          <w:sz w:val="24"/>
          <w:szCs w:val="24"/>
          <w:lang w:val="en-GB" w:eastAsia="en-GB"/>
        </w:rPr>
        <w:footnoteReference w:id="27"/>
      </w:r>
      <w:r>
        <w:rPr>
          <w:rFonts w:ascii="Times New Roman" w:hAnsi="Times New Roman"/>
          <w:noProof/>
          <w:sz w:val="24"/>
          <w:szCs w:val="24"/>
        </w:rPr>
        <w:t xml:space="preserve"> и информационен фиш относно текстила и облеклото, достъпен на няколко езика на ЕС</w:t>
      </w:r>
      <w:r>
        <w:rPr>
          <w:rStyle w:val="FootnoteReference"/>
          <w:rFonts w:ascii="Times New Roman" w:eastAsia="Times New Roman" w:hAnsi="Times New Roman" w:cs="Times New Roman"/>
          <w:noProof/>
          <w:sz w:val="24"/>
          <w:szCs w:val="24"/>
          <w:lang w:val="en-GB" w:eastAsia="en-GB"/>
        </w:rPr>
        <w:footnoteReference w:id="28"/>
      </w:r>
      <w:r>
        <w:rPr>
          <w:rFonts w:ascii="Times New Roman" w:hAnsi="Times New Roman"/>
          <w:noProof/>
          <w:sz w:val="24"/>
          <w:szCs w:val="24"/>
        </w:rPr>
        <w:t xml:space="preserve">. </w:t>
      </w:r>
    </w:p>
    <w:p>
      <w:pPr>
        <w:rPr>
          <w:rFonts w:ascii="Times New Roman" w:eastAsia="Times New Roman" w:hAnsi="Times New Roman" w:cs="Times New Roman"/>
          <w:noProof/>
          <w:sz w:val="24"/>
          <w:szCs w:val="24"/>
          <w:lang w:val="en-GB" w:eastAsia="en-GB"/>
        </w:rPr>
      </w:pPr>
    </w:p>
    <w:p>
      <w:pPr>
        <w:pStyle w:val="Heading3"/>
        <w:rPr>
          <w:noProof/>
        </w:rPr>
      </w:pPr>
      <w:bookmarkStart w:id="12" w:name="_Toc55319750"/>
      <w:r>
        <w:rPr>
          <w:noProof/>
        </w:rPr>
        <w:t>3.2.2 Латиноамерикански държави партньори</w:t>
      </w:r>
      <w:bookmarkEnd w:id="12"/>
      <w:r>
        <w:rPr>
          <w:noProof/>
        </w:rPr>
        <w:t xml:space="preserve"> </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ЕС има </w:t>
      </w:r>
      <w:r>
        <w:rPr>
          <w:rFonts w:ascii="Times New Roman" w:hAnsi="Times New Roman"/>
          <w:b/>
          <w:noProof/>
          <w:sz w:val="24"/>
          <w:szCs w:val="24"/>
        </w:rPr>
        <w:t>четири търговски споразумения с 11 държави в Латинска Америка</w:t>
      </w:r>
      <w:r>
        <w:rPr>
          <w:rFonts w:ascii="Times New Roman" w:hAnsi="Times New Roman"/>
          <w:noProof/>
          <w:sz w:val="24"/>
          <w:szCs w:val="24"/>
        </w:rPr>
        <w:t>: Мексико, Чили, партньорите от Андската общност Колумбия, Еквадор и Перу, както и шестте партньора от Централна Америка (Коста Рика, Ел Салвадор, Гватемала, Хондурас, Никарагуа и Панама). След като споразумението с Меркосур влезе в сила, ЕС ще има преференциални търговски отношения с почти всички държави от Латинска Америка, с изключение на Боливия и Венецуела — повече от всеки друг регион и наравно с ЕАСТ. Споразумението с Мексико например датира от началото на 21-ви век и беше модернизирано, за да се увеличи търговията, да се насърчи участието на МСП и да се въведат нови правила, като например относно услугите (цифрови, морски, финансови и др.), енергетиката или инвестициите, които ще увеличат възможностите за предприятията от ЕС и ще облагодетелстват потребителите, докато в главите за търговията и устойчивото развитие се определят ангажименти в областта на труда и околната среда, включително по отношение на Парижкото споразумение и основните конвенции на МОТ. Подобна модернизация продължава и с Чили.</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За латиноамериканските партньори премахването на митата от страна на ЕС върху повечето продукти им помага да диверсифицират износа си и да се интегрират по-добре във веригите на стойността и световната икономика. За дружествата от ЕС споразуменията дават нови възможности на развиващите се пазари с висок потенциал за растеж, както и достъп до суровини и материали за влагане от изключителна важност за промишлеността и селското стопанство. </w:t>
      </w:r>
    </w:p>
    <w:p>
      <w:pPr>
        <w:spacing w:after="120" w:line="264" w:lineRule="auto"/>
        <w:rPr>
          <w:rFonts w:ascii="Times New Roman" w:hAnsi="Times New Roman" w:cs="Times New Roman"/>
          <w:noProof/>
          <w:sz w:val="24"/>
          <w:szCs w:val="24"/>
        </w:rPr>
      </w:pPr>
      <w:r>
        <w:rPr>
          <w:rFonts w:ascii="Times New Roman" w:hAnsi="Times New Roman"/>
          <w:b/>
          <w:noProof/>
          <w:sz w:val="24"/>
          <w:szCs w:val="24"/>
        </w:rPr>
        <w:t>Ролята на ЕС в Латинска Америка продължава да бъде значителна</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ЕС е най-големият източник на сътрудничество за развитие и на преки чуждестранни инвестиции в Латинска Америка и е третият по големина търговски партньор след САЩ и Китай. Въпреки че САЩ запази дългогодишната си позиция като най-големия търговски партньор на Латинска Америка, през последните години Китай изпреварва ЕС като втори по големина партньор. Моделите варират, като Мексико и Централна Америка са най-тясно свързани с икономиката на САЩ, богатите на минерали държави от Андите укрепват търговията с Китай, докато Китай и ЕС са най-важните партньори за държавите от Меркосур.</w:t>
      </w:r>
    </w:p>
    <w:p>
      <w:pPr>
        <w:spacing w:after="0" w:line="264" w:lineRule="auto"/>
        <w:rPr>
          <w:rFonts w:ascii="Times New Roman" w:eastAsia="Times New Roman" w:hAnsi="Times New Roman" w:cs="Times New Roman"/>
          <w:b/>
          <w:noProof/>
          <w:sz w:val="24"/>
          <w:szCs w:val="24"/>
          <w:lang w:val="en-GB" w:eastAsia="en-GB"/>
        </w:rPr>
      </w:pPr>
    </w:p>
    <w:p>
      <w:pPr>
        <w:spacing w:after="0" w:line="264" w:lineRule="auto"/>
        <w:rPr>
          <w:rFonts w:ascii="Times New Roman" w:eastAsia="Times New Roman" w:hAnsi="Times New Roman" w:cs="Times New Roman"/>
          <w:b/>
          <w:noProof/>
          <w:sz w:val="24"/>
          <w:szCs w:val="24"/>
        </w:rPr>
      </w:pPr>
      <w:r>
        <w:rPr>
          <w:rFonts w:ascii="Times New Roman" w:hAnsi="Times New Roman"/>
          <w:b/>
          <w:noProof/>
          <w:sz w:val="24"/>
          <w:szCs w:val="24"/>
        </w:rPr>
        <w:t>Двустранна търговия: тенденции през 2019 г.</w:t>
      </w:r>
    </w:p>
    <w:p>
      <w:pPr>
        <w:spacing w:after="0" w:line="264" w:lineRule="auto"/>
        <w:rPr>
          <w:rFonts w:ascii="Times New Roman" w:hAnsi="Times New Roman" w:cs="Times New Roman"/>
          <w:b/>
          <w:noProof/>
          <w:sz w:val="24"/>
          <w:szCs w:val="24"/>
          <w:lang w:val="en-GB"/>
        </w:rPr>
      </w:pP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С течение на времето търговските споразумения на ЕС </w:t>
      </w:r>
      <w:r>
        <w:rPr>
          <w:rFonts w:ascii="Times New Roman" w:hAnsi="Times New Roman"/>
          <w:b/>
          <w:noProof/>
          <w:sz w:val="24"/>
          <w:szCs w:val="24"/>
        </w:rPr>
        <w:t>помогнаха да се затвърди позицията на ЕС като инвеститор и търговски партньор</w:t>
      </w:r>
      <w:r>
        <w:rPr>
          <w:rFonts w:ascii="Times New Roman" w:hAnsi="Times New Roman"/>
          <w:noProof/>
          <w:sz w:val="24"/>
          <w:szCs w:val="24"/>
        </w:rPr>
        <w:t xml:space="preserve"> в региона. Споразуменията също така спомогнаха за противодействие на силното намаляване на тарифните преференции, произтичащи от търговските споразумения, сключени от латиноамериканските партньори с държави като САЩ или Китай.</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Търговията между ЕС и настоящите му търговски партньори от Латинска Америка плюс Меркосур възлиза на 192 млрд. евро, като ЕС има излишък от 22 млрд. евро.  </w:t>
      </w:r>
      <w:r>
        <w:rPr>
          <w:rFonts w:ascii="Times New Roman" w:hAnsi="Times New Roman"/>
          <w:b/>
          <w:noProof/>
          <w:sz w:val="24"/>
          <w:szCs w:val="24"/>
        </w:rPr>
        <w:t>Износът на стоки от ЕС</w:t>
      </w:r>
      <w:r>
        <w:rPr>
          <w:rFonts w:ascii="Times New Roman" w:hAnsi="Times New Roman"/>
          <w:noProof/>
          <w:sz w:val="24"/>
          <w:szCs w:val="24"/>
        </w:rPr>
        <w:t xml:space="preserve"> за 11-те латиноамерикански държави, с които той има търговски споразумения</w:t>
      </w:r>
      <w:r>
        <w:rPr>
          <w:rFonts w:ascii="Times New Roman" w:hAnsi="Times New Roman"/>
          <w:b/>
          <w:noProof/>
          <w:sz w:val="24"/>
          <w:szCs w:val="24"/>
        </w:rPr>
        <w:t>, се увеличи с 12 %</w:t>
      </w:r>
      <w:r>
        <w:rPr>
          <w:rFonts w:ascii="Times New Roman" w:hAnsi="Times New Roman"/>
          <w:noProof/>
          <w:sz w:val="24"/>
          <w:szCs w:val="24"/>
        </w:rPr>
        <w:t xml:space="preserve"> — от малко под 59 млрд. евро през 2015 г. на 66 млрд. евро.  ЕС запази пазарен дял във вноса на тези държави от около 12 %, докато този на САЩ намаля леко от 42,5 на 40,3 %, а този на Китай също беше стабилен в размер на около 19 %</w:t>
      </w:r>
      <w:r>
        <w:rPr>
          <w:rStyle w:val="FootnoteReference"/>
          <w:rFonts w:ascii="Times New Roman" w:hAnsi="Times New Roman" w:cs="Times New Roman"/>
          <w:noProof/>
          <w:sz w:val="24"/>
          <w:szCs w:val="24"/>
          <w:lang w:val="en-GB"/>
        </w:rPr>
        <w:footnoteReference w:id="29"/>
      </w:r>
      <w:r>
        <w:rPr>
          <w:rFonts w:ascii="Times New Roman" w:hAnsi="Times New Roman"/>
          <w:noProof/>
          <w:sz w:val="24"/>
          <w:szCs w:val="24"/>
        </w:rPr>
        <w:t xml:space="preserve">. </w:t>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b/>
          <w:noProof/>
          <w:sz w:val="24"/>
          <w:szCs w:val="24"/>
        </w:rPr>
      </w:pPr>
      <w:r>
        <w:rPr>
          <w:noProof/>
          <w:lang w:val="en-GB" w:eastAsia="en-GB"/>
        </w:rPr>
        <w:drawing>
          <wp:inline distT="0" distB="0" distL="0" distR="0">
            <wp:extent cx="5943600" cy="30508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050858"/>
                    </a:xfrm>
                    <a:prstGeom prst="rect">
                      <a:avLst/>
                    </a:prstGeom>
                    <a:noFill/>
                    <a:ln>
                      <a:noFill/>
                    </a:ln>
                  </pic:spPr>
                </pic:pic>
              </a:graphicData>
            </a:graphic>
          </wp:inline>
        </w:drawing>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Търговските споразумения могат да разкрият </w:t>
      </w:r>
      <w:r>
        <w:rPr>
          <w:rFonts w:ascii="Times New Roman" w:hAnsi="Times New Roman"/>
          <w:b/>
          <w:noProof/>
          <w:sz w:val="24"/>
          <w:szCs w:val="24"/>
        </w:rPr>
        <w:t>нови пазари за продукти на хранително-вкусовата промишленост от ЕС</w:t>
      </w:r>
      <w:r>
        <w:rPr>
          <w:rFonts w:ascii="Times New Roman" w:hAnsi="Times New Roman"/>
          <w:noProof/>
          <w:sz w:val="24"/>
          <w:szCs w:val="24"/>
        </w:rPr>
        <w:t xml:space="preserve">. През последното десетилетие </w:t>
      </w:r>
      <w:r>
        <w:rPr>
          <w:rFonts w:ascii="Times New Roman" w:hAnsi="Times New Roman"/>
          <w:b/>
          <w:noProof/>
          <w:sz w:val="24"/>
          <w:szCs w:val="24"/>
        </w:rPr>
        <w:t>износът на селскостопански продукти от ЕС за държави от Латинска Америка</w:t>
      </w:r>
      <w:r>
        <w:rPr>
          <w:rFonts w:ascii="Times New Roman" w:hAnsi="Times New Roman"/>
          <w:noProof/>
          <w:sz w:val="24"/>
          <w:szCs w:val="24"/>
        </w:rPr>
        <w:t xml:space="preserve"> въз основа на търговски споразумения с ЕС </w:t>
      </w:r>
      <w:r>
        <w:rPr>
          <w:rFonts w:ascii="Times New Roman" w:hAnsi="Times New Roman"/>
          <w:b/>
          <w:noProof/>
          <w:sz w:val="24"/>
          <w:szCs w:val="24"/>
        </w:rPr>
        <w:t>нарасна повече от двойно</w:t>
      </w:r>
      <w:r>
        <w:rPr>
          <w:rFonts w:ascii="Times New Roman" w:hAnsi="Times New Roman"/>
          <w:noProof/>
          <w:sz w:val="24"/>
          <w:szCs w:val="24"/>
        </w:rPr>
        <w:t xml:space="preserve">. Това до голяма степен се дължи на премахването или намаляването на митата съгласно търговските споразумения, които често бяха на относително високи равнища за селскостопанските продукти. </w:t>
      </w:r>
    </w:p>
    <w:p>
      <w:pPr>
        <w:spacing w:after="120" w:line="264" w:lineRule="auto"/>
        <w:rPr>
          <w:rFonts w:ascii="Times New Roman" w:hAnsi="Times New Roman" w:cs="Times New Roman"/>
          <w:noProof/>
          <w:sz w:val="24"/>
          <w:szCs w:val="24"/>
        </w:rPr>
      </w:pPr>
      <w:r>
        <w:rPr>
          <w:rFonts w:ascii="Times New Roman" w:hAnsi="Times New Roman"/>
          <w:b/>
          <w:noProof/>
          <w:sz w:val="24"/>
          <w:szCs w:val="24"/>
        </w:rPr>
        <w:t>Бананите</w:t>
      </w:r>
      <w:r>
        <w:rPr>
          <w:rFonts w:ascii="Times New Roman" w:hAnsi="Times New Roman"/>
          <w:noProof/>
          <w:sz w:val="24"/>
          <w:szCs w:val="24"/>
        </w:rPr>
        <w:t xml:space="preserve"> продължават да бъдат основната стока, изнасяна за ЕС от Централна Америка и Андската общност, а износът беше предмет на </w:t>
      </w:r>
      <w:r>
        <w:rPr>
          <w:rFonts w:ascii="Times New Roman" w:hAnsi="Times New Roman"/>
          <w:b/>
          <w:noProof/>
          <w:sz w:val="24"/>
          <w:szCs w:val="24"/>
        </w:rPr>
        <w:t>механизъм за стабилизиране</w:t>
      </w:r>
      <w:r>
        <w:rPr>
          <w:rFonts w:ascii="Times New Roman" w:hAnsi="Times New Roman"/>
          <w:noProof/>
          <w:sz w:val="24"/>
          <w:szCs w:val="24"/>
        </w:rPr>
        <w:t xml:space="preserve">, който изтече в края на декември 2019 г. Съгласно този механизъм при достигане на определения в споразумението годишен критичен обем на вноса по държави Европейската комисия разглежда въздействието на този внос върху състоянието на пазара на банани на Съюза и взема решение или временно да спре да прилага преференциалното мито, или да прецени, че подобно спиране не е целесъобразно. През 2019 г. общият годишен внос на пресни банани от държавите от Латинска и Централна Америка, предмет на механизма за стабилизиране по отношение на бананите, възлизаше на 72,9 % от общото критично ниво. Сред засегнатите партньорски държави само Перу, Никарагуа и Гватемала надхвърлиха своите критични обеми. Европейската комисия стигна до заключението, че временното спиране на прилагането на преференциалното мито не е целесъобразно, тъй като делът на вноса от тези държави в общия внос на банани е бил много малък в момента на превишаване на съответните прагове.   </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През 2019 г. по искане на партньорите </w:t>
      </w:r>
      <w:r>
        <w:rPr>
          <w:rFonts w:ascii="Times New Roman" w:hAnsi="Times New Roman"/>
          <w:b/>
          <w:noProof/>
          <w:sz w:val="24"/>
          <w:szCs w:val="24"/>
        </w:rPr>
        <w:t>от Андската общност и на партньорите от Централна Америка</w:t>
      </w:r>
      <w:r>
        <w:rPr>
          <w:rFonts w:ascii="Times New Roman" w:hAnsi="Times New Roman"/>
          <w:noProof/>
          <w:sz w:val="24"/>
          <w:szCs w:val="24"/>
        </w:rPr>
        <w:t xml:space="preserve"> се проведоха дискусии, въз основа на разпоредбите на съответните споразумения, за да се разгледа допълнително </w:t>
      </w:r>
      <w:r>
        <w:rPr>
          <w:rFonts w:ascii="Times New Roman" w:hAnsi="Times New Roman"/>
          <w:b/>
          <w:noProof/>
          <w:sz w:val="24"/>
          <w:szCs w:val="24"/>
        </w:rPr>
        <w:t>либерализацията на митата за банани</w:t>
      </w:r>
      <w:r>
        <w:rPr>
          <w:rFonts w:ascii="Times New Roman" w:hAnsi="Times New Roman"/>
          <w:noProof/>
          <w:sz w:val="24"/>
          <w:szCs w:val="24"/>
        </w:rPr>
        <w:t xml:space="preserve">. След като бяха взети под внимание всички относими фактори, включително стабилността на пазара на ЕС, се стигна до заключението, че митата за пресни банани от държавите от Централна Америка и Колумбия/Еквадор/Перу </w:t>
      </w:r>
      <w:r>
        <w:rPr>
          <w:rFonts w:ascii="Times New Roman" w:hAnsi="Times New Roman"/>
          <w:b/>
          <w:noProof/>
          <w:sz w:val="24"/>
          <w:szCs w:val="24"/>
        </w:rPr>
        <w:t xml:space="preserve"> следва да се запазят на сегашното им равнище</w:t>
      </w:r>
      <w:r>
        <w:rPr>
          <w:rFonts w:ascii="Times New Roman" w:hAnsi="Times New Roman"/>
          <w:noProof/>
          <w:sz w:val="24"/>
          <w:szCs w:val="24"/>
        </w:rPr>
        <w:t xml:space="preserve"> от 75 EUR/тон. </w:t>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b/>
          <w:noProof/>
          <w:sz w:val="24"/>
          <w:szCs w:val="24"/>
        </w:rPr>
      </w:pPr>
      <w:r>
        <w:rPr>
          <w:rFonts w:ascii="Times New Roman" w:hAnsi="Times New Roman"/>
          <w:b/>
          <w:noProof/>
          <w:sz w:val="24"/>
          <w:szCs w:val="24"/>
        </w:rPr>
        <w:t xml:space="preserve">Напредък в изпълнението през 2019 г.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Примери за напредък в областта на търговията и устойчивото развитие</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Благодарение на </w:t>
      </w:r>
      <w:r>
        <w:rPr>
          <w:rFonts w:ascii="Times New Roman" w:hAnsi="Times New Roman"/>
          <w:b/>
          <w:noProof/>
          <w:sz w:val="24"/>
          <w:szCs w:val="24"/>
        </w:rPr>
        <w:t>нова програма за подкрепа, финансирана от ЕС</w:t>
      </w:r>
      <w:r>
        <w:rPr>
          <w:rFonts w:ascii="Times New Roman" w:hAnsi="Times New Roman"/>
          <w:noProof/>
          <w:sz w:val="24"/>
          <w:szCs w:val="24"/>
        </w:rPr>
        <w:t xml:space="preserve">, представители на гражданското общество от ЕС и от Колумбия, Еквадор и Перу се срещнаха в Богота, Колумбия, а представители на ЕС и на шестте държави от Централна Америка се срещнаха в Антигуа, Гватемала.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Стартира </w:t>
      </w:r>
      <w:r>
        <w:rPr>
          <w:rFonts w:ascii="Times New Roman" w:hAnsi="Times New Roman"/>
          <w:b/>
          <w:noProof/>
          <w:sz w:val="24"/>
          <w:szCs w:val="24"/>
        </w:rPr>
        <w:t>финансирана от ЕС програма за отговорно бизнес поведение в Латинска Америка</w:t>
      </w:r>
      <w:r>
        <w:rPr>
          <w:rFonts w:ascii="Times New Roman" w:hAnsi="Times New Roman"/>
          <w:noProof/>
          <w:sz w:val="24"/>
          <w:szCs w:val="24"/>
        </w:rPr>
        <w:t xml:space="preserve"> в партньорство с ОИСР</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Международната организация на труда</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и Службата на ООН на върховния комисар по правата на човека</w:t>
      </w:r>
      <w:r>
        <w:rPr>
          <w:rStyle w:val="FootnoteReference"/>
          <w:rFonts w:ascii="Times New Roman" w:hAnsi="Times New Roman" w:cs="Times New Roman"/>
          <w:noProof/>
          <w:color w:val="000000" w:themeColor="text1"/>
          <w:sz w:val="24"/>
          <w:szCs w:val="24"/>
          <w:lang w:val="en-GB"/>
        </w:rPr>
        <w:footnoteReference w:id="32"/>
      </w:r>
      <w:r>
        <w:rPr>
          <w:rFonts w:ascii="Times New Roman" w:hAnsi="Times New Roman"/>
          <w:noProof/>
          <w:sz w:val="24"/>
          <w:szCs w:val="24"/>
        </w:rPr>
        <w:t xml:space="preserve">. </w:t>
      </w:r>
    </w:p>
    <w:p>
      <w:pPr>
        <w:spacing w:after="0"/>
        <w:rPr>
          <w:rFonts w:ascii="Times New Roman"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Напредък по въпросите на достъпа до пазара през 2019 г.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Еквадор</w:t>
      </w:r>
      <w:r>
        <w:rPr>
          <w:rFonts w:ascii="Times New Roman" w:hAnsi="Times New Roman"/>
          <w:noProof/>
          <w:sz w:val="24"/>
          <w:szCs w:val="24"/>
        </w:rPr>
        <w:t xml:space="preserve"> премахна допълнителните мита („бандероли“) върху вносните алкохолни напитки, като по този начин позволи на алкохолните напитки от ЕС да се конкурират наравно с местните напитки.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Мексико</w:t>
      </w:r>
      <w:r>
        <w:rPr>
          <w:rFonts w:ascii="Times New Roman" w:hAnsi="Times New Roman"/>
          <w:noProof/>
          <w:sz w:val="24"/>
          <w:szCs w:val="24"/>
        </w:rPr>
        <w:t xml:space="preserve"> смекчи ограниченията за внос на круши от Белгия и киви от Италия и разреши внос на свинско месо от Нидерландия.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ЕС започна </w:t>
      </w:r>
      <w:r>
        <w:rPr>
          <w:rFonts w:ascii="Times New Roman" w:hAnsi="Times New Roman"/>
          <w:b/>
          <w:noProof/>
          <w:sz w:val="24"/>
          <w:szCs w:val="24"/>
        </w:rPr>
        <w:t>спор в рамките на СТО срещу антидъмпинговите мерки на Колумбия</w:t>
      </w:r>
      <w:r>
        <w:rPr>
          <w:rFonts w:ascii="Times New Roman" w:hAnsi="Times New Roman"/>
          <w:noProof/>
          <w:sz w:val="24"/>
          <w:szCs w:val="24"/>
        </w:rPr>
        <w:t xml:space="preserve"> относно замразени картофи от Белгия, Германия и Нидерландия</w:t>
      </w:r>
      <w:r>
        <w:rPr>
          <w:rStyle w:val="FootnoteReference"/>
          <w:rFonts w:ascii="Times New Roman" w:hAnsi="Times New Roman" w:cs="Times New Roman"/>
          <w:noProof/>
          <w:color w:val="000000" w:themeColor="text1"/>
          <w:sz w:val="24"/>
          <w:szCs w:val="24"/>
          <w:lang w:val="en-GB"/>
        </w:rPr>
        <w:footnoteReference w:id="33"/>
      </w:r>
      <w:r>
        <w:rPr>
          <w:noProof/>
        </w:rPr>
        <w:t>.</w:t>
      </w:r>
      <w:r>
        <w:rPr>
          <w:rFonts w:ascii="Times New Roman" w:hAnsi="Times New Roman"/>
          <w:noProof/>
          <w:sz w:val="24"/>
          <w:szCs w:val="24"/>
        </w:rPr>
        <w:t xml:space="preserve"> </w:t>
      </w:r>
    </w:p>
    <w:p>
      <w:pPr>
        <w:spacing w:after="0"/>
        <w:rPr>
          <w:rFonts w:ascii="Times New Roman" w:hAnsi="Times New Roman" w:cs="Times New Roman"/>
          <w:b/>
          <w:noProof/>
          <w:sz w:val="24"/>
          <w:szCs w:val="24"/>
          <w:lang w:val="en-GB"/>
        </w:rPr>
      </w:pPr>
    </w:p>
    <w:p>
      <w:pPr>
        <w:rPr>
          <w:rFonts w:ascii="Times New Roman" w:hAnsi="Times New Roman" w:cs="Times New Roman"/>
          <w:noProof/>
          <w:sz w:val="24"/>
          <w:szCs w:val="24"/>
        </w:rPr>
      </w:pPr>
      <w:r>
        <w:rPr>
          <w:rFonts w:ascii="Times New Roman" w:hAnsi="Times New Roman"/>
          <w:b/>
          <w:noProof/>
          <w:sz w:val="24"/>
          <w:szCs w:val="24"/>
        </w:rPr>
        <w:t>Търговските споразумения на ЕС, както и по-широките споразумения за асоцииране, сключени от ЕС с държавите от Латинска Америка, спомагат за създаването на партньорства между ЕС и Латинска Америка, било то по отношение на многостранното сътрудничество, или по отношение на целите за устойчивост</w:t>
      </w:r>
      <w:r>
        <w:rPr>
          <w:rFonts w:ascii="Times New Roman" w:hAnsi="Times New Roman"/>
          <w:noProof/>
          <w:sz w:val="24"/>
          <w:szCs w:val="24"/>
        </w:rPr>
        <w:t xml:space="preserve">. Латиноамериканските държави имаха и продължават да играят важна роля в СТО:  повече от една трета от държавите, които подкрепят предложението на ЕС за временна договореност за многостранен апелативен арбитраж на СТО, са в региона. ЕС и държавите от Андите и Централна Америка обсъдиха и национално определените приноси по Парижкото споразумение, въпреки че търговските споразумения предхождат последното. </w:t>
      </w:r>
    </w:p>
    <w:p>
      <w:pPr>
        <w:pStyle w:val="Heading2"/>
        <w:rPr>
          <w:noProof/>
        </w:rPr>
      </w:pPr>
      <w:bookmarkStart w:id="13" w:name="_Toc55319751"/>
      <w:r>
        <w:rPr>
          <w:noProof/>
        </w:rPr>
        <w:t>3.3 СЪСЕДНИ НА ЕС ДЪРЖАВИ</w:t>
      </w:r>
      <w:bookmarkEnd w:id="13"/>
    </w:p>
    <w:p>
      <w:pPr>
        <w:pStyle w:val="Heading3"/>
        <w:rPr>
          <w:noProof/>
        </w:rPr>
      </w:pPr>
      <w:bookmarkStart w:id="14" w:name="_Toc55319752"/>
      <w:r>
        <w:rPr>
          <w:noProof/>
        </w:rPr>
        <w:t>3.3.1 Партньори от Средиземноморието и Близкия Изток</w:t>
      </w:r>
      <w:bookmarkEnd w:id="14"/>
    </w:p>
    <w:p>
      <w:pPr>
        <w:autoSpaceDE w:val="0"/>
        <w:autoSpaceDN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началото на 2000 г. влязоха в сила </w:t>
      </w:r>
      <w:r>
        <w:rPr>
          <w:rFonts w:ascii="Times New Roman" w:hAnsi="Times New Roman"/>
          <w:b/>
          <w:noProof/>
          <w:color w:val="000000" w:themeColor="text1"/>
          <w:sz w:val="24"/>
          <w:szCs w:val="24"/>
        </w:rPr>
        <w:t>зоните за свободна търговия</w:t>
      </w:r>
      <w:r>
        <w:rPr>
          <w:rFonts w:ascii="Times New Roman" w:hAnsi="Times New Roman"/>
          <w:noProof/>
          <w:color w:val="000000" w:themeColor="text1"/>
          <w:sz w:val="24"/>
          <w:szCs w:val="24"/>
        </w:rPr>
        <w:t xml:space="preserve">, сключени съгласно по-широките споразумения за асоцииране с държавите от Южното Средиземноморие и Близкия изток („споразуменията за търговия“). ЕС и осемте държави от Южното Средиземноморие и Близкия изток (ЮС и БИ) </w:t>
      </w:r>
      <w:r>
        <w:rPr>
          <w:rFonts w:ascii="Times New Roman" w:hAnsi="Times New Roman"/>
          <w:b/>
          <w:noProof/>
          <w:color w:val="000000" w:themeColor="text1"/>
          <w:sz w:val="24"/>
          <w:szCs w:val="24"/>
        </w:rPr>
        <w:t>Алжир, Египет, Йордания, Ливан, Израел, Палестина</w:t>
      </w:r>
      <w:r>
        <w:rPr>
          <w:rStyle w:val="FootnoteReference"/>
          <w:rFonts w:ascii="Times New Roman" w:hAnsi="Times New Roman" w:cs="Times New Roman"/>
          <w:noProof/>
          <w:color w:val="000000" w:themeColor="text1"/>
          <w:sz w:val="24"/>
          <w:szCs w:val="24"/>
          <w:lang w:val="en-GB"/>
        </w:rPr>
        <w:footnoteReference w:id="34"/>
      </w:r>
      <w:r>
        <w:rPr>
          <w:rFonts w:ascii="Times New Roman" w:hAnsi="Times New Roman"/>
          <w:b/>
          <w:noProof/>
          <w:color w:val="000000" w:themeColor="text1"/>
          <w:sz w:val="24"/>
          <w:szCs w:val="24"/>
        </w:rPr>
        <w:t>, Мароко и Тунис</w:t>
      </w:r>
      <w:r>
        <w:rPr>
          <w:rFonts w:ascii="Times New Roman" w:hAnsi="Times New Roman"/>
          <w:noProof/>
          <w:color w:val="000000" w:themeColor="text1"/>
          <w:sz w:val="24"/>
          <w:szCs w:val="24"/>
        </w:rPr>
        <w:t xml:space="preserve"> са традиционно много близки партньори, свързани с исторически и културни връзки и географска близост. ЕС е търговският партньор номер едно за всички държави, с изключение на Йордания и Палестина, както и за региона като цяло. В рамките на </w:t>
      </w:r>
      <w:r>
        <w:rPr>
          <w:rFonts w:ascii="Times New Roman" w:hAnsi="Times New Roman"/>
          <w:b/>
          <w:noProof/>
          <w:color w:val="000000" w:themeColor="text1"/>
          <w:sz w:val="24"/>
          <w:szCs w:val="24"/>
        </w:rPr>
        <w:t>европейската политика за съседство</w:t>
      </w:r>
      <w:r>
        <w:rPr>
          <w:rFonts w:ascii="Times New Roman" w:hAnsi="Times New Roman"/>
          <w:noProof/>
          <w:color w:val="000000" w:themeColor="text1"/>
          <w:sz w:val="24"/>
          <w:szCs w:val="24"/>
        </w:rPr>
        <w:t xml:space="preserve"> ЕС предлага на тези държави привилегировани отношения, като се основава на взаимен ангажимент към общите ценности — демокрацията и правата на човека, върховенството на закона, доброто управление, принципите на пазарна икономика и устойчивото развитие. </w:t>
      </w:r>
    </w:p>
    <w:p>
      <w:pPr>
        <w:autoSpaceDE w:val="0"/>
        <w:autoSpaceDN w:val="0"/>
        <w:rPr>
          <w:rFonts w:ascii="Times New Roman" w:hAnsi="Times New Roman" w:cs="Times New Roman"/>
          <w:iCs/>
          <w:noProof/>
          <w:sz w:val="24"/>
          <w:szCs w:val="24"/>
        </w:rPr>
      </w:pPr>
      <w:r>
        <w:rPr>
          <w:rFonts w:ascii="Times New Roman" w:hAnsi="Times New Roman"/>
          <w:noProof/>
          <w:color w:val="000000" w:themeColor="text1"/>
          <w:sz w:val="24"/>
          <w:szCs w:val="24"/>
        </w:rPr>
        <w:t xml:space="preserve">Повечето промишлени стоки между ЕС и тези партньори сега се </w:t>
      </w:r>
      <w:r>
        <w:rPr>
          <w:rFonts w:ascii="Times New Roman" w:hAnsi="Times New Roman"/>
          <w:b/>
          <w:noProof/>
          <w:color w:val="000000" w:themeColor="text1"/>
          <w:sz w:val="24"/>
          <w:szCs w:val="24"/>
        </w:rPr>
        <w:t>търгуват безмитно</w:t>
      </w:r>
      <w:r>
        <w:rPr>
          <w:rStyle w:val="FootnoteReference"/>
          <w:rFonts w:ascii="Times New Roman" w:hAnsi="Times New Roman" w:cs="Times New Roman"/>
          <w:noProof/>
          <w:color w:val="000000" w:themeColor="text1"/>
          <w:sz w:val="24"/>
          <w:szCs w:val="24"/>
          <w:lang w:val="en-GB"/>
        </w:rPr>
        <w:footnoteReference w:id="35"/>
      </w:r>
      <w:r>
        <w:rPr>
          <w:noProof/>
        </w:rPr>
        <w:t>.</w:t>
      </w:r>
      <w:r>
        <w:rPr>
          <w:rFonts w:ascii="Times New Roman" w:hAnsi="Times New Roman"/>
          <w:noProof/>
          <w:color w:val="000000" w:themeColor="text1"/>
          <w:sz w:val="24"/>
          <w:szCs w:val="24"/>
        </w:rPr>
        <w:t xml:space="preserve"> На 1 януари 2019 г. Египет завърши процеса на пълно премахване на митата върху промишлените стоки, като премахна митата върху износа на автомобили от ЕС. През януари Европейската комисия започна </w:t>
      </w:r>
      <w:r>
        <w:rPr>
          <w:rFonts w:ascii="Times New Roman" w:hAnsi="Times New Roman"/>
          <w:b/>
          <w:noProof/>
          <w:color w:val="000000" w:themeColor="text1"/>
          <w:sz w:val="24"/>
          <w:szCs w:val="24"/>
        </w:rPr>
        <w:t>последваща оценка</w:t>
      </w:r>
      <w:r>
        <w:rPr>
          <w:rFonts w:ascii="Times New Roman" w:hAnsi="Times New Roman"/>
          <w:noProof/>
          <w:color w:val="000000" w:themeColor="text1"/>
          <w:sz w:val="24"/>
          <w:szCs w:val="24"/>
        </w:rPr>
        <w:t xml:space="preserve"> на шест търговски споразумения.  </w:t>
      </w:r>
      <w:r>
        <w:rPr>
          <w:rFonts w:ascii="Times New Roman" w:hAnsi="Times New Roman"/>
          <w:b/>
          <w:noProof/>
          <w:color w:val="000000" w:themeColor="text1"/>
          <w:sz w:val="24"/>
          <w:szCs w:val="24"/>
        </w:rPr>
        <w:t>Междинният доклад</w:t>
      </w:r>
      <w:r>
        <w:rPr>
          <w:rStyle w:val="FootnoteReference"/>
          <w:rFonts w:ascii="Times New Roman" w:hAnsi="Times New Roman" w:cs="Times New Roman"/>
          <w:noProof/>
          <w:color w:val="000000" w:themeColor="text1"/>
          <w:sz w:val="24"/>
          <w:szCs w:val="24"/>
          <w:lang w:val="en-GB"/>
        </w:rPr>
        <w:footnoteReference w:id="36"/>
      </w:r>
      <w:r>
        <w:rPr>
          <w:rFonts w:ascii="Times New Roman" w:hAnsi="Times New Roman"/>
          <w:noProof/>
          <w:color w:val="000000" w:themeColor="text1"/>
          <w:sz w:val="24"/>
          <w:szCs w:val="24"/>
        </w:rPr>
        <w:t xml:space="preserve"> бе публикуван през април 2020 г.</w:t>
      </w:r>
      <w:r>
        <w:rPr>
          <w:rFonts w:ascii="Times New Roman" w:hAnsi="Times New Roman"/>
          <w:noProof/>
          <w:sz w:val="24"/>
          <w:szCs w:val="24"/>
        </w:rPr>
        <w:t xml:space="preserve"> </w:t>
      </w:r>
      <w:r>
        <w:rPr>
          <w:rFonts w:ascii="Times New Roman" w:hAnsi="Times New Roman"/>
          <w:iCs/>
          <w:noProof/>
          <w:sz w:val="24"/>
          <w:szCs w:val="24"/>
        </w:rPr>
        <w:t xml:space="preserve">Предварителните констатации показват, че премахването на митата е довело до </w:t>
      </w:r>
      <w:r>
        <w:rPr>
          <w:rFonts w:ascii="Times New Roman" w:hAnsi="Times New Roman"/>
          <w:b/>
          <w:iCs/>
          <w:noProof/>
          <w:sz w:val="24"/>
          <w:szCs w:val="24"/>
        </w:rPr>
        <w:t>икономически ползи за държавите от Южното Средиземноморие и Близкия изток.</w:t>
      </w:r>
      <w:r>
        <w:rPr>
          <w:rFonts w:ascii="Times New Roman" w:hAnsi="Times New Roman"/>
          <w:b/>
          <w:bCs/>
          <w:noProof/>
          <w:sz w:val="24"/>
          <w:szCs w:val="24"/>
        </w:rPr>
        <w:t xml:space="preserve"> </w:t>
      </w:r>
      <w:r>
        <w:rPr>
          <w:rFonts w:ascii="Times New Roman" w:hAnsi="Times New Roman"/>
          <w:bCs/>
          <w:noProof/>
          <w:sz w:val="24"/>
          <w:szCs w:val="24"/>
        </w:rPr>
        <w:t>Окончателният доклад се очаква през декември 2020 г.</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Като се има предвид, че съществуващите търговски споразумения са насочени към търговията със стоки, в региона се инициират </w:t>
      </w:r>
      <w:r>
        <w:rPr>
          <w:rFonts w:ascii="Times New Roman" w:hAnsi="Times New Roman"/>
          <w:b/>
          <w:noProof/>
          <w:color w:val="000000" w:themeColor="text1"/>
          <w:sz w:val="24"/>
          <w:szCs w:val="24"/>
        </w:rPr>
        <w:t>или продължават някои двустранни преговори</w:t>
      </w:r>
      <w:r>
        <w:rPr>
          <w:rFonts w:ascii="Times New Roman" w:hAnsi="Times New Roman"/>
          <w:noProof/>
          <w:color w:val="000000" w:themeColor="text1"/>
          <w:sz w:val="24"/>
          <w:szCs w:val="24"/>
        </w:rPr>
        <w:t xml:space="preserve">, по-специално с Тунис и Мароко, за задълбочаване на ангажиментите и за разширяване на обхвата и към други области, като селското стопанство, услугите, инвестициите, търговските правила, регулаторното сближаване, търговията и устойчивото развитие. </w:t>
      </w:r>
    </w:p>
    <w:p>
      <w:pPr>
        <w:spacing w:after="0" w:line="264" w:lineRule="auto"/>
        <w:rPr>
          <w:rFonts w:ascii="Times New Roman" w:eastAsia="Times New Roman" w:hAnsi="Times New Roman" w:cs="Times New Roman"/>
          <w:b/>
          <w:noProof/>
          <w:sz w:val="24"/>
          <w:szCs w:val="24"/>
          <w:lang w:val="en-GB" w:eastAsia="en-GB"/>
        </w:rPr>
      </w:pPr>
    </w:p>
    <w:p>
      <w:pPr>
        <w:spacing w:after="0" w:line="264" w:lineRule="auto"/>
        <w:rPr>
          <w:rFonts w:ascii="Times New Roman" w:eastAsia="Times New Roman" w:hAnsi="Times New Roman" w:cs="Times New Roman"/>
          <w:b/>
          <w:noProof/>
          <w:sz w:val="24"/>
          <w:szCs w:val="24"/>
        </w:rPr>
      </w:pPr>
      <w:r>
        <w:rPr>
          <w:rFonts w:ascii="Times New Roman" w:hAnsi="Times New Roman"/>
          <w:b/>
          <w:noProof/>
          <w:sz w:val="24"/>
          <w:szCs w:val="24"/>
        </w:rPr>
        <w:t>Двустранна търговия: тенденции през 2019 г.</w:t>
      </w:r>
    </w:p>
    <w:p>
      <w:pPr>
        <w:tabs>
          <w:tab w:val="left" w:pos="5258"/>
        </w:tabs>
        <w:spacing w:after="0"/>
        <w:rPr>
          <w:rFonts w:ascii="Times New Roman" w:hAnsi="Times New Roman" w:cs="Times New Roman"/>
          <w:b/>
          <w:noProof/>
          <w:color w:val="000000" w:themeColor="text1"/>
          <w:sz w:val="24"/>
          <w:szCs w:val="24"/>
          <w:lang w:val="en-GB"/>
        </w:rPr>
      </w:pP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Въпреки че регионът представлява само 4 % от външната търговия на ЕС, той е много важен пазар за износа на ЕС, с </w:t>
      </w:r>
      <w:r>
        <w:rPr>
          <w:rFonts w:ascii="Times New Roman" w:hAnsi="Times New Roman"/>
          <w:b/>
          <w:noProof/>
          <w:color w:val="000000" w:themeColor="text1"/>
          <w:sz w:val="24"/>
          <w:szCs w:val="24"/>
        </w:rPr>
        <w:t xml:space="preserve">възможности особено за МСП в някои традиционни сектори, </w:t>
      </w:r>
      <w:r>
        <w:rPr>
          <w:rFonts w:ascii="Times New Roman" w:hAnsi="Times New Roman"/>
          <w:noProof/>
          <w:color w:val="000000" w:themeColor="text1"/>
          <w:sz w:val="24"/>
          <w:szCs w:val="24"/>
        </w:rPr>
        <w:t xml:space="preserve"> като </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текстил и керамика.  Регионът също остава важен източник за вноса, особено в </w:t>
      </w:r>
      <w:r>
        <w:rPr>
          <w:rFonts w:ascii="Times New Roman" w:hAnsi="Times New Roman"/>
          <w:noProof/>
          <w:sz w:val="24"/>
          <w:szCs w:val="24"/>
        </w:rPr>
        <w:t>секторите на енергетиката и продуктите на хранително-вкусовата промишленост</w:t>
      </w:r>
      <w:r>
        <w:rPr>
          <w:rFonts w:ascii="Times New Roman" w:hAnsi="Times New Roman"/>
          <w:noProof/>
          <w:color w:val="000000" w:themeColor="text1"/>
          <w:sz w:val="24"/>
          <w:szCs w:val="24"/>
        </w:rPr>
        <w:t xml:space="preserve">. </w:t>
      </w: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търговията между ЕС и региона възлиза приблизително на 150 млрд. евро с промишлени стоки и 15 млрд. евро със селскостопански стоки. </w:t>
      </w:r>
      <w:r>
        <w:rPr>
          <w:rFonts w:ascii="Times New Roman" w:hAnsi="Times New Roman"/>
          <w:b/>
          <w:noProof/>
          <w:color w:val="000000" w:themeColor="text1"/>
          <w:sz w:val="24"/>
          <w:szCs w:val="24"/>
        </w:rPr>
        <w:t>Търговията бележи лек спад в годишно изражение</w:t>
      </w:r>
      <w:r>
        <w:rPr>
          <w:rFonts w:ascii="Times New Roman" w:hAnsi="Times New Roman"/>
          <w:noProof/>
          <w:color w:val="000000" w:themeColor="text1"/>
          <w:sz w:val="24"/>
          <w:szCs w:val="24"/>
        </w:rPr>
        <w:t xml:space="preserve"> с 0,17 % или 248 млн. евро. Между 2018 и 2019 г. износът на ЕС за региона намаля с 0,38 % — от 100 млрд. евро на 99 млрд. евро, главно поради ограничителните мерки за търговията, наложени от някои държави.  Мароко, Израел и Алжир остават най-големите търговски партньори на ЕС в региона. </w:t>
      </w: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2019 г. Мароко е основният </w:t>
      </w:r>
      <w:r>
        <w:rPr>
          <w:rFonts w:ascii="Times New Roman" w:hAnsi="Times New Roman"/>
          <w:b/>
          <w:noProof/>
          <w:color w:val="000000" w:themeColor="text1"/>
          <w:sz w:val="24"/>
          <w:szCs w:val="24"/>
        </w:rPr>
        <w:t>пазар в региона за износ на ЕС</w:t>
      </w:r>
      <w:r>
        <w:rPr>
          <w:rFonts w:ascii="Times New Roman" w:hAnsi="Times New Roman"/>
          <w:noProof/>
          <w:color w:val="000000" w:themeColor="text1"/>
          <w:sz w:val="24"/>
          <w:szCs w:val="24"/>
        </w:rPr>
        <w:t>, следван от Израел и Египет.</w:t>
      </w:r>
    </w:p>
    <w:p>
      <w:pPr>
        <w:tabs>
          <w:tab w:val="left" w:pos="5258"/>
        </w:tabs>
        <w:jc w:val="center"/>
        <w:rPr>
          <w:rFonts w:ascii="Times New Roman" w:hAnsi="Times New Roman" w:cs="Times New Roman"/>
          <w:noProof/>
          <w:color w:val="000000" w:themeColor="text1"/>
          <w:sz w:val="24"/>
          <w:szCs w:val="24"/>
        </w:rPr>
      </w:pPr>
      <w:r>
        <w:rPr>
          <w:noProof/>
          <w:lang w:val="en-GB" w:eastAsia="en-GB"/>
        </w:rPr>
        <w:drawing>
          <wp:inline distT="0" distB="0" distL="0" distR="0">
            <wp:extent cx="5943600" cy="32693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269382"/>
                    </a:xfrm>
                    <a:prstGeom prst="rect">
                      <a:avLst/>
                    </a:prstGeom>
                    <a:noFill/>
                    <a:ln>
                      <a:noFill/>
                    </a:ln>
                  </pic:spPr>
                </pic:pic>
              </a:graphicData>
            </a:graphic>
          </wp:inline>
        </w:drawing>
      </w:r>
    </w:p>
    <w:p>
      <w:pPr>
        <w:tabs>
          <w:tab w:val="left" w:pos="5258"/>
        </w:tabs>
        <w:spacing w:after="0"/>
        <w:rPr>
          <w:rFonts w:ascii="Times New Roman" w:hAnsi="Times New Roman" w:cs="Times New Roman"/>
          <w:noProof/>
          <w:color w:val="000000" w:themeColor="text1"/>
          <w:lang w:val="en-GB"/>
        </w:rPr>
      </w:pP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Ако се разгледа </w:t>
      </w:r>
      <w:r>
        <w:rPr>
          <w:rFonts w:ascii="Times New Roman" w:hAnsi="Times New Roman"/>
          <w:b/>
          <w:noProof/>
          <w:color w:val="000000" w:themeColor="text1"/>
          <w:sz w:val="24"/>
          <w:szCs w:val="24"/>
        </w:rPr>
        <w:t>търговията по сектори</w:t>
      </w:r>
      <w:r>
        <w:rPr>
          <w:rFonts w:ascii="Times New Roman" w:hAnsi="Times New Roman"/>
          <w:noProof/>
          <w:color w:val="000000" w:themeColor="text1"/>
          <w:sz w:val="24"/>
          <w:szCs w:val="24"/>
        </w:rPr>
        <w:t xml:space="preserve">, 90 % от търговията на ЕС с региона е с промишлени стоки (енергиен сектор и промишлени стоки), като износът намалява с 0,5 %, а вносът е в застой. От друга страна, </w:t>
      </w:r>
      <w:r>
        <w:rPr>
          <w:rFonts w:ascii="Times New Roman" w:hAnsi="Times New Roman"/>
          <w:b/>
          <w:noProof/>
          <w:color w:val="000000" w:themeColor="text1"/>
          <w:sz w:val="24"/>
          <w:szCs w:val="24"/>
        </w:rPr>
        <w:t>търговията с продукти на хранително-вкусовата промишленост се увеличава с 6,2 %</w:t>
      </w:r>
      <w:r>
        <w:rPr>
          <w:rFonts w:ascii="Times New Roman" w:hAnsi="Times New Roman"/>
          <w:noProof/>
          <w:color w:val="000000" w:themeColor="text1"/>
          <w:sz w:val="24"/>
          <w:szCs w:val="24"/>
        </w:rPr>
        <w:t xml:space="preserve"> — 6,4 % за износа на ЕС или 623 млн. евро и 6 % за вноса. Това показва, че съществува </w:t>
      </w:r>
      <w:r>
        <w:rPr>
          <w:rFonts w:ascii="Times New Roman" w:hAnsi="Times New Roman"/>
          <w:b/>
          <w:noProof/>
          <w:color w:val="000000" w:themeColor="text1"/>
          <w:sz w:val="24"/>
          <w:szCs w:val="24"/>
        </w:rPr>
        <w:t>неизползван потенциал за по-нататъшно либерализиране на селскостопанската търговия</w:t>
      </w:r>
      <w:r>
        <w:rPr>
          <w:rFonts w:ascii="Times New Roman" w:hAnsi="Times New Roman"/>
          <w:noProof/>
          <w:color w:val="000000" w:themeColor="text1"/>
          <w:sz w:val="24"/>
          <w:szCs w:val="24"/>
        </w:rPr>
        <w:t>, особено за Тунис и Алжир</w:t>
      </w:r>
      <w:r>
        <w:rPr>
          <w:rStyle w:val="FootnoteReference"/>
          <w:rFonts w:ascii="Times New Roman" w:hAnsi="Times New Roman" w:cs="Times New Roman"/>
          <w:noProof/>
          <w:color w:val="000000" w:themeColor="text1"/>
          <w:sz w:val="24"/>
          <w:szCs w:val="24"/>
          <w:lang w:val="en-GB"/>
        </w:rPr>
        <w:footnoteReference w:id="37"/>
      </w:r>
      <w:r>
        <w:rPr>
          <w:noProof/>
        </w:rPr>
        <w:t>.</w:t>
      </w:r>
      <w:r>
        <w:rPr>
          <w:rFonts w:ascii="Times New Roman" w:hAnsi="Times New Roman"/>
          <w:noProof/>
          <w:color w:val="000000" w:themeColor="text1"/>
          <w:sz w:val="24"/>
          <w:szCs w:val="24"/>
        </w:rPr>
        <w:t xml:space="preserve"> Алжир и Израел бяха най-големите дестинации за продукти на хранително-вкусовата промишленост на ЕС в региона. Основният износ на ЕС е пшеница и други зърнени култури, детски храни и живи животни. </w:t>
      </w:r>
    </w:p>
    <w:p>
      <w:pPr>
        <w:spacing w:after="160"/>
        <w:rPr>
          <w:rFonts w:ascii="Times New Roman" w:hAnsi="Times New Roman" w:cs="Times New Roman"/>
          <w:noProof/>
          <w:sz w:val="24"/>
          <w:szCs w:val="24"/>
        </w:rPr>
      </w:pPr>
      <w:r>
        <w:rPr>
          <w:rFonts w:ascii="Times New Roman" w:hAnsi="Times New Roman"/>
          <w:noProof/>
          <w:sz w:val="24"/>
          <w:szCs w:val="24"/>
        </w:rPr>
        <w:t xml:space="preserve">Според </w:t>
      </w:r>
      <w:r>
        <w:rPr>
          <w:rFonts w:ascii="Times New Roman" w:hAnsi="Times New Roman"/>
          <w:i/>
          <w:noProof/>
          <w:sz w:val="24"/>
          <w:szCs w:val="24"/>
        </w:rPr>
        <w:t>индекса на Световната банка „Doing Business“ за 2020 г.</w:t>
      </w:r>
      <w:r>
        <w:rPr>
          <w:rFonts w:ascii="Times New Roman" w:hAnsi="Times New Roman"/>
          <w:noProof/>
          <w:sz w:val="24"/>
          <w:szCs w:val="24"/>
        </w:rPr>
        <w:t xml:space="preserve"> </w:t>
      </w:r>
      <w:r>
        <w:rPr>
          <w:rFonts w:ascii="Times New Roman" w:hAnsi="Times New Roman"/>
          <w:b/>
          <w:noProof/>
          <w:sz w:val="24"/>
          <w:szCs w:val="24"/>
        </w:rPr>
        <w:t>бизнес климатът за повечето държави от Южното Средиземноморие се е подобрил през 2019 г.</w:t>
      </w:r>
      <w:r>
        <w:rPr>
          <w:rFonts w:ascii="Times New Roman" w:hAnsi="Times New Roman"/>
          <w:noProof/>
          <w:sz w:val="24"/>
          <w:szCs w:val="24"/>
        </w:rPr>
        <w:t>, по-специално за Йордания, която е сред първите 10 подобряващи се държави</w:t>
      </w:r>
      <w:r>
        <w:rPr>
          <w:rStyle w:val="FootnoteReference"/>
          <w:rFonts w:ascii="Times New Roman" w:hAnsi="Times New Roman" w:cs="Times New Roman"/>
          <w:noProof/>
          <w:sz w:val="24"/>
          <w:szCs w:val="24"/>
          <w:lang w:val="en-GB" w:eastAsia="nl-NL"/>
        </w:rPr>
        <w:footnoteReference w:id="38"/>
      </w:r>
      <w:r>
        <w:rPr>
          <w:noProof/>
        </w:rPr>
        <w:t>.</w:t>
      </w:r>
      <w:r>
        <w:rPr>
          <w:rFonts w:ascii="Times New Roman" w:hAnsi="Times New Roman"/>
          <w:noProof/>
          <w:sz w:val="24"/>
          <w:szCs w:val="24"/>
        </w:rPr>
        <w:t xml:space="preserve"> През 2018 г. </w:t>
      </w:r>
      <w:r>
        <w:rPr>
          <w:rFonts w:ascii="Times New Roman" w:hAnsi="Times New Roman"/>
          <w:b/>
          <w:noProof/>
          <w:sz w:val="24"/>
          <w:szCs w:val="24"/>
        </w:rPr>
        <w:t>ЕС остава най-големият инвеститор в много от тези държави,</w:t>
      </w:r>
      <w:r>
        <w:rPr>
          <w:rFonts w:ascii="Times New Roman" w:hAnsi="Times New Roman"/>
          <w:noProof/>
          <w:sz w:val="24"/>
          <w:szCs w:val="24"/>
        </w:rPr>
        <w:t xml:space="preserve"> което представлява повече от половината ПЧИ в Мароко</w:t>
      </w:r>
      <w:r>
        <w:rPr>
          <w:rStyle w:val="FootnoteReference"/>
          <w:rFonts w:ascii="Times New Roman" w:hAnsi="Times New Roman" w:cs="Times New Roman"/>
          <w:noProof/>
          <w:sz w:val="24"/>
          <w:szCs w:val="24"/>
          <w:lang w:val="en-GB" w:eastAsia="nl-NL"/>
        </w:rPr>
        <w:footnoteReference w:id="39"/>
      </w:r>
      <w:r>
        <w:rPr>
          <w:rFonts w:ascii="Times New Roman" w:hAnsi="Times New Roman"/>
          <w:noProof/>
          <w:sz w:val="24"/>
          <w:szCs w:val="24"/>
        </w:rPr>
        <w:t xml:space="preserve"> и 85 % в Тунис</w:t>
      </w:r>
      <w:r>
        <w:rPr>
          <w:rStyle w:val="FootnoteReference"/>
          <w:rFonts w:ascii="Times New Roman" w:hAnsi="Times New Roman" w:cs="Times New Roman"/>
          <w:noProof/>
          <w:sz w:val="24"/>
          <w:szCs w:val="24"/>
          <w:lang w:val="en-GB" w:eastAsia="nl-NL"/>
        </w:rPr>
        <w:footnoteReference w:id="40"/>
      </w:r>
      <w:r>
        <w:rPr>
          <w:noProof/>
        </w:rPr>
        <w:t>.</w:t>
      </w:r>
      <w:r>
        <w:rPr>
          <w:rFonts w:ascii="Times New Roman" w:hAnsi="Times New Roman"/>
          <w:noProof/>
          <w:sz w:val="24"/>
          <w:szCs w:val="24"/>
        </w:rPr>
        <w:t xml:space="preserve"> В Египет ЕС е вторият по големина чуждестранен инвеститор с 21 % от ПЧИ след Обединеното кралство (39 %), с над 15 млрд. щатски долара (около 12,7 млрд. </w:t>
      </w:r>
      <w:r>
        <w:rPr>
          <w:rFonts w:ascii="Times New Roman" w:hAnsi="Times New Roman"/>
          <w:noProof/>
          <w:color w:val="000000" w:themeColor="text1"/>
          <w:sz w:val="24"/>
          <w:szCs w:val="24"/>
        </w:rPr>
        <w:t>евро</w:t>
      </w:r>
      <w:r>
        <w:rPr>
          <w:rFonts w:ascii="Times New Roman" w:hAnsi="Times New Roman"/>
          <w:noProof/>
          <w:sz w:val="24"/>
          <w:szCs w:val="24"/>
        </w:rPr>
        <w:t xml:space="preserve"> ), с 6 339 дружества, работещи там, които осигуряват повече от 192 000 работни места</w:t>
      </w:r>
      <w:r>
        <w:rPr>
          <w:rStyle w:val="FootnoteReference"/>
          <w:rFonts w:ascii="Times New Roman" w:hAnsi="Times New Roman" w:cs="Times New Roman"/>
          <w:noProof/>
          <w:sz w:val="24"/>
          <w:szCs w:val="24"/>
          <w:lang w:val="en-GB" w:eastAsia="nl-NL"/>
        </w:rPr>
        <w:footnoteReference w:id="41"/>
      </w:r>
      <w:r>
        <w:rPr>
          <w:noProof/>
        </w:rPr>
        <w:t>.</w:t>
      </w:r>
      <w:r>
        <w:rPr>
          <w:rFonts w:ascii="Times New Roman" w:hAnsi="Times New Roman"/>
          <w:noProof/>
          <w:sz w:val="24"/>
          <w:szCs w:val="24"/>
        </w:rPr>
        <w:t xml:space="preserve"> В Мароко </w:t>
      </w:r>
      <w:r>
        <w:rPr>
          <w:rFonts w:ascii="Times New Roman" w:hAnsi="Times New Roman"/>
          <w:noProof/>
          <w:color w:val="000000" w:themeColor="text1"/>
          <w:sz w:val="24"/>
          <w:szCs w:val="24"/>
        </w:rPr>
        <w:t>автомобилният сектор е създал повече от 85 000 преки работни места в периода 2014—2018 г., което е довело до общо 163 000 работни места в сектора през 2018 г.  Н</w:t>
      </w:r>
      <w:r>
        <w:rPr>
          <w:rFonts w:ascii="Times New Roman" w:hAnsi="Times New Roman"/>
          <w:noProof/>
          <w:sz w:val="24"/>
          <w:szCs w:val="24"/>
        </w:rPr>
        <w:t xml:space="preserve">якои държави, по-специално Израел, са важен източник на ПЧИ в ЕС. </w:t>
      </w:r>
    </w:p>
    <w:p>
      <w:pPr>
        <w:spacing w:after="0"/>
        <w:rPr>
          <w:rFonts w:ascii="Times New Roman" w:hAnsi="Times New Roman" w:cs="Times New Roman"/>
          <w:noProof/>
          <w:sz w:val="24"/>
          <w:szCs w:val="24"/>
          <w:lang w:val="en-GB" w:eastAsia="nl-NL"/>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Напредък в изпълнението през 2019 г.: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Египет</w:t>
      </w:r>
      <w:r>
        <w:rPr>
          <w:rFonts w:ascii="Times New Roman" w:hAnsi="Times New Roman"/>
          <w:noProof/>
          <w:sz w:val="24"/>
          <w:szCs w:val="24"/>
        </w:rPr>
        <w:t xml:space="preserve">, в резултат на засиления диалог на политическо и техническо равнище, премахна изискването за </w:t>
      </w:r>
      <w:r>
        <w:rPr>
          <w:rFonts w:ascii="Times New Roman" w:hAnsi="Times New Roman"/>
          <w:b/>
          <w:noProof/>
          <w:sz w:val="24"/>
          <w:szCs w:val="24"/>
        </w:rPr>
        <w:t>ветеринарни проверки на живи животни</w:t>
      </w:r>
      <w:r>
        <w:rPr>
          <w:rFonts w:ascii="Times New Roman" w:hAnsi="Times New Roman"/>
          <w:noProof/>
          <w:sz w:val="24"/>
          <w:szCs w:val="24"/>
        </w:rPr>
        <w:t xml:space="preserve"> в ЕС, предназначени за износ за държавата; Египет също така прие стандартите на ЕС за повечето от изискванията за посадъчен материал от картофи и улесни вноса на храни за кърмачета.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Тунис</w:t>
      </w:r>
      <w:r>
        <w:rPr>
          <w:rFonts w:ascii="Times New Roman" w:hAnsi="Times New Roman"/>
          <w:noProof/>
          <w:sz w:val="24"/>
          <w:szCs w:val="24"/>
        </w:rPr>
        <w:t xml:space="preserve">, след интервенции на ЕС в СТО и двустранно, </w:t>
      </w:r>
      <w:r>
        <w:rPr>
          <w:rFonts w:ascii="Times New Roman" w:hAnsi="Times New Roman"/>
          <w:b/>
          <w:noProof/>
          <w:sz w:val="24"/>
          <w:szCs w:val="24"/>
        </w:rPr>
        <w:t>премахна неавтоматичните лицензи за внос</w:t>
      </w:r>
      <w:r>
        <w:rPr>
          <w:rFonts w:ascii="Times New Roman" w:hAnsi="Times New Roman"/>
          <w:noProof/>
          <w:sz w:val="24"/>
          <w:szCs w:val="24"/>
        </w:rPr>
        <w:t xml:space="preserve"> за голямо разнообразие от продукти, които засягат огромна част от двустранната търговия с ЕС; тези мерки бяха несъвместими както с двустранното споразумение, така и с правилата на СТО. </w:t>
      </w:r>
    </w:p>
    <w:p>
      <w:pPr>
        <w:spacing w:after="0"/>
        <w:rPr>
          <w:rFonts w:ascii="Times New Roman" w:eastAsia="Calibri"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Основни нерешени въпроси — примери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Алжир</w:t>
      </w:r>
      <w:r>
        <w:rPr>
          <w:rFonts w:ascii="Times New Roman" w:hAnsi="Times New Roman"/>
          <w:noProof/>
          <w:sz w:val="24"/>
          <w:szCs w:val="24"/>
        </w:rPr>
        <w:t xml:space="preserve"> запази своята </w:t>
      </w:r>
      <w:r>
        <w:rPr>
          <w:rFonts w:ascii="Times New Roman" w:hAnsi="Times New Roman"/>
          <w:b/>
          <w:noProof/>
          <w:sz w:val="24"/>
          <w:szCs w:val="24"/>
        </w:rPr>
        <w:t>забрана за внос на превозни средства</w:t>
      </w:r>
      <w:r>
        <w:rPr>
          <w:rFonts w:ascii="Times New Roman" w:hAnsi="Times New Roman"/>
          <w:noProof/>
          <w:sz w:val="24"/>
          <w:szCs w:val="24"/>
        </w:rPr>
        <w:t xml:space="preserve"> (от 2015 г.) и лекарства, за които съществува еквивалент — местно производство. Таксите с равностоен на митата ефект остават в сила за над 900 продукта, докато за други 129 тарифни линии са наложени по-високи мита от разрешените съгласно споразумението за свободна търговия.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Египет</w:t>
      </w:r>
      <w:r>
        <w:rPr>
          <w:rFonts w:ascii="Times New Roman" w:hAnsi="Times New Roman"/>
          <w:noProof/>
          <w:sz w:val="24"/>
          <w:szCs w:val="24"/>
        </w:rPr>
        <w:t xml:space="preserve">запази и удължи своята </w:t>
      </w:r>
      <w:r>
        <w:rPr>
          <w:rFonts w:ascii="Times New Roman" w:hAnsi="Times New Roman"/>
          <w:b/>
          <w:noProof/>
          <w:sz w:val="24"/>
          <w:szCs w:val="24"/>
        </w:rPr>
        <w:t>регистрационна схема и своите предекспедиционни проверки</w:t>
      </w:r>
      <w:r>
        <w:rPr>
          <w:rFonts w:ascii="Times New Roman" w:hAnsi="Times New Roman"/>
          <w:noProof/>
          <w:sz w:val="24"/>
          <w:szCs w:val="24"/>
        </w:rPr>
        <w:t xml:space="preserve"> за 25 категории промишлени стоки (в сила от 2016 г.). Създаването на специален комитет по регистрация в Министерството на търговията и промишлеността на Египет през април 2019 г. обаче беше стъпка напред, тъй като даде възможност за ускоряване на регистрацията на някои износители от ЕС.</w:t>
      </w:r>
    </w:p>
    <w:p>
      <w:pPr>
        <w:spacing w:after="0"/>
        <w:rPr>
          <w:noProof/>
          <w:lang w:val="en-GB"/>
        </w:rPr>
      </w:pP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Честите контакти на техническо равнище, но също и </w:t>
      </w:r>
      <w:r>
        <w:rPr>
          <w:rFonts w:ascii="Times New Roman" w:hAnsi="Times New Roman"/>
          <w:b/>
          <w:noProof/>
          <w:color w:val="000000" w:themeColor="text1"/>
          <w:sz w:val="24"/>
          <w:szCs w:val="24"/>
        </w:rPr>
        <w:t>на равнище министри</w:t>
      </w:r>
      <w:r>
        <w:rPr>
          <w:rFonts w:ascii="Times New Roman" w:hAnsi="Times New Roman"/>
          <w:noProof/>
          <w:color w:val="000000" w:themeColor="text1"/>
          <w:sz w:val="24"/>
          <w:szCs w:val="24"/>
        </w:rPr>
        <w:t xml:space="preserve"> през последното десетилетие и половина помогнаха за изграждането на по-тясно партньорство между ЕС и неговите партньори от Средиземноморието и Близкия изток на </w:t>
      </w:r>
      <w:r>
        <w:rPr>
          <w:rFonts w:ascii="Times New Roman" w:hAnsi="Times New Roman"/>
          <w:b/>
          <w:noProof/>
          <w:color w:val="000000" w:themeColor="text1"/>
          <w:sz w:val="24"/>
          <w:szCs w:val="24"/>
        </w:rPr>
        <w:t>многостранно равнище</w:t>
      </w:r>
      <w:r>
        <w:rPr>
          <w:rFonts w:ascii="Times New Roman" w:hAnsi="Times New Roman"/>
          <w:noProof/>
          <w:color w:val="000000" w:themeColor="text1"/>
          <w:sz w:val="24"/>
          <w:szCs w:val="24"/>
        </w:rPr>
        <w:t xml:space="preserve">. Като пример, ЕС помага на Алжир и Ливан с молбите им да се присъединят към СТО и подкрепя искането на Палестина за статут на наблюдател в Генералния съвет на СТО и неговите спомагателни органи. </w:t>
      </w:r>
    </w:p>
    <w:p>
      <w:pPr>
        <w:pStyle w:val="Heading3"/>
        <w:rPr>
          <w:noProof/>
        </w:rPr>
      </w:pPr>
      <w:bookmarkStart w:id="15" w:name="_Toc55319753"/>
      <w:r>
        <w:rPr>
          <w:noProof/>
        </w:rPr>
        <w:t>3.3.2 Грузия, Молдова, Украйна</w:t>
      </w:r>
      <w:bookmarkEnd w:id="15"/>
      <w:r>
        <w:rPr>
          <w:noProof/>
        </w:rPr>
        <w:t xml:space="preserve"> </w:t>
      </w:r>
    </w:p>
    <w:p>
      <w:pPr>
        <w:rPr>
          <w:rFonts w:ascii="Times New Roman" w:hAnsi="Times New Roman" w:cs="Times New Roman"/>
          <w:noProof/>
          <w:color w:val="000000" w:themeColor="text1"/>
          <w:sz w:val="24"/>
          <w:szCs w:val="24"/>
        </w:rPr>
      </w:pPr>
      <w:r>
        <w:rPr>
          <w:rFonts w:ascii="Times New Roman" w:hAnsi="Times New Roman"/>
          <w:b/>
          <w:noProof/>
          <w:sz w:val="24"/>
          <w:szCs w:val="24"/>
        </w:rPr>
        <w:t>Задълбочените и всеобхватни зони за свободна търговия</w:t>
      </w:r>
      <w:r>
        <w:rPr>
          <w:rFonts w:ascii="Times New Roman" w:hAnsi="Times New Roman"/>
          <w:noProof/>
          <w:sz w:val="24"/>
          <w:szCs w:val="24"/>
        </w:rPr>
        <w:t xml:space="preserve"> (ЗВЗСТ), прилагани между ЕС, Грузия и Молдова от 2016 г. насам и Украйна от 2017 г. насам, формират </w:t>
      </w:r>
      <w:r>
        <w:rPr>
          <w:rFonts w:ascii="Times New Roman" w:hAnsi="Times New Roman"/>
          <w:noProof/>
          <w:color w:val="000000" w:themeColor="text1"/>
          <w:sz w:val="24"/>
          <w:szCs w:val="24"/>
        </w:rPr>
        <w:t xml:space="preserve">част от по-широката </w:t>
      </w:r>
      <w:r>
        <w:rPr>
          <w:rFonts w:ascii="Times New Roman" w:hAnsi="Times New Roman"/>
          <w:b/>
          <w:noProof/>
          <w:color w:val="000000" w:themeColor="text1"/>
          <w:sz w:val="24"/>
          <w:szCs w:val="24"/>
        </w:rPr>
        <w:t>рамка на Източното партньорство,</w:t>
      </w:r>
      <w:r>
        <w:rPr>
          <w:rFonts w:ascii="Times New Roman" w:hAnsi="Times New Roman"/>
          <w:noProof/>
          <w:color w:val="000000" w:themeColor="text1"/>
          <w:sz w:val="24"/>
          <w:szCs w:val="24"/>
        </w:rPr>
        <w:t xml:space="preserve"> съвместна инициатива на политиката, която започна през 2009 г. с цел задълбочаване и укрепване на отношенията между ЕС и неговите държави членки и шестте им източни съседи</w:t>
      </w:r>
      <w:r>
        <w:rPr>
          <w:rStyle w:val="FootnoteReference"/>
          <w:rFonts w:ascii="Times New Roman" w:hAnsi="Times New Roman" w:cs="Times New Roman"/>
          <w:noProof/>
          <w:color w:val="000000" w:themeColor="text1"/>
          <w:sz w:val="24"/>
          <w:szCs w:val="24"/>
        </w:rPr>
        <w:footnoteReference w:id="42"/>
      </w:r>
      <w:r>
        <w:rPr>
          <w:rFonts w:ascii="Times New Roman" w:hAnsi="Times New Roman"/>
          <w:noProof/>
          <w:color w:val="000000" w:themeColor="text1"/>
          <w:sz w:val="24"/>
          <w:szCs w:val="24"/>
        </w:rPr>
        <w:t xml:space="preserve">.  ЗВЗСТ са основни инструменти не само за взаимен достъп до пазара, но и за постигане на дневен ред на ценностите, за утвърждаване на демокрацията и за прозрачни и независими институционални структури, както и за подпомагане на държавите партньори да трансформират икономиките си и да участват в по-голяма степен в международната търговия. ЗВЗСТ имат два ключови елемента:  </w:t>
      </w:r>
      <w:r>
        <w:rPr>
          <w:rFonts w:ascii="Times New Roman" w:hAnsi="Times New Roman"/>
          <w:b/>
          <w:noProof/>
          <w:color w:val="000000" w:themeColor="text1"/>
          <w:sz w:val="24"/>
          <w:szCs w:val="24"/>
        </w:rPr>
        <w:t>либерализация на търговията</w:t>
      </w:r>
      <w:r>
        <w:rPr>
          <w:rFonts w:ascii="Times New Roman" w:hAnsi="Times New Roman"/>
          <w:noProof/>
          <w:color w:val="000000" w:themeColor="text1"/>
          <w:sz w:val="24"/>
          <w:szCs w:val="24"/>
        </w:rPr>
        <w:t xml:space="preserve"> и </w:t>
      </w:r>
      <w:r>
        <w:rPr>
          <w:rFonts w:ascii="Times New Roman" w:hAnsi="Times New Roman"/>
          <w:b/>
          <w:noProof/>
          <w:color w:val="000000" w:themeColor="text1"/>
          <w:sz w:val="24"/>
          <w:szCs w:val="24"/>
        </w:rPr>
        <w:t>регулаторно сближаване.</w:t>
      </w:r>
    </w:p>
    <w:p>
      <w:pPr>
        <w:rPr>
          <w:rFonts w:ascii="Times New Roman" w:hAnsi="Times New Roman" w:cs="Times New Roman"/>
          <w:noProof/>
          <w:sz w:val="24"/>
          <w:szCs w:val="24"/>
        </w:rPr>
      </w:pPr>
      <w:r>
        <w:rPr>
          <w:rFonts w:ascii="Times New Roman" w:hAnsi="Times New Roman"/>
          <w:b/>
          <w:noProof/>
          <w:color w:val="000000" w:themeColor="text1"/>
          <w:sz w:val="24"/>
          <w:szCs w:val="24"/>
        </w:rPr>
        <w:t>Либерализация на търговията</w:t>
      </w:r>
      <w:r>
        <w:rPr>
          <w:rFonts w:ascii="Times New Roman" w:hAnsi="Times New Roman"/>
          <w:noProof/>
          <w:color w:val="000000" w:themeColor="text1"/>
          <w:sz w:val="24"/>
          <w:szCs w:val="24"/>
        </w:rPr>
        <w:t xml:space="preserve"> (компонентът „свободна търговия“ на ЗВЗСТ) означава премахване на митата и намаляване на нетарифните пречки пред търговията със стоки, услугите и инвестициите, като по този начин се увеличава пазарният достъп на стоки и услуги за двете страни. Страните по всяко от споразуменията редовно обменят информация и наблюдават развитието на търговията. </w:t>
      </w:r>
      <w:r>
        <w:rPr>
          <w:rFonts w:ascii="Times New Roman" w:hAnsi="Times New Roman"/>
          <w:noProof/>
          <w:sz w:val="24"/>
          <w:szCs w:val="24"/>
        </w:rPr>
        <w:t>И за трите държави от ЗВЗСТ ЕС е най-големият търговски партньор. Общата търговия с държавите от ЗВЗСТ като цяло леко се увеличава всяка година, като през 2019 г. достигна 50,6 млрд. евро. Двустранният стокообмен между ЕС и Украйна постоянно се увеличава и в двете посоки и през 2019 г. достигна 43,3 млрд. евро. Украйна е също така 4-ят</w:t>
      </w:r>
      <w:r>
        <w:rPr>
          <w:rFonts w:ascii="Times New Roman" w:hAnsi="Times New Roman"/>
          <w:noProof/>
          <w:sz w:val="24"/>
          <w:szCs w:val="24"/>
          <w:vertAlign w:val="superscript"/>
        </w:rPr>
        <w:t xml:space="preserve"> </w:t>
      </w:r>
      <w:r>
        <w:rPr>
          <w:rFonts w:ascii="Times New Roman" w:hAnsi="Times New Roman"/>
          <w:noProof/>
          <w:sz w:val="24"/>
          <w:szCs w:val="24"/>
        </w:rPr>
        <w:t>по големина износител на селскостопански продукти за ЕС. През 2019 г. общата търговия между ЕС и Грузия намаля с 3 % на годишна основа, като достигна 2,6 млрд. евро, а общата търговия между ЕС и Молдова нарасна с 3,9 % спрямо 2018 г. и достигна малко над 4,7 млрд. евро.</w:t>
      </w:r>
    </w:p>
    <w:p>
      <w:pP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Регулаторното сближаване</w:t>
      </w:r>
      <w:r>
        <w:rPr>
          <w:rFonts w:ascii="Times New Roman" w:hAnsi="Times New Roman"/>
          <w:noProof/>
          <w:color w:val="000000" w:themeColor="text1"/>
          <w:sz w:val="24"/>
          <w:szCs w:val="24"/>
        </w:rPr>
        <w:t xml:space="preserve"> е </w:t>
      </w:r>
      <w:r>
        <w:rPr>
          <w:rFonts w:ascii="Times New Roman" w:hAnsi="Times New Roman"/>
          <w:b/>
          <w:noProof/>
          <w:color w:val="000000" w:themeColor="text1"/>
          <w:sz w:val="24"/>
          <w:szCs w:val="24"/>
        </w:rPr>
        <w:t>„дълбок и цялостен“</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компонент</w:t>
      </w:r>
      <w:r>
        <w:rPr>
          <w:rFonts w:ascii="Times New Roman" w:hAnsi="Times New Roman"/>
          <w:noProof/>
          <w:color w:val="000000" w:themeColor="text1"/>
          <w:sz w:val="24"/>
          <w:szCs w:val="24"/>
        </w:rPr>
        <w:t xml:space="preserve"> на ЗВЗСТ. Държавите партньори на ЕС се ангажират да сближат законодателството си със законодателството на ЕС („достижения на правото на ЕС“) в някои свързани с търговията области на политиката, като санитарни и фитосанитарни въпроси, технически спецификации и стандарти (намаляване на техническите пречки пред търговията), обществените поръчки, услугите и митническите процедури. Съответните закони на ЕС са изброени в приложенията към споразумението за асоцииране/ЗВЗСТ, които се актуализират редовно. Европейската комисия наблюдава процеса, като взема предвид развитието на достиженията на правото на ЕС в областите, обхванати от споразумението за асоцииране/ЗВЗСТ.</w:t>
      </w:r>
    </w:p>
    <w:p>
      <w:pPr>
        <w:spacing w:after="0"/>
        <w:rPr>
          <w:rFonts w:ascii="Times New Roman" w:hAnsi="Times New Roman" w:cs="Times New Roman"/>
          <w:noProof/>
          <w:color w:val="000000" w:themeColor="text1"/>
          <w:sz w:val="24"/>
          <w:szCs w:val="24"/>
          <w:lang w:val="en-GB"/>
        </w:rPr>
      </w:pPr>
    </w:p>
    <w:p>
      <w:p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Напредък в регулаторното сближаване през 2019 г. — примери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Украйна</w:t>
      </w:r>
      <w:r>
        <w:rPr>
          <w:rFonts w:ascii="Times New Roman" w:hAnsi="Times New Roman"/>
          <w:noProof/>
          <w:sz w:val="24"/>
          <w:szCs w:val="24"/>
        </w:rPr>
        <w:t xml:space="preserve"> прие </w:t>
      </w:r>
      <w:r>
        <w:rPr>
          <w:rFonts w:ascii="Times New Roman" w:hAnsi="Times New Roman"/>
          <w:b/>
          <w:noProof/>
          <w:sz w:val="24"/>
          <w:szCs w:val="24"/>
        </w:rPr>
        <w:t>стратегия по санитарните и фитосанитарните въпроси</w:t>
      </w:r>
      <w:r>
        <w:rPr>
          <w:rFonts w:ascii="Times New Roman" w:hAnsi="Times New Roman"/>
          <w:noProof/>
          <w:sz w:val="24"/>
          <w:szCs w:val="24"/>
        </w:rPr>
        <w:t xml:space="preserve">, съдържаща над 240 закона на ЕС, които понастоящем се прилагат от Украйна, и за първи път включително стандартите за хуманно отношение към животните. По този начин ЕС предоставя както човешка, така и финансова подкрепа на Украйна. Грузия и Молдова също се ангажираха да приведат националното си законодателство в съответствие с това на ЕС.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ЕС и </w:t>
      </w:r>
      <w:r>
        <w:rPr>
          <w:rFonts w:ascii="Times New Roman" w:hAnsi="Times New Roman"/>
          <w:b/>
          <w:noProof/>
          <w:sz w:val="24"/>
          <w:szCs w:val="24"/>
        </w:rPr>
        <w:t>Молдова</w:t>
      </w:r>
      <w:r>
        <w:rPr>
          <w:rFonts w:ascii="Times New Roman" w:hAnsi="Times New Roman"/>
          <w:noProof/>
          <w:sz w:val="24"/>
          <w:szCs w:val="24"/>
        </w:rPr>
        <w:t xml:space="preserve"> приеха да </w:t>
      </w:r>
      <w:r>
        <w:rPr>
          <w:rFonts w:ascii="Times New Roman" w:hAnsi="Times New Roman"/>
          <w:b/>
          <w:noProof/>
          <w:sz w:val="24"/>
          <w:szCs w:val="24"/>
        </w:rPr>
        <w:t>разширят някои от своите тарифни отстъпки</w:t>
      </w:r>
      <w:r>
        <w:rPr>
          <w:rFonts w:ascii="Times New Roman" w:hAnsi="Times New Roman"/>
          <w:noProof/>
          <w:sz w:val="24"/>
          <w:szCs w:val="24"/>
        </w:rPr>
        <w:t xml:space="preserve">, като Молдова увеличи тарифните квоти, първоначално договорени по механизма за преразглеждане, предвиден в ЗВЗСТ. Това ще осигури допълнителни възможности за износ на местните земеделски стопани и производители.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Грузия</w:t>
      </w:r>
      <w:r>
        <w:rPr>
          <w:rFonts w:ascii="Times New Roman" w:hAnsi="Times New Roman"/>
          <w:noProof/>
          <w:sz w:val="24"/>
          <w:szCs w:val="24"/>
        </w:rPr>
        <w:t xml:space="preserve"> отбеляза добър напредък по </w:t>
      </w:r>
      <w:r>
        <w:rPr>
          <w:rFonts w:ascii="Times New Roman" w:hAnsi="Times New Roman"/>
          <w:b/>
          <w:noProof/>
          <w:sz w:val="24"/>
          <w:szCs w:val="24"/>
        </w:rPr>
        <w:t>реформите в сферата на труда</w:t>
      </w:r>
      <w:r>
        <w:rPr>
          <w:rFonts w:ascii="Times New Roman" w:hAnsi="Times New Roman"/>
          <w:noProof/>
          <w:sz w:val="24"/>
          <w:szCs w:val="24"/>
        </w:rPr>
        <w:t xml:space="preserve">: През 2019 г. бяха приети изменения в националното трудово законодателство (Кодекса на труда и Закона за здравословни и безопасни условия на труд), които го доближават до основните конвенции на МОТ и стандартите на ЕС, включително по отношение на инспекциите по труда.  </w:t>
      </w:r>
    </w:p>
    <w:p>
      <w:pPr>
        <w:rPr>
          <w:rFonts w:ascii="Times New Roman" w:hAnsi="Times New Roman" w:cs="Times New Roman"/>
          <w:b/>
          <w:noProof/>
          <w:sz w:val="24"/>
          <w:szCs w:val="24"/>
          <w:lang w:val="en-GB"/>
        </w:rPr>
      </w:pPr>
    </w:p>
    <w:p>
      <w:pPr>
        <w:pStyle w:val="Heading3"/>
        <w:rPr>
          <w:noProof/>
        </w:rPr>
      </w:pPr>
      <w:bookmarkStart w:id="16" w:name="_Toc55319754"/>
      <w:r>
        <w:rPr>
          <w:noProof/>
        </w:rPr>
        <w:t>3.3.3 Западни Балкани</w:t>
      </w:r>
      <w:bookmarkEnd w:id="16"/>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ЕС сключи </w:t>
      </w:r>
      <w:r>
        <w:rPr>
          <w:rFonts w:ascii="Times New Roman" w:hAnsi="Times New Roman"/>
          <w:b/>
          <w:noProof/>
          <w:color w:val="000000" w:themeColor="text1"/>
          <w:sz w:val="24"/>
          <w:szCs w:val="24"/>
        </w:rPr>
        <w:t>споразумения за стабилизиране и асоцииране</w:t>
      </w:r>
      <w:r>
        <w:rPr>
          <w:rFonts w:ascii="Times New Roman" w:hAnsi="Times New Roman"/>
          <w:noProof/>
          <w:color w:val="000000" w:themeColor="text1"/>
          <w:sz w:val="24"/>
          <w:szCs w:val="24"/>
        </w:rPr>
        <w:t xml:space="preserve"> (ССА) с всичките шест държави от Западните Балкани: Албания, Босна и Херцеговина, Северна Македония, Черна гора, Сърбия и Косово. Всички държави от Западните Балкани имат ясна европейска перспектива, която последно беше потвърдена на срещата на върха на Западните Балкани от 6 май 2020 г. Това е отразено в съдържанието и обхвата на ССА, които </w:t>
      </w:r>
      <w:r>
        <w:rPr>
          <w:rFonts w:ascii="Times New Roman" w:hAnsi="Times New Roman"/>
          <w:b/>
          <w:noProof/>
          <w:color w:val="000000" w:themeColor="text1"/>
          <w:sz w:val="24"/>
          <w:szCs w:val="24"/>
        </w:rPr>
        <w:t>съдържат елементи, надхвърлящи други преференциални търговски споразумения</w:t>
      </w:r>
      <w:r>
        <w:rPr>
          <w:rFonts w:ascii="Times New Roman" w:hAnsi="Times New Roman"/>
          <w:noProof/>
          <w:color w:val="000000" w:themeColor="text1"/>
          <w:sz w:val="24"/>
          <w:szCs w:val="24"/>
        </w:rPr>
        <w:t xml:space="preserve">, тъй като предвиждат </w:t>
      </w:r>
      <w:r>
        <w:rPr>
          <w:rFonts w:ascii="Times New Roman" w:hAnsi="Times New Roman"/>
          <w:b/>
          <w:noProof/>
          <w:color w:val="000000" w:themeColor="text1"/>
          <w:sz w:val="24"/>
          <w:szCs w:val="24"/>
        </w:rPr>
        <w:t>привеждането на законодателството</w:t>
      </w:r>
      <w:r>
        <w:rPr>
          <w:rFonts w:ascii="Times New Roman" w:hAnsi="Times New Roman"/>
          <w:noProof/>
          <w:color w:val="000000" w:themeColor="text1"/>
          <w:sz w:val="24"/>
          <w:szCs w:val="24"/>
        </w:rPr>
        <w:t xml:space="preserve"> в съответствие с достиженията на правото на ЕС. ССА предвиждат също премахване на всички количествени ограничения.  Те обаче не съдържат някои други елементи от по-новите преференциални търговски споразумения на ЕС, като разпоредби относно търговията и устойчивото развитие.</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последните 10 години ССА са улеснили търговията между ЕС и региона, като допринасят за увеличение с почти 130 %, като достигат 55 млрд. евро през 2019 г., т.е. увеличение от 3,8 % в сравнение с 2018 г. Най-търгуваните продукти са машини, неблагородни метали, минерални и химически продукти. През 2019 г. износът на ЕС за Западните Балкани нарасна с 4,4 %, което доведе до търговски излишък за ЕС от 8,9 млрд. евро.  Вносът от Западните Балкани нарасна с 3 %. </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Въпреки че шестте държави от Западните Балкани заедно представляват само 1,4 % от общата търговия на ЕС, ефективното изпълнение на ССА е изключително важно средство за по-нататъшно интегриране на тези съседни държави на пазара на ЕС, като подобрява бизнес и инвестиционния климат и насърчава спазването на стандартите на ЕС. За всяка от държавите от Западните Балкани ЕС е водещ търговски партньор, който представлява почти 70 % от общата търговия на региона. </w:t>
      </w:r>
    </w:p>
    <w:p>
      <w:pPr>
        <w:pStyle w:val="Heading3"/>
        <w:rPr>
          <w:noProof/>
        </w:rPr>
      </w:pPr>
      <w:bookmarkStart w:id="17" w:name="_Toc55319755"/>
      <w:r>
        <w:rPr>
          <w:noProof/>
        </w:rPr>
        <w:t>3.3.4 Швейцария</w:t>
      </w:r>
      <w:bookmarkEnd w:id="17"/>
    </w:p>
    <w:p>
      <w:pPr>
        <w:rPr>
          <w:rFonts w:ascii="Times New Roman" w:eastAsia="Calibri" w:hAnsi="Times New Roman" w:cs="Times New Roman"/>
          <w:noProof/>
          <w:sz w:val="24"/>
          <w:szCs w:val="24"/>
        </w:rPr>
      </w:pPr>
      <w:r>
        <w:rPr>
          <w:rFonts w:ascii="Times New Roman" w:hAnsi="Times New Roman"/>
          <w:noProof/>
          <w:sz w:val="24"/>
          <w:szCs w:val="24"/>
        </w:rPr>
        <w:t xml:space="preserve">През 2019 г. общата двустранна търговия със </w:t>
      </w:r>
      <w:r>
        <w:rPr>
          <w:rFonts w:ascii="Times New Roman" w:hAnsi="Times New Roman"/>
          <w:b/>
          <w:noProof/>
          <w:sz w:val="24"/>
          <w:szCs w:val="24"/>
        </w:rPr>
        <w:t>стоки</w:t>
      </w:r>
      <w:r>
        <w:rPr>
          <w:rFonts w:ascii="Times New Roman" w:hAnsi="Times New Roman"/>
          <w:noProof/>
          <w:sz w:val="24"/>
          <w:szCs w:val="24"/>
        </w:rPr>
        <w:t xml:space="preserve"> с Швейцария превиши 257 млрд. евро, което прави </w:t>
      </w:r>
      <w:r>
        <w:rPr>
          <w:rFonts w:ascii="Times New Roman" w:hAnsi="Times New Roman"/>
          <w:b/>
          <w:noProof/>
          <w:sz w:val="24"/>
          <w:szCs w:val="24"/>
        </w:rPr>
        <w:t>Швейцария четвъртия по големина търговски партньор на ЕС като цяло</w:t>
      </w:r>
      <w:r>
        <w:rPr>
          <w:rFonts w:ascii="Times New Roman" w:hAnsi="Times New Roman"/>
          <w:noProof/>
          <w:sz w:val="24"/>
          <w:szCs w:val="24"/>
        </w:rPr>
        <w:t xml:space="preserve">, и държавата — най-голям търговски партньор в ЕС по преференциални търговски споразумения. В сравнение с 2018 г. </w:t>
      </w:r>
      <w:r>
        <w:rPr>
          <w:rFonts w:ascii="Times New Roman" w:hAnsi="Times New Roman"/>
          <w:b/>
          <w:noProof/>
          <w:sz w:val="24"/>
          <w:szCs w:val="24"/>
        </w:rPr>
        <w:t>двустранните търговски потоци нараснаха</w:t>
      </w:r>
      <w:r>
        <w:rPr>
          <w:rFonts w:ascii="Times New Roman" w:hAnsi="Times New Roman"/>
          <w:noProof/>
          <w:sz w:val="24"/>
          <w:szCs w:val="24"/>
        </w:rPr>
        <w:t xml:space="preserve"> с 9 %, а </w:t>
      </w:r>
      <w:r>
        <w:rPr>
          <w:rFonts w:ascii="Times New Roman" w:hAnsi="Times New Roman"/>
          <w:b/>
          <w:noProof/>
          <w:sz w:val="24"/>
          <w:szCs w:val="24"/>
        </w:rPr>
        <w:t>ЕС</w:t>
      </w:r>
      <w:r>
        <w:rPr>
          <w:rFonts w:ascii="Times New Roman" w:hAnsi="Times New Roman"/>
          <w:noProof/>
          <w:sz w:val="24"/>
          <w:szCs w:val="24"/>
        </w:rPr>
        <w:t xml:space="preserve"> запази търговски </w:t>
      </w:r>
      <w:r>
        <w:rPr>
          <w:rFonts w:ascii="Times New Roman" w:hAnsi="Times New Roman"/>
          <w:b/>
          <w:noProof/>
          <w:sz w:val="24"/>
          <w:szCs w:val="24"/>
        </w:rPr>
        <w:t>излишък</w:t>
      </w:r>
      <w:r>
        <w:rPr>
          <w:rFonts w:ascii="Times New Roman" w:hAnsi="Times New Roman"/>
          <w:noProof/>
          <w:sz w:val="24"/>
          <w:szCs w:val="24"/>
        </w:rPr>
        <w:t xml:space="preserve"> от порядъка на 36 млрд. евро.</w:t>
      </w:r>
    </w:p>
    <w:p>
      <w:pPr>
        <w:jc w:val="left"/>
        <w:rPr>
          <w:rFonts w:ascii="Times New Roman" w:eastAsia="Calibri" w:hAnsi="Times New Roman" w:cs="Times New Roman"/>
          <w:noProof/>
          <w:sz w:val="24"/>
          <w:szCs w:val="24"/>
          <w:lang w:val="en-GB"/>
        </w:rPr>
      </w:pPr>
    </w:p>
    <w:p>
      <w:pPr>
        <w:jc w:val="left"/>
        <w:rPr>
          <w:noProof/>
        </w:rPr>
      </w:pPr>
      <w:r>
        <w:rPr>
          <w:noProof/>
          <w:lang w:val="en-GB" w:eastAsia="en-GB"/>
        </w:rPr>
        <w:drawing>
          <wp:inline distT="0" distB="0" distL="0" distR="0">
            <wp:extent cx="3274060" cy="22523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4060" cy="2252345"/>
                    </a:xfrm>
                    <a:prstGeom prst="rect">
                      <a:avLst/>
                    </a:prstGeom>
                    <a:noFill/>
                    <a:ln>
                      <a:noFill/>
                    </a:ln>
                  </pic:spPr>
                </pic:pic>
              </a:graphicData>
            </a:graphic>
          </wp:inline>
        </w:drawing>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С търговия с услуги на стойност над 170 млрд. евро през 2018 г., </w:t>
      </w:r>
      <w:r>
        <w:rPr>
          <w:rFonts w:ascii="Times New Roman" w:hAnsi="Times New Roman"/>
          <w:b/>
          <w:noProof/>
          <w:sz w:val="24"/>
          <w:szCs w:val="24"/>
        </w:rPr>
        <w:t>Швейцария е третият най-важен търговски партньор на ЕС за</w:t>
      </w:r>
      <w:r>
        <w:rPr>
          <w:rFonts w:ascii="Times New Roman" w:hAnsi="Times New Roman"/>
          <w:noProof/>
          <w:sz w:val="24"/>
          <w:szCs w:val="24"/>
        </w:rPr>
        <w:t xml:space="preserve"> </w:t>
      </w:r>
      <w:r>
        <w:rPr>
          <w:rFonts w:ascii="Times New Roman" w:hAnsi="Times New Roman"/>
          <w:b/>
          <w:noProof/>
          <w:sz w:val="24"/>
          <w:szCs w:val="24"/>
        </w:rPr>
        <w:t>услуги</w:t>
      </w:r>
      <w:r>
        <w:rPr>
          <w:rFonts w:ascii="Times New Roman" w:hAnsi="Times New Roman"/>
          <w:noProof/>
          <w:sz w:val="24"/>
          <w:szCs w:val="24"/>
        </w:rPr>
        <w:t>. ЕС отбеляза излишък от 39,5 млрд. евро.</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Като се има предвид много високото ниво на интеграция между ЕС и Швейцария, последната също е много важен партньор по отношение на </w:t>
      </w:r>
      <w:r>
        <w:rPr>
          <w:rFonts w:ascii="Times New Roman" w:hAnsi="Times New Roman"/>
          <w:b/>
          <w:noProof/>
          <w:sz w:val="24"/>
          <w:szCs w:val="24"/>
        </w:rPr>
        <w:t>инвестициите</w:t>
      </w:r>
      <w:r>
        <w:rPr>
          <w:rFonts w:ascii="Times New Roman" w:hAnsi="Times New Roman"/>
          <w:noProof/>
          <w:sz w:val="24"/>
          <w:szCs w:val="24"/>
        </w:rPr>
        <w:t xml:space="preserve">. През 2018 г. размерът на наличните </w:t>
      </w:r>
      <w:r>
        <w:rPr>
          <w:rFonts w:ascii="Times New Roman" w:hAnsi="Times New Roman"/>
          <w:b/>
          <w:noProof/>
          <w:sz w:val="24"/>
          <w:szCs w:val="24"/>
        </w:rPr>
        <w:t>преки чуждестранни инвестиции</w:t>
      </w:r>
      <w:r>
        <w:rPr>
          <w:rFonts w:ascii="Times New Roman" w:hAnsi="Times New Roman"/>
          <w:noProof/>
          <w:sz w:val="24"/>
          <w:szCs w:val="24"/>
        </w:rPr>
        <w:t xml:space="preserve"> на Швейцария в ЕС достигна 750 млрд. евро, което е </w:t>
      </w:r>
      <w:r>
        <w:rPr>
          <w:rFonts w:ascii="Times New Roman" w:hAnsi="Times New Roman"/>
          <w:b/>
          <w:noProof/>
          <w:sz w:val="24"/>
          <w:szCs w:val="24"/>
        </w:rPr>
        <w:t>58 % увеличение</w:t>
      </w:r>
      <w:r>
        <w:rPr>
          <w:rFonts w:ascii="Times New Roman" w:hAnsi="Times New Roman"/>
          <w:noProof/>
          <w:sz w:val="24"/>
          <w:szCs w:val="24"/>
        </w:rPr>
        <w:t xml:space="preserve"> от 2014 г., докато размерът на наличните ПЧИ на ЕС в Швейцария достигна над трилион евро, което е 40 % увеличение от 2014 г. насам. </w:t>
      </w:r>
      <w:r>
        <w:rPr>
          <w:rFonts w:ascii="Times New Roman" w:hAnsi="Times New Roman"/>
          <w:b/>
          <w:noProof/>
          <w:sz w:val="24"/>
          <w:szCs w:val="24"/>
        </w:rPr>
        <w:t>Швейцария получава около 12 % от общия размер на ПЧИ на ЕС-27</w:t>
      </w:r>
      <w:r>
        <w:rPr>
          <w:rFonts w:ascii="Times New Roman" w:hAnsi="Times New Roman"/>
          <w:noProof/>
          <w:sz w:val="24"/>
          <w:szCs w:val="24"/>
        </w:rPr>
        <w:t>.</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С търговия с услуги на стойност над 170 млрд. евро през 2018 г., </w:t>
      </w:r>
      <w:r>
        <w:rPr>
          <w:rFonts w:ascii="Times New Roman" w:hAnsi="Times New Roman"/>
          <w:b/>
          <w:noProof/>
          <w:sz w:val="24"/>
          <w:szCs w:val="24"/>
        </w:rPr>
        <w:t>Швейцария е третият най-важен търговски партньор на ЕС за</w:t>
      </w:r>
      <w:r>
        <w:rPr>
          <w:rFonts w:ascii="Times New Roman" w:hAnsi="Times New Roman"/>
          <w:noProof/>
          <w:sz w:val="24"/>
          <w:szCs w:val="24"/>
        </w:rPr>
        <w:t xml:space="preserve"> </w:t>
      </w:r>
      <w:r>
        <w:rPr>
          <w:rFonts w:ascii="Times New Roman" w:hAnsi="Times New Roman"/>
          <w:b/>
          <w:noProof/>
          <w:sz w:val="24"/>
          <w:szCs w:val="24"/>
        </w:rPr>
        <w:t>услуги</w:t>
      </w:r>
      <w:r>
        <w:rPr>
          <w:rFonts w:ascii="Times New Roman" w:hAnsi="Times New Roman"/>
          <w:noProof/>
          <w:sz w:val="24"/>
          <w:szCs w:val="24"/>
        </w:rPr>
        <w:t>. ЕС отбеляза излишък от 39,5 млрд. евро.</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Като се има предвид много високото ниво на интеграция между ЕС и Швейцария, последната също е много важен партньор по отношение на </w:t>
      </w:r>
      <w:r>
        <w:rPr>
          <w:rFonts w:ascii="Times New Roman" w:hAnsi="Times New Roman"/>
          <w:b/>
          <w:noProof/>
          <w:sz w:val="24"/>
          <w:szCs w:val="24"/>
        </w:rPr>
        <w:t>инвестициите</w:t>
      </w:r>
      <w:r>
        <w:rPr>
          <w:rFonts w:ascii="Times New Roman" w:hAnsi="Times New Roman"/>
          <w:noProof/>
          <w:sz w:val="24"/>
          <w:szCs w:val="24"/>
        </w:rPr>
        <w:t xml:space="preserve">. През 2018 г. размерът на наличните </w:t>
      </w:r>
      <w:r>
        <w:rPr>
          <w:rFonts w:ascii="Times New Roman" w:hAnsi="Times New Roman"/>
          <w:b/>
          <w:noProof/>
          <w:sz w:val="24"/>
          <w:szCs w:val="24"/>
        </w:rPr>
        <w:t>преки чуждестранни инвестиции</w:t>
      </w:r>
      <w:r>
        <w:rPr>
          <w:rFonts w:ascii="Times New Roman" w:hAnsi="Times New Roman"/>
          <w:noProof/>
          <w:sz w:val="24"/>
          <w:szCs w:val="24"/>
        </w:rPr>
        <w:t xml:space="preserve"> на Швейцария в ЕС достигна 750 млрд. евро, което е </w:t>
      </w:r>
      <w:r>
        <w:rPr>
          <w:rFonts w:ascii="Times New Roman" w:hAnsi="Times New Roman"/>
          <w:b/>
          <w:noProof/>
          <w:sz w:val="24"/>
          <w:szCs w:val="24"/>
        </w:rPr>
        <w:t>58 % увеличение</w:t>
      </w:r>
      <w:r>
        <w:rPr>
          <w:rFonts w:ascii="Times New Roman" w:hAnsi="Times New Roman"/>
          <w:noProof/>
          <w:sz w:val="24"/>
          <w:szCs w:val="24"/>
        </w:rPr>
        <w:t xml:space="preserve"> от 2014 г., докато размерът на наличните ПЧИ на ЕС в Швейцария достигна над трилион евро, което е 40 % увеличение от 2014 г. насам. </w:t>
      </w:r>
      <w:r>
        <w:rPr>
          <w:rFonts w:ascii="Times New Roman" w:hAnsi="Times New Roman"/>
          <w:b/>
          <w:noProof/>
          <w:sz w:val="24"/>
          <w:szCs w:val="24"/>
        </w:rPr>
        <w:t>Швейцария получава около 12 % от общия размер на ПЧИ на ЕС-27</w:t>
      </w:r>
      <w:r>
        <w:rPr>
          <w:rFonts w:ascii="Times New Roman" w:hAnsi="Times New Roman"/>
          <w:noProof/>
          <w:sz w:val="24"/>
          <w:szCs w:val="24"/>
        </w:rPr>
        <w:t>.</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Споразумението за свободна търговия на ЕС с Швейцария е неговото най-дълго прилагано споразумение и се характеризира с ограничен обхват</w:t>
      </w:r>
      <w:r>
        <w:rPr>
          <w:rFonts w:ascii="Times New Roman" w:eastAsia="Calibri" w:hAnsi="Times New Roman" w:cs="Times New Roman"/>
          <w:noProof/>
          <w:sz w:val="24"/>
          <w:szCs w:val="24"/>
          <w:vertAlign w:val="superscript"/>
          <w:lang w:val="en-GB"/>
        </w:rPr>
        <w:footnoteReference w:id="43"/>
      </w:r>
      <w:r>
        <w:rPr>
          <w:rFonts w:ascii="Times New Roman" w:hAnsi="Times New Roman"/>
          <w:noProof/>
          <w:sz w:val="24"/>
          <w:szCs w:val="24"/>
        </w:rPr>
        <w:t xml:space="preserve">, по-незадълбочени правила и липса на ефективен механизъм за уреждане на спорове в сравнение със съвременните търговски споразумения на ЕС, някои от които бяха сключени с по-отдалечени партньори с по-малка икономическа значимост. Въпреки процъфтяващата търговия обаче, през 2019 г. Швейцария не успя да постигне по-нататъшен напредък по приемането на договореното институционално рамково споразумение (ИРС). ИРС ще проправи пътя за по-нататъшно модернизиране на търговските отношения между ЕС и Швейцария, тъй като ще въведе независимо уреждане на спорове, правна сигурност и равнопоставеност, което ще бъде от полза за пазарните участници от ЕС и Швейцария на вътрешния пазар. ИРС също така би означавало по-нататъшен достъп до пазара в нови области (напр. електроенергия) и установяване на правила за държавна помощ, както и </w:t>
      </w:r>
      <w:r>
        <w:rPr>
          <w:rFonts w:ascii="Times New Roman" w:hAnsi="Times New Roman"/>
          <w:b/>
          <w:bCs/>
          <w:noProof/>
          <w:sz w:val="24"/>
          <w:szCs w:val="24"/>
        </w:rPr>
        <w:t>ангажимент от страните за модернизиране на споразумението за свободна търговия от 1972 г.</w:t>
      </w:r>
      <w:r>
        <w:rPr>
          <w:rFonts w:ascii="Times New Roman" w:hAnsi="Times New Roman"/>
          <w:noProof/>
          <w:sz w:val="24"/>
          <w:szCs w:val="24"/>
        </w:rPr>
        <w:t xml:space="preserve"> и други свързани с търговията споразумения. </w:t>
      </w:r>
    </w:p>
    <w:p>
      <w:pPr>
        <w:spacing w:after="120" w:line="240" w:lineRule="auto"/>
        <w:rPr>
          <w:rFonts w:ascii="Times New Roman" w:eastAsia="Times New Roman" w:hAnsi="Times New Roman" w:cs="Times New Roman"/>
          <w:b/>
          <w:bCs/>
          <w:noProof/>
          <w:sz w:val="26"/>
          <w:szCs w:val="26"/>
        </w:rPr>
      </w:pPr>
      <w:bookmarkStart w:id="18" w:name="_Toc16233923"/>
    </w:p>
    <w:p>
      <w:pPr>
        <w:pStyle w:val="Heading3"/>
        <w:rPr>
          <w:rFonts w:eastAsia="Times New Roman"/>
          <w:noProof/>
        </w:rPr>
      </w:pPr>
      <w:bookmarkStart w:id="19" w:name="_Toc55319756"/>
      <w:r>
        <w:rPr>
          <w:noProof/>
        </w:rPr>
        <w:t>3.3.5 Норвегия</w:t>
      </w:r>
      <w:bookmarkEnd w:id="18"/>
      <w:bookmarkEnd w:id="19"/>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Търговските отношения между ЕС и Норвегия се осъществяват както в рамките на </w:t>
      </w:r>
      <w:r>
        <w:rPr>
          <w:rFonts w:ascii="Times New Roman" w:hAnsi="Times New Roman"/>
          <w:b/>
          <w:noProof/>
          <w:sz w:val="24"/>
          <w:szCs w:val="24"/>
        </w:rPr>
        <w:t>Европейското икономическо пространство</w:t>
      </w:r>
      <w:r>
        <w:rPr>
          <w:rFonts w:ascii="Times New Roman" w:hAnsi="Times New Roman"/>
          <w:noProof/>
          <w:sz w:val="24"/>
          <w:szCs w:val="24"/>
        </w:rPr>
        <w:t xml:space="preserve"> (ЕИП), така и в съответствие с </w:t>
      </w:r>
      <w:r>
        <w:rPr>
          <w:rFonts w:ascii="Times New Roman" w:hAnsi="Times New Roman"/>
          <w:b/>
          <w:noProof/>
          <w:sz w:val="24"/>
          <w:szCs w:val="24"/>
        </w:rPr>
        <w:t>двустранното споразумение за свободна търговия от 1973 г.</w:t>
      </w:r>
      <w:r>
        <w:rPr>
          <w:rFonts w:ascii="Times New Roman" w:hAnsi="Times New Roman"/>
          <w:noProof/>
          <w:sz w:val="24"/>
          <w:szCs w:val="24"/>
        </w:rPr>
        <w:t xml:space="preserve"> Въпреки че все още е в сила, двустранното търговско споразумение на практика беше заменено в много отношения от споразумението за ЕИП, което позволява свободното движение на стоки, услуги, капитали и хора.</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общата двустранна търговия със стоки</w:t>
      </w:r>
      <w:r>
        <w:rPr>
          <w:rFonts w:ascii="Times New Roman" w:hAnsi="Times New Roman"/>
          <w:noProof/>
          <w:sz w:val="24"/>
          <w:szCs w:val="24"/>
        </w:rPr>
        <w:t xml:space="preserve"> между ЕС и Норвегия възлиза на 106 млрд. евро, </w:t>
      </w:r>
      <w:r>
        <w:rPr>
          <w:rFonts w:ascii="Times New Roman" w:hAnsi="Times New Roman"/>
          <w:b/>
          <w:noProof/>
          <w:sz w:val="24"/>
          <w:szCs w:val="24"/>
        </w:rPr>
        <w:t xml:space="preserve"> като бележи спад с 5 %</w:t>
      </w:r>
      <w:r>
        <w:rPr>
          <w:rFonts w:ascii="Times New Roman" w:hAnsi="Times New Roman"/>
          <w:noProof/>
          <w:sz w:val="24"/>
          <w:szCs w:val="24"/>
        </w:rPr>
        <w:t xml:space="preserve"> в сравнение с 2018 г., което се дължи главно на спада на вноса на минерални масла от Норвегия с 16,5 %. Като цяло общият износ на Норвегия към ЕС 27 е спаднал с 11 %, докато износът на ЕС 27 към Норвегия е нараснал с 3 %. Спадът в износа на Норвегия за ЕС и излизането на Обединеното кралство от ЕС означават, че Норвегия става от шести по големина търговски партньор на ЕС на осми.</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Търговията със </w:t>
      </w:r>
      <w:r>
        <w:rPr>
          <w:rFonts w:ascii="Times New Roman" w:hAnsi="Times New Roman"/>
          <w:b/>
          <w:noProof/>
          <w:sz w:val="24"/>
          <w:szCs w:val="24"/>
        </w:rPr>
        <w:t>селскостопански стоки</w:t>
      </w:r>
      <w:r>
        <w:rPr>
          <w:rFonts w:ascii="Times New Roman" w:hAnsi="Times New Roman"/>
          <w:noProof/>
          <w:sz w:val="24"/>
          <w:szCs w:val="24"/>
        </w:rPr>
        <w:t xml:space="preserve"> между ЕС и Норвегия достигна почти 5 млрд. евро, с ясен излишък за ЕС, който изнася повече от осем пъти стойността на селскостопанските стоки, които внася от Норвегия. Както вносът, така и износът се увеличават постоянно от 2009 г. насам.   </w:t>
      </w:r>
    </w:p>
    <w:p>
      <w:pP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Прегледът на търговския режим за преработени селскостопански продукти остава неразрешен въпрос</w:t>
      </w:r>
      <w:r>
        <w:rPr>
          <w:rFonts w:ascii="Times New Roman" w:hAnsi="Times New Roman"/>
          <w:noProof/>
          <w:sz w:val="24"/>
          <w:szCs w:val="24"/>
        </w:rPr>
        <w:t>. Той беше повдигнат на заседание на съвместния комитет през 2019 г. в опит да се намери решение на високите мита, които възпрепятстват износа на някои преработени селскостопански продукти от ЕС за Норвегия. ЕС също така продължи да настоява за възобновяване на преговорите относно закрилата на географските означения.</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Норвегия е осмата по значимост държава — търговски партньор на ЕС по отношение на </w:t>
      </w:r>
      <w:r>
        <w:rPr>
          <w:rFonts w:ascii="Times New Roman" w:hAnsi="Times New Roman"/>
          <w:b/>
          <w:noProof/>
          <w:sz w:val="24"/>
          <w:szCs w:val="24"/>
        </w:rPr>
        <w:t>услугите</w:t>
      </w:r>
      <w:r>
        <w:rPr>
          <w:rFonts w:ascii="Times New Roman" w:hAnsi="Times New Roman"/>
          <w:noProof/>
          <w:sz w:val="24"/>
          <w:szCs w:val="24"/>
        </w:rPr>
        <w:t>. При търговия между тях в размер на 40 млрд. евро през 2018 г., износът на Норвегия е бил 14 млрд. евро, а на ЕС — 26 млрд. евро, което определя излишък за ЕС, позиция, която остава стабилна през последните пет години.</w:t>
      </w:r>
    </w:p>
    <w:p>
      <w:pPr>
        <w:rPr>
          <w:rFonts w:ascii="Times New Roman" w:hAnsi="Times New Roman" w:cs="Times New Roman"/>
          <w:b/>
          <w:noProof/>
          <w:sz w:val="24"/>
          <w:szCs w:val="24"/>
          <w:lang w:val="en-GB"/>
        </w:rPr>
      </w:pPr>
    </w:p>
    <w:p>
      <w:pPr>
        <w:pStyle w:val="Heading3"/>
        <w:rPr>
          <w:noProof/>
        </w:rPr>
      </w:pPr>
      <w:bookmarkStart w:id="20" w:name="_Toc55319757"/>
      <w:r>
        <w:rPr>
          <w:noProof/>
        </w:rPr>
        <w:t>3.3.6 Турция</w:t>
      </w:r>
      <w:bookmarkEnd w:id="20"/>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Турция е най-старият и втори по големина преференциален търговски партньор на ЕС и неговият </w:t>
      </w:r>
      <w:r>
        <w:rPr>
          <w:rFonts w:ascii="Times New Roman" w:hAnsi="Times New Roman"/>
          <w:b/>
          <w:noProof/>
          <w:sz w:val="24"/>
          <w:szCs w:val="24"/>
        </w:rPr>
        <w:t>шести</w:t>
      </w:r>
      <w:r>
        <w:rPr>
          <w:rFonts w:ascii="Times New Roman" w:hAnsi="Times New Roman"/>
          <w:b/>
          <w:noProof/>
          <w:color w:val="000000"/>
          <w:sz w:val="24"/>
          <w:szCs w:val="24"/>
        </w:rPr>
        <w:t xml:space="preserve"> по големина търговски партньор като цяло</w:t>
      </w:r>
      <w:r>
        <w:rPr>
          <w:rFonts w:ascii="Times New Roman" w:hAnsi="Times New Roman"/>
          <w:noProof/>
          <w:sz w:val="24"/>
          <w:szCs w:val="24"/>
        </w:rPr>
        <w:t>. Турската икономика се възстановява по-бързо от очакваното от валутната криза, започнала през лятото на 2018 г., но остава в рецесия през по-голямата част от 2019 г., а растежът на БВП е слаб в размер на 0,9 %. Поради обезценяването на турската лира Турция значително намали световния си търговски дефицит. Стокообменът с ЕС премина към дефицит от 1,5 млрд. евро в полза на Турция, след дългогодишни излишъци на ЕС, като износът на ЕС за Турция спадна с 1,3 % до 68,3 млрд. евро, докато вносът от Турция нарасна с 4,4 % до 69,8 млрд. евро.</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Търговските отношения между ЕС и Турция се уреждат от </w:t>
      </w:r>
      <w:r>
        <w:rPr>
          <w:rFonts w:ascii="Times New Roman" w:hAnsi="Times New Roman"/>
          <w:b/>
          <w:noProof/>
          <w:sz w:val="24"/>
          <w:szCs w:val="24"/>
        </w:rPr>
        <w:t>Митническия съюз</w:t>
      </w:r>
      <w:r>
        <w:rPr>
          <w:rFonts w:ascii="Times New Roman" w:hAnsi="Times New Roman"/>
          <w:noProof/>
          <w:sz w:val="24"/>
          <w:szCs w:val="24"/>
        </w:rPr>
        <w:t xml:space="preserve"> от 1995 г. за промишлени стоки и някои преработени селскостопански продукти, плюс две двустранни преференциални търговски споразумения, които обхващат съответно селскостопански продукти, въглища и стоманени продукти. 82 % от търговията на ЕС с Турция е с </w:t>
      </w:r>
      <w:r>
        <w:rPr>
          <w:rFonts w:ascii="Times New Roman" w:hAnsi="Times New Roman"/>
          <w:b/>
          <w:noProof/>
          <w:sz w:val="24"/>
          <w:szCs w:val="24"/>
        </w:rPr>
        <w:t>промишлени стоки</w:t>
      </w:r>
      <w:r>
        <w:rPr>
          <w:rFonts w:ascii="Times New Roman" w:hAnsi="Times New Roman"/>
          <w:noProof/>
          <w:sz w:val="24"/>
          <w:szCs w:val="24"/>
        </w:rPr>
        <w:t xml:space="preserve">. До голяма степен поради тези търговски споразумения, и по-специално митническия съюз, </w:t>
      </w:r>
      <w:r>
        <w:rPr>
          <w:rFonts w:ascii="Times New Roman" w:hAnsi="Times New Roman"/>
          <w:b/>
          <w:noProof/>
          <w:sz w:val="24"/>
          <w:szCs w:val="24"/>
        </w:rPr>
        <w:t>двустранната търговия се е увеличила повече от четири пъти от средата на деветдесетте години на миналия век</w:t>
      </w:r>
      <w:r>
        <w:rPr>
          <w:rFonts w:ascii="Times New Roman" w:hAnsi="Times New Roman"/>
          <w:noProof/>
          <w:sz w:val="24"/>
          <w:szCs w:val="24"/>
        </w:rPr>
        <w:t>. За да разшири обхвата на двустранната преференциална търговия и да модернизира митническия съюз, на 21 декември 2016 г. Европейската комисия прие Препоръка за Решение на Съвета за разрешаване на започването на преговори с Турция. Обсъжданията обаче са понастоящем в застой след заключенията на Съвета по общи въпроси от 26 юни 2018 г. и от 18 юни 2019 г.</w:t>
      </w:r>
    </w:p>
    <w:p>
      <w:pPr>
        <w:spacing w:after="120" w:line="240" w:lineRule="auto"/>
        <w:rPr>
          <w:rFonts w:ascii="Times New Roman" w:eastAsia="Times New Roman" w:hAnsi="Times New Roman" w:cs="Times New Roman"/>
          <w:noProof/>
          <w:sz w:val="24"/>
          <w:szCs w:val="20"/>
        </w:rPr>
      </w:pPr>
      <w:r>
        <w:rPr>
          <w:rFonts w:ascii="Times New Roman" w:hAnsi="Times New Roman"/>
          <w:noProof/>
          <w:sz w:val="24"/>
          <w:szCs w:val="24"/>
        </w:rPr>
        <w:t xml:space="preserve">През 2019 г. </w:t>
      </w:r>
      <w:r>
        <w:rPr>
          <w:rFonts w:ascii="Times New Roman" w:hAnsi="Times New Roman"/>
          <w:b/>
          <w:noProof/>
          <w:sz w:val="24"/>
          <w:szCs w:val="24"/>
        </w:rPr>
        <w:t>Турция запази някои пречки пред търговията в нарушение на споразумението за митническия съюз</w:t>
      </w:r>
      <w:r>
        <w:rPr>
          <w:rFonts w:ascii="Times New Roman" w:hAnsi="Times New Roman"/>
          <w:noProof/>
          <w:sz w:val="24"/>
          <w:szCs w:val="24"/>
        </w:rPr>
        <w:t>, по-специално като продължава и разширява дългогодишното си отклонение от Общата митническа тарифа, чрез налагането на допълнителни мита върху продукти с произход извън ЕС или различен от преференциалните търговски партньори на Турция.</w:t>
      </w:r>
      <w:r>
        <w:rPr>
          <w:rFonts w:ascii="Times New Roman" w:hAnsi="Times New Roman"/>
          <w:noProof/>
          <w:sz w:val="24"/>
          <w:szCs w:val="20"/>
        </w:rPr>
        <w:t xml:space="preserve"> </w:t>
      </w:r>
      <w:r>
        <w:rPr>
          <w:rFonts w:ascii="Times New Roman" w:hAnsi="Times New Roman"/>
          <w:noProof/>
          <w:sz w:val="24"/>
          <w:szCs w:val="24"/>
        </w:rPr>
        <w:t>Поради тези мита Турция изисква информация и документи, като например доказателство за произход, в противоречие с принципа за свободно обращение, въведен от митническия съюз.</w:t>
      </w:r>
      <w:r>
        <w:rPr>
          <w:rFonts w:ascii="Times New Roman" w:hAnsi="Times New Roman"/>
          <w:noProof/>
          <w:sz w:val="24"/>
          <w:szCs w:val="20"/>
        </w:rPr>
        <w:t xml:space="preserve"> През 2019 г. Турция също така отново не успя да отвори тарифната си квота за говеждо месо.</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Европейската комисия повдигна тези въпроси на годишните заседания на Съвместния комитет, както и по време на чести двустранни обмени. Комисията продължи също така да настоява за недискриминационно прилагане на Допълнителния протокол към Споразумението за асоцииране по отношение на всички държави членки, включително Република Кипър. На 2 април 2019 г. </w:t>
      </w:r>
      <w:r>
        <w:rPr>
          <w:rFonts w:ascii="Times New Roman" w:hAnsi="Times New Roman"/>
          <w:b/>
          <w:noProof/>
          <w:sz w:val="24"/>
          <w:szCs w:val="24"/>
        </w:rPr>
        <w:t>ЕС започна процедура в рамките на СТО</w:t>
      </w:r>
      <w:r>
        <w:rPr>
          <w:rFonts w:ascii="Times New Roman" w:hAnsi="Times New Roman"/>
          <w:noProof/>
          <w:sz w:val="24"/>
          <w:szCs w:val="24"/>
        </w:rPr>
        <w:t xml:space="preserve"> срещу мерките на Турция за </w:t>
      </w:r>
      <w:r>
        <w:rPr>
          <w:rFonts w:ascii="Times New Roman" w:hAnsi="Times New Roman"/>
          <w:b/>
          <w:noProof/>
          <w:sz w:val="24"/>
          <w:szCs w:val="24"/>
        </w:rPr>
        <w:t>принудително локализиране</w:t>
      </w:r>
      <w:r>
        <w:rPr>
          <w:rFonts w:ascii="Times New Roman" w:hAnsi="Times New Roman"/>
          <w:noProof/>
          <w:sz w:val="24"/>
          <w:szCs w:val="24"/>
        </w:rPr>
        <w:t xml:space="preserve"> на производството на фармацевтични продукти.</w:t>
      </w:r>
      <w:r>
        <w:rPr>
          <w:rFonts w:ascii="Times New Roman" w:eastAsia="Calibri" w:hAnsi="Times New Roman" w:cs="Times New Roman"/>
          <w:noProof/>
          <w:sz w:val="24"/>
          <w:szCs w:val="24"/>
          <w:vertAlign w:val="superscript"/>
          <w:lang w:val="en-GB"/>
        </w:rPr>
        <w:footnoteReference w:id="44"/>
      </w:r>
      <w:r>
        <w:rPr>
          <w:rFonts w:ascii="Times New Roman" w:hAnsi="Times New Roman"/>
          <w:noProof/>
          <w:sz w:val="24"/>
          <w:szCs w:val="24"/>
        </w:rPr>
        <w:t xml:space="preserve"> </w:t>
      </w:r>
    </w:p>
    <w:p>
      <w:pPr>
        <w:spacing w:after="0"/>
        <w:rPr>
          <w:rFonts w:ascii="Times New Roman" w:hAnsi="Times New Roman" w:cs="Times New Roman"/>
          <w:b/>
          <w:noProof/>
          <w:sz w:val="24"/>
          <w:szCs w:val="24"/>
          <w:lang w:val="en-GB"/>
        </w:rPr>
      </w:pPr>
    </w:p>
    <w:p>
      <w:pPr>
        <w:pStyle w:val="Heading2"/>
        <w:rPr>
          <w:noProof/>
        </w:rPr>
      </w:pPr>
      <w:bookmarkStart w:id="21" w:name="_Toc55319758"/>
      <w:r>
        <w:rPr>
          <w:noProof/>
        </w:rPr>
        <w:t xml:space="preserve">3.4 </w:t>
      </w:r>
      <w:r>
        <w:rPr>
          <w:noProof/>
        </w:rPr>
        <w:tab/>
        <w:t>ДЪРЖАВИ ОТ АФРИКА, КАРИБИТЕ И ТИХООКЕАНСКИЯ БАСЕЙН</w:t>
      </w:r>
      <w:bookmarkEnd w:id="21"/>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В продължение на повече от десетилетие държавите от Африка, Карибите и Тихоокеанския басейн (АКТБ) са сред най-бързо развиващите се икономики в света. Търговията между ЕС и държавите от Африка на юг от Сахара по-специално се удвои през последното десетилетие, а инвестициите на европейските дружества в Африка възлизат на 200 млрд. евро с огромен потенциал за разширяване. ЕС остава най-големият търговски и инвестиционен партньор за повечето държави от АКТБ, особено за тези, които прилагат </w:t>
      </w:r>
      <w:r>
        <w:rPr>
          <w:rFonts w:ascii="Times New Roman" w:hAnsi="Times New Roman"/>
          <w:b/>
          <w:noProof/>
          <w:sz w:val="24"/>
          <w:szCs w:val="24"/>
        </w:rPr>
        <w:t>споразумение за икономическо партньорство</w:t>
      </w:r>
      <w:r>
        <w:rPr>
          <w:rFonts w:ascii="Times New Roman" w:hAnsi="Times New Roman"/>
          <w:noProof/>
          <w:sz w:val="24"/>
          <w:szCs w:val="24"/>
        </w:rPr>
        <w:t xml:space="preserve"> (СИП) с ЕС.</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31 държави от АКТБ прилагаха СИП</w:t>
      </w:r>
      <w:r>
        <w:rPr>
          <w:rFonts w:ascii="Times New Roman" w:hAnsi="Times New Roman"/>
          <w:noProof/>
          <w:sz w:val="24"/>
          <w:szCs w:val="24"/>
        </w:rPr>
        <w:t xml:space="preserve"> с ЕС: 14 в Субсахарска Африка, 14 в Карибите и три в Тихоокеанския басейн</w:t>
      </w:r>
      <w:r>
        <w:rPr>
          <w:rStyle w:val="FootnoteReference"/>
          <w:rFonts w:ascii="Times New Roman" w:eastAsia="Calibri" w:hAnsi="Times New Roman" w:cs="Times New Roman"/>
          <w:noProof/>
          <w:sz w:val="24"/>
          <w:szCs w:val="24"/>
          <w:lang w:val="en-GB"/>
        </w:rPr>
        <w:footnoteReference w:id="45"/>
      </w:r>
      <w:r>
        <w:rPr>
          <w:rFonts w:ascii="Times New Roman" w:hAnsi="Times New Roman"/>
          <w:noProof/>
          <w:sz w:val="24"/>
          <w:szCs w:val="24"/>
        </w:rPr>
        <w:t>. СИП са ориентирани към развитието търговски споразумения, съгласно които ЕС предоставя безмитен достъп без квоти до своя пазар</w:t>
      </w:r>
      <w:r>
        <w:rPr>
          <w:rFonts w:ascii="Times New Roman" w:eastAsia="Calibri" w:hAnsi="Times New Roman" w:cs="Times New Roman"/>
          <w:noProof/>
          <w:sz w:val="24"/>
          <w:szCs w:val="24"/>
          <w:vertAlign w:val="superscript"/>
          <w:lang w:val="en-GB"/>
        </w:rPr>
        <w:footnoteReference w:id="46"/>
      </w:r>
      <w:r>
        <w:rPr>
          <w:rFonts w:ascii="Times New Roman" w:hAnsi="Times New Roman"/>
          <w:noProof/>
          <w:sz w:val="24"/>
          <w:szCs w:val="24"/>
        </w:rPr>
        <w:t xml:space="preserve">, а държавите партньори либерализират най-малко 80 % от вноса си за период от 10 до 20 години. СИП също така включват специални защитни мерки за гарантиране на защитата на продоволствената сигурност, на новосъздадените производства или на екологичните и социалните цели. Важно е, че ЕС предоставя значителна помощ за развитие за изграждане на капацитет в областта на търговската политика и повишаване на конкурентоспособността на местното производство. </w:t>
      </w:r>
    </w:p>
    <w:p>
      <w:pP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Изпълнението на СИП достигна нормалната си скорост</w:t>
      </w:r>
      <w:r>
        <w:rPr>
          <w:rFonts w:ascii="Times New Roman" w:hAnsi="Times New Roman"/>
          <w:noProof/>
          <w:sz w:val="24"/>
          <w:szCs w:val="24"/>
        </w:rPr>
        <w:t xml:space="preserve"> въпреки наличието на предизвикателства, като например ограничения капацитет на публичните органи, слабия бизнес климат и ограничената осведоменост и способността на дружествата да се възползват от споразуменията. Въпреки че цялостната оценка все още е преждевременна, има </w:t>
      </w:r>
      <w:r>
        <w:rPr>
          <w:rFonts w:ascii="Times New Roman" w:hAnsi="Times New Roman"/>
          <w:b/>
          <w:noProof/>
          <w:sz w:val="24"/>
          <w:szCs w:val="24"/>
        </w:rPr>
        <w:t>положителна тенденция по отношение на растежа на износа и диверсификацията</w:t>
      </w:r>
      <w:r>
        <w:rPr>
          <w:rFonts w:ascii="Times New Roman" w:hAnsi="Times New Roman"/>
          <w:noProof/>
          <w:sz w:val="24"/>
          <w:szCs w:val="24"/>
        </w:rPr>
        <w:t>. През 2019 г. ЕС и пет държави</w:t>
      </w:r>
      <w:r>
        <w:rPr>
          <w:rFonts w:ascii="Times New Roman" w:eastAsia="Calibri" w:hAnsi="Times New Roman" w:cs="Times New Roman"/>
          <w:noProof/>
          <w:sz w:val="24"/>
          <w:szCs w:val="24"/>
          <w:vertAlign w:val="superscript"/>
          <w:lang w:val="en-GB"/>
        </w:rPr>
        <w:footnoteReference w:id="47"/>
      </w:r>
      <w:r>
        <w:rPr>
          <w:rFonts w:ascii="Times New Roman" w:hAnsi="Times New Roman"/>
          <w:noProof/>
          <w:sz w:val="24"/>
          <w:szCs w:val="24"/>
        </w:rPr>
        <w:t xml:space="preserve"> от СИП между Източна и Южна Африка (ИЮА) </w:t>
      </w:r>
      <w:r>
        <w:rPr>
          <w:rFonts w:ascii="Times New Roman" w:hAnsi="Times New Roman"/>
          <w:noProof/>
          <w:sz w:val="24"/>
          <w:szCs w:val="24"/>
          <w:vertAlign w:val="superscript"/>
        </w:rPr>
        <w:t xml:space="preserve"> </w:t>
      </w:r>
      <w:r>
        <w:rPr>
          <w:rFonts w:ascii="Times New Roman" w:hAnsi="Times New Roman"/>
          <w:noProof/>
          <w:sz w:val="24"/>
          <w:szCs w:val="24"/>
        </w:rPr>
        <w:t>започнаха преговори за добавяне на правила относно търговията с услуги, инвестициите, обществените поръчки, правата върху интелектуалната собственост, и най-важното, търговията и устойчивото развитие.</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Напредък в изпълнението през 2019 г. — примери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ЕС и </w:t>
      </w:r>
      <w:r>
        <w:rPr>
          <w:rFonts w:ascii="Times New Roman" w:hAnsi="Times New Roman"/>
          <w:b/>
          <w:noProof/>
          <w:sz w:val="24"/>
          <w:szCs w:val="24"/>
        </w:rPr>
        <w:t>Южноафриканската общност за развитие</w:t>
      </w:r>
      <w:r>
        <w:rPr>
          <w:rFonts w:ascii="Times New Roman" w:hAnsi="Times New Roman"/>
          <w:noProof/>
          <w:sz w:val="24"/>
          <w:szCs w:val="24"/>
        </w:rPr>
        <w:t xml:space="preserve"> (ЮАОР) проведоха своя </w:t>
      </w:r>
      <w:r>
        <w:rPr>
          <w:rFonts w:ascii="Times New Roman" w:hAnsi="Times New Roman"/>
          <w:b/>
          <w:noProof/>
          <w:sz w:val="24"/>
          <w:szCs w:val="24"/>
        </w:rPr>
        <w:t>първи съвместен съвет на министерско равнище</w:t>
      </w:r>
      <w:r>
        <w:rPr>
          <w:rFonts w:ascii="Times New Roman" w:hAnsi="Times New Roman"/>
          <w:noProof/>
          <w:sz w:val="24"/>
          <w:szCs w:val="24"/>
        </w:rPr>
        <w:t xml:space="preserve"> и въведоха процедурни правила за пълното функциониране на споразумението.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Гана и Кот д’Ивоар</w:t>
      </w:r>
      <w:r>
        <w:rPr>
          <w:rFonts w:ascii="Times New Roman" w:hAnsi="Times New Roman"/>
          <w:noProof/>
          <w:sz w:val="24"/>
          <w:szCs w:val="24"/>
        </w:rPr>
        <w:t xml:space="preserve"> приеха вътрешно законодателство за пълно изпълнение на своите ангажименти и проведоха първи обсъждания с ЕС относно аспектите на устойчивостта във веригата на стойността на какаото.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ЕС и </w:t>
      </w:r>
      <w:r>
        <w:rPr>
          <w:rFonts w:ascii="Times New Roman" w:hAnsi="Times New Roman"/>
          <w:b/>
          <w:noProof/>
          <w:sz w:val="24"/>
          <w:szCs w:val="24"/>
        </w:rPr>
        <w:t>Камерун</w:t>
      </w:r>
      <w:r>
        <w:rPr>
          <w:rFonts w:ascii="Times New Roman" w:hAnsi="Times New Roman"/>
          <w:noProof/>
          <w:sz w:val="24"/>
          <w:szCs w:val="24"/>
        </w:rPr>
        <w:t xml:space="preserve"> работиха в тясно сътрудничество за оценка на ефектите от тарифните намаления, прилагани в продължение на три години, и за изготвяне на съпътстващи мерки.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ЕС и държавите от </w:t>
      </w:r>
      <w:r>
        <w:rPr>
          <w:rFonts w:ascii="Times New Roman" w:hAnsi="Times New Roman"/>
          <w:b/>
          <w:noProof/>
          <w:sz w:val="24"/>
          <w:szCs w:val="24"/>
        </w:rPr>
        <w:t>КАРИФОРУМ</w:t>
      </w:r>
      <w:r>
        <w:rPr>
          <w:rFonts w:ascii="Times New Roman" w:hAnsi="Times New Roman"/>
          <w:noProof/>
          <w:sz w:val="24"/>
          <w:szCs w:val="24"/>
        </w:rPr>
        <w:t xml:space="preserve"> проведоха бизнес форум във Франкфурт през септември 2019 г. и също така засилиха диалога за устойчиво развитие и Европейския зелен пакт.</w:t>
      </w:r>
    </w:p>
    <w:p>
      <w:pPr>
        <w:spacing w:after="120"/>
        <w:rPr>
          <w:rFonts w:ascii="Times New Roman" w:hAnsi="Times New Roman" w:cs="Times New Roman"/>
          <w:b/>
          <w:noProof/>
          <w:sz w:val="24"/>
          <w:szCs w:val="24"/>
          <w:lang w:val="en-GB"/>
        </w:rPr>
      </w:pPr>
    </w:p>
    <w:p>
      <w:pPr>
        <w:spacing w:after="120"/>
        <w:rPr>
          <w:rFonts w:ascii="Times New Roman" w:hAnsi="Times New Roman" w:cs="Times New Roman"/>
          <w:b/>
          <w:noProof/>
          <w:sz w:val="24"/>
          <w:szCs w:val="24"/>
        </w:rPr>
      </w:pPr>
      <w:r>
        <w:rPr>
          <w:rFonts w:ascii="Times New Roman" w:hAnsi="Times New Roman"/>
          <w:b/>
          <w:noProof/>
          <w:sz w:val="24"/>
          <w:szCs w:val="24"/>
        </w:rPr>
        <w:t xml:space="preserve">Двустранна търговия: тенденции през 2019 г. </w:t>
      </w:r>
    </w:p>
    <w:p>
      <w:pPr>
        <w:spacing w:after="120"/>
        <w:rPr>
          <w:rFonts w:ascii="Times New Roman" w:hAnsi="Times New Roman" w:cs="Times New Roman"/>
          <w:noProof/>
          <w:sz w:val="24"/>
          <w:szCs w:val="24"/>
        </w:rPr>
      </w:pPr>
      <w:r>
        <w:rPr>
          <w:rFonts w:ascii="Times New Roman" w:hAnsi="Times New Roman"/>
          <w:b/>
          <w:noProof/>
          <w:sz w:val="24"/>
          <w:szCs w:val="24"/>
        </w:rPr>
        <w:t>Вносът на ЕС</w:t>
      </w:r>
      <w:r>
        <w:rPr>
          <w:rFonts w:ascii="Times New Roman" w:hAnsi="Times New Roman"/>
          <w:noProof/>
          <w:sz w:val="24"/>
          <w:szCs w:val="24"/>
        </w:rPr>
        <w:t xml:space="preserve"> от 31 държави партньори по СИП </w:t>
      </w:r>
      <w:r>
        <w:rPr>
          <w:rFonts w:ascii="Times New Roman" w:hAnsi="Times New Roman"/>
          <w:b/>
          <w:noProof/>
          <w:sz w:val="24"/>
          <w:szCs w:val="24"/>
        </w:rPr>
        <w:t>се увеличи с 4,6 %</w:t>
      </w:r>
      <w:r>
        <w:rPr>
          <w:rFonts w:ascii="Times New Roman" w:hAnsi="Times New Roman"/>
          <w:noProof/>
          <w:sz w:val="24"/>
          <w:szCs w:val="24"/>
        </w:rPr>
        <w:t xml:space="preserve"> през 2019 г. Например Есватини, Фиджи, Камерун, Южна Африка и Доминиканската република отбелязват двуцифрен ръст в износа си за ЕС. Износът на продукти на хранително-вкусовата промишленост на КАРИФОРУМ за ЕС се увеличи с 11 % през 2019 г. поради силния износ на ориз, бира, пури, тропически плодове и ром. Въпреки че този внос остава зависим от ресурсите, за някои държави </w:t>
      </w:r>
      <w:r>
        <w:rPr>
          <w:rFonts w:ascii="Times New Roman" w:hAnsi="Times New Roman"/>
          <w:b/>
          <w:noProof/>
          <w:sz w:val="24"/>
          <w:szCs w:val="24"/>
        </w:rPr>
        <w:t>се увеличава диверсификацията</w:t>
      </w:r>
      <w:r>
        <w:rPr>
          <w:rFonts w:ascii="Times New Roman" w:hAnsi="Times New Roman"/>
          <w:noProof/>
          <w:sz w:val="24"/>
          <w:szCs w:val="24"/>
        </w:rPr>
        <w:t>. Например вносът от Южна Африка е разнообразен, доминиран от превозни средства, машини и плодове, както и минерални продукти. О-в Мавриций и Доминиканската република наскоро започнаха да изнасят медицинско и лабораторно оборудване. Държавите от КАРИФОРУМ също диверсифицират износа си.</w:t>
      </w:r>
    </w:p>
    <w:p>
      <w:pPr>
        <w:spacing w:after="0"/>
        <w:rPr>
          <w:rFonts w:ascii="Times New Roman" w:hAnsi="Times New Roman" w:cs="Times New Roman"/>
          <w:b/>
          <w:i/>
          <w:noProof/>
          <w:sz w:val="24"/>
          <w:szCs w:val="24"/>
          <w:lang w:val="en-GB"/>
        </w:rPr>
      </w:pPr>
    </w:p>
    <w:p>
      <w:pPr>
        <w:spacing w:after="120"/>
        <w:rPr>
          <w:rFonts w:ascii="Times New Roman" w:hAnsi="Times New Roman" w:cs="Times New Roman"/>
          <w:noProof/>
          <w:sz w:val="24"/>
          <w:szCs w:val="24"/>
        </w:rPr>
      </w:pPr>
      <w:r>
        <w:rPr>
          <w:rFonts w:ascii="Times New Roman" w:hAnsi="Times New Roman"/>
          <w:noProof/>
          <w:sz w:val="24"/>
          <w:szCs w:val="24"/>
        </w:rPr>
        <w:t xml:space="preserve">Износът на ЕС за държавите по СИП се увеличи с 5 %, което се дължи на по-силен износ за Южна Африка и в по-малка степен, за о-в Мавриций и Фиджи. Износителите от ЕС все повече използват преференциите, предоставени по СИП, по-специално от Южна Африка, най-голямата икономика сред държавите по СИП. </w:t>
      </w:r>
    </w:p>
    <w:p>
      <w:pPr>
        <w:spacing w:after="120"/>
        <w:rPr>
          <w:rFonts w:ascii="Times New Roman" w:hAnsi="Times New Roman" w:cs="Times New Roman"/>
          <w:noProof/>
          <w:sz w:val="24"/>
          <w:szCs w:val="24"/>
        </w:rPr>
      </w:pPr>
      <w:r>
        <w:rPr>
          <w:rFonts w:ascii="Times New Roman" w:hAnsi="Times New Roman"/>
          <w:b/>
          <w:noProof/>
          <w:sz w:val="24"/>
          <w:szCs w:val="24"/>
        </w:rPr>
        <w:t>ЕС работи за решаване на търговски спорове</w:t>
      </w:r>
      <w:r>
        <w:rPr>
          <w:rFonts w:ascii="Times New Roman" w:hAnsi="Times New Roman"/>
          <w:noProof/>
          <w:sz w:val="24"/>
          <w:szCs w:val="24"/>
        </w:rPr>
        <w:t>. През юни започна официална процедура за избягване и уреждане на спорове срещу Южноафриканския митнически съюз (ЮАМС), за да се разгледат защитните мерки, наложени през 2018 г. за продуктите от домашни птици от ЕС, което доведе до официални консултации през септември 2019 г., при които, за съжаление, страните не можаха да преодолеят различията си</w:t>
      </w:r>
      <w:r>
        <w:rPr>
          <w:rStyle w:val="FootnoteReference"/>
          <w:rFonts w:ascii="Times New Roman" w:hAnsi="Times New Roman" w:cs="Times New Roman"/>
          <w:noProof/>
          <w:sz w:val="24"/>
          <w:szCs w:val="24"/>
          <w:lang w:val="en-GB"/>
        </w:rPr>
        <w:footnoteReference w:id="48"/>
      </w:r>
      <w:r>
        <w:rPr>
          <w:noProof/>
        </w:rPr>
        <w:t>.</w:t>
      </w:r>
      <w:r>
        <w:rPr>
          <w:rFonts w:ascii="Times New Roman" w:hAnsi="Times New Roman"/>
          <w:noProof/>
          <w:sz w:val="24"/>
          <w:szCs w:val="24"/>
        </w:rPr>
        <w:t xml:space="preserve"> </w:t>
      </w:r>
    </w:p>
    <w:tbl>
      <w:tblPr>
        <w:tblStyle w:val="TableGrid"/>
        <w:tblW w:w="0" w:type="auto"/>
        <w:tblLook w:val="04A0" w:firstRow="1" w:lastRow="0" w:firstColumn="1" w:lastColumn="0" w:noHBand="0" w:noVBand="1"/>
      </w:tblPr>
      <w:tblGrid>
        <w:gridCol w:w="9242"/>
      </w:tblGrid>
      <w:tr>
        <w:tc>
          <w:tcPr>
            <w:tcW w:w="9242" w:type="dxa"/>
          </w:tcPr>
          <w:p>
            <w:pPr>
              <w:keepNext/>
              <w:spacing w:after="120"/>
              <w:rPr>
                <w:rFonts w:ascii="Times New Roman" w:hAnsi="Times New Roman" w:cs="Times New Roman"/>
                <w:b/>
                <w:noProof/>
              </w:rPr>
            </w:pPr>
            <w:r>
              <w:rPr>
                <w:rFonts w:ascii="Times New Roman" w:hAnsi="Times New Roman"/>
                <w:b/>
                <w:noProof/>
                <w:sz w:val="24"/>
                <w:szCs w:val="24"/>
              </w:rPr>
              <w:t xml:space="preserve"> Бели аспержи от Намибия</w:t>
            </w:r>
            <w:r>
              <w:rPr>
                <w:rFonts w:ascii="Times New Roman" w:hAnsi="Times New Roman"/>
                <w:b/>
                <w:noProof/>
              </w:rPr>
              <w:t xml:space="preserve"> </w:t>
            </w:r>
          </w:p>
          <w:p>
            <w:pPr>
              <w:keepNext/>
              <w:spacing w:after="120" w:line="276" w:lineRule="auto"/>
              <w:rPr>
                <w:rFonts w:ascii="Times New Roman" w:hAnsi="Times New Roman" w:cs="Times New Roman"/>
                <w:noProof/>
                <w:sz w:val="24"/>
                <w:szCs w:val="24"/>
              </w:rPr>
            </w:pPr>
            <w:r>
              <w:rPr>
                <w:rFonts w:ascii="Times New Roman" w:hAnsi="Times New Roman"/>
                <w:noProof/>
                <w:sz w:val="24"/>
                <w:szCs w:val="24"/>
              </w:rPr>
              <w:t xml:space="preserve">Испанската фабрика за агро-преработка на аспержи в района на Омусати в Намибия изнася бели аспержи за местни и международни пазари, по-специално Испания и други държави от ЕС.  В нея работят 600 души, предимно жени от местните общности. Тарифните намаления по СИП с ЮАОР са от ключово значение за дейността. Авангардна технология за минимизиране на потреблението на вода спомага за осигуряване на устойчивост.  </w:t>
            </w:r>
          </w:p>
          <w:p>
            <w:pPr>
              <w:keepNext/>
              <w:spacing w:after="120" w:line="276" w:lineRule="auto"/>
              <w:rPr>
                <w:rFonts w:ascii="Times New Roman" w:hAnsi="Times New Roman" w:cs="Times New Roman"/>
                <w:b/>
                <w:i/>
                <w:noProof/>
                <w:sz w:val="24"/>
                <w:szCs w:val="24"/>
              </w:rPr>
            </w:pPr>
            <w:r>
              <w:rPr>
                <w:rFonts w:ascii="Times New Roman" w:hAnsi="Times New Roman"/>
                <w:b/>
                <w:i/>
                <w:noProof/>
                <w:sz w:val="24"/>
                <w:szCs w:val="24"/>
              </w:rPr>
              <w:t>„Благодарение на СИП с ЮАОР можем да внасяме в Намибия безмитно капиталови стоки и материали за влагане и да имаме дългосрочен достъп до пазара на ЕС. Въздействието на този проект върху местната общност е много важно.“</w:t>
            </w:r>
          </w:p>
          <w:p>
            <w:pPr>
              <w:rPr>
                <w:rFonts w:ascii="Times New Roman" w:hAnsi="Times New Roman" w:cs="Times New Roman"/>
                <w:b/>
                <w:i/>
                <w:noProof/>
              </w:rPr>
            </w:pPr>
            <w:r>
              <w:rPr>
                <w:rFonts w:ascii="Times New Roman" w:hAnsi="Times New Roman"/>
                <w:b/>
                <w:i/>
                <w:noProof/>
              </w:rPr>
              <w:t>Carlos Lertxundi Aretxaga, генерален мениджър, Проект за агро-преработка на аспержи, представляващ Otjimbele Agriculture PTY</w:t>
            </w:r>
          </w:p>
        </w:tc>
      </w:tr>
    </w:tbl>
    <w:p>
      <w:pPr>
        <w:jc w:val="left"/>
        <w:rPr>
          <w:rFonts w:ascii="Times New Roman" w:hAnsi="Times New Roman" w:cs="Times New Roman"/>
          <w:b/>
          <w:noProof/>
          <w:sz w:val="24"/>
          <w:szCs w:val="24"/>
          <w:lang w:val="pt-PT"/>
        </w:rPr>
      </w:pPr>
    </w:p>
    <w:p>
      <w:pPr>
        <w:pStyle w:val="Heading1"/>
        <w:rPr>
          <w:noProof/>
        </w:rPr>
      </w:pPr>
      <w:bookmarkStart w:id="22" w:name="_Toc55319759"/>
      <w:r>
        <w:rPr>
          <w:noProof/>
        </w:rPr>
        <w:t>4. ТЪРГОВИЯ И УСТОЙЧИВО РАЗВИТИЕ</w:t>
      </w:r>
      <w:bookmarkEnd w:id="22"/>
    </w:p>
    <w:p>
      <w:pPr>
        <w:rPr>
          <w:noProof/>
          <w:lang w:val="en-GB"/>
        </w:rPr>
      </w:pPr>
    </w:p>
    <w:p>
      <w:pPr>
        <w:rPr>
          <w:rFonts w:ascii="Times New Roman" w:hAnsi="Times New Roman" w:cs="Times New Roman"/>
          <w:b/>
          <w:i/>
          <w:noProof/>
          <w:sz w:val="24"/>
          <w:szCs w:val="24"/>
        </w:rPr>
      </w:pPr>
      <w:r>
        <w:rPr>
          <w:rFonts w:ascii="Times New Roman" w:hAnsi="Times New Roman"/>
          <w:b/>
          <w:i/>
          <w:noProof/>
          <w:sz w:val="24"/>
          <w:szCs w:val="24"/>
        </w:rPr>
        <w:t xml:space="preserve">Цели и предизвикателства </w:t>
      </w:r>
    </w:p>
    <w:p>
      <w:pPr>
        <w:rPr>
          <w:rFonts w:ascii="Times New Roman" w:hAnsi="Times New Roman" w:cs="Times New Roman"/>
          <w:noProof/>
          <w:sz w:val="24"/>
          <w:szCs w:val="24"/>
        </w:rPr>
      </w:pPr>
      <w:r>
        <w:rPr>
          <w:rFonts w:ascii="Times New Roman" w:hAnsi="Times New Roman"/>
          <w:noProof/>
          <w:sz w:val="24"/>
          <w:szCs w:val="24"/>
        </w:rPr>
        <w:t xml:space="preserve">Главите за търговията и устойчивото развитие целят максимално увеличаване на ефекта на лоста на нарасналата търговия и инвестиции за постигане на напредък по ключови въпроси, като насърчаването на достойния труд и опазването на околната среда или борбата срещу изменението на климата. Разпоредбите в главите за търговията и устойчивото развитие насърчават спазването на стандартите на Международната организация на труда (МОТ) и многостранните споразумения в областта на околната среда.  </w:t>
      </w:r>
    </w:p>
    <w:p>
      <w:pPr>
        <w:rPr>
          <w:rFonts w:ascii="Times New Roman" w:hAnsi="Times New Roman" w:cs="Times New Roman"/>
          <w:noProof/>
          <w:sz w:val="24"/>
          <w:szCs w:val="24"/>
        </w:rPr>
      </w:pPr>
      <w:r>
        <w:rPr>
          <w:rFonts w:ascii="Times New Roman" w:hAnsi="Times New Roman"/>
          <w:b/>
          <w:noProof/>
          <w:sz w:val="24"/>
          <w:szCs w:val="24"/>
        </w:rPr>
        <w:t>Прилагането на главите за търговията и устойчивото развитие е свързано със специфични предизвикателства</w:t>
      </w:r>
      <w:r>
        <w:rPr>
          <w:rFonts w:ascii="Times New Roman" w:hAnsi="Times New Roman"/>
          <w:noProof/>
          <w:sz w:val="24"/>
          <w:szCs w:val="24"/>
        </w:rPr>
        <w:t xml:space="preserve">. Например остават пропуски по отношение на всеобщата ратификация и ефективното изпълнение на основните конвенции на МОТ, включително сред търговските партньори от ЕС. Спазването на ангажиментите по отношение на търговията и устойчивото развитие често включва </w:t>
      </w:r>
      <w:r>
        <w:rPr>
          <w:rFonts w:ascii="Times New Roman" w:hAnsi="Times New Roman"/>
          <w:b/>
          <w:noProof/>
          <w:sz w:val="24"/>
          <w:szCs w:val="24"/>
        </w:rPr>
        <w:t>разрешаване на отдавнашни и дълбоко вкоренени вътрешни въпроси и различни приоритети на политиката</w:t>
      </w:r>
      <w:r>
        <w:rPr>
          <w:rFonts w:ascii="Times New Roman" w:hAnsi="Times New Roman"/>
          <w:noProof/>
          <w:sz w:val="24"/>
          <w:szCs w:val="24"/>
        </w:rPr>
        <w:t>. Това изисква дългосрочна перспектива за изпълнението, подкрепена от правоприлагането и активното участие на гражданското общество и бизнеса. Ето защо работата по изпълнението е съсредоточена и върху изграждането на платформи за сътрудничество и съвместни инициативи по въпроси, вариращи от справедливо възнаграждение, работа в безопасна и здравословна среда до насърчаване на щадящи климата технологии.</w:t>
      </w:r>
    </w:p>
    <w:p>
      <w:pPr>
        <w:spacing w:after="0"/>
        <w:rPr>
          <w:rFonts w:ascii="Times New Roman" w:hAnsi="Times New Roman" w:cs="Times New Roman"/>
          <w:b/>
          <w:i/>
          <w:noProof/>
          <w:sz w:val="24"/>
          <w:szCs w:val="24"/>
          <w:lang w:val="en-IE"/>
        </w:rPr>
      </w:pPr>
    </w:p>
    <w:p>
      <w:pPr>
        <w:jc w:val="left"/>
        <w:rPr>
          <w:rFonts w:ascii="Times New Roman" w:hAnsi="Times New Roman" w:cs="Times New Roman"/>
          <w:b/>
          <w:i/>
          <w:noProof/>
          <w:sz w:val="24"/>
          <w:szCs w:val="24"/>
        </w:rPr>
      </w:pPr>
      <w:r>
        <w:rPr>
          <w:noProof/>
        </w:rPr>
        <w:br w:type="page"/>
      </w:r>
    </w:p>
    <w:p>
      <w:pPr>
        <w:rPr>
          <w:rFonts w:ascii="Times New Roman" w:hAnsi="Times New Roman" w:cs="Times New Roman"/>
          <w:b/>
          <w:i/>
          <w:noProof/>
          <w:sz w:val="24"/>
          <w:szCs w:val="24"/>
        </w:rPr>
      </w:pPr>
      <w:r>
        <w:rPr>
          <w:rFonts w:ascii="Times New Roman" w:hAnsi="Times New Roman"/>
          <w:b/>
          <w:i/>
          <w:noProof/>
          <w:sz w:val="24"/>
          <w:szCs w:val="24"/>
        </w:rPr>
        <w:t>Въвеждане</w:t>
      </w:r>
      <w:r>
        <w:rPr>
          <w:rFonts w:ascii="Times New Roman" w:hAnsi="Times New Roman"/>
          <w:i/>
          <w:noProof/>
          <w:sz w:val="24"/>
          <w:szCs w:val="24"/>
        </w:rPr>
        <w:t xml:space="preserve"> </w:t>
      </w:r>
      <w:r>
        <w:rPr>
          <w:rFonts w:ascii="Times New Roman" w:hAnsi="Times New Roman"/>
          <w:b/>
          <w:i/>
          <w:noProof/>
          <w:sz w:val="24"/>
          <w:szCs w:val="24"/>
        </w:rPr>
        <w:t xml:space="preserve"> на плана за действие от 15 точки на Европейската комисия</w:t>
      </w:r>
      <w:r>
        <w:rPr>
          <w:rStyle w:val="FootnoteReference"/>
          <w:b/>
          <w:i/>
          <w:noProof/>
          <w:sz w:val="24"/>
          <w:szCs w:val="24"/>
          <w:lang w:val="en-GB"/>
        </w:rPr>
        <w:footnoteReference w:id="49"/>
      </w:r>
      <w:r>
        <w:rPr>
          <w:rFonts w:ascii="Times New Roman" w:hAnsi="Times New Roman"/>
          <w:b/>
          <w:i/>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Въвеждането на </w:t>
      </w:r>
      <w:r>
        <w:rPr>
          <w:rFonts w:ascii="Times New Roman" w:hAnsi="Times New Roman"/>
          <w:b/>
          <w:noProof/>
          <w:sz w:val="24"/>
          <w:szCs w:val="24"/>
        </w:rPr>
        <w:t>плана за действие от 15 точки</w:t>
      </w:r>
      <w:r>
        <w:rPr>
          <w:rStyle w:val="FootnoteReference"/>
          <w:rFonts w:ascii="Times New Roman" w:hAnsi="Times New Roman" w:cs="Times New Roman"/>
          <w:b/>
          <w:noProof/>
          <w:sz w:val="24"/>
          <w:szCs w:val="24"/>
          <w:lang w:val="en-GB"/>
        </w:rPr>
        <w:footnoteReference w:id="50"/>
      </w:r>
      <w:r>
        <w:rPr>
          <w:rFonts w:ascii="Times New Roman" w:hAnsi="Times New Roman"/>
          <w:noProof/>
          <w:sz w:val="24"/>
          <w:szCs w:val="24"/>
        </w:rPr>
        <w:t xml:space="preserve"> от февруари 2018 г. улеснява по-системния и структуриран подход към изпълнението на ангажиментите по отношение на търговията и устойчивото развитие. Въз основа на поуките от фазата на преговори и по-ранния опит с изпълнението, Европейската комисия въвежда набор от целенасочени действия, съответстващи на </w:t>
      </w:r>
      <w:r>
        <w:rPr>
          <w:rFonts w:ascii="Times New Roman" w:hAnsi="Times New Roman"/>
          <w:b/>
          <w:noProof/>
          <w:sz w:val="24"/>
          <w:szCs w:val="24"/>
        </w:rPr>
        <w:t>специфичните приоритети, определени за всеки търговски партньор</w:t>
      </w:r>
      <w:r>
        <w:rPr>
          <w:rFonts w:ascii="Times New Roman" w:hAnsi="Times New Roman"/>
          <w:noProof/>
          <w:sz w:val="24"/>
          <w:szCs w:val="24"/>
        </w:rPr>
        <w:t xml:space="preserve">. </w:t>
      </w:r>
    </w:p>
    <w:p>
      <w:pPr>
        <w:rPr>
          <w:rFonts w:ascii="Times New Roman" w:eastAsia="Calibri" w:hAnsi="Times New Roman" w:cs="Times New Roman"/>
          <w:noProof/>
          <w:sz w:val="24"/>
          <w:szCs w:val="24"/>
        </w:rPr>
      </w:pPr>
      <w:r>
        <w:rPr>
          <w:rFonts w:ascii="Times New Roman" w:hAnsi="Times New Roman"/>
          <w:noProof/>
          <w:sz w:val="24"/>
          <w:szCs w:val="24"/>
        </w:rPr>
        <w:t>Координираните и взаимно подкрепящи действия от страна на Европейската комисия, Европейския парламент и МОТ преди изпълнението дадоха добри резултати например във Виетнам.</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Напредък в изпълнението на търговските и трудовите ангажименти — примера на Виетнам</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През юни 2019 г. Виетнам ратифицира Конвенция 98</w:t>
      </w:r>
      <w:r>
        <w:rPr>
          <w:rFonts w:ascii="Times New Roman" w:hAnsi="Times New Roman"/>
          <w:noProof/>
          <w:sz w:val="24"/>
          <w:szCs w:val="24"/>
        </w:rPr>
        <w:t xml:space="preserve"> на МОТ относно колективното договаряне и през ноември 2019 г. прие преразгледан Кодекс на труда, като по този начин започна мащабна реформа на трудовото законодателство.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Виетнам потвърди конкретен срок за ратифициране на двете останали основни конвенции на МОТ</w:t>
      </w:r>
      <w:r>
        <w:rPr>
          <w:rFonts w:ascii="Times New Roman" w:hAnsi="Times New Roman"/>
          <w:noProof/>
          <w:sz w:val="24"/>
          <w:szCs w:val="24"/>
        </w:rPr>
        <w:t xml:space="preserve"> относно принудителния труд и свободата на сдружаване (съответно до 2020 г. и 2023 г.).</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Виетнам съобщи за мерки за премахване на детския труд</w:t>
      </w:r>
      <w:r>
        <w:rPr>
          <w:rFonts w:ascii="Times New Roman" w:hAnsi="Times New Roman"/>
          <w:noProof/>
          <w:sz w:val="24"/>
          <w:szCs w:val="24"/>
        </w:rPr>
        <w:t>. Предварителните резултати от последното национално проучване са обещаващи, като показват намаляване на детския труд с повече от 40 % от последното проучване през 2012 г.</w:t>
      </w: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Планът за действие от 15 точки също насърчава </w:t>
      </w:r>
      <w:r>
        <w:rPr>
          <w:rFonts w:ascii="Times New Roman" w:hAnsi="Times New Roman"/>
          <w:b/>
          <w:noProof/>
          <w:sz w:val="24"/>
          <w:szCs w:val="24"/>
        </w:rPr>
        <w:t>по-тесни партньорства</w:t>
      </w:r>
      <w:r>
        <w:rPr>
          <w:rFonts w:ascii="Times New Roman" w:hAnsi="Times New Roman"/>
          <w:noProof/>
          <w:sz w:val="24"/>
          <w:szCs w:val="24"/>
        </w:rPr>
        <w:t xml:space="preserve"> между Европейската комисия и държавите членки, Европейския парламент и международните органи, като Международната организация на труда (МОТ), които се оказаха ключови за внимателното наблюдение на напредъка. </w:t>
      </w:r>
    </w:p>
    <w:p>
      <w:pPr>
        <w:spacing w:after="0" w:line="240" w:lineRule="auto"/>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 xml:space="preserve">Примери за допълващи действия между Комисията и държавите членки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Нидерландия</w:t>
      </w:r>
      <w:r>
        <w:rPr>
          <w:rFonts w:ascii="Times New Roman" w:hAnsi="Times New Roman"/>
          <w:noProof/>
          <w:sz w:val="24"/>
          <w:szCs w:val="24"/>
        </w:rPr>
        <w:t xml:space="preserve"> прие </w:t>
      </w:r>
      <w:r>
        <w:rPr>
          <w:rFonts w:ascii="Times New Roman" w:hAnsi="Times New Roman"/>
          <w:b/>
          <w:noProof/>
          <w:sz w:val="24"/>
          <w:szCs w:val="24"/>
        </w:rPr>
        <w:t>Закон за надлежната проверка при детски труд</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xml:space="preserve">, който се прилага за всички дружества, установени в държавата. Разработва се по-подробно законодателство за изпълнение, за да може законът да се прилага на практика. Паралелно с това Нидерландия </w:t>
      </w:r>
      <w:r>
        <w:rPr>
          <w:rFonts w:ascii="Times New Roman" w:hAnsi="Times New Roman"/>
          <w:b/>
          <w:noProof/>
          <w:sz w:val="24"/>
          <w:szCs w:val="24"/>
        </w:rPr>
        <w:t>оцени</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 xml:space="preserve"> </w:t>
      </w:r>
      <w:r>
        <w:rPr>
          <w:rFonts w:ascii="Times New Roman" w:hAnsi="Times New Roman"/>
          <w:b/>
          <w:noProof/>
          <w:sz w:val="24"/>
          <w:szCs w:val="24"/>
        </w:rPr>
        <w:t>специфичните за сектора доброволни споразумения относно инициативи за надлежна проверка.</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 xml:space="preserve"> – Шведският национален съвет за търговия</w:t>
      </w:r>
      <w:r>
        <w:rPr>
          <w:rFonts w:ascii="Times New Roman" w:hAnsi="Times New Roman"/>
          <w:noProof/>
          <w:sz w:val="24"/>
          <w:szCs w:val="24"/>
        </w:rPr>
        <w:t xml:space="preserve"> публикува наръчник, който да помогне с ранните етапи на изпълнение на мерките относно търговията и устойчивото развитие в Еквадор.</w:t>
      </w:r>
    </w:p>
    <w:p>
      <w:pPr>
        <w:spacing w:after="0" w:line="240" w:lineRule="auto"/>
        <w:rPr>
          <w:rFonts w:ascii="Times New Roman" w:eastAsia="Times New Roman" w:hAnsi="Times New Roman" w:cs="Times New Roman"/>
          <w:iCs/>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b/>
          <w:iCs/>
          <w:noProof/>
          <w:sz w:val="24"/>
          <w:szCs w:val="24"/>
        </w:rPr>
        <w:t xml:space="preserve">Примери за сътрудничество между Комисията и МОТ в областта на техническата помощ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Европейската комисия и МОТ </w:t>
      </w:r>
      <w:r>
        <w:rPr>
          <w:rFonts w:ascii="Times New Roman" w:hAnsi="Times New Roman"/>
          <w:b/>
          <w:noProof/>
          <w:sz w:val="24"/>
          <w:szCs w:val="24"/>
        </w:rPr>
        <w:t>подкрепиха трудовите реформи във Виетнам</w:t>
      </w:r>
      <w:r>
        <w:rPr>
          <w:rFonts w:ascii="Times New Roman" w:hAnsi="Times New Roman"/>
          <w:noProof/>
          <w:sz w:val="24"/>
          <w:szCs w:val="24"/>
        </w:rPr>
        <w:t xml:space="preserve"> и допринесоха за засилването на трудовите инспекции в селските райони на Колумбия.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Европейската комисия подкрепи </w:t>
      </w:r>
      <w:r>
        <w:rPr>
          <w:rFonts w:ascii="Times New Roman" w:hAnsi="Times New Roman"/>
          <w:b/>
          <w:noProof/>
          <w:sz w:val="24"/>
          <w:szCs w:val="24"/>
        </w:rPr>
        <w:t>действията на МОТ в Ел Салвадор и Гватемала</w:t>
      </w:r>
      <w:r>
        <w:rPr>
          <w:rFonts w:ascii="Times New Roman" w:hAnsi="Times New Roman"/>
          <w:noProof/>
          <w:sz w:val="24"/>
          <w:szCs w:val="24"/>
        </w:rPr>
        <w:t xml:space="preserve"> за подобряване на спазването на международните трудови стандарти.</w:t>
      </w:r>
    </w:p>
    <w:p>
      <w:pPr>
        <w:spacing w:after="0"/>
        <w:rPr>
          <w:rFonts w:ascii="Times New Roman" w:hAnsi="Times New Roman" w:cs="Times New Roman"/>
          <w:b/>
          <w:noProof/>
          <w:sz w:val="24"/>
          <w:szCs w:val="24"/>
          <w:lang w:val="en-GB"/>
        </w:rPr>
      </w:pPr>
    </w:p>
    <w:p>
      <w:pPr>
        <w:rPr>
          <w:rFonts w:ascii="Times New Roman" w:hAnsi="Times New Roman" w:cs="Times New Roman"/>
          <w:noProof/>
          <w:sz w:val="24"/>
          <w:szCs w:val="24"/>
        </w:rPr>
      </w:pPr>
      <w:r>
        <w:rPr>
          <w:rFonts w:ascii="Times New Roman" w:hAnsi="Times New Roman"/>
          <w:b/>
          <w:noProof/>
          <w:sz w:val="24"/>
          <w:szCs w:val="24"/>
        </w:rPr>
        <w:t>Увеличаване на ролята на организациите на гражданското общество в ЕС и неговите търговски партньори</w:t>
      </w:r>
      <w:r>
        <w:rPr>
          <w:rFonts w:ascii="Times New Roman" w:hAnsi="Times New Roman"/>
          <w:noProof/>
          <w:sz w:val="24"/>
          <w:szCs w:val="24"/>
        </w:rPr>
        <w:t xml:space="preserve"> е друг стълб на плана за действие от 15 точки. През 2019 г. Европейската комисия продължи да оказва помощ на </w:t>
      </w:r>
      <w:r>
        <w:rPr>
          <w:rFonts w:ascii="Times New Roman" w:hAnsi="Times New Roman"/>
          <w:b/>
          <w:noProof/>
          <w:sz w:val="24"/>
          <w:szCs w:val="24"/>
        </w:rPr>
        <w:t>вътрешните консултативни групи</w:t>
      </w:r>
      <w:r>
        <w:rPr>
          <w:rFonts w:ascii="Times New Roman" w:hAnsi="Times New Roman"/>
          <w:noProof/>
          <w:sz w:val="24"/>
          <w:szCs w:val="24"/>
        </w:rPr>
        <w:t xml:space="preserve"> (ВКГ), създадени за наблюдение на споразуменията.  Целта е да се създадат условия за тяхното участие така, че в процеса на изпълнение те да бъдат по-ефективни. В рамките на Инструмента за партньорство Европейската комисия продължи да предоставя средства на членовете на ВКГ за участие в срещи с партньори и други представители на гражданското общество, включително социалните партньори. Проектът, който започна през 2018 г., също така спонсорира организирането на работни срещи за изграждане на капацитет за увеличаване на експертните познания на членовете на ВКГ, по-специално за определяне и разработване на техни собствени приоритети за изпълнение. </w:t>
      </w:r>
    </w:p>
    <w:p>
      <w:pPr>
        <w:rPr>
          <w:rFonts w:ascii="Times New Roman" w:hAnsi="Times New Roman" w:cs="Times New Roman"/>
          <w:noProof/>
          <w:sz w:val="24"/>
          <w:szCs w:val="24"/>
        </w:rPr>
      </w:pPr>
      <w:r>
        <w:rPr>
          <w:rFonts w:ascii="Times New Roman" w:hAnsi="Times New Roman"/>
          <w:noProof/>
          <w:sz w:val="24"/>
          <w:szCs w:val="24"/>
        </w:rPr>
        <w:t xml:space="preserve">Европейската комисия също така продължи да </w:t>
      </w:r>
      <w:r>
        <w:rPr>
          <w:rFonts w:ascii="Times New Roman" w:hAnsi="Times New Roman"/>
          <w:b/>
          <w:noProof/>
          <w:sz w:val="24"/>
          <w:szCs w:val="24"/>
        </w:rPr>
        <w:t>създава условия предприятията да играят по-активна роля, за да гарантират, че търговията и устойчивостта да вървят ръка за ръка, чрез насърчаване на отговорни бизнес практики</w:t>
      </w:r>
      <w:r>
        <w:rPr>
          <w:rFonts w:ascii="Times New Roman" w:hAnsi="Times New Roman"/>
          <w:noProof/>
          <w:sz w:val="24"/>
          <w:szCs w:val="24"/>
        </w:rPr>
        <w:t>. Започването на нов проект за техническа помощ за Латинска Америка през януари 2019 г. даде възможност на Европейската комисия да насърчава конкретни действия и да осигури участието на правителствата и заинтересованите страни, като се основава на признатия експертен опит и дългогодишния опит на Международната организация на труда (МОТ), ОИСР и Службата на Върховния комисар по правата на човека на ООН (СВКПЧ).</w:t>
      </w:r>
    </w:p>
    <w:p>
      <w:pPr>
        <w:rPr>
          <w:rFonts w:ascii="Times New Roman" w:hAnsi="Times New Roman" w:cs="Times New Roman"/>
          <w:noProof/>
          <w:sz w:val="24"/>
          <w:szCs w:val="24"/>
        </w:rPr>
      </w:pPr>
      <w:r>
        <w:rPr>
          <w:rFonts w:ascii="Times New Roman" w:hAnsi="Times New Roman"/>
          <w:noProof/>
          <w:sz w:val="24"/>
          <w:szCs w:val="24"/>
        </w:rPr>
        <w:t xml:space="preserve">През 2019 г. Европейската комисия продължи политиката си на </w:t>
      </w:r>
      <w:r>
        <w:rPr>
          <w:rFonts w:ascii="Times New Roman" w:hAnsi="Times New Roman"/>
          <w:b/>
          <w:noProof/>
          <w:sz w:val="24"/>
          <w:szCs w:val="24"/>
        </w:rPr>
        <w:t>утвърждаващо правоприлагане</w:t>
      </w:r>
      <w:r>
        <w:rPr>
          <w:rFonts w:ascii="Times New Roman" w:hAnsi="Times New Roman"/>
          <w:noProof/>
          <w:sz w:val="24"/>
          <w:szCs w:val="24"/>
        </w:rPr>
        <w:t xml:space="preserve"> за справяне с предизвикателствата, свързани с изпълнението на ангажиментите по отношение на търговията и устойчивото развитие. </w:t>
      </w:r>
      <w:r>
        <w:rPr>
          <w:rFonts w:ascii="Times New Roman" w:hAnsi="Times New Roman"/>
          <w:b/>
          <w:noProof/>
          <w:sz w:val="24"/>
          <w:szCs w:val="24"/>
        </w:rPr>
        <w:t>Правителствените консултации и процедурата пред специализираната група</w:t>
      </w:r>
      <w:r>
        <w:rPr>
          <w:rFonts w:ascii="Times New Roman" w:hAnsi="Times New Roman"/>
          <w:noProof/>
          <w:sz w:val="24"/>
          <w:szCs w:val="24"/>
        </w:rPr>
        <w:t xml:space="preserve"> </w:t>
      </w:r>
      <w:r>
        <w:rPr>
          <w:rFonts w:ascii="Times New Roman" w:hAnsi="Times New Roman"/>
          <w:b/>
          <w:noProof/>
          <w:sz w:val="24"/>
          <w:szCs w:val="24"/>
        </w:rPr>
        <w:t xml:space="preserve"> в двустранното дело, което Европейската комисия започна срещу Южна Корея</w:t>
      </w:r>
      <w:r>
        <w:rPr>
          <w:rFonts w:ascii="Times New Roman" w:hAnsi="Times New Roman"/>
          <w:noProof/>
          <w:sz w:val="24"/>
          <w:szCs w:val="24"/>
        </w:rPr>
        <w:t>, е пример за това. След влизането в сила на търговското споразумение между ЕС и Южна Корея през 2012 г. ЕС последователно изтъква неприлагането от страна на Корея на трудовите разпоредби на споразумението. Тъй като тези интервенции не бяха успешни, през декември 2018 г. Европейската комисия поиска консултации с правителството, които се проведоха през януари 2019 г., и през юли същата година ЕС поиска създаването на експертна група</w:t>
      </w:r>
      <w:r>
        <w:rPr>
          <w:rStyle w:val="FootnoteReference"/>
          <w:noProof/>
          <w:sz w:val="24"/>
          <w:szCs w:val="24"/>
          <w:lang w:val="en-GB"/>
        </w:rPr>
        <w:footnoteReference w:id="53"/>
      </w:r>
      <w:r>
        <w:rPr>
          <w:rFonts w:ascii="Times New Roman" w:hAnsi="Times New Roman"/>
          <w:noProof/>
          <w:sz w:val="24"/>
          <w:szCs w:val="24"/>
        </w:rPr>
        <w:t xml:space="preserve">. През 2019 г. Европейската комисия пое </w:t>
      </w:r>
      <w:r>
        <w:rPr>
          <w:rFonts w:ascii="Times New Roman" w:hAnsi="Times New Roman"/>
          <w:b/>
          <w:bCs/>
          <w:noProof/>
          <w:sz w:val="24"/>
          <w:szCs w:val="24"/>
        </w:rPr>
        <w:t>двустранен ангажимент</w:t>
      </w:r>
      <w:r>
        <w:rPr>
          <w:rFonts w:ascii="Times New Roman" w:hAnsi="Times New Roman"/>
          <w:noProof/>
          <w:sz w:val="24"/>
          <w:szCs w:val="24"/>
        </w:rPr>
        <w:t xml:space="preserve"> </w:t>
      </w:r>
      <w:r>
        <w:rPr>
          <w:rFonts w:ascii="Times New Roman" w:hAnsi="Times New Roman"/>
          <w:b/>
          <w:bCs/>
          <w:noProof/>
          <w:sz w:val="24"/>
          <w:szCs w:val="24"/>
        </w:rPr>
        <w:t>с Перу на техническо и политическо равнище</w:t>
      </w:r>
      <w:r>
        <w:rPr>
          <w:rFonts w:ascii="Times New Roman" w:hAnsi="Times New Roman"/>
          <w:noProof/>
          <w:sz w:val="24"/>
          <w:szCs w:val="24"/>
        </w:rPr>
        <w:t xml:space="preserve"> относно изпълнението на ангажиментите по отношение на търговията и устойчивото развитие. На октомврийското заседание на Подкомитета по търговия и устойчиво развитие Перу докладва за напредъка, постигнат на различни фронтове в отговор на съществените опасения на ЕС</w:t>
      </w:r>
      <w:r>
        <w:rPr>
          <w:rStyle w:val="FootnoteReference"/>
          <w:rFonts w:ascii="Times New Roman" w:hAnsi="Times New Roman" w:cs="Times New Roman"/>
          <w:noProof/>
          <w:sz w:val="24"/>
          <w:szCs w:val="24"/>
          <w:lang w:val="en-GB"/>
        </w:rPr>
        <w:footnoteReference w:id="54"/>
      </w:r>
      <w:r>
        <w:rPr>
          <w:rFonts w:ascii="Times New Roman" w:hAnsi="Times New Roman"/>
          <w:noProof/>
          <w:sz w:val="24"/>
          <w:szCs w:val="24"/>
        </w:rPr>
        <w:t xml:space="preserve">. </w:t>
      </w:r>
    </w:p>
    <w:p>
      <w:pPr>
        <w:pStyle w:val="Heading1"/>
        <w:rPr>
          <w:noProof/>
        </w:rPr>
      </w:pPr>
      <w:bookmarkStart w:id="23" w:name="_Toc55319760"/>
      <w:r>
        <w:rPr>
          <w:noProof/>
        </w:rPr>
        <w:t>5. ТЪРГОВИЯ С ПРОДУКТИ НА ХРАНИТЕЛНО-ВКУСОВАТА ПРОМИШЛЕНОСТ ПО ТЪРГОВСКИТЕ СПОРАЗУМЕНИЯ НА ЕС</w:t>
      </w:r>
      <w:r>
        <w:rPr>
          <w:rStyle w:val="FootnoteReference"/>
          <w:noProof/>
        </w:rPr>
        <w:footnoteReference w:id="55"/>
      </w:r>
      <w:bookmarkEnd w:id="23"/>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Търговията с продукти на хранително-вкусовата промишленост с преференциални партньори е във възход</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През 2019 г. търговията с продукти на хранително-вкусовата промишленост на ЕС с преференциални партньори нарасна, както в абсолютно изражение (стойност на търгуваните продукти), така и в относително отношение, в сравнение с цялостната търговия с продукти на хранително-вкусовата промишленост на ЕС. Търговията с продукти на хранително-вкусовата промишленост на ЕС с държави — преференциални търговски партньори, представлява приблизително 35 % от търговията с продукти на хранително-вкусовата промишленост на ЕС с трети държави — съответно 30 % и 40 % от общия износ и внос на продукти на хранително-вкусовата промишленост на ЕС. Този дял нараства през последните 10 години. </w:t>
      </w:r>
    </w:p>
    <w:p>
      <w:pPr>
        <w:autoSpaceDE w:val="0"/>
        <w:autoSpaceDN w:val="0"/>
        <w:spacing w:afterLines="100" w:after="240"/>
        <w:rPr>
          <w:rFonts w:ascii="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трите най-големи експортни пазара за износ на продукти на хранително-вкусовата промишленост от ЕС</w:t>
      </w:r>
      <w:r>
        <w:rPr>
          <w:rFonts w:ascii="Times New Roman" w:hAnsi="Times New Roman"/>
          <w:noProof/>
          <w:sz w:val="24"/>
          <w:szCs w:val="24"/>
        </w:rPr>
        <w:t xml:space="preserve"> сред преференциалните търговски партньори са </w:t>
      </w:r>
      <w:r>
        <w:rPr>
          <w:rFonts w:ascii="Times New Roman" w:hAnsi="Times New Roman"/>
          <w:b/>
          <w:noProof/>
          <w:sz w:val="24"/>
          <w:szCs w:val="24"/>
        </w:rPr>
        <w:t>Швейцария, Япония и Норвегия</w:t>
      </w:r>
      <w:r>
        <w:rPr>
          <w:rFonts w:ascii="Times New Roman" w:hAnsi="Times New Roman"/>
          <w:noProof/>
          <w:sz w:val="24"/>
          <w:szCs w:val="24"/>
        </w:rPr>
        <w:t>, които заедно представляват около 11 % от износа на продукти на хранително-вкусовата промишленост. Канада зае 4-то място. Около 19 % от износа на ЕС са хранителни продукти, като шоколад, храни за кърмачета и макаронени изделия, а 12 % са вино, вермут, сайдер и оцет.</w:t>
      </w:r>
      <w:r>
        <w:rPr>
          <w:noProof/>
          <w:color w:val="1F497D"/>
        </w:rPr>
        <w:t xml:space="preserve"> </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rPr>
      </w:pPr>
      <w:r>
        <w:rPr>
          <w:noProof/>
          <w:lang w:val="en-GB" w:eastAsia="en-GB"/>
        </w:rPr>
        <w:drawing>
          <wp:inline distT="0" distB="0" distL="0" distR="0">
            <wp:extent cx="5943600" cy="410265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102654"/>
                    </a:xfrm>
                    <a:prstGeom prst="rect">
                      <a:avLst/>
                    </a:prstGeom>
                    <a:noFill/>
                    <a:ln>
                      <a:noFill/>
                    </a:ln>
                  </pic:spPr>
                </pic:pic>
              </a:graphicData>
            </a:graphic>
          </wp:inline>
        </w:drawing>
      </w:r>
    </w:p>
    <w:p>
      <w:pPr>
        <w:autoSpaceDE w:val="0"/>
        <w:autoSpaceDN w:val="0"/>
        <w:adjustRightInd w:val="0"/>
        <w:spacing w:afterLines="100" w:after="240"/>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 xml:space="preserve">Бохемски хмел за висококачествени видове бира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Чешкото дружество BOHEMIA HOP е малко предприятие, собственост на чешки производители на хмел. С персонал от 10 души то изнася традиционен бохемски хмел в няколко държави извън ЕС. Съгласно споразумението за икономическо партньорство между ЕС и Япония то вече може да изнася продуктите си за Япония без мито.</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i/>
          <w:iCs/>
          <w:noProof/>
          <w:sz w:val="24"/>
          <w:szCs w:val="24"/>
        </w:rPr>
        <w:t>„Японските пивоварни са традиционни клиенти за чешки хмел и когато става въпрос за търговия, ние харесваме простите решения.“</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Zdenek Rosa, председател, Bohemia Hop</w:t>
      </w:r>
    </w:p>
    <w:p>
      <w:pPr>
        <w:keepLines/>
        <w:spacing w:after="0"/>
        <w:ind w:left="36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трите водещи държави за внос на продукти на хранително-вкусовата промишленост в ЕС</w:t>
      </w:r>
      <w:r>
        <w:rPr>
          <w:rFonts w:ascii="Times New Roman" w:hAnsi="Times New Roman"/>
          <w:noProof/>
          <w:sz w:val="24"/>
          <w:szCs w:val="24"/>
        </w:rPr>
        <w:t xml:space="preserve"> от държави преференциални търговски партньори бяха </w:t>
      </w:r>
      <w:r>
        <w:rPr>
          <w:rFonts w:ascii="Times New Roman" w:hAnsi="Times New Roman"/>
          <w:b/>
          <w:noProof/>
          <w:sz w:val="24"/>
          <w:szCs w:val="24"/>
        </w:rPr>
        <w:t>Украйна</w:t>
      </w:r>
      <w:r>
        <w:rPr>
          <w:rFonts w:ascii="Times New Roman" w:hAnsi="Times New Roman"/>
          <w:noProof/>
          <w:sz w:val="24"/>
          <w:szCs w:val="24"/>
        </w:rPr>
        <w:t xml:space="preserve"> (зърнени култури, различни от пшеница и ориз, и растителни масла, различни от палмови и маслинови масла), </w:t>
      </w:r>
      <w:r>
        <w:rPr>
          <w:rFonts w:ascii="Times New Roman" w:hAnsi="Times New Roman"/>
          <w:b/>
          <w:noProof/>
          <w:sz w:val="24"/>
          <w:szCs w:val="24"/>
        </w:rPr>
        <w:t>Швейцария</w:t>
      </w:r>
      <w:r>
        <w:rPr>
          <w:rFonts w:ascii="Times New Roman" w:hAnsi="Times New Roman"/>
          <w:noProof/>
          <w:sz w:val="24"/>
          <w:szCs w:val="24"/>
        </w:rPr>
        <w:t xml:space="preserve"> (печено кафе и чай и хранителни продукти) и </w:t>
      </w:r>
      <w:r>
        <w:rPr>
          <w:rFonts w:ascii="Times New Roman" w:hAnsi="Times New Roman"/>
          <w:b/>
          <w:noProof/>
          <w:sz w:val="24"/>
          <w:szCs w:val="24"/>
        </w:rPr>
        <w:t>Турция</w:t>
      </w:r>
      <w:r>
        <w:rPr>
          <w:rFonts w:ascii="Times New Roman" w:hAnsi="Times New Roman"/>
          <w:noProof/>
          <w:sz w:val="24"/>
          <w:szCs w:val="24"/>
        </w:rPr>
        <w:t xml:space="preserve"> (тропически плодове, ядки и подправки, и зеленчуци и плодове). Заедно те съставляват 13 % от общия внос на продукти на хранително-вкусовата промишленост в ЕС.</w:t>
      </w:r>
    </w:p>
    <w:p>
      <w:pPr>
        <w:autoSpaceDE w:val="0"/>
        <w:autoSpaceDN w:val="0"/>
        <w:adjustRightInd w:val="0"/>
        <w:spacing w:afterLines="100" w:after="240"/>
        <w:jc w:val="center"/>
        <w:rPr>
          <w:rFonts w:ascii="Times New Roman" w:hAnsi="Times New Roman" w:cs="Times New Roman"/>
          <w:noProof/>
          <w:sz w:val="24"/>
          <w:szCs w:val="24"/>
        </w:rPr>
      </w:pPr>
      <w:r>
        <w:rPr>
          <w:noProof/>
          <w:lang w:val="en-GB" w:eastAsia="en-GB"/>
        </w:rPr>
        <w:drawing>
          <wp:inline distT="0" distB="0" distL="0" distR="0">
            <wp:extent cx="5943600" cy="441561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4415611"/>
                    </a:xfrm>
                    <a:prstGeom prst="rect">
                      <a:avLst/>
                    </a:prstGeom>
                    <a:noFill/>
                    <a:ln>
                      <a:noFill/>
                    </a:ln>
                  </pic:spPr>
                </pic:pic>
              </a:graphicData>
            </a:graphic>
          </wp:inline>
        </w:drawing>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Тенденции и развитие в търговските потоци на продукти на хранително-вкусовата промишленост</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През 2019 г. </w:t>
      </w:r>
      <w:r>
        <w:rPr>
          <w:rFonts w:ascii="Times New Roman" w:hAnsi="Times New Roman"/>
          <w:b/>
          <w:noProof/>
          <w:sz w:val="24"/>
          <w:szCs w:val="24"/>
        </w:rPr>
        <w:t>износът на продукти на хранително-вкусовата промишленост на ЕС</w:t>
      </w:r>
      <w:r>
        <w:rPr>
          <w:rFonts w:ascii="Times New Roman" w:hAnsi="Times New Roman"/>
          <w:noProof/>
          <w:sz w:val="24"/>
          <w:szCs w:val="24"/>
        </w:rPr>
        <w:t xml:space="preserve"> по преференциални споразумения </w:t>
      </w:r>
      <w:r>
        <w:rPr>
          <w:rFonts w:ascii="Times New Roman" w:hAnsi="Times New Roman"/>
          <w:b/>
          <w:noProof/>
          <w:sz w:val="24"/>
          <w:szCs w:val="24"/>
        </w:rPr>
        <w:t>нарасна с 8,7 %</w:t>
      </w:r>
      <w:r>
        <w:rPr>
          <w:rFonts w:ascii="Times New Roman" w:hAnsi="Times New Roman"/>
          <w:noProof/>
          <w:sz w:val="24"/>
          <w:szCs w:val="24"/>
        </w:rPr>
        <w:t xml:space="preserve"> (+4,4 млрд. евро) в сравнение с общия износ на продукти на хранително-вкусовата промишленост за останалата част на света, който нарасна със 7,6 %.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По преференциални споразумения </w:t>
      </w:r>
      <w:r>
        <w:rPr>
          <w:rFonts w:ascii="Times New Roman" w:hAnsi="Times New Roman"/>
          <w:b/>
          <w:noProof/>
          <w:sz w:val="24"/>
          <w:szCs w:val="24"/>
        </w:rPr>
        <w:t>вносът на продукти на хранително-вкусовата промишленост на ЕС</w:t>
      </w:r>
      <w:r>
        <w:rPr>
          <w:rFonts w:ascii="Times New Roman" w:hAnsi="Times New Roman"/>
          <w:noProof/>
          <w:sz w:val="24"/>
          <w:szCs w:val="24"/>
        </w:rPr>
        <w:t xml:space="preserve"> нарасна с процент, подобен на износа (8,3 %), в сравнение с нарастването на вноса на продукти на хранително-вкусовата промишленост от останалата част на света от едва 2,3 %. Търговското салдо на продуктите на хранително-вкусовата промишленост по преференциални споразумения остава в размер на +6,4 млрд. евро. Вносът от преференциални партньори </w:t>
      </w:r>
      <w:r>
        <w:rPr>
          <w:rFonts w:ascii="Times New Roman" w:hAnsi="Times New Roman"/>
          <w:b/>
          <w:noProof/>
          <w:sz w:val="24"/>
          <w:szCs w:val="24"/>
        </w:rPr>
        <w:t>остава от стратегическо значение</w:t>
      </w:r>
      <w:r>
        <w:rPr>
          <w:rFonts w:ascii="Times New Roman" w:hAnsi="Times New Roman"/>
          <w:noProof/>
          <w:sz w:val="24"/>
          <w:szCs w:val="24"/>
        </w:rPr>
        <w:t xml:space="preserve"> за сектора на хранително-вкусовата промишленост на ЕС, като осигурява необходимите доставки на продукти, които не се отглеждат в ЕС по климатични причини (тропически плодове, какао, кафе и други напитки), и материали за влагане в продукти, при които ЕС е по-малко конкурентен или не произвежда достатъчно, за да отговори на нуждите на ЕС (маслодайни семена, животински или растителни мазнини/масла).</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Свободната търговия насърчава природните продукти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Базираното в Хамбург дружество Worlée Naturprodukte GmbH е част от Worlée Group — семейно средно предприятие, в което работят около 200 души.  Търговското споразумение на ЕС с Чили намали митата върху вноса на шипки от Чили до нула, като спестява на Worlée около 24 000 EUR годишно.</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„Свободната търговия ни позволява да продаваме висококачествени суровини на нашите клиенти на конкурентни цени. Колкото по-евтино можем да внасяме продукт, толкова по-конкурентоспособни можем да бъдем на пазара.“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i/>
          <w:noProof/>
          <w:sz w:val="24"/>
          <w:szCs w:val="24"/>
        </w:rPr>
        <w:t>Reinhold von Eben-Worlée, главен изпълнителен директор на Worlée Group</w:t>
      </w:r>
    </w:p>
    <w:p>
      <w:pPr>
        <w:autoSpaceDE w:val="0"/>
        <w:autoSpaceDN w:val="0"/>
        <w:adjustRightInd w:val="0"/>
        <w:spacing w:after="0"/>
        <w:rPr>
          <w:rFonts w:ascii="Times New Roman" w:hAnsi="Times New Roman" w:cs="Times New Roman"/>
          <w:noProof/>
          <w:sz w:val="24"/>
          <w:szCs w:val="24"/>
          <w:lang w:val="de-DE"/>
        </w:rPr>
      </w:pPr>
    </w:p>
    <w:p>
      <w:pPr>
        <w:autoSpaceDE w:val="0"/>
        <w:autoSpaceDN w:val="0"/>
        <w:adjustRightInd w:val="0"/>
        <w:spacing w:afterLines="100" w:after="240"/>
        <w:rPr>
          <w:rFonts w:ascii="Times New Roman" w:hAnsi="Times New Roman" w:cs="Times New Roman"/>
          <w:strike/>
          <w:noProof/>
          <w:sz w:val="24"/>
          <w:szCs w:val="24"/>
        </w:rPr>
      </w:pPr>
      <w:r>
        <w:rPr>
          <w:rFonts w:ascii="Times New Roman" w:hAnsi="Times New Roman"/>
          <w:noProof/>
          <w:sz w:val="24"/>
          <w:szCs w:val="24"/>
        </w:rPr>
        <w:t xml:space="preserve">При търговските споразумения на ЕС се взема предвид </w:t>
      </w:r>
      <w:r>
        <w:rPr>
          <w:rFonts w:ascii="Times New Roman" w:hAnsi="Times New Roman"/>
          <w:b/>
          <w:noProof/>
          <w:sz w:val="24"/>
          <w:szCs w:val="24"/>
        </w:rPr>
        <w:t>чувствителността на неговия селскостопански сектор</w:t>
      </w:r>
      <w:r>
        <w:rPr>
          <w:rFonts w:ascii="Times New Roman" w:hAnsi="Times New Roman"/>
          <w:noProof/>
          <w:sz w:val="24"/>
          <w:szCs w:val="24"/>
        </w:rPr>
        <w:t xml:space="preserve">. Чувствителните продукти, като говеждо месо, домашни птици или захар, са изключени от преференциална търговия или се предоставя преференциален достъп чрез внимателно калибрирани </w:t>
      </w:r>
      <w:r>
        <w:rPr>
          <w:rFonts w:ascii="Times New Roman" w:hAnsi="Times New Roman"/>
          <w:b/>
          <w:noProof/>
          <w:sz w:val="24"/>
          <w:szCs w:val="24"/>
        </w:rPr>
        <w:t>тарифни квоти</w:t>
      </w:r>
      <w:r>
        <w:rPr>
          <w:rFonts w:ascii="Times New Roman" w:hAnsi="Times New Roman"/>
          <w:noProof/>
          <w:sz w:val="24"/>
          <w:szCs w:val="24"/>
        </w:rPr>
        <w:t xml:space="preserve"> с ограничени обеми. Търговските споразумения на ЕС също създават нови </w:t>
      </w:r>
      <w:r>
        <w:rPr>
          <w:rFonts w:ascii="Times New Roman" w:hAnsi="Times New Roman"/>
          <w:b/>
          <w:noProof/>
          <w:sz w:val="24"/>
          <w:szCs w:val="24"/>
        </w:rPr>
        <w:t>възможности за износ на някои от тези чувствителни продукти, изнасяни от ЕС</w:t>
      </w:r>
      <w:r>
        <w:rPr>
          <w:rFonts w:ascii="Times New Roman" w:hAnsi="Times New Roman"/>
          <w:noProof/>
          <w:sz w:val="24"/>
          <w:szCs w:val="24"/>
        </w:rPr>
        <w:t xml:space="preserve">. Известен пример за това е говеждото месо. Износът на говеждо месо и живи говеда на ЕС за преференциални търговски партньори е нараснал с повече от 30 % (от 406 млн. евро на 529 млн. евро) през последните пет години въпреки лекия спад през 2019 г. </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Географски означения (ГО)</w:t>
      </w:r>
    </w:p>
    <w:p>
      <w:pPr>
        <w:autoSpaceDE w:val="0"/>
        <w:autoSpaceDN w:val="0"/>
        <w:adjustRightInd w:val="0"/>
        <w:spacing w:afterLines="100" w:after="240"/>
        <w:rPr>
          <w:rStyle w:val="normaltextrun"/>
          <w:noProof/>
          <w:shd w:val="clear" w:color="auto" w:fill="FFFFFF"/>
        </w:rPr>
      </w:pPr>
      <w:r>
        <w:rPr>
          <w:rFonts w:ascii="Times New Roman" w:hAnsi="Times New Roman"/>
          <w:noProof/>
          <w:sz w:val="24"/>
          <w:szCs w:val="24"/>
        </w:rPr>
        <w:t xml:space="preserve">В търговските споразумения на ЕС се обръща специално внимание на закрилата на географските означения. През 2019 г. </w:t>
      </w:r>
      <w:r>
        <w:rPr>
          <w:rFonts w:ascii="Times New Roman" w:hAnsi="Times New Roman"/>
          <w:b/>
          <w:noProof/>
          <w:sz w:val="24"/>
          <w:szCs w:val="24"/>
        </w:rPr>
        <w:t>пет нови ГО за храни на ЕС</w:t>
      </w:r>
      <w:r>
        <w:rPr>
          <w:rFonts w:ascii="Times New Roman" w:hAnsi="Times New Roman"/>
          <w:noProof/>
          <w:sz w:val="24"/>
          <w:szCs w:val="24"/>
        </w:rPr>
        <w:t xml:space="preserve"> (Piave, Pancetta piacentina, Salame piacentino, Coppa piacentina и Vinagre de Jerez) са </w:t>
      </w:r>
      <w:r>
        <w:rPr>
          <w:rFonts w:ascii="Times New Roman" w:hAnsi="Times New Roman"/>
          <w:b/>
          <w:noProof/>
          <w:sz w:val="24"/>
          <w:szCs w:val="24"/>
        </w:rPr>
        <w:t>получили закрила в Канада</w:t>
      </w:r>
      <w:r>
        <w:rPr>
          <w:rFonts w:ascii="Times New Roman" w:hAnsi="Times New Roman"/>
          <w:noProof/>
          <w:sz w:val="24"/>
          <w:szCs w:val="24"/>
        </w:rPr>
        <w:t xml:space="preserve"> чрез процедура за пряко заявление за регистрация на ГО, създадена съгласно търговското споразумение на ЕС с Канада, ВИТС. След влизането в сила на Споразумението за икономическо партньорство между ЕС и Япония на 1 февруари 2019 г. </w:t>
      </w:r>
      <w:r>
        <w:rPr>
          <w:rFonts w:ascii="Times New Roman" w:hAnsi="Times New Roman"/>
          <w:b/>
          <w:noProof/>
          <w:sz w:val="24"/>
          <w:szCs w:val="24"/>
        </w:rPr>
        <w:t xml:space="preserve">211 ГО са защитени в Япония.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Закрилата на ГО в търговските споразумения на ЕС става все по-важна, тъй като нараства делът на защитените ГО в износа на ЕС. През 2019 г. </w:t>
      </w:r>
      <w:r>
        <w:rPr>
          <w:rFonts w:ascii="Times New Roman" w:hAnsi="Times New Roman"/>
          <w:b/>
          <w:noProof/>
          <w:sz w:val="24"/>
          <w:szCs w:val="24"/>
        </w:rPr>
        <w:t>проучване на Европейската комисия</w:t>
      </w:r>
      <w:r>
        <w:rPr>
          <w:rStyle w:val="FootnoteReference"/>
          <w:rFonts w:ascii="Times New Roman" w:hAnsi="Times New Roman" w:cs="Times New Roman"/>
          <w:noProof/>
          <w:sz w:val="24"/>
          <w:szCs w:val="24"/>
          <w:lang w:val="en-GB"/>
        </w:rPr>
        <w:footnoteReference w:id="56"/>
      </w:r>
      <w:r>
        <w:rPr>
          <w:rFonts w:ascii="Times New Roman" w:hAnsi="Times New Roman"/>
          <w:noProof/>
          <w:sz w:val="24"/>
          <w:szCs w:val="24"/>
        </w:rPr>
        <w:t xml:space="preserve"> показва, че между 2010 и 2017 г. делът на продуктите ГО+ХТСХ (храна с традиционно специфичен характер</w:t>
      </w:r>
      <w:r>
        <w:rPr>
          <w:rStyle w:val="FootnoteReference"/>
          <w:rFonts w:ascii="Times New Roman" w:hAnsi="Times New Roman" w:cs="Times New Roman"/>
          <w:noProof/>
          <w:sz w:val="24"/>
          <w:szCs w:val="24"/>
          <w:lang w:val="en-GB"/>
        </w:rPr>
        <w:footnoteReference w:id="57"/>
      </w:r>
      <w:r>
        <w:rPr>
          <w:rFonts w:ascii="Times New Roman" w:hAnsi="Times New Roman"/>
          <w:noProof/>
          <w:sz w:val="24"/>
          <w:szCs w:val="24"/>
        </w:rPr>
        <w:t>) в стойността на износа на ЕС за трети държави е нараснал с 56 %, което представлява 17 млрд. евро за ЕС 28 през 2017 г. и 23 % от общите продажби на продуктите с ГО/ХТСХ на ЕС. Вината остават най-важната категория продукти по отношение на търговията с продукти с ГО/ХТСХ с държави извън ЕС (50 %), следвани от спиртни напитки (39 %) и други селскостопански продукти и храни (10 %). Двете най-големи категории продукти на хранително-вкусовата промишленост с ГО, изнасяни в държави извън ЕС, са сирена и месни продукти.</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Популяризиране на продукти на хранително-вкусовата промишленост от ЕС</w:t>
      </w:r>
    </w:p>
    <w:p>
      <w:pPr>
        <w:autoSpaceDE w:val="0"/>
        <w:autoSpaceDN w:val="0"/>
        <w:adjustRightInd w:val="0"/>
        <w:spacing w:afterLines="100" w:after="240"/>
        <w:rPr>
          <w:rStyle w:val="normaltextrun"/>
          <w:rFonts w:ascii="Times New Roman" w:hAnsi="Times New Roman" w:cs="Times New Roman"/>
          <w:noProof/>
          <w:sz w:val="24"/>
          <w:szCs w:val="24"/>
          <w:shd w:val="clear" w:color="auto" w:fill="FFFFFF"/>
        </w:rPr>
      </w:pPr>
      <w:r>
        <w:rPr>
          <w:rFonts w:ascii="Times New Roman" w:hAnsi="Times New Roman"/>
          <w:noProof/>
          <w:sz w:val="24"/>
          <w:szCs w:val="24"/>
        </w:rPr>
        <w:t xml:space="preserve">В контекста на търговските споразумения в държавите партньори се провеждат програми за популяризиране на продукти на хранително-вкусовата промишленост. В допълнение към Мисията на високо равнище в Япония (май 2019 г.), оглавявана от тогавашния еврокомисар по земеделие и развитие на селските райони, Фил Хоган, ЕС участва в големия панаир на продукти на хранително-вкусовата промишленост за дружества в Азия (Foodex Japan), </w:t>
      </w:r>
      <w:r>
        <w:rPr>
          <w:rStyle w:val="normaltextrun"/>
          <w:rFonts w:ascii="Times New Roman" w:hAnsi="Times New Roman"/>
          <w:noProof/>
          <w:sz w:val="24"/>
          <w:szCs w:val="24"/>
          <w:shd w:val="clear" w:color="auto" w:fill="FFFFFF"/>
        </w:rPr>
        <w:t xml:space="preserve">с щанд на ЕС, представящ автентичността, безопасността и качеството на продуктите на ЕС. В същото време беше организиран семинар за възможностите по споразумението за икономическо партньорство между ЕС и Япония (СИП) за европейски и японски </w:t>
      </w:r>
      <w:r>
        <w:rPr>
          <w:rStyle w:val="spellingerror"/>
          <w:rFonts w:ascii="Times New Roman" w:hAnsi="Times New Roman"/>
          <w:noProof/>
          <w:color w:val="000000"/>
          <w:sz w:val="24"/>
          <w:szCs w:val="24"/>
          <w:shd w:val="clear" w:color="auto" w:fill="FFFFFF"/>
        </w:rPr>
        <w:t xml:space="preserve"> </w:t>
      </w:r>
      <w:r>
        <w:rPr>
          <w:rStyle w:val="normaltextrun"/>
          <w:rFonts w:ascii="Times New Roman" w:hAnsi="Times New Roman"/>
          <w:noProof/>
          <w:sz w:val="24"/>
          <w:szCs w:val="24"/>
          <w:shd w:val="clear" w:color="auto" w:fill="FFFFFF"/>
        </w:rPr>
        <w:t xml:space="preserve">дружества за продукти на хранително-вкусовата промишленост, а </w:t>
      </w:r>
      <w:r>
        <w:rPr>
          <w:rStyle w:val="normaltextrun"/>
          <w:rFonts w:ascii="Times New Roman" w:hAnsi="Times New Roman"/>
          <w:noProof/>
          <w:sz w:val="24"/>
          <w:szCs w:val="24"/>
          <w:bdr w:val="none" w:sz="0" w:space="0" w:color="auto" w:frame="1"/>
        </w:rPr>
        <w:t>Центърът за промишлено сътрудничество ЕС—Япония създаде информационно бюро във връзка със СИП</w:t>
      </w:r>
      <w:r>
        <w:rPr>
          <w:rStyle w:val="normaltextrun"/>
          <w:rFonts w:ascii="Times New Roman" w:hAnsi="Times New Roman"/>
          <w:noProof/>
          <w:sz w:val="24"/>
          <w:szCs w:val="24"/>
          <w:shd w:val="clear" w:color="auto" w:fill="FFFFFF"/>
        </w:rPr>
        <w:t xml:space="preserve">, за </w:t>
      </w:r>
      <w:r>
        <w:rPr>
          <w:rFonts w:ascii="Times New Roman" w:hAnsi="Times New Roman"/>
          <w:noProof/>
          <w:sz w:val="24"/>
          <w:szCs w:val="24"/>
        </w:rPr>
        <w:t>да отговаря на</w:t>
      </w:r>
      <w:r>
        <w:rPr>
          <w:rStyle w:val="normaltextrun"/>
          <w:rFonts w:ascii="Times New Roman" w:hAnsi="Times New Roman"/>
          <w:noProof/>
          <w:sz w:val="24"/>
          <w:szCs w:val="24"/>
          <w:shd w:val="clear" w:color="auto" w:fill="FFFFFF"/>
        </w:rPr>
        <w:t xml:space="preserve"> въпроси от МСП, много от които са в </w:t>
      </w:r>
      <w:r>
        <w:rPr>
          <w:rStyle w:val="spellingerror"/>
          <w:rFonts w:ascii="Times New Roman" w:hAnsi="Times New Roman"/>
          <w:noProof/>
          <w:color w:val="000000"/>
          <w:sz w:val="24"/>
          <w:szCs w:val="24"/>
          <w:shd w:val="clear" w:color="auto" w:fill="FFFFFF"/>
        </w:rPr>
        <w:t>секторите</w:t>
      </w:r>
      <w:r>
        <w:rPr>
          <w:rStyle w:val="normaltextrun"/>
          <w:rFonts w:ascii="Times New Roman" w:hAnsi="Times New Roman"/>
          <w:noProof/>
          <w:sz w:val="24"/>
          <w:szCs w:val="24"/>
          <w:shd w:val="clear" w:color="auto" w:fill="FFFFFF"/>
        </w:rPr>
        <w:t>на хранително-вкусовата промишленост. Дейности по популяризиране бяха започнати и в Мексико и Сингапур, наред с други държави.</w:t>
      </w:r>
    </w:p>
    <w:p>
      <w:pPr>
        <w:autoSpaceDE w:val="0"/>
        <w:autoSpaceDN w:val="0"/>
        <w:adjustRightInd w:val="0"/>
        <w:spacing w:afterLines="100" w:after="240"/>
        <w:rPr>
          <w:noProof/>
          <w:shd w:val="clear" w:color="auto" w:fill="FFFFFF"/>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Мониторинг на санитарните и фитосанитарните мерки</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Търговските споразумения подкрепят обмена и сътрудничеството между партньорите, по-специално чрез редовни контакти между експерти по санитарни и фитосанитарни мерки. Това може да помогне за преодоляване на потенциалните и съществуващите пречки пред търговията.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b/>
          <w:iCs/>
          <w:noProof/>
          <w:sz w:val="24"/>
          <w:szCs w:val="24"/>
        </w:rPr>
        <w:t>Напредък в достъпа до пазара за продукти на хранително-вкусовата промишленост на ЕС през 2019 г.</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Канада отвори пазара си за домати</w:t>
      </w:r>
      <w:r>
        <w:rPr>
          <w:rFonts w:ascii="Times New Roman" w:hAnsi="Times New Roman"/>
          <w:iCs/>
          <w:noProof/>
          <w:sz w:val="24"/>
          <w:szCs w:val="24"/>
        </w:rPr>
        <w:t xml:space="preserve"> от друга държава — членка на ЕС, и за растения за засаждане.</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Чили отвори своите пазари за млечни продукти и говеждо месо за още четири</w:t>
      </w:r>
      <w:r>
        <w:rPr>
          <w:rFonts w:ascii="Times New Roman" w:hAnsi="Times New Roman"/>
          <w:iCs/>
          <w:noProof/>
          <w:sz w:val="24"/>
          <w:szCs w:val="24"/>
        </w:rPr>
        <w:t xml:space="preserve"> държави членки</w:t>
      </w:r>
      <w:r>
        <w:rPr>
          <w:rStyle w:val="FootnoteReference"/>
          <w:rFonts w:ascii="Times New Roman" w:hAnsi="Times New Roman" w:cs="Times New Roman"/>
          <w:iCs/>
          <w:noProof/>
          <w:sz w:val="24"/>
          <w:szCs w:val="24"/>
          <w:lang w:val="en-GB"/>
        </w:rPr>
        <w:footnoteReference w:id="58"/>
      </w:r>
      <w:r>
        <w:rPr>
          <w:rFonts w:ascii="Times New Roman" w:hAnsi="Times New Roman"/>
          <w:iCs/>
          <w:noProof/>
          <w:sz w:val="24"/>
          <w:szCs w:val="24"/>
        </w:rPr>
        <w:t xml:space="preserv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Южна Корея отвори своя пазар за говеждо месо</w:t>
      </w:r>
      <w:r>
        <w:rPr>
          <w:rFonts w:ascii="Times New Roman" w:hAnsi="Times New Roman"/>
          <w:iCs/>
          <w:noProof/>
          <w:sz w:val="24"/>
          <w:szCs w:val="24"/>
        </w:rPr>
        <w:t xml:space="preserve"> за още две държави членки.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w:t>
      </w:r>
      <w:r>
        <w:rPr>
          <w:rFonts w:ascii="Times New Roman" w:hAnsi="Times New Roman"/>
          <w:noProof/>
          <w:sz w:val="24"/>
          <w:szCs w:val="24"/>
        </w:rPr>
        <w:t xml:space="preserve"> </w:t>
      </w:r>
      <w:r>
        <w:rPr>
          <w:rFonts w:ascii="Times New Roman" w:hAnsi="Times New Roman"/>
          <w:b/>
          <w:iCs/>
          <w:noProof/>
          <w:sz w:val="24"/>
          <w:szCs w:val="24"/>
        </w:rPr>
        <w:t>Южна Африка отмени забраните в цялата страна поради огнища на инфлуенца по птиците</w:t>
      </w:r>
      <w:r>
        <w:rPr>
          <w:rFonts w:ascii="Times New Roman" w:hAnsi="Times New Roman"/>
          <w:iCs/>
          <w:noProof/>
          <w:sz w:val="24"/>
          <w:szCs w:val="24"/>
        </w:rPr>
        <w:t xml:space="preserve"> за две от шест държави членки, като същевременно запази забраните за четири други държави членки. </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Хуманно отношение към животните</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От 2002 г. насам ЕС последователно е считал, че хуманното отношение към животните следва да принадлежи към целите, преследвани в двустранните споразумения на ЕС, чрез разработване на подходящи механизми за сътрудничество, при които най-добрите европейски практики могат да бъдат споделяни и насърчавани с държавите партньори.</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iCs/>
          <w:noProof/>
          <w:sz w:val="24"/>
          <w:szCs w:val="24"/>
        </w:rPr>
      </w:pPr>
      <w:r>
        <w:rPr>
          <w:rFonts w:ascii="Times New Roman" w:hAnsi="Times New Roman"/>
          <w:b/>
          <w:iCs/>
          <w:noProof/>
          <w:sz w:val="24"/>
          <w:szCs w:val="24"/>
        </w:rPr>
        <w:t>Резултати от двустранното сътрудничество в областта на хуманното отношение към животните — примери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Сътрудничеството между ЕС и Канада и диалогът</w:t>
      </w:r>
      <w:r>
        <w:rPr>
          <w:rFonts w:ascii="Times New Roman" w:hAnsi="Times New Roman"/>
          <w:iCs/>
          <w:noProof/>
          <w:sz w:val="24"/>
          <w:szCs w:val="24"/>
        </w:rPr>
        <w:t xml:space="preserve"> между канадските експерти и експертите от ЕС допринесоха за преразглеждането от страна на Канада на нейното законодателство, което от 2020 г. включва по-строги изисквания за транспортирането на животни.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Търговското споразумение между ЕС </w:t>
      </w:r>
      <w:r>
        <w:rPr>
          <w:rFonts w:ascii="Times New Roman" w:hAnsi="Times New Roman"/>
          <w:b/>
          <w:iCs/>
          <w:noProof/>
          <w:sz w:val="24"/>
          <w:szCs w:val="24"/>
        </w:rPr>
        <w:t>и Чили</w:t>
      </w:r>
      <w:r>
        <w:rPr>
          <w:rFonts w:ascii="Times New Roman" w:hAnsi="Times New Roman"/>
          <w:iCs/>
          <w:noProof/>
          <w:sz w:val="24"/>
          <w:szCs w:val="24"/>
        </w:rPr>
        <w:t xml:space="preserve"> е движеща сила за развитието на чилийското законодателство относно хуманното отношение към животните. С течение на времето сътрудничеството по отношение на стандартите за хуманно отношение към животните при клане доведе до чилийски мерки, основани най-вече на стандартите на Световната организация за здраве на животните (OIE). Този обмен също така улесни разработването на стандарти за хуманно отношение към животните по време на транспортиране.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Споразумението между ЕС и Украйна</w:t>
      </w:r>
      <w:r>
        <w:rPr>
          <w:rFonts w:ascii="Times New Roman" w:hAnsi="Times New Roman"/>
          <w:iCs/>
          <w:noProof/>
          <w:sz w:val="24"/>
          <w:szCs w:val="24"/>
        </w:rPr>
        <w:t xml:space="preserve"> включва разпоредби относно хуманното отношение към животните, като се търси общо разбиране относно стандартите за хуманно отношение към животните, предвид промените в Световната организация по здравеопазване на животните (OIE).</w:t>
      </w:r>
    </w:p>
    <w:p>
      <w:pPr>
        <w:autoSpaceDE w:val="0"/>
        <w:autoSpaceDN w:val="0"/>
        <w:adjustRightInd w:val="0"/>
        <w:spacing w:afterLines="100" w:after="240"/>
        <w:rPr>
          <w:rFonts w:ascii="Times New Roman" w:hAnsi="Times New Roman" w:cs="Times New Roman"/>
          <w:noProof/>
          <w:sz w:val="24"/>
          <w:szCs w:val="24"/>
          <w:lang w:val="en-GB"/>
        </w:rPr>
      </w:pPr>
    </w:p>
    <w:p>
      <w:pPr>
        <w:pStyle w:val="Heading1"/>
        <w:rPr>
          <w:noProof/>
        </w:rPr>
      </w:pPr>
      <w:bookmarkStart w:id="24" w:name="_Toc55319761"/>
      <w:r>
        <w:rPr>
          <w:noProof/>
        </w:rPr>
        <w:t>6.  УСЛУГИ, ОБЩЕСТВЕНИ ПОРЪЧКИ, ПРАВА ВЪРХУ ИНТЕЛЕКТУАЛНА СОБСТВЕНОСТ</w:t>
      </w:r>
      <w:bookmarkEnd w:id="24"/>
    </w:p>
    <w:p>
      <w:pPr>
        <w:rPr>
          <w:noProof/>
          <w:lang w:val="en-GB"/>
        </w:rPr>
      </w:pPr>
    </w:p>
    <w:p>
      <w:pPr>
        <w:pStyle w:val="Heading2"/>
        <w:rPr>
          <w:noProof/>
        </w:rPr>
      </w:pPr>
      <w:r>
        <w:rPr>
          <w:noProof/>
        </w:rPr>
        <w:t xml:space="preserve"> </w:t>
      </w:r>
      <w:bookmarkStart w:id="25" w:name="_Toc55319762"/>
      <w:r>
        <w:rPr>
          <w:noProof/>
        </w:rPr>
        <w:t>6. 1 Услуги и преки чуждестранни инвестиции (ПЧИ)</w:t>
      </w:r>
      <w:bookmarkEnd w:id="25"/>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Услугите съставляват приблизително 75 % от БВП на ЕС</w:t>
      </w:r>
      <w:r>
        <w:rPr>
          <w:rStyle w:val="FootnoteReference"/>
          <w:noProof/>
          <w:sz w:val="24"/>
          <w:szCs w:val="24"/>
          <w:lang w:val="en-GB"/>
        </w:rPr>
        <w:footnoteReference w:id="59"/>
      </w:r>
      <w:r>
        <w:rPr>
          <w:rFonts w:ascii="Times New Roman" w:hAnsi="Times New Roman"/>
          <w:noProof/>
          <w:sz w:val="24"/>
          <w:szCs w:val="24"/>
        </w:rPr>
        <w:t xml:space="preserve">, промишлеността — 25 % и селското стопанство — 2 %.  ЕС е </w:t>
      </w:r>
      <w:r>
        <w:rPr>
          <w:rFonts w:ascii="Times New Roman" w:hAnsi="Times New Roman"/>
          <w:b/>
          <w:noProof/>
          <w:sz w:val="24"/>
          <w:szCs w:val="24"/>
        </w:rPr>
        <w:t>най-големият износител на услуги</w:t>
      </w:r>
      <w:r>
        <w:rPr>
          <w:rFonts w:ascii="Times New Roman" w:hAnsi="Times New Roman"/>
          <w:noProof/>
          <w:sz w:val="24"/>
          <w:szCs w:val="24"/>
        </w:rPr>
        <w:t xml:space="preserve"> в света. Търговията с услуги възлиза на 25 % от БВП на ЕС, като износът на услуги на ЕС надхвърля 900 млрд. евро годишно. Търговията с услуги подпомага пряко или косвено 21 милиона работни места в ЕС. 60 % от всички ПЧИ на ЕС за останалата част от света са в сферата на услугите, както и близо 90 % от всички ПЧИ, които влизат в ЕС. </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Разпоредби за услугите и инвестициите в търговските споразумения на ЕС</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Търговските споразумения на ЕС с разпоредби относно услугите и цифровата търговия</w:t>
      </w:r>
      <w:r>
        <w:rPr>
          <w:rFonts w:ascii="Times New Roman" w:hAnsi="Times New Roman"/>
          <w:noProof/>
          <w:sz w:val="24"/>
          <w:szCs w:val="24"/>
        </w:rPr>
        <w:t xml:space="preserve"> гарантират, че доставчиците на услуги от ЕС имат право да предоставят услуги на пазарите на държавите партньори и не са дискриминирани в сравнение с националните или чуждестранните предприятия в същия сектор.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Разпоредбите за либерализация на инвестициите</w:t>
      </w:r>
      <w:r>
        <w:rPr>
          <w:rFonts w:ascii="Times New Roman" w:hAnsi="Times New Roman"/>
          <w:noProof/>
          <w:sz w:val="24"/>
          <w:szCs w:val="24"/>
        </w:rPr>
        <w:t xml:space="preserve"> следват един и същ принцип, както в областта на услугите (установяване), така и в области, различни от услугите (производство, минно дело, селско стопанство и др.), за справяне с ограниченията върху достъпа до пазара, чуждестранната собственост и видовете търговско присъствие. Те също така се занимават с дискриминационни процедури за проверка, лицензиране и одобряване, ограничения за чуждестранния персонал, тестове за икономическа необходимост и дискриминационно третиране, които облагодетелстват местни предприятия пред чуждестранни дружества.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Всички по-скорошни търговски споразумения на ЕС имат разпоредби относно услугите, които спомагат за създаването и укрепването на </w:t>
      </w:r>
      <w:r>
        <w:rPr>
          <w:rFonts w:ascii="Times New Roman" w:hAnsi="Times New Roman"/>
          <w:b/>
          <w:noProof/>
          <w:sz w:val="24"/>
          <w:szCs w:val="24"/>
        </w:rPr>
        <w:t>регулаторна рамка</w:t>
      </w:r>
      <w:r>
        <w:rPr>
          <w:rFonts w:ascii="Times New Roman" w:hAnsi="Times New Roman"/>
          <w:noProof/>
          <w:sz w:val="24"/>
          <w:szCs w:val="24"/>
        </w:rPr>
        <w:t xml:space="preserve"> за улесняване на предоставянето на услуги, като същевременно се защитават потребителите.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списъците на задълженията</w:t>
      </w:r>
      <w:r>
        <w:rPr>
          <w:rFonts w:ascii="Times New Roman" w:hAnsi="Times New Roman"/>
          <w:noProof/>
          <w:sz w:val="24"/>
          <w:szCs w:val="24"/>
        </w:rPr>
        <w:t xml:space="preserve"> страните изброяват условията за достъп до пазара и националното третиране, които взаимно си предоставят на съответната си територия.  Специфичните задължения имат ефект, подобен на тарифно обвързване: те са гаранция за предприятията в други държави, че условията за навлизане и функциониране на пазара няма да се променят в техен ущърб.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Всеобхватното икономическо и търговско споразумение между ЕС и Канада (</w:t>
      </w:r>
      <w:r>
        <w:rPr>
          <w:rFonts w:ascii="Times New Roman" w:hAnsi="Times New Roman"/>
          <w:b/>
          <w:noProof/>
          <w:sz w:val="24"/>
          <w:szCs w:val="24"/>
        </w:rPr>
        <w:t>ВИТС)</w:t>
      </w:r>
      <w:r>
        <w:rPr>
          <w:rFonts w:ascii="Times New Roman" w:hAnsi="Times New Roman"/>
          <w:noProof/>
          <w:sz w:val="24"/>
          <w:szCs w:val="24"/>
        </w:rPr>
        <w:t xml:space="preserve"> включва някои от най-широкообхватните разпоредби относно търговията с услуги, договорени от ЕС до момента, и за първи път — </w:t>
      </w:r>
      <w:r>
        <w:rPr>
          <w:rFonts w:ascii="Times New Roman" w:hAnsi="Times New Roman"/>
          <w:b/>
          <w:noProof/>
          <w:sz w:val="24"/>
          <w:szCs w:val="24"/>
        </w:rPr>
        <w:t>отрицателен списък</w:t>
      </w:r>
      <w:r>
        <w:rPr>
          <w:rFonts w:ascii="Times New Roman" w:hAnsi="Times New Roman"/>
          <w:noProof/>
          <w:sz w:val="24"/>
          <w:szCs w:val="24"/>
        </w:rPr>
        <w:t xml:space="preserve"> за ангажименти. Износът на услуги от ЕС за Канада се е увеличи от 16 926 млн. евро през 2017 г. на 19 000 млн. евро през 2018 г., което е годишен ръст от 12,3 %.  Общата търговия с услуги се увеличи с 15,2 %.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 xml:space="preserve">Нидерландско ИТ дружество поставя Канада на картата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Нидерландското дружество Spotzi предлага интерактивна платформа за картографиране, която показва демографския състав на света и поведението на хората, като туристически модели и навици за пазаруване.  Първоначално базирано в Нидерландия, Spotzi разработва операции в Канада, за да се възползва от местните знания и талант в технологията на големите информационни масиви. ВИТС улеснява дружествата в изпращането на персонал до другата страна на Атлантическия океан за временна работа. По-лесните процедури за обработка на визите на персонала са от особена помощ, което улеснява нидерландските и канадските екипи да работят заедно.</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
          <w:noProof/>
          <w:sz w:val="24"/>
          <w:szCs w:val="24"/>
        </w:rPr>
      </w:pPr>
      <w:r>
        <w:rPr>
          <w:rFonts w:ascii="Times New Roman" w:hAnsi="Times New Roman"/>
          <w:i/>
          <w:noProof/>
          <w:sz w:val="24"/>
          <w:szCs w:val="24"/>
        </w:rPr>
        <w:t>„Аз се обграждам с добри хора, които ме карат да се чувствам страхотно и ме зареждат с положителна енергия.“</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Remco Dolman, главен изпълнителен директор на Spotzi</w:t>
      </w:r>
    </w:p>
    <w:p>
      <w:pPr>
        <w:spacing w:after="0" w:line="240" w:lineRule="auto"/>
        <w:rPr>
          <w:rFonts w:ascii="Times New Roman" w:hAnsi="Times New Roman" w:cs="Times New Roman"/>
          <w:b/>
          <w:noProof/>
          <w:sz w:val="24"/>
          <w:szCs w:val="24"/>
          <w:lang w:val="en-GB"/>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За разлика от разпоредбите в търговските споразумения относно търговията със стоки, разпоредбите за услугите и цифровата търговия най-вече обвързват съществуващите нива на отвореност. Търговските партньори обикновено не е необходимо да променят или коригират законодателство или нормативна уредба, или да предприемат други мерки за изпълнение на споразумението, освен необходимото, за да се предотврати евентуално ограничаване на възможностите на дружествата от ЕС да предлагат услуги и да инвестират на тяхна територия. Единственото изключение до момента е ВИТС, при което Канада надхвърли обвързващото си ниво на отвореност на пазара в две области.</w:t>
      </w:r>
    </w:p>
    <w:p>
      <w:pPr>
        <w:autoSpaceDE w:val="0"/>
        <w:autoSpaceDN w:val="0"/>
        <w:adjustRightInd w:val="0"/>
        <w:spacing w:afterLines="100" w:after="240"/>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b/>
          <w:iCs/>
          <w:noProof/>
          <w:sz w:val="24"/>
          <w:szCs w:val="24"/>
        </w:rPr>
        <w:t xml:space="preserve">Нови пазари за доставчици на услуги от ЕС:  Търговско споразумение между ЕС и Канада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 </w:t>
      </w:r>
      <w:r>
        <w:rPr>
          <w:rFonts w:ascii="Times New Roman" w:hAnsi="Times New Roman"/>
          <w:b/>
          <w:iCs/>
          <w:noProof/>
          <w:sz w:val="24"/>
          <w:szCs w:val="24"/>
        </w:rPr>
        <w:t>Kорабоплавателните дружества от ЕС вече могат да предлагат някои дейности по морски транспорт</w:t>
      </w:r>
      <w:r>
        <w:rPr>
          <w:rFonts w:ascii="Times New Roman" w:hAnsi="Times New Roman"/>
          <w:iCs/>
          <w:noProof/>
          <w:sz w:val="24"/>
          <w:szCs w:val="24"/>
        </w:rPr>
        <w:t xml:space="preserve"> (фидерни превози) между Халифакс и Монреал, които преди това са били ограничени до националните оператори.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Доставчици на услуги от ЕС могат да се конкурират за услуги по търговско драгиране</w:t>
      </w:r>
      <w:r>
        <w:rPr>
          <w:rFonts w:ascii="Times New Roman" w:hAnsi="Times New Roman"/>
          <w:iCs/>
          <w:noProof/>
          <w:sz w:val="24"/>
          <w:szCs w:val="24"/>
        </w:rPr>
        <w:t xml:space="preserve"> и повторно позициониране на празни контейнери. Оттогава ангажиментите се изпълняват, тъй като Канада съответно актуализира своите закони за крайбрежното корабоплаване.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Промяна в </w:t>
      </w:r>
      <w:r>
        <w:rPr>
          <w:rFonts w:ascii="Times New Roman" w:hAnsi="Times New Roman"/>
          <w:b/>
          <w:iCs/>
          <w:noProof/>
          <w:sz w:val="24"/>
          <w:szCs w:val="24"/>
        </w:rPr>
        <w:t>Закона за инвестициите на Канада</w:t>
      </w:r>
      <w:r>
        <w:rPr>
          <w:rFonts w:ascii="Times New Roman" w:hAnsi="Times New Roman"/>
          <w:iCs/>
          <w:noProof/>
          <w:sz w:val="24"/>
          <w:szCs w:val="24"/>
        </w:rPr>
        <w:t xml:space="preserve"> увеличи прага за преразглеждане на придобиванията на канадски дружества от неканадски дружества от 658 млн. евро на 987 млн. евро.  Това сега се отнася за всички инвеститори от ЕС, различни от тези, които са държавни предприятия.</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Като се започне с ВИТС, разпоредбите в търговските споразумения на ЕС относно регулирането на услугите бяха значително засилени. </w:t>
      </w:r>
      <w:r>
        <w:rPr>
          <w:rFonts w:ascii="Times New Roman" w:hAnsi="Times New Roman"/>
          <w:b/>
          <w:noProof/>
          <w:sz w:val="24"/>
          <w:szCs w:val="24"/>
        </w:rPr>
        <w:t>Споразумението между ЕС и Япония</w:t>
      </w:r>
      <w:r>
        <w:rPr>
          <w:rFonts w:ascii="Times New Roman" w:hAnsi="Times New Roman"/>
          <w:noProof/>
          <w:sz w:val="24"/>
          <w:szCs w:val="24"/>
        </w:rPr>
        <w:t xml:space="preserve"> например включва</w:t>
      </w:r>
      <w:r>
        <w:rPr>
          <w:rFonts w:ascii="Times New Roman" w:hAnsi="Times New Roman"/>
          <w:b/>
          <w:noProof/>
          <w:sz w:val="24"/>
          <w:szCs w:val="24"/>
        </w:rPr>
        <w:t xml:space="preserve"> всеобхватни ангажименти в областта на услугите и инвестициите</w:t>
      </w: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cs="Times New Roman"/>
          <w:iCs/>
          <w:noProof/>
          <w:sz w:val="24"/>
          <w:szCs w:val="24"/>
        </w:rPr>
      </w:pPr>
      <w:r>
        <w:rPr>
          <w:rFonts w:ascii="Times New Roman" w:hAnsi="Times New Roman"/>
          <w:b/>
          <w:iCs/>
          <w:noProof/>
          <w:sz w:val="24"/>
          <w:szCs w:val="24"/>
        </w:rPr>
        <w:t>Амбициозни правила в областта на търговията с услуги:  СИП между ЕС и Япония</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Cs/>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Япония се съгласи</w:t>
      </w:r>
      <w:r>
        <w:rPr>
          <w:rFonts w:ascii="Times New Roman" w:hAnsi="Times New Roman"/>
          <w:iCs/>
          <w:noProof/>
          <w:sz w:val="24"/>
          <w:szCs w:val="24"/>
        </w:rPr>
        <w:t xml:space="preserve"> за първи път </w:t>
      </w:r>
      <w:r>
        <w:rPr>
          <w:rFonts w:ascii="Times New Roman" w:hAnsi="Times New Roman"/>
          <w:b/>
          <w:iCs/>
          <w:noProof/>
          <w:sz w:val="24"/>
          <w:szCs w:val="24"/>
        </w:rPr>
        <w:t>да прилага националните принципи за регулиране</w:t>
      </w:r>
      <w:r>
        <w:rPr>
          <w:rFonts w:ascii="Times New Roman" w:hAnsi="Times New Roman"/>
          <w:iCs/>
          <w:noProof/>
          <w:sz w:val="24"/>
          <w:szCs w:val="24"/>
        </w:rPr>
        <w:t xml:space="preserve"> относно изискванията за лицензиране и квалификация и относно процедурите и техническите стандарти, не само за секторите на услугите, но и за инвестиции в сектори, различни от тези на услугите, като селско стопанство, производство, минно дело и т.н.</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Япония отвори </w:t>
      </w:r>
      <w:r>
        <w:rPr>
          <w:rFonts w:ascii="Times New Roman" w:hAnsi="Times New Roman"/>
          <w:b/>
          <w:iCs/>
          <w:noProof/>
          <w:sz w:val="24"/>
          <w:szCs w:val="24"/>
        </w:rPr>
        <w:t>допълнителни канали за разпространение</w:t>
      </w:r>
      <w:r>
        <w:rPr>
          <w:rFonts w:ascii="Times New Roman" w:hAnsi="Times New Roman"/>
          <w:iCs/>
          <w:noProof/>
          <w:sz w:val="24"/>
          <w:szCs w:val="24"/>
        </w:rPr>
        <w:t xml:space="preserve"> за </w:t>
      </w:r>
      <w:r>
        <w:rPr>
          <w:rFonts w:ascii="Times New Roman" w:hAnsi="Times New Roman"/>
          <w:b/>
          <w:iCs/>
          <w:noProof/>
          <w:sz w:val="24"/>
          <w:szCs w:val="24"/>
        </w:rPr>
        <w:t>частни застрахователни дружества от ЕС</w:t>
      </w:r>
      <w:r>
        <w:rPr>
          <w:rFonts w:ascii="Times New Roman" w:hAnsi="Times New Roman"/>
          <w:iCs/>
          <w:noProof/>
          <w:sz w:val="24"/>
          <w:szCs w:val="24"/>
        </w:rPr>
        <w:t>:  тези дружества вече могат да предлагат своите застрахователни продукти чрез японската мрежа от пощенски офиси.</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За пощенските и куриерските услуги бяха договорени правила </w:t>
      </w:r>
      <w:r>
        <w:rPr>
          <w:rFonts w:ascii="Times New Roman" w:hAnsi="Times New Roman"/>
          <w:b/>
          <w:iCs/>
          <w:noProof/>
          <w:sz w:val="24"/>
          <w:szCs w:val="24"/>
        </w:rPr>
        <w:t>в отговор на антиконкурентни практики на доставчиците на универсални услуги,</w:t>
      </w:r>
      <w:r>
        <w:rPr>
          <w:rFonts w:ascii="Times New Roman" w:hAnsi="Times New Roman"/>
          <w:iCs/>
          <w:noProof/>
          <w:sz w:val="24"/>
          <w:szCs w:val="24"/>
        </w:rPr>
        <w:t xml:space="preserve"> като например кръстосано субсидиране.</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Мониторинг на ефективността на разпоредбите за услуги в търговските споразумения на ЕС</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Тъй като няма „мита“ за услугите и инвестициите, оценката на изпълнението на ангажиментите по отношение на услугите и инвестициите съгласно търговските споразумения на ЕС е по-малко лесна, отколкото за стоки. Заедно с наблюдението на тенденциите в търговията с услуги и инвестиционните потоци и с цел да се прецени ефективността на търговските споразумения на ЕС, Европейската комисия разчита предимно на жалби от отделни дружества или бизнес асоциации, които докладват проблеми при достъпа до пазара на държава партньор. Дружествата от ЕС могат да докладват тези въпроси на ЕС или на националните си органи. В такъв случай Европейската комисия може от своя страна да повдигне проблемите с търговските си партньори, например в създадените със споразуменията комитети по услугите и инвестициите. </w:t>
      </w:r>
    </w:p>
    <w:p>
      <w:pPr>
        <w:autoSpaceDE w:val="0"/>
        <w:autoSpaceDN w:val="0"/>
        <w:adjustRightInd w:val="0"/>
        <w:spacing w:after="0"/>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noProof/>
          <w:sz w:val="24"/>
          <w:szCs w:val="24"/>
        </w:rPr>
        <w:t xml:space="preserve"> </w:t>
      </w:r>
      <w:r>
        <w:rPr>
          <w:rFonts w:ascii="Times New Roman" w:hAnsi="Times New Roman"/>
          <w:b/>
          <w:noProof/>
          <w:sz w:val="24"/>
          <w:szCs w:val="24"/>
        </w:rPr>
        <w:t>Изразяване на свързани с търговията опасения в областта на услугите</w:t>
      </w:r>
      <w:r>
        <w:rPr>
          <w:rFonts w:ascii="Times New Roman" w:hAnsi="Times New Roman"/>
          <w:b/>
          <w:iCs/>
          <w:noProof/>
          <w:sz w:val="24"/>
          <w:szCs w:val="24"/>
        </w:rPr>
        <w:t> — примери през 2019 г.</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Споразумение за икономическо партньорство между EС и Япония</w:t>
      </w:r>
      <w:r>
        <w:rPr>
          <w:rFonts w:ascii="Times New Roman" w:hAnsi="Times New Roman"/>
          <w:iCs/>
          <w:noProof/>
          <w:sz w:val="24"/>
          <w:szCs w:val="24"/>
        </w:rPr>
        <w:t>: Европейската комисия изрази загриженост пред японските органи относно условията за достъп до японския пазар за пощенски и куриерски услуги.</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Търговско споразумение между ЕС и Южна Корея:</w:t>
      </w:r>
      <w:r>
        <w:rPr>
          <w:rFonts w:ascii="Times New Roman" w:hAnsi="Times New Roman"/>
          <w:iCs/>
          <w:noProof/>
          <w:sz w:val="24"/>
          <w:szCs w:val="24"/>
        </w:rPr>
        <w:t xml:space="preserve"> Европейската комисия изрази загриженост пред корейските органи относно мерките, предприети в сектора на морския транспорт, както и за продажбите и ремонта на употребявани автомобили.</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Търговско споразумение между ЕС и Колумбия, Перу и Еквадор:</w:t>
      </w:r>
      <w:r>
        <w:rPr>
          <w:rFonts w:ascii="Times New Roman" w:hAnsi="Times New Roman"/>
          <w:iCs/>
          <w:noProof/>
          <w:sz w:val="24"/>
          <w:szCs w:val="24"/>
        </w:rPr>
        <w:t xml:space="preserve"> Европейската комисия изрази загриженост относно мерките, предприети от Еквадор в индивидуалното презастраховане на живота, груповото презастраховане на живота, личното презастраховане, здравното презастраховане и презастраховането във връзка с моторни превозни средства, които дискриминираха чуждестранните презастрахователни дружества.</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И накрая, търговските споразумения на ЕС, ако бъдат изпълнявани ефективно, </w:t>
      </w:r>
      <w:r>
        <w:rPr>
          <w:rFonts w:ascii="Times New Roman" w:hAnsi="Times New Roman"/>
          <w:b/>
          <w:noProof/>
          <w:sz w:val="24"/>
          <w:szCs w:val="24"/>
        </w:rPr>
        <w:t>целят да укрепят икономическите отношения между ЕС и съответния партньор</w:t>
      </w:r>
      <w:r>
        <w:rPr>
          <w:rFonts w:ascii="Times New Roman" w:hAnsi="Times New Roman"/>
          <w:noProof/>
          <w:sz w:val="24"/>
          <w:szCs w:val="24"/>
        </w:rPr>
        <w:t xml:space="preserve">, което ще доведе до увеличаване на взаимните инвестиции както в секторите на услугите, така и в секторите, различни от тези на услугите. Това се отнася и за търговските споразумения без специални разпоредби относно услугите и инвестициите. Например </w:t>
      </w:r>
      <w:r>
        <w:rPr>
          <w:rFonts w:ascii="Times New Roman" w:hAnsi="Times New Roman"/>
          <w:b/>
          <w:noProof/>
          <w:sz w:val="24"/>
          <w:szCs w:val="24"/>
        </w:rPr>
        <w:t>споразуменията за икономическо партньорство на ЕС с африканските държави</w:t>
      </w:r>
      <w:r>
        <w:rPr>
          <w:rFonts w:ascii="Times New Roman" w:hAnsi="Times New Roman"/>
          <w:noProof/>
          <w:sz w:val="24"/>
          <w:szCs w:val="24"/>
        </w:rPr>
        <w:t xml:space="preserve"> засега обхващат само търговията със стоки, но допринасят за привлекателността на африканските икономики за инвестиции на ЕС, особено с оглед на местната трансформация и развитието на промишления капацитет. По същия начин инвестициите на ЕС в Мароко значително се увеличиха след влизането в сила на </w:t>
      </w:r>
      <w:r>
        <w:rPr>
          <w:rFonts w:ascii="Times New Roman" w:hAnsi="Times New Roman"/>
          <w:b/>
          <w:noProof/>
          <w:sz w:val="24"/>
          <w:szCs w:val="24"/>
        </w:rPr>
        <w:t>Споразумението за асоцииране между ЕС и Мароко</w:t>
      </w:r>
      <w:r>
        <w:rPr>
          <w:rFonts w:ascii="Times New Roman" w:hAnsi="Times New Roman"/>
          <w:noProof/>
          <w:sz w:val="24"/>
          <w:szCs w:val="24"/>
        </w:rPr>
        <w:t xml:space="preserve"> през 2000 г., което осъществява връзка с местните вериги на стойност, особено в автомобилния сектор.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Търговски споразумения на ЕС за увеличаване на инвестициите в Мароко</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Наличните преки чуждестранни инвестиции на ЕС в Мароко се увеличиха със 17 % през първите пет години от изпълнението на Споразумението за асоцииране между ЕС и Мароко</w:t>
      </w:r>
      <w:r>
        <w:rPr>
          <w:rStyle w:val="FootnoteReference"/>
          <w:rFonts w:ascii="Times New Roman" w:hAnsi="Times New Roman" w:cs="Times New Roman"/>
          <w:noProof/>
          <w:sz w:val="24"/>
          <w:szCs w:val="24"/>
          <w:lang w:val="en-GB"/>
        </w:rPr>
        <w:footnoteReference w:id="60"/>
      </w:r>
      <w:r>
        <w:rPr>
          <w:rFonts w:ascii="Times New Roman" w:hAnsi="Times New Roman"/>
          <w:noProof/>
          <w:sz w:val="24"/>
          <w:szCs w:val="24"/>
        </w:rPr>
        <w:t xml:space="preserve">. Според скорошен анализ „Споразумението за асоцииране между ЕС и Мароко изглежда е повишило доверието на инвеститорите в мароканската икономика, </w:t>
      </w:r>
      <w:r>
        <w:rPr>
          <w:rFonts w:ascii="Times New Roman" w:hAnsi="Times New Roman"/>
          <w:i/>
          <w:noProof/>
          <w:sz w:val="24"/>
          <w:szCs w:val="24"/>
        </w:rPr>
        <w:t>inter alia</w:t>
      </w:r>
      <w:r>
        <w:rPr>
          <w:rFonts w:ascii="Times New Roman" w:hAnsi="Times New Roman"/>
          <w:noProof/>
          <w:sz w:val="24"/>
          <w:szCs w:val="24"/>
        </w:rPr>
        <w:t>, чрез гарантиране на либерализацията на услугите и чрез установяване на по-голяма дисциплина на политиките в сфери, вариращи от макроикономическата стабилност до пазарите на труда и разпоредбите относно продуктите“.</w:t>
      </w:r>
      <w:r>
        <w:rPr>
          <w:rStyle w:val="FootnoteReference"/>
          <w:rFonts w:ascii="Times New Roman" w:hAnsi="Times New Roman"/>
          <w:noProof/>
          <w:sz w:val="24"/>
          <w:szCs w:val="24"/>
        </w:rPr>
        <w:t xml:space="preserve"> </w:t>
      </w:r>
      <w:r>
        <w:rPr>
          <w:rStyle w:val="FootnoteReference"/>
          <w:rFonts w:ascii="Times New Roman" w:hAnsi="Times New Roman" w:cs="Times New Roman"/>
          <w:noProof/>
          <w:sz w:val="24"/>
          <w:szCs w:val="24"/>
          <w:lang w:val="en-GB"/>
        </w:rPr>
        <w:footnoteReference w:id="61"/>
      </w:r>
      <w:r>
        <w:rPr>
          <w:rFonts w:ascii="Times New Roman" w:hAnsi="Times New Roman"/>
          <w:noProof/>
          <w:sz w:val="24"/>
          <w:szCs w:val="24"/>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 Инвестициите на ЕС в Мароко бяха особено важни в автомобилния сектор, който се превърна в най-големия сектор износител в страната (27 % от общия износ на Мароко през 2019 г.), като той създаде 116 000 работни места между 2014 г. и 2018 г. и с 60 % степен на интеграция на местните производители</w:t>
      </w:r>
      <w:r>
        <w:rPr>
          <w:rStyle w:val="FootnoteReference"/>
          <w:noProof/>
          <w:sz w:val="24"/>
          <w:szCs w:val="24"/>
          <w:lang w:val="en-GB"/>
        </w:rPr>
        <w:footnoteReference w:id="62"/>
      </w:r>
      <w:r>
        <w:rPr>
          <w:noProof/>
        </w:rPr>
        <w:t>.</w:t>
      </w:r>
    </w:p>
    <w:p>
      <w:pPr>
        <w:rPr>
          <w:rFonts w:ascii="Times New Roman" w:hAnsi="Times New Roman" w:cs="Times New Roman"/>
          <w:b/>
          <w:noProof/>
          <w:sz w:val="24"/>
          <w:szCs w:val="24"/>
          <w:lang w:val="en-GB"/>
        </w:rPr>
      </w:pPr>
    </w:p>
    <w:p>
      <w:pPr>
        <w:spacing w:after="0"/>
        <w:rPr>
          <w:rFonts w:ascii="Times New Roman" w:hAnsi="Times New Roman" w:cs="Times New Roman"/>
          <w:b/>
          <w:noProof/>
          <w:sz w:val="24"/>
          <w:szCs w:val="24"/>
          <w:lang w:val="en-GB"/>
        </w:rPr>
      </w:pPr>
    </w:p>
    <w:p>
      <w:pPr>
        <w:pStyle w:val="Heading2"/>
        <w:rPr>
          <w:noProof/>
        </w:rPr>
      </w:pPr>
      <w:bookmarkStart w:id="26" w:name="_Toc55319763"/>
      <w:r>
        <w:rPr>
          <w:noProof/>
        </w:rPr>
        <w:t>6.2 Обществени поръчки</w:t>
      </w:r>
      <w:bookmarkEnd w:id="26"/>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Пазарът на обществени поръчки на ЕС</w:t>
      </w:r>
      <w:r>
        <w:rPr>
          <w:rStyle w:val="FootnoteReference"/>
          <w:rFonts w:ascii="Times New Roman" w:hAnsi="Times New Roman" w:cs="Times New Roman"/>
          <w:noProof/>
          <w:sz w:val="24"/>
          <w:szCs w:val="24"/>
          <w:lang w:val="en-GB"/>
        </w:rPr>
        <w:footnoteReference w:id="63"/>
      </w:r>
      <w:r>
        <w:rPr>
          <w:rFonts w:ascii="Times New Roman" w:hAnsi="Times New Roman"/>
          <w:noProof/>
          <w:sz w:val="24"/>
          <w:szCs w:val="24"/>
        </w:rPr>
        <w:t xml:space="preserve"> показва силни признаци на отвореност и при трите начина на предлагане</w:t>
      </w:r>
      <w:r>
        <w:rPr>
          <w:rStyle w:val="FootnoteReference"/>
          <w:rFonts w:ascii="Times New Roman" w:hAnsi="Times New Roman" w:cs="Times New Roman"/>
          <w:noProof/>
          <w:sz w:val="24"/>
          <w:szCs w:val="24"/>
          <w:lang w:val="en-GB"/>
        </w:rPr>
        <w:footnoteReference w:id="64"/>
      </w:r>
      <w:r>
        <w:rPr>
          <w:rFonts w:ascii="Times New Roman" w:hAnsi="Times New Roman"/>
          <w:noProof/>
          <w:sz w:val="24"/>
          <w:szCs w:val="24"/>
        </w:rPr>
        <w:t>.</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Диаграмата по-долу показва стойността на договорите за трансгранични обществени поръчки, възложени пряко или непряко на дружества извън ЕС през 2017 г. За всички три начина заедно сумата възлиза на </w:t>
      </w:r>
      <w:r>
        <w:rPr>
          <w:rFonts w:ascii="Times New Roman" w:hAnsi="Times New Roman"/>
          <w:noProof/>
          <w:color w:val="000000"/>
        </w:rPr>
        <w:t xml:space="preserve"> </w:t>
      </w:r>
      <w:r>
        <w:rPr>
          <w:rFonts w:ascii="Times New Roman" w:hAnsi="Times New Roman"/>
          <w:noProof/>
          <w:sz w:val="24"/>
          <w:szCs w:val="24"/>
        </w:rPr>
        <w:t>50 млрд. евро</w:t>
      </w:r>
      <w:r>
        <w:rPr>
          <w:rStyle w:val="FootnoteReference"/>
          <w:rFonts w:ascii="Times New Roman" w:hAnsi="Times New Roman" w:cs="Times New Roman"/>
          <w:noProof/>
          <w:sz w:val="24"/>
          <w:szCs w:val="24"/>
          <w:lang w:val="en-GB"/>
        </w:rPr>
        <w:footnoteReference w:id="65"/>
      </w:r>
      <w:r>
        <w:rPr>
          <w:noProof/>
        </w:rPr>
        <w:t>.</w:t>
      </w:r>
      <w:r>
        <w:rPr>
          <w:rFonts w:ascii="Times New Roman" w:hAnsi="Times New Roman"/>
          <w:noProof/>
          <w:sz w:val="24"/>
          <w:szCs w:val="24"/>
        </w:rPr>
        <w:t xml:space="preserve"> </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noProof/>
          <w:color w:val="000000"/>
        </w:rPr>
      </w:pPr>
      <w:r>
        <w:rPr>
          <w:rFonts w:ascii="Times New Roman" w:hAnsi="Times New Roman"/>
          <w:b/>
          <w:noProof/>
          <w:color w:val="000000"/>
        </w:rPr>
        <w:t>Фигура 14: Отвореност на ЕС в областта на обществените поръчки с чуждестранно участие, по начини на предлагане (млрд. евро)</w:t>
      </w:r>
    </w:p>
    <w:p>
      <w:pPr>
        <w:rPr>
          <w:noProof/>
        </w:rPr>
      </w:pPr>
      <w:r>
        <w:rPr>
          <w:noProof/>
          <w:lang w:val="en-GB" w:eastAsia="en-GB"/>
        </w:rPr>
        <w:drawing>
          <wp:inline distT="0" distB="0" distL="0" distR="0">
            <wp:extent cx="4719955" cy="272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9955" cy="2722880"/>
                    </a:xfrm>
                    <a:prstGeom prst="rect">
                      <a:avLst/>
                    </a:prstGeom>
                    <a:noFill/>
                    <a:ln>
                      <a:noFill/>
                    </a:ln>
                  </pic:spPr>
                </pic:pic>
              </a:graphicData>
            </a:graphic>
          </wp:inline>
        </w:drawing>
      </w:r>
    </w:p>
    <w:p>
      <w:pPr>
        <w:autoSpaceDE w:val="0"/>
        <w:autoSpaceDN w:val="0"/>
        <w:adjustRightInd w:val="0"/>
        <w:spacing w:afterLines="100" w:after="240"/>
        <w:rPr>
          <w:rFonts w:ascii="Arial" w:hAnsi="Arial" w:cs="Arial"/>
          <w:noProof/>
          <w:color w:val="000000"/>
          <w:lang w:val="en-GB"/>
        </w:rPr>
      </w:pP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noProof/>
          <w:sz w:val="24"/>
          <w:szCs w:val="24"/>
        </w:rPr>
        <w:t>Обществените поръчки представляват средно 10—25 % от БВП</w:t>
      </w:r>
      <w:r>
        <w:rPr>
          <w:rStyle w:val="FootnoteReference"/>
          <w:rFonts w:ascii="Times New Roman" w:hAnsi="Times New Roman" w:cs="Times New Roman"/>
          <w:noProof/>
          <w:sz w:val="24"/>
          <w:szCs w:val="24"/>
          <w:lang w:val="en-GB"/>
        </w:rPr>
        <w:footnoteReference w:id="66"/>
      </w:r>
      <w:r>
        <w:rPr>
          <w:rFonts w:ascii="Times New Roman" w:hAnsi="Times New Roman"/>
          <w:noProof/>
          <w:sz w:val="24"/>
          <w:szCs w:val="24"/>
        </w:rPr>
        <w:t>. Ако се разгледат последните данни за националните сметки на Евростат и ОИСР в ЕС, разходите за обществени поръчки по отношение на БВП възлизат на 13,7 % от БВП на ЕС или в абсолютно изражение на около 2 015,3 млрд. евро (без поръчките за комунални услуги и отбрана).</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Разпоредби относно обществените поръчки в търговските споразумения на ЕС</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Главите на търговските споразумения на ЕС относно обществените поръчки предоставят на дружествата от ЕС достъп до обществени поръчки, използвани за закупуване на стоки и услуги, включително строителство по обществени поръчки. </w:t>
      </w:r>
      <w:r>
        <w:rPr>
          <w:rFonts w:ascii="Times New Roman" w:hAnsi="Times New Roman"/>
          <w:b/>
          <w:noProof/>
          <w:sz w:val="24"/>
          <w:szCs w:val="24"/>
        </w:rPr>
        <w:t xml:space="preserve">Достъпът до пазара или </w:t>
      </w:r>
      <w:r>
        <w:rPr>
          <w:rFonts w:ascii="Times New Roman" w:hAnsi="Times New Roman"/>
          <w:b/>
          <w:bCs/>
          <w:noProof/>
          <w:sz w:val="24"/>
          <w:szCs w:val="24"/>
        </w:rPr>
        <w:t xml:space="preserve">обхватът на споразумението </w:t>
      </w:r>
      <w:r>
        <w:rPr>
          <w:rFonts w:ascii="Times New Roman" w:hAnsi="Times New Roman"/>
          <w:noProof/>
          <w:sz w:val="24"/>
          <w:szCs w:val="24"/>
        </w:rPr>
        <w:t xml:space="preserve"> определя обсега на отваряне на пазара на обществени поръчки в една държава за оференти, стоки и услуги от ЕС. </w:t>
      </w:r>
      <w:r>
        <w:rPr>
          <w:rFonts w:ascii="Times New Roman" w:hAnsi="Times New Roman"/>
          <w:b/>
          <w:noProof/>
          <w:sz w:val="24"/>
          <w:szCs w:val="24"/>
        </w:rPr>
        <w:t>Приложимите правила</w:t>
      </w:r>
      <w:r>
        <w:rPr>
          <w:rFonts w:ascii="Times New Roman" w:hAnsi="Times New Roman"/>
          <w:noProof/>
          <w:sz w:val="24"/>
          <w:szCs w:val="24"/>
        </w:rPr>
        <w:t xml:space="preserve"> определят условията за достъп до пазара за осигуряване на прозрачността на процедурите и предвиждат </w:t>
      </w:r>
      <w:r>
        <w:rPr>
          <w:rFonts w:ascii="Times New Roman" w:hAnsi="Times New Roman"/>
          <w:b/>
          <w:bCs/>
          <w:noProof/>
          <w:sz w:val="24"/>
          <w:szCs w:val="24"/>
        </w:rPr>
        <w:t>недискриминация</w:t>
      </w:r>
      <w:r>
        <w:rPr>
          <w:rFonts w:ascii="Times New Roman" w:hAnsi="Times New Roman"/>
          <w:bCs/>
          <w:noProof/>
          <w:sz w:val="24"/>
          <w:szCs w:val="24"/>
        </w:rPr>
        <w:t xml:space="preserve"> и </w:t>
      </w:r>
      <w:r>
        <w:rPr>
          <w:rFonts w:ascii="Times New Roman" w:hAnsi="Times New Roman"/>
          <w:b/>
          <w:bCs/>
          <w:noProof/>
          <w:sz w:val="24"/>
          <w:szCs w:val="24"/>
        </w:rPr>
        <w:t>равно третиране</w:t>
      </w:r>
      <w:r>
        <w:rPr>
          <w:rFonts w:ascii="Times New Roman" w:hAnsi="Times New Roman"/>
          <w:bCs/>
          <w:noProof/>
          <w:sz w:val="24"/>
          <w:szCs w:val="24"/>
        </w:rPr>
        <w:t xml:space="preserve"> между страните</w:t>
      </w:r>
      <w:r>
        <w:rPr>
          <w:rFonts w:ascii="Times New Roman" w:hAnsi="Times New Roman"/>
          <w:noProof/>
          <w:sz w:val="24"/>
          <w:szCs w:val="24"/>
        </w:rPr>
        <w:t>, което дава възможност на местните доставчици и доставчиците на другата страна да представят оферти при същите условия и осигурява ефективен преглед в случай на жалби по обществени поръчки. Някои конкретни примери включват:</w:t>
      </w:r>
    </w:p>
    <w:p>
      <w:pPr>
        <w:autoSpaceDE w:val="0"/>
        <w:autoSpaceDN w:val="0"/>
        <w:adjustRightInd w:val="0"/>
        <w:spacing w:afterLines="100" w:after="240"/>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ССТ между ЕС и Южна Корея</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споразумението разширява ангажиментите за достъп до пазара на двете страни в области, които не са предоставени една на друга съгласно Споразумението на СТО за държавните поръчки, а именно концесии за обществени поръчки в ЕС и договори за строеж, експлоатация и трансфер (BOT) в Южна Корея, които включват строителство и експлоатация на пътища.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ВИТС:</w:t>
      </w:r>
      <w:r>
        <w:rPr>
          <w:rFonts w:ascii="Times New Roman" w:hAnsi="Times New Roman"/>
          <w:noProof/>
          <w:sz w:val="24"/>
          <w:szCs w:val="24"/>
        </w:rPr>
        <w:t xml:space="preserve"> то обхваща широк набор от държавни поръчки на равнище под централното държавно управление, по-специално обществени поръчки, организирани от общини</w:t>
      </w:r>
      <w:r>
        <w:rPr>
          <w:rStyle w:val="FootnoteReference"/>
          <w:rFonts w:ascii="Times New Roman" w:hAnsi="Times New Roman" w:cs="Times New Roman"/>
          <w:noProof/>
          <w:sz w:val="24"/>
          <w:szCs w:val="24"/>
          <w:lang w:val="en-GB"/>
        </w:rPr>
        <w:footnoteReference w:id="67"/>
      </w:r>
      <w:r>
        <w:rPr>
          <w:noProof/>
        </w:rPr>
        <w:t>.</w:t>
      </w:r>
      <w:r>
        <w:rPr>
          <w:rStyle w:val="FootnoteReference"/>
          <w:noProof/>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СИП между ЕС и Япония</w:t>
      </w:r>
      <w:r>
        <w:rPr>
          <w:rFonts w:ascii="Times New Roman" w:hAnsi="Times New Roman"/>
          <w:noProof/>
          <w:sz w:val="24"/>
          <w:szCs w:val="24"/>
        </w:rPr>
        <w:t>: Япония предоставя на доставчиците от ЕС недискриминационен достъп до пазарите на обществени поръчки в 48 града с около 300 000 жители, което представлява приблизително 15 % от японското население.  На национално равнище Япония се съгласи да отвори търгове за оференти от ЕС за 87 болници и академични институции и 29 електроразпределителни дружества. ЕС получи и по-голям достъп до японския пазар на железопътно оборудване и инфраструктура.</w:t>
      </w:r>
    </w:p>
    <w:p>
      <w:pPr>
        <w:spacing w:after="0" w:line="259" w:lineRule="auto"/>
        <w:contextualSpacing/>
        <w:rPr>
          <w:rFonts w:ascii="Times New Roman" w:hAnsi="Times New Roman" w:cs="Times New Roman"/>
          <w:b/>
          <w:noProof/>
          <w:sz w:val="24"/>
          <w:szCs w:val="24"/>
          <w:lang w:val="en-GB"/>
        </w:rPr>
      </w:pP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 xml:space="preserve">Прилагане на разпоредбите за обществени поръчки — работа в комитети по търговията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Европейската комисия продължи да наблюдава изпълнението на ангажиментите във връзка с обществени поръчки в своите преференциални търговски споразумения, като работи в тясно сътрудничество със своите търговски партньори в съвместните комитети по обществените поръчки и търговията, създадени по силата на търговските споразумения на ЕС, както и чрез конкретни диалози.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Мониторинг на изпълнението на ангажиментите за възлагане на обществени поръчки — примери през 2019 г.</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Относно </w:t>
      </w:r>
      <w:r>
        <w:rPr>
          <w:rFonts w:ascii="Times New Roman" w:hAnsi="Times New Roman"/>
          <w:b/>
          <w:noProof/>
          <w:sz w:val="24"/>
          <w:szCs w:val="24"/>
        </w:rPr>
        <w:t>Колумбия</w:t>
      </w:r>
      <w:r>
        <w:rPr>
          <w:rFonts w:ascii="Times New Roman" w:hAnsi="Times New Roman"/>
          <w:noProof/>
          <w:sz w:val="24"/>
          <w:szCs w:val="24"/>
        </w:rPr>
        <w:t xml:space="preserve"> ЕС отново изрази опасенията си, че доставчиците от ЕС нямат национално третиране на равнище под централното държавно управление. Двете страни се споразумяха да продължат техническите обсъждания с оглед намирането на взаимно приемливо решение.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Относно </w:t>
      </w:r>
      <w:r>
        <w:rPr>
          <w:rFonts w:ascii="Times New Roman" w:hAnsi="Times New Roman"/>
          <w:b/>
          <w:noProof/>
          <w:sz w:val="24"/>
          <w:szCs w:val="24"/>
        </w:rPr>
        <w:t>Перу</w:t>
      </w:r>
      <w:r>
        <w:rPr>
          <w:rFonts w:ascii="Times New Roman" w:hAnsi="Times New Roman"/>
          <w:noProof/>
          <w:sz w:val="24"/>
          <w:szCs w:val="24"/>
        </w:rPr>
        <w:t xml:space="preserve"> ЕС изрази загриженост относно техническите спецификации в някои търгове и подчерта необходимостта да се осигури еквивалентност на стандартите, както е посочено в споразумението. Перу се съгласи да повиши осведомеността относно необходимостта от определяне на недискриминационни технически спецификации и приемане на международни стандарти в процедурите за възлагане на обществени поръчки.</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Относно </w:t>
      </w:r>
      <w:r>
        <w:rPr>
          <w:rFonts w:ascii="Times New Roman" w:hAnsi="Times New Roman"/>
          <w:b/>
          <w:noProof/>
          <w:sz w:val="24"/>
          <w:szCs w:val="24"/>
        </w:rPr>
        <w:t>Украйна</w:t>
      </w:r>
      <w:r>
        <w:rPr>
          <w:rFonts w:ascii="Times New Roman" w:hAnsi="Times New Roman"/>
          <w:noProof/>
          <w:sz w:val="24"/>
          <w:szCs w:val="24"/>
        </w:rPr>
        <w:t xml:space="preserve"> ЕС активно подкрепи своите партньори в разработването на нов закон за обществените поръчки, който съответства на приложимите правила на ЕС.  Той е приет на 19 септември 2019 г.</w:t>
      </w:r>
      <w:r>
        <w:rPr>
          <w:rStyle w:val="FootnoteReference"/>
          <w:noProof/>
          <w:sz w:val="24"/>
          <w:szCs w:val="24"/>
          <w:lang w:val="en-GB"/>
        </w:rPr>
        <w:footnoteReference w:id="68"/>
      </w:r>
      <w:r>
        <w:rPr>
          <w:rFonts w:ascii="Times New Roman" w:hAnsi="Times New Roman"/>
          <w:noProof/>
          <w:sz w:val="24"/>
          <w:szCs w:val="24"/>
        </w:rPr>
        <w:t xml:space="preserve"> и за първи път предоставя инструменти за по-стратегически обществени поръчки, като се отчитат аспекти на устойчивостта, като разходите за жизнения цикъл, екологичните, иновативните и социалните съображения.</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Освен това Европейската комисия положи значителни усилия за </w:t>
      </w:r>
      <w:r>
        <w:rPr>
          <w:rFonts w:ascii="Times New Roman" w:hAnsi="Times New Roman"/>
          <w:b/>
          <w:noProof/>
          <w:sz w:val="24"/>
          <w:szCs w:val="24"/>
        </w:rPr>
        <w:t>подобряване на прозрачността в процедурите за възлагане на обществени поръчки</w:t>
      </w:r>
      <w:r>
        <w:rPr>
          <w:rFonts w:ascii="Times New Roman" w:hAnsi="Times New Roman"/>
          <w:noProof/>
          <w:sz w:val="24"/>
          <w:szCs w:val="24"/>
        </w:rPr>
        <w:t xml:space="preserve"> чрез създаването на електронни платформи за търгове на едно гише.  Например във втория комитет по държавните поръчки по ВИТС </w:t>
      </w:r>
      <w:r>
        <w:rPr>
          <w:rFonts w:ascii="Times New Roman" w:hAnsi="Times New Roman"/>
          <w:b/>
          <w:noProof/>
          <w:sz w:val="24"/>
          <w:szCs w:val="24"/>
        </w:rPr>
        <w:t>Канада съобщи за напредъка</w:t>
      </w:r>
      <w:r>
        <w:rPr>
          <w:rFonts w:ascii="Times New Roman" w:hAnsi="Times New Roman"/>
          <w:noProof/>
          <w:sz w:val="24"/>
          <w:szCs w:val="24"/>
        </w:rPr>
        <w:t xml:space="preserve">, постигнат до момента при създаването на </w:t>
      </w:r>
      <w:r>
        <w:rPr>
          <w:rFonts w:ascii="Times New Roman" w:hAnsi="Times New Roman"/>
          <w:b/>
          <w:noProof/>
          <w:sz w:val="24"/>
          <w:szCs w:val="24"/>
        </w:rPr>
        <w:t>единна точка за достъп</w:t>
      </w:r>
      <w:r>
        <w:rPr>
          <w:rFonts w:ascii="Times New Roman" w:hAnsi="Times New Roman"/>
          <w:noProof/>
          <w:sz w:val="24"/>
          <w:szCs w:val="24"/>
        </w:rPr>
        <w:t xml:space="preserve"> (ЕТД), която ще предоставя на дружествата достъп до всички публични тръжни процедури, обхванати от ВИТС.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Европейската комисия предприе допълнителни стъпки за подобряване на комуникацията относно обществените поръчки</w:t>
      </w:r>
      <w:r>
        <w:rPr>
          <w:rFonts w:ascii="Times New Roman" w:hAnsi="Times New Roman"/>
          <w:noProof/>
          <w:sz w:val="24"/>
          <w:szCs w:val="24"/>
        </w:rPr>
        <w:t xml:space="preserve"> в рамките на търговските споразумения на ЕС. През 2019 г. Европейската комисия публикува нов наръчник за държавните поръчки в Канада</w:t>
      </w:r>
      <w:r>
        <w:rPr>
          <w:rStyle w:val="FootnoteReference"/>
          <w:rFonts w:ascii="Times New Roman" w:hAnsi="Times New Roman" w:cs="Times New Roman"/>
          <w:noProof/>
          <w:sz w:val="24"/>
          <w:szCs w:val="24"/>
          <w:lang w:val="en-GB"/>
        </w:rPr>
        <w:footnoteReference w:id="69"/>
      </w:r>
      <w:r>
        <w:rPr>
          <w:noProof/>
        </w:rPr>
        <w:t>.</w:t>
      </w:r>
      <w:r>
        <w:rPr>
          <w:rFonts w:ascii="Times New Roman" w:hAnsi="Times New Roman"/>
          <w:noProof/>
          <w:sz w:val="24"/>
          <w:szCs w:val="24"/>
        </w:rPr>
        <w:t xml:space="preserve"> Центърът за промишлено сътрудничество ЕС—Япония, спонсориран от Европейската комисия и японското Министерство на икономическите въпроси, откри </w:t>
      </w:r>
      <w:r>
        <w:rPr>
          <w:rFonts w:ascii="Times New Roman" w:hAnsi="Times New Roman"/>
          <w:b/>
          <w:noProof/>
          <w:sz w:val="24"/>
          <w:szCs w:val="24"/>
        </w:rPr>
        <w:t>информационно бюро във връзка със СИП за подпомагане и насочване на МСП от ЕС</w:t>
      </w:r>
      <w:r>
        <w:rPr>
          <w:rFonts w:ascii="Times New Roman" w:hAnsi="Times New Roman"/>
          <w:noProof/>
          <w:sz w:val="24"/>
          <w:szCs w:val="24"/>
        </w:rPr>
        <w:t>, които търсят информация. В допълнение към организиране на уебинари, Центърът публикува информационен фиш и насоки за обществените поръчки</w:t>
      </w:r>
      <w:r>
        <w:rPr>
          <w:rStyle w:val="FootnoteReference"/>
          <w:noProof/>
          <w:lang w:val="en-GB"/>
        </w:rPr>
        <w:footnoteReference w:id="70"/>
      </w:r>
      <w:r>
        <w:rPr>
          <w:rFonts w:ascii="Times New Roman" w:hAnsi="Times New Roman"/>
          <w:noProof/>
          <w:sz w:val="24"/>
          <w:szCs w:val="24"/>
        </w:rPr>
        <w:t>. Европейската комисия също така предложи насоки на публичните купувачи от ЕС относно третирането на оферти от трети държави</w:t>
      </w:r>
      <w:r>
        <w:rPr>
          <w:rStyle w:val="FootnoteReference"/>
          <w:rFonts w:ascii="Times New Roman" w:hAnsi="Times New Roman" w:cs="Times New Roman"/>
          <w:noProof/>
          <w:sz w:val="24"/>
          <w:szCs w:val="24"/>
          <w:lang w:val="en-GB"/>
        </w:rPr>
        <w:footnoteReference w:id="71"/>
      </w:r>
      <w:r>
        <w:rPr>
          <w:rFonts w:ascii="Times New Roman" w:hAnsi="Times New Roman"/>
          <w:noProof/>
          <w:sz w:val="24"/>
          <w:szCs w:val="24"/>
        </w:rPr>
        <w:t>, като постави акцент на спазването на ангажиментите, поети от ЕС в различните търговски споразумения.</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За да предостави информация за търговските преговори на ЕС относно обществените поръчки</w:t>
      </w:r>
      <w:r>
        <w:rPr>
          <w:rFonts w:ascii="Times New Roman" w:hAnsi="Times New Roman"/>
          <w:noProof/>
          <w:sz w:val="24"/>
          <w:szCs w:val="24"/>
        </w:rPr>
        <w:t xml:space="preserve">, Европейската комисия представи новата си база данни </w:t>
      </w:r>
      <w:r>
        <w:rPr>
          <w:rFonts w:ascii="Times New Roman" w:hAnsi="Times New Roman"/>
          <w:b/>
          <w:i/>
          <w:noProof/>
          <w:sz w:val="24"/>
          <w:szCs w:val="24"/>
        </w:rPr>
        <w:t>„International Public Procurement Initiative (IPPI)“ („Международна инициатива за обществените поръчки“</w:t>
      </w:r>
      <w:r>
        <w:rPr>
          <w:rFonts w:ascii="Times New Roman" w:hAnsi="Times New Roman"/>
          <w:noProof/>
          <w:sz w:val="24"/>
          <w:szCs w:val="24"/>
        </w:rPr>
        <w:t>, първата всеобхватна база данни в света с подробни данни за обществените поръчки и пречките пред международните поръчки. Базата данни е най-пълната по рода си с информация за близо 40 милиона обществени поръчки. Към днешна дата само един преференциален търговски партньор, Канада, е обхванат от базата данни</w:t>
      </w:r>
      <w:r>
        <w:rPr>
          <w:rStyle w:val="FootnoteReference"/>
          <w:rFonts w:ascii="Times New Roman" w:hAnsi="Times New Roman" w:cs="Times New Roman"/>
          <w:noProof/>
          <w:sz w:val="24"/>
          <w:szCs w:val="24"/>
          <w:lang w:val="en-GB"/>
        </w:rPr>
        <w:footnoteReference w:id="72"/>
      </w:r>
      <w:r>
        <w:rPr>
          <w:noProof/>
        </w:rPr>
        <w:t xml:space="preserve">. </w:t>
      </w:r>
      <w:r>
        <w:rPr>
          <w:rFonts w:ascii="Times New Roman" w:hAnsi="Times New Roman"/>
          <w:noProof/>
          <w:sz w:val="24"/>
          <w:szCs w:val="24"/>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Иновативни решения от Южна Европа навлизат в Перу</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Португалският производител на строително оборудване BERD/„Един мост — Едно решение“ строи 125 модулни моста в Перу, като помага на държавата да възстанови пътища и инфраструктура след природното бедствие El Niño Costero. BERD успя да постигне това, след като спечели публичен търг в размер на 15 млн. евро, публикуван от Министерството на транспорта и съобщенията на Перу.</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Чрез филиала си Green Power Peru, италианското дружество Enel управлява 10 електроцентрали (водни, вятърни и соларни) и през 2019 г. реализира 37 проекта за устойчивост с 8 000 бенефициери в Перу. Enel Peru спечели поръчки в Перу за двата най-големи проекта за възобновяеми енергийни източници — соларния парк Rubi и вятърната централа Wayra I.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И двете дружества се възползват от търговското споразумение между ЕС и Перу, което е в сила от 2013 г. Благодарение на него се създаде по-солидна и прозрачна правна рамка за обществени поръчки и инвестиции, така че европейските доставчици и техните продукти да не са дискриминирани в сравнение с местните оференти.  Споразумението също така насърчава търговските схеми за устойчиви енергийни политики.</w:t>
      </w:r>
      <w:r>
        <w:rPr>
          <w:rFonts w:ascii="EC Square Sans Pro" w:hAnsi="EC Square Sans Pro"/>
          <w:noProof/>
        </w:rPr>
        <w:t xml:space="preserve">  </w:t>
      </w:r>
    </w:p>
    <w:p>
      <w:pPr>
        <w:spacing w:after="160" w:line="259" w:lineRule="auto"/>
        <w:contextualSpacing/>
        <w:rPr>
          <w:rFonts w:ascii="Times New Roman" w:hAnsi="Times New Roman" w:cs="Times New Roman"/>
          <w:b/>
          <w:noProof/>
          <w:sz w:val="24"/>
          <w:szCs w:val="24"/>
        </w:rPr>
      </w:pPr>
    </w:p>
    <w:p>
      <w:pPr>
        <w:pStyle w:val="Heading2"/>
        <w:rPr>
          <w:noProof/>
        </w:rPr>
      </w:pPr>
      <w:bookmarkStart w:id="27" w:name="_Toc55319764"/>
      <w:r>
        <w:rPr>
          <w:noProof/>
        </w:rPr>
        <w:t>6.3 Права върху интелектуална собственост (ПИС)</w:t>
      </w:r>
      <w:r>
        <w:rPr>
          <w:rStyle w:val="FootnoteReference"/>
          <w:rFonts w:cs="Times New Roman"/>
          <w:noProof/>
          <w:szCs w:val="24"/>
          <w:lang w:val="en-GB"/>
        </w:rPr>
        <w:footnoteReference w:id="73"/>
      </w:r>
      <w:bookmarkEnd w:id="27"/>
      <w:r>
        <w:rPr>
          <w:noProof/>
        </w:rPr>
        <w:t xml:space="preserve"> </w:t>
      </w:r>
    </w:p>
    <w:p>
      <w:pPr>
        <w:pStyle w:val="Default"/>
        <w:rPr>
          <w:b/>
          <w:i/>
          <w:noProof/>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 xml:space="preserve">93 % от всички стоки и услуги </w:t>
      </w:r>
      <w:r>
        <w:rPr>
          <w:rFonts w:ascii="Times New Roman" w:hAnsi="Times New Roman"/>
          <w:noProof/>
          <w:sz w:val="24"/>
          <w:szCs w:val="24"/>
        </w:rPr>
        <w:t>, които ЕС изнася, са</w:t>
      </w:r>
      <w:r>
        <w:rPr>
          <w:rFonts w:ascii="Times New Roman" w:hAnsi="Times New Roman"/>
          <w:b/>
          <w:noProof/>
          <w:sz w:val="24"/>
          <w:szCs w:val="24"/>
        </w:rPr>
        <w:t xml:space="preserve"> обхванати от поне едно право върху интелектуална собственост</w:t>
      </w:r>
      <w:r>
        <w:rPr>
          <w:rStyle w:val="FootnoteReference"/>
          <w:rFonts w:ascii="Times New Roman" w:hAnsi="Times New Roman" w:cs="Times New Roman"/>
          <w:noProof/>
          <w:sz w:val="24"/>
          <w:szCs w:val="24"/>
          <w:lang w:val="en-GB"/>
        </w:rPr>
        <w:footnoteReference w:id="74"/>
      </w:r>
      <w:r>
        <w:rPr>
          <w:noProof/>
        </w:rPr>
        <w:t>.</w:t>
      </w:r>
      <w:r>
        <w:rPr>
          <w:rFonts w:ascii="Times New Roman" w:hAnsi="Times New Roman"/>
          <w:noProof/>
          <w:sz w:val="24"/>
          <w:szCs w:val="24"/>
        </w:rPr>
        <w:t xml:space="preserve"> Съгласно проучване</w:t>
      </w:r>
      <w:r>
        <w:rPr>
          <w:rStyle w:val="FootnoteReference"/>
          <w:noProof/>
          <w:sz w:val="24"/>
          <w:szCs w:val="24"/>
          <w:lang w:val="en-GB"/>
        </w:rPr>
        <w:footnoteReference w:id="75"/>
      </w:r>
      <w:r>
        <w:rPr>
          <w:rFonts w:ascii="Times New Roman" w:hAnsi="Times New Roman"/>
          <w:noProof/>
          <w:sz w:val="24"/>
          <w:szCs w:val="24"/>
        </w:rPr>
        <w:t xml:space="preserve"> на Европейското патентно ведомство и Службата за интелектуална собственост на Европейския съюз, публикувано през септември 2019 г., през 2016 г. отраслите с интензивно използване на права на интелектуална собственост в секторите на стоките и услугите представляват 86 % от вноса на ЕС и 93 % от износа на ЕС</w:t>
      </w:r>
      <w:r>
        <w:rPr>
          <w:rStyle w:val="FootnoteReference"/>
          <w:noProof/>
          <w:sz w:val="24"/>
          <w:szCs w:val="24"/>
          <w:lang w:val="en-GB"/>
        </w:rPr>
        <w:footnoteReference w:id="76"/>
      </w:r>
      <w:r>
        <w:rPr>
          <w:noProof/>
        </w:rPr>
        <w:t>.</w:t>
      </w:r>
    </w:p>
    <w:p>
      <w:pPr>
        <w:pStyle w:val="Default"/>
        <w:rPr>
          <w:b/>
          <w:i/>
          <w:noProof/>
        </w:rPr>
      </w:pPr>
      <w:r>
        <w:rPr>
          <w:b/>
          <w:i/>
          <w:noProof/>
        </w:rPr>
        <w:t>ПИС в търговските споразумения на ЕС</w:t>
      </w:r>
    </w:p>
    <w:p>
      <w:pPr>
        <w:pStyle w:val="Default"/>
        <w:jc w:val="both"/>
        <w:rPr>
          <w:b/>
          <w:noProof/>
          <w:color w:val="auto"/>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Търговските споразумения на ЕС имат за цел да гарантират, че правата върху интелектуална собственост на притежателите на права от ЕС са ефективно защитени в държавите търговски партньори и притежателите на права могат да упражнят правата си. Вместо да премахват митата, споразуменията обвързват страните с правилата и принципите, посочени в главата за ПИС. Те обхващат авторски права, търговски марки, дизайни, патенти, сортове растения, неразкрита информация (търговски тайни), гражданско правоприлагане и граничен контрол, и др. Разпоредбите относно ПИС в търговските споразумения обикновено изискват страните да спазват съответните международни договори </w:t>
      </w:r>
      <w:r>
        <w:rPr>
          <w:rFonts w:ascii="Times New Roman" w:hAnsi="Times New Roman"/>
          <w:b/>
          <w:noProof/>
          <w:sz w:val="24"/>
          <w:szCs w:val="24"/>
        </w:rPr>
        <w:t xml:space="preserve"> </w:t>
      </w:r>
      <w:r>
        <w:rPr>
          <w:rFonts w:ascii="Times New Roman" w:hAnsi="Times New Roman"/>
          <w:noProof/>
          <w:sz w:val="24"/>
          <w:szCs w:val="24"/>
        </w:rPr>
        <w:t xml:space="preserve">и конвенции, като Споразумението на СТО за свързаните с търговията аспекти на правата върху интелектуалната собственост (ТРИПС) и Световната организация за интелектуална собственост (СОИС), или надхвърлят тези правила. </w:t>
      </w:r>
    </w:p>
    <w:p>
      <w:pPr>
        <w:autoSpaceDE w:val="0"/>
        <w:autoSpaceDN w:val="0"/>
        <w:adjustRightInd w:val="0"/>
        <w:spacing w:afterLines="100" w:after="240"/>
        <w:rPr>
          <w:rFonts w:ascii="Times New Roman" w:hAnsi="Times New Roman" w:cs="Times New Roman"/>
          <w:i/>
          <w:noProof/>
          <w:sz w:val="24"/>
          <w:szCs w:val="24"/>
        </w:rPr>
      </w:pPr>
      <w:r>
        <w:rPr>
          <w:rFonts w:ascii="Times New Roman" w:hAnsi="Times New Roman"/>
          <w:b/>
          <w:i/>
          <w:noProof/>
          <w:sz w:val="24"/>
          <w:szCs w:val="24"/>
        </w:rPr>
        <w:t>Изпълнение на ангажиментите за ПИС в търговските споразумения на ЕС</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За да оцени ефективността на търговските споразумения на ЕС за защита на ПИС, Европейската комисия </w:t>
      </w:r>
      <w:r>
        <w:rPr>
          <w:rFonts w:ascii="Times New Roman" w:hAnsi="Times New Roman"/>
          <w:b/>
          <w:noProof/>
          <w:sz w:val="24"/>
          <w:szCs w:val="24"/>
        </w:rPr>
        <w:t>наблюдава законодателството на своите търговски партньори</w:t>
      </w:r>
      <w:r>
        <w:rPr>
          <w:rFonts w:ascii="Times New Roman" w:hAnsi="Times New Roman"/>
          <w:noProof/>
          <w:sz w:val="24"/>
          <w:szCs w:val="24"/>
        </w:rPr>
        <w:t xml:space="preserve"> в тази област, като поставя специален акцент върху действителното прилагане. Тя редовно се свързва с бизнес асоциации в ЕС и в чужбина, проверява евентуални жалби и, ако бъдат счетени за основателни, ги повдига с търговските си партньори пред съответните институционални органи, като например в подкомитета за ПИС или Диалозите за ПИС, създадени съгласно търговските споразумения на ЕС.</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Примерите за въпроси, повдигнати от Европейската комисия през 2019 г., включват</w:t>
      </w:r>
      <w:r>
        <w:rPr>
          <w:rFonts w:ascii="Times New Roman" w:hAnsi="Times New Roman"/>
          <w:noProof/>
          <w:sz w:val="24"/>
          <w:szCs w:val="24"/>
        </w:rPr>
        <w:t xml:space="preserve">: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Споразумение за свободна търговия между ЕС и Южна Корея:</w:t>
      </w:r>
      <w:r>
        <w:rPr>
          <w:rFonts w:ascii="Times New Roman" w:hAnsi="Times New Roman"/>
          <w:noProof/>
          <w:sz w:val="24"/>
          <w:szCs w:val="24"/>
        </w:rPr>
        <w:t xml:space="preserve"> ЕС изрази загриженост относно липсата на възнаграждение за изпълнителите и „продуцентите на записи“ за публичното изпълнение на „тяхната музика“.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Споразумение за асоцииране на ЕС с Колумбия, Перу и Еквадор:</w:t>
      </w:r>
      <w:r>
        <w:rPr>
          <w:rFonts w:ascii="Times New Roman" w:hAnsi="Times New Roman"/>
          <w:noProof/>
          <w:sz w:val="24"/>
          <w:szCs w:val="24"/>
        </w:rPr>
        <w:t xml:space="preserve"> ЕС изрази загриженост относно изискванията на Еквадор за локализиране на производството на патентовани продукти. По искане на ЕС Еквадор оттегли изискванията.</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Зона за свободна търговия между ЕС и Украйна:</w:t>
      </w:r>
      <w:r>
        <w:rPr>
          <w:rFonts w:ascii="Times New Roman" w:hAnsi="Times New Roman"/>
          <w:noProof/>
          <w:sz w:val="24"/>
          <w:szCs w:val="24"/>
        </w:rPr>
        <w:t xml:space="preserve"> ЕС изрази загриженост относно някои проекти на закони (в крайна сметка оттеглени), които щяха да имат ограничена патентоспособност и да откажат закрилата за определени вещества и нови употреби на лекарства. </w:t>
      </w:r>
    </w:p>
    <w:p>
      <w:pPr>
        <w:jc w:val="left"/>
        <w:rPr>
          <w:rFonts w:ascii="Times New Roman" w:hAnsi="Times New Roman" w:cs="Times New Roman"/>
          <w:noProof/>
          <w:sz w:val="24"/>
          <w:szCs w:val="24"/>
          <w:lang w:val="en-GB"/>
        </w:rPr>
      </w:pPr>
    </w:p>
    <w:p>
      <w:pPr>
        <w:pStyle w:val="Heading1"/>
        <w:rPr>
          <w:noProof/>
        </w:rPr>
      </w:pPr>
      <w:bookmarkStart w:id="28" w:name="_Toc55319765"/>
      <w:r>
        <w:rPr>
          <w:noProof/>
        </w:rPr>
        <w:t>7. МАЛКИ И СРЕДНИ ПРЕДПРИЯТИЯ</w:t>
      </w:r>
      <w:bookmarkEnd w:id="28"/>
    </w:p>
    <w:p>
      <w:pPr>
        <w:spacing w:after="0"/>
        <w:rPr>
          <w:noProof/>
          <w:lang w:val="en-GB"/>
        </w:rPr>
      </w:pPr>
    </w:p>
    <w:p>
      <w:pPr>
        <w:spacing w:after="160" w:line="256" w:lineRule="auto"/>
        <w:rPr>
          <w:rFonts w:ascii="Times New Roman" w:hAnsi="Times New Roman" w:cs="Times New Roman"/>
          <w:noProof/>
          <w:sz w:val="24"/>
          <w:szCs w:val="24"/>
        </w:rPr>
      </w:pPr>
      <w:r>
        <w:rPr>
          <w:rFonts w:ascii="Times New Roman" w:hAnsi="Times New Roman"/>
          <w:noProof/>
          <w:sz w:val="24"/>
          <w:szCs w:val="24"/>
        </w:rPr>
        <w:t>Малките и средните предприятия (МСП)</w:t>
      </w:r>
      <w:r>
        <w:rPr>
          <w:rStyle w:val="FootnoteReference"/>
          <w:rFonts w:ascii="Times New Roman" w:hAnsi="Times New Roman" w:cs="Times New Roman"/>
          <w:noProof/>
          <w:sz w:val="24"/>
          <w:szCs w:val="24"/>
          <w:lang w:val="en-GB"/>
        </w:rPr>
        <w:footnoteReference w:id="77"/>
      </w:r>
      <w:r>
        <w:rPr>
          <w:rFonts w:ascii="Times New Roman" w:hAnsi="Times New Roman"/>
          <w:noProof/>
          <w:sz w:val="24"/>
          <w:szCs w:val="24"/>
        </w:rPr>
        <w:t xml:space="preserve"> са </w:t>
      </w:r>
      <w:r>
        <w:rPr>
          <w:rFonts w:ascii="Times New Roman" w:hAnsi="Times New Roman"/>
          <w:b/>
          <w:noProof/>
          <w:sz w:val="24"/>
          <w:szCs w:val="24"/>
        </w:rPr>
        <w:t>стълб на икономиката на ЕС</w:t>
      </w:r>
      <w:r>
        <w:rPr>
          <w:rFonts w:ascii="Times New Roman" w:hAnsi="Times New Roman"/>
          <w:noProof/>
          <w:sz w:val="24"/>
          <w:szCs w:val="24"/>
        </w:rPr>
        <w:t xml:space="preserve">. Те представляват 99 % от всички дружества от ЕС и 87 % от дружествата износители на ЕС. МСП износители подкрепят над 13 милиона работни места в ЕС, като стоките и услугите имат подобен принос. </w:t>
      </w:r>
      <w:bookmarkStart w:id="29" w:name="_Ref34234462"/>
    </w:p>
    <w:p>
      <w:pPr>
        <w:spacing w:after="160" w:line="256" w:lineRule="auto"/>
        <w:rPr>
          <w:rFonts w:ascii="Times New Roman" w:hAnsi="Times New Roman" w:cs="Times New Roman"/>
          <w:noProof/>
          <w:sz w:val="24"/>
          <w:szCs w:val="24"/>
        </w:rPr>
      </w:pPr>
      <w:r>
        <w:rPr>
          <w:rFonts w:ascii="Times New Roman" w:hAnsi="Times New Roman"/>
          <w:bCs/>
          <w:noProof/>
          <w:sz w:val="24"/>
          <w:szCs w:val="24"/>
        </w:rPr>
        <w:t xml:space="preserve">На графиката по-долу са показани износителите от ЕС-27 на стоки по големина на дружеството, брой и стойност на износа: през 2017 г. (най-новите налични данни) </w:t>
      </w:r>
      <w:r>
        <w:rPr>
          <w:rFonts w:ascii="Times New Roman" w:hAnsi="Times New Roman"/>
          <w:noProof/>
          <w:sz w:val="24"/>
          <w:szCs w:val="24"/>
        </w:rPr>
        <w:t>повече от 700 000 предприятия от ЕС-27 са продавали стоки извън ЕС, от които 615 000 са МСП, които представляват между 28 % и 30 % от стойността на износа на ЕС</w:t>
      </w:r>
      <w:r>
        <w:rPr>
          <w:rStyle w:val="FootnoteReference"/>
          <w:rFonts w:ascii="Times New Roman" w:hAnsi="Times New Roman" w:cs="Times New Roman"/>
          <w:noProof/>
          <w:sz w:val="24"/>
          <w:szCs w:val="24"/>
          <w:lang w:val="en-GB"/>
        </w:rPr>
        <w:footnoteReference w:id="78"/>
      </w:r>
      <w:r>
        <w:rPr>
          <w:rFonts w:ascii="Times New Roman" w:hAnsi="Times New Roman"/>
          <w:noProof/>
          <w:sz w:val="24"/>
          <w:szCs w:val="24"/>
        </w:rPr>
        <w:t xml:space="preserve">. </w:t>
      </w:r>
    </w:p>
    <w:bookmarkEnd w:id="29"/>
    <w:p>
      <w:pPr>
        <w:spacing w:after="160" w:line="256" w:lineRule="auto"/>
        <w:rPr>
          <w:rFonts w:ascii="Times New Roman" w:hAnsi="Times New Roman" w:cs="Times New Roman"/>
          <w:b/>
          <w:bCs/>
          <w:noProof/>
          <w:sz w:val="24"/>
          <w:szCs w:val="24"/>
        </w:rPr>
      </w:pPr>
      <w:r>
        <w:rPr>
          <w:rFonts w:ascii="Times New Roman" w:hAnsi="Times New Roman"/>
          <w:b/>
          <w:bCs/>
          <w:noProof/>
          <w:sz w:val="24"/>
          <w:szCs w:val="24"/>
        </w:rPr>
        <w:t>Фигура 15: Износители от ЕС-27 на стоки по големина, брой дружества и стойност на износа, 2017 г.</w:t>
      </w:r>
    </w:p>
    <w:p>
      <w:pPr>
        <w:rPr>
          <w:noProof/>
        </w:rPr>
      </w:pPr>
      <w:r>
        <w:rPr>
          <w:noProof/>
          <w:lang w:val="en-GB" w:eastAsia="en-GB"/>
        </w:rPr>
        <w:drawing>
          <wp:inline distT="0" distB="0" distL="0" distR="0">
            <wp:extent cx="5943600" cy="3900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900293"/>
                    </a:xfrm>
                    <a:prstGeom prst="rect">
                      <a:avLst/>
                    </a:prstGeom>
                    <a:noFill/>
                    <a:ln>
                      <a:noFill/>
                    </a:ln>
                  </pic:spPr>
                </pic:pic>
              </a:graphicData>
            </a:graphic>
          </wp:inline>
        </w:drawing>
      </w:r>
    </w:p>
    <w:p>
      <w:pPr>
        <w:spacing w:after="160" w:line="256" w:lineRule="auto"/>
        <w:rPr>
          <w:noProof/>
        </w:rPr>
      </w:pPr>
      <w:r>
        <w:rPr>
          <w:i/>
          <w:iCs/>
          <w:noProof/>
          <w:sz w:val="20"/>
        </w:rPr>
        <w:t>Източник: Отдел на главния икономист, Комисия/ГД „Търговия“; изчисления въз основа на базата данни на Евростат TEC.</w:t>
      </w:r>
    </w:p>
    <w:p>
      <w:pPr>
        <w:spacing w:after="160" w:line="256" w:lineRule="auto"/>
        <w:rPr>
          <w:rFonts w:ascii="Times New Roman" w:hAnsi="Times New Roman" w:cs="Times New Roman"/>
          <w:bCs/>
          <w:noProof/>
          <w:sz w:val="24"/>
          <w:szCs w:val="24"/>
          <w:lang w:val="en-GB"/>
        </w:rPr>
      </w:pPr>
    </w:p>
    <w:p>
      <w:pPr>
        <w:spacing w:after="160" w:line="256" w:lineRule="auto"/>
        <w:rPr>
          <w:rFonts w:ascii="Times New Roman" w:hAnsi="Times New Roman" w:cs="Times New Roman"/>
          <w:bCs/>
          <w:noProof/>
          <w:sz w:val="24"/>
          <w:szCs w:val="24"/>
        </w:rPr>
      </w:pPr>
      <w:r>
        <w:rPr>
          <w:rFonts w:ascii="Times New Roman" w:hAnsi="Times New Roman"/>
          <w:bCs/>
          <w:noProof/>
          <w:sz w:val="24"/>
          <w:szCs w:val="24"/>
        </w:rPr>
        <w:t>Съществуват пропуски в наличната информация относно износа на МСП към търговските партньори, включително преференциалните, тъй като само около половината от държавите — членки на ЕС, са предоставяли информация за износа по големина на дружеството и търговски партньор. Базата данни на Евростат TEC (търговия по характеристики на предприятията)</w:t>
      </w:r>
      <w:r>
        <w:rPr>
          <w:noProof/>
        </w:rPr>
        <w:t xml:space="preserve"> </w:t>
      </w:r>
      <w:r>
        <w:rPr>
          <w:rFonts w:ascii="Times New Roman" w:hAnsi="Times New Roman"/>
          <w:bCs/>
          <w:noProof/>
          <w:sz w:val="24"/>
          <w:szCs w:val="24"/>
        </w:rPr>
        <w:t>е по-обширна от базата данни STEC (търговия с услуги по характеристики на предприятията),</w:t>
      </w:r>
      <w:r>
        <w:rPr>
          <w:noProof/>
        </w:rPr>
        <w:t xml:space="preserve"> </w:t>
      </w:r>
      <w:r>
        <w:rPr>
          <w:rFonts w:ascii="Times New Roman" w:hAnsi="Times New Roman"/>
          <w:bCs/>
          <w:i/>
          <w:noProof/>
          <w:sz w:val="24"/>
          <w:szCs w:val="24"/>
        </w:rPr>
        <w:t>inter alia</w:t>
      </w:r>
      <w:r>
        <w:rPr>
          <w:rFonts w:ascii="Times New Roman" w:hAnsi="Times New Roman"/>
          <w:bCs/>
          <w:noProof/>
          <w:sz w:val="24"/>
          <w:szCs w:val="24"/>
        </w:rPr>
        <w:t xml:space="preserve">, защото не всички държави членки отчитат данни в рамките на STEC.  </w:t>
      </w:r>
      <w:r>
        <w:rPr>
          <w:rFonts w:ascii="Times New Roman" w:hAnsi="Times New Roman"/>
          <w:b/>
          <w:bCs/>
          <w:noProof/>
          <w:sz w:val="24"/>
          <w:szCs w:val="24"/>
        </w:rPr>
        <w:t xml:space="preserve">Пилотен проект на Евростат относно участието на МСП в търговията с услуги </w:t>
      </w:r>
      <w:r>
        <w:rPr>
          <w:rFonts w:ascii="Times New Roman" w:hAnsi="Times New Roman"/>
          <w:noProof/>
          <w:sz w:val="24"/>
          <w:szCs w:val="24"/>
        </w:rPr>
        <w:t>(STEC) има за цел да предостави повече информация за характеристиките на дружествата</w:t>
      </w:r>
      <w:r>
        <w:rPr>
          <w:rStyle w:val="FootnoteReference"/>
          <w:rFonts w:ascii="Times New Roman" w:hAnsi="Times New Roman" w:cs="Times New Roman"/>
          <w:noProof/>
          <w:sz w:val="24"/>
          <w:szCs w:val="24"/>
          <w:lang w:val="en-GB"/>
        </w:rPr>
        <w:footnoteReference w:id="79"/>
      </w:r>
      <w:r>
        <w:rPr>
          <w:noProof/>
        </w:rPr>
        <w:t>.</w:t>
      </w:r>
    </w:p>
    <w:p>
      <w:pPr>
        <w:spacing w:after="160" w:line="256" w:lineRule="auto"/>
        <w:rPr>
          <w:rFonts w:ascii="Times New Roman" w:hAnsi="Times New Roman" w:cs="Times New Roman"/>
          <w:noProof/>
          <w:sz w:val="24"/>
          <w:szCs w:val="24"/>
          <w:lang w:val="en-GB"/>
        </w:rPr>
      </w:pP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Най-скорошните емпирични доказателства обаче сочат, че </w:t>
      </w:r>
      <w:r>
        <w:rPr>
          <w:rFonts w:ascii="Times New Roman" w:hAnsi="Times New Roman"/>
          <w:b/>
          <w:noProof/>
          <w:sz w:val="24"/>
          <w:szCs w:val="24"/>
        </w:rPr>
        <w:t>броят на МСП на ЕС, които изнасят</w:t>
      </w:r>
      <w:r>
        <w:rPr>
          <w:rFonts w:ascii="Times New Roman" w:hAnsi="Times New Roman"/>
          <w:noProof/>
          <w:sz w:val="24"/>
          <w:szCs w:val="24"/>
        </w:rPr>
        <w:t xml:space="preserve"> извън ЕС</w:t>
      </w:r>
      <w:r>
        <w:rPr>
          <w:rFonts w:ascii="Times New Roman" w:hAnsi="Times New Roman"/>
          <w:b/>
          <w:noProof/>
          <w:sz w:val="24"/>
          <w:szCs w:val="24"/>
        </w:rPr>
        <w:t>, нараства стабилно в периода</w:t>
      </w:r>
      <w:r>
        <w:rPr>
          <w:rFonts w:ascii="Times New Roman" w:hAnsi="Times New Roman"/>
          <w:noProof/>
          <w:sz w:val="24"/>
          <w:szCs w:val="24"/>
        </w:rPr>
        <w:t xml:space="preserve"> между 2014 и 2017 г., т.е. средно с 6 %, докато общият брой на дружествата износители от ЕС е намалял с 8 %</w:t>
      </w:r>
      <w:r>
        <w:rPr>
          <w:rStyle w:val="FootnoteReference"/>
          <w:rFonts w:ascii="Times New Roman" w:hAnsi="Times New Roman" w:cs="Times New Roman"/>
          <w:noProof/>
          <w:sz w:val="24"/>
          <w:szCs w:val="24"/>
          <w:lang w:val="en-GB" w:eastAsia="fr-BE"/>
        </w:rPr>
        <w:footnoteReference w:id="80"/>
      </w:r>
      <w:r>
        <w:rPr>
          <w:noProof/>
        </w:rPr>
        <w:t>.</w:t>
      </w:r>
      <w:r>
        <w:rPr>
          <w:rFonts w:ascii="Times New Roman" w:hAnsi="Times New Roman"/>
          <w:noProof/>
          <w:sz w:val="24"/>
          <w:szCs w:val="24"/>
        </w:rPr>
        <w:t xml:space="preserve"> Търговските споразумения на ЕС са от жизненоважно значение за МСП износители, тъй като улесняват извършването на стопанска дейност в чужбина чрез премахване на пречките пред търговията и случаите на неефективност, които засягат непропорционално по-малките дружества. </w:t>
      </w:r>
    </w:p>
    <w:p>
      <w:pPr>
        <w:rPr>
          <w:rFonts w:ascii="Times New Roman" w:hAnsi="Times New Roman" w:cs="Times New Roman"/>
          <w:b/>
          <w:noProof/>
          <w:sz w:val="24"/>
          <w:szCs w:val="24"/>
          <w:lang w:val="en-GB"/>
        </w:rPr>
      </w:pPr>
    </w:p>
    <w:p>
      <w:pPr>
        <w:rPr>
          <w:rFonts w:ascii="Times New Roman" w:hAnsi="Times New Roman" w:cs="Times New Roman"/>
          <w:b/>
          <w:noProof/>
          <w:sz w:val="24"/>
          <w:szCs w:val="24"/>
        </w:rPr>
      </w:pPr>
      <w:r>
        <w:rPr>
          <w:rFonts w:ascii="Times New Roman" w:hAnsi="Times New Roman"/>
          <w:b/>
          <w:noProof/>
          <w:sz w:val="24"/>
          <w:szCs w:val="24"/>
        </w:rPr>
        <w:t>Напредък през 2019 г. при изпълнението на значимите за МСП разпоредби от търговските споразумения</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Канада и Япония създават специални уебсайтове</w:t>
      </w:r>
      <w:r>
        <w:rPr>
          <w:rFonts w:ascii="Times New Roman" w:hAnsi="Times New Roman"/>
          <w:noProof/>
          <w:sz w:val="24"/>
          <w:szCs w:val="24"/>
        </w:rPr>
        <w:t xml:space="preserve"> с информация за МСП в съответствие с ангажиментите си в съответните търговски споразумения.</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Базата данни на Европейската комисия за достъп до обществените поръчки</w:t>
      </w:r>
      <w:r>
        <w:rPr>
          <w:rFonts w:ascii="Times New Roman" w:hAnsi="Times New Roman"/>
          <w:noProof/>
          <w:sz w:val="24"/>
          <w:szCs w:val="24"/>
        </w:rPr>
        <w:t xml:space="preserve"> (MADB) </w:t>
      </w:r>
      <w:r>
        <w:rPr>
          <w:rFonts w:ascii="Times New Roman" w:hAnsi="Times New Roman"/>
          <w:b/>
          <w:noProof/>
          <w:sz w:val="24"/>
          <w:szCs w:val="24"/>
        </w:rPr>
        <w:t>беше разширена</w:t>
      </w:r>
      <w:r>
        <w:rPr>
          <w:rFonts w:ascii="Times New Roman" w:hAnsi="Times New Roman"/>
          <w:noProof/>
          <w:sz w:val="24"/>
          <w:szCs w:val="24"/>
        </w:rPr>
        <w:t>, за да включва информация за търговските споразумения на ЕС с Канада и Япония, които са от значение за МСП.</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По програмата на ЕС „Green Gateway to Japan“</w:t>
      </w:r>
      <w:r>
        <w:rPr>
          <w:rFonts w:ascii="Times New Roman" w:hAnsi="Times New Roman"/>
          <w:noProof/>
          <w:sz w:val="24"/>
          <w:szCs w:val="24"/>
        </w:rPr>
        <w:t xml:space="preserve"> („Green Gateway“) беше предоставена помощ на европейските МСП, които желаят да изнасят за Япония, като им беше помогнато да намерят подходящите партньори.</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Звената за контакт с </w:t>
      </w:r>
      <w:r>
        <w:rPr>
          <w:rFonts w:ascii="Times New Roman" w:hAnsi="Times New Roman"/>
          <w:b/>
          <w:noProof/>
          <w:sz w:val="24"/>
          <w:szCs w:val="24"/>
        </w:rPr>
        <w:t>МСП</w:t>
      </w:r>
      <w:r>
        <w:rPr>
          <w:rFonts w:ascii="Times New Roman" w:hAnsi="Times New Roman"/>
          <w:noProof/>
          <w:sz w:val="24"/>
          <w:szCs w:val="24"/>
        </w:rPr>
        <w:t xml:space="preserve"> за търговските споразумения на ЕС с </w:t>
      </w:r>
      <w:r>
        <w:rPr>
          <w:rFonts w:ascii="Times New Roman" w:hAnsi="Times New Roman"/>
          <w:b/>
          <w:noProof/>
          <w:sz w:val="24"/>
          <w:szCs w:val="24"/>
        </w:rPr>
        <w:t>Канада и Япония</w:t>
      </w:r>
      <w:r>
        <w:rPr>
          <w:rFonts w:ascii="Times New Roman" w:hAnsi="Times New Roman"/>
          <w:noProof/>
          <w:sz w:val="24"/>
          <w:szCs w:val="24"/>
        </w:rPr>
        <w:t xml:space="preserve"> започнаха работа в области от общ интерес.</w:t>
      </w:r>
    </w:p>
    <w:p>
      <w:pPr>
        <w:spacing w:after="0"/>
        <w:rPr>
          <w:rFonts w:ascii="Times New Roman" w:hAnsi="Times New Roman" w:cs="Times New Roman"/>
          <w:noProof/>
          <w:sz w:val="24"/>
          <w:szCs w:val="24"/>
          <w:lang w:val="en-GB"/>
        </w:rPr>
      </w:pPr>
    </w:p>
    <w:p>
      <w:pPr>
        <w:spacing w:after="160" w:line="256" w:lineRule="auto"/>
        <w:rPr>
          <w:rFonts w:ascii="Times New Roman" w:hAnsi="Times New Roman" w:cs="Times New Roman"/>
          <w:b/>
          <w:noProof/>
          <w:sz w:val="24"/>
          <w:szCs w:val="24"/>
        </w:rPr>
      </w:pPr>
      <w:r>
        <w:rPr>
          <w:rFonts w:ascii="Times New Roman" w:hAnsi="Times New Roman"/>
          <w:b/>
          <w:noProof/>
          <w:sz w:val="24"/>
          <w:szCs w:val="24"/>
        </w:rPr>
        <w:t xml:space="preserve">Дейности за улесняване на достъпа на МСП до търговските споразумения на ЕС </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През 2019 г. Комисията продължи своите </w:t>
      </w:r>
      <w:r>
        <w:rPr>
          <w:rStyle w:val="Ninguno"/>
          <w:rFonts w:ascii="Times New Roman" w:hAnsi="Times New Roman"/>
          <w:b/>
          <w:bCs/>
          <w:noProof/>
          <w:sz w:val="24"/>
          <w:szCs w:val="24"/>
        </w:rPr>
        <w:t>събития за Деня на достъпа до пазара</w:t>
      </w:r>
      <w:r>
        <w:rPr>
          <w:rStyle w:val="Ninguno"/>
          <w:rFonts w:ascii="Times New Roman" w:hAnsi="Times New Roman"/>
          <w:noProof/>
          <w:sz w:val="24"/>
          <w:szCs w:val="24"/>
        </w:rPr>
        <w:t xml:space="preserve">, организирани съвместно с държавите — членки на ЕС, за </w:t>
      </w:r>
      <w:r>
        <w:rPr>
          <w:rFonts w:ascii="Times New Roman" w:hAnsi="Times New Roman"/>
          <w:noProof/>
          <w:sz w:val="24"/>
          <w:szCs w:val="24"/>
        </w:rPr>
        <w:t>повишаване на осведомеността на местните предприятия относно възможностите, предлагани от преференциалните споразумения, и как Партньорството за достъп до пазара им помага да преодолеят пречките.  Бяха проведени сесии в Дания, Испания, Нидерландия, Литва, Португалия, Франция и Латвия.</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Комисията засили сътрудничеството си с </w:t>
      </w:r>
      <w:r>
        <w:rPr>
          <w:rFonts w:ascii="Times New Roman" w:hAnsi="Times New Roman"/>
          <w:b/>
          <w:bCs/>
          <w:noProof/>
          <w:sz w:val="24"/>
          <w:szCs w:val="24"/>
        </w:rPr>
        <w:t>мрежата „Enterprise Europe“ (EEN)</w:t>
      </w:r>
      <w:r>
        <w:rPr>
          <w:rStyle w:val="FootnoteReference"/>
          <w:rFonts w:ascii="Times New Roman" w:hAnsi="Times New Roman" w:cs="Times New Roman"/>
          <w:b/>
          <w:bCs/>
          <w:noProof/>
          <w:sz w:val="24"/>
          <w:szCs w:val="24"/>
          <w:lang w:val="en-GB"/>
        </w:rPr>
        <w:footnoteReference w:id="81"/>
      </w:r>
      <w:r>
        <w:rPr>
          <w:rFonts w:ascii="Times New Roman" w:hAnsi="Times New Roman"/>
          <w:b/>
          <w:bCs/>
          <w:noProof/>
          <w:sz w:val="24"/>
          <w:szCs w:val="24"/>
        </w:rPr>
        <w:t xml:space="preserve"> </w:t>
      </w:r>
      <w:r>
        <w:rPr>
          <w:rFonts w:ascii="Times New Roman" w:hAnsi="Times New Roman"/>
          <w:bCs/>
          <w:noProof/>
          <w:sz w:val="24"/>
          <w:szCs w:val="24"/>
        </w:rPr>
        <w:t xml:space="preserve">и </w:t>
      </w:r>
      <w:r>
        <w:rPr>
          <w:rFonts w:ascii="Times New Roman" w:hAnsi="Times New Roman"/>
          <w:b/>
          <w:bCs/>
          <w:noProof/>
          <w:sz w:val="24"/>
          <w:szCs w:val="24"/>
        </w:rPr>
        <w:t xml:space="preserve">Европейските организации за насърчаване на търговията </w:t>
      </w:r>
      <w:r>
        <w:rPr>
          <w:rFonts w:ascii="Times New Roman" w:hAnsi="Times New Roman"/>
          <w:noProof/>
          <w:sz w:val="24"/>
          <w:szCs w:val="24"/>
        </w:rPr>
        <w:t>в държавите — членки на ЕС, за да проучи как бизнес консултантите и консорциумите, които формират мрежата, биха могли да разпространяват информацията до бизнесмени и жени. През 2019 г. мрежата започна да номинира конкретни лица за контакт от EEN във връзка с търговските споразумения, които ще получат специализирано обучение от Комисията.</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Важен напредък беше постигнат и по отношение на разработването на </w:t>
      </w:r>
      <w:r>
        <w:rPr>
          <w:rFonts w:ascii="Times New Roman" w:hAnsi="Times New Roman"/>
          <w:b/>
          <w:noProof/>
          <w:sz w:val="24"/>
          <w:szCs w:val="24"/>
        </w:rPr>
        <w:t>нов портал за внос и износ</w:t>
      </w:r>
      <w:r>
        <w:rPr>
          <w:rFonts w:ascii="Times New Roman" w:hAnsi="Times New Roman"/>
          <w:noProof/>
          <w:sz w:val="24"/>
          <w:szCs w:val="24"/>
        </w:rPr>
        <w:t>, който беше стартиран на 13 октомври 2020 г.</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Новият портал „Access2Markets“ предлага:</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 </w:t>
      </w:r>
      <w:r>
        <w:rPr>
          <w:rFonts w:ascii="Times New Roman" w:hAnsi="Times New Roman"/>
          <w:b/>
          <w:noProof/>
          <w:sz w:val="24"/>
          <w:szCs w:val="24"/>
        </w:rPr>
        <w:t>Обслужване на едно гише за МСП</w:t>
      </w:r>
      <w:r>
        <w:rPr>
          <w:rFonts w:ascii="Times New Roman" w:hAnsi="Times New Roman"/>
          <w:noProof/>
          <w:sz w:val="24"/>
          <w:szCs w:val="24"/>
        </w:rPr>
        <w:t xml:space="preserve">, които търсят практическа информация за износа и вноса на стоки (мита, специфична информация за продуктите относно изискванията за внос и износ, информация за ползите по търговските споразумения на ЕС, данъци, търговска статистика и др.).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Информация относно търговските споразумения на ЕС</w:t>
      </w:r>
      <w:r>
        <w:rPr>
          <w:rFonts w:ascii="Times New Roman" w:hAnsi="Times New Roman"/>
          <w:noProof/>
          <w:sz w:val="24"/>
          <w:szCs w:val="24"/>
        </w:rPr>
        <w:t xml:space="preserve"> и </w:t>
      </w:r>
      <w:r>
        <w:rPr>
          <w:rFonts w:ascii="Times New Roman" w:hAnsi="Times New Roman"/>
          <w:b/>
          <w:noProof/>
          <w:sz w:val="24"/>
          <w:szCs w:val="24"/>
        </w:rPr>
        <w:t>ръководства за всички етапи</w:t>
      </w:r>
      <w:r>
        <w:rPr>
          <w:rFonts w:ascii="Times New Roman" w:hAnsi="Times New Roman"/>
          <w:noProof/>
          <w:sz w:val="24"/>
          <w:szCs w:val="24"/>
        </w:rPr>
        <w:t xml:space="preserve"> за вноса и износа.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 Инструмент за самооценка във връзка с правилата за произход</w:t>
      </w:r>
      <w:r>
        <w:rPr>
          <w:rFonts w:ascii="Times New Roman" w:hAnsi="Times New Roman"/>
          <w:noProof/>
          <w:sz w:val="24"/>
          <w:szCs w:val="24"/>
        </w:rPr>
        <w:t xml:space="preserve"> със списък на отделните етапи в помощ на дружествата да преценят дали даден продукт отговаря на критериите за преференциално третиране съгласно правилата за произход.</w:t>
      </w:r>
    </w:p>
    <w:p>
      <w:pPr>
        <w:spacing w:after="0" w:line="256" w:lineRule="auto"/>
        <w:rPr>
          <w:rFonts w:ascii="Times New Roman" w:hAnsi="Times New Roman" w:cs="Times New Roman"/>
          <w:noProof/>
          <w:sz w:val="24"/>
          <w:szCs w:val="24"/>
          <w:lang w:val="en-GB"/>
        </w:rPr>
      </w:pPr>
    </w:p>
    <w:p>
      <w:pPr>
        <w:pStyle w:val="Heading1"/>
        <w:rPr>
          <w:noProof/>
        </w:rPr>
      </w:pPr>
      <w:bookmarkStart w:id="30" w:name="_Toc55319766"/>
      <w:r>
        <w:rPr>
          <w:noProof/>
        </w:rPr>
        <w:t>8. ПРАВОПРИЛАГАНЕ</w:t>
      </w:r>
      <w:bookmarkEnd w:id="30"/>
    </w:p>
    <w:p>
      <w:pPr>
        <w:spacing w:after="0" w:line="240" w:lineRule="auto"/>
        <w:rPr>
          <w:rFonts w:ascii="Times New Roman" w:hAnsi="Times New Roman" w:cs="Times New Roman"/>
          <w:noProof/>
          <w:sz w:val="24"/>
          <w:szCs w:val="24"/>
          <w:lang w:val="en-GB"/>
        </w:rPr>
      </w:pPr>
    </w:p>
    <w:p>
      <w:p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От края на 2018 г. ЕС прибягва до двустранните механизми за уреждане на спорове, създадени съгласно търговските споразумения с </w:t>
      </w:r>
      <w:r>
        <w:rPr>
          <w:rFonts w:ascii="Times New Roman" w:hAnsi="Times New Roman"/>
          <w:b/>
          <w:noProof/>
          <w:sz w:val="24"/>
          <w:szCs w:val="24"/>
        </w:rPr>
        <w:t>Южна Корея</w:t>
      </w:r>
      <w:r>
        <w:rPr>
          <w:rFonts w:ascii="Times New Roman" w:hAnsi="Times New Roman"/>
          <w:noProof/>
          <w:sz w:val="24"/>
          <w:szCs w:val="24"/>
        </w:rPr>
        <w:t xml:space="preserve">, </w:t>
      </w:r>
      <w:r>
        <w:rPr>
          <w:rFonts w:ascii="Times New Roman" w:hAnsi="Times New Roman"/>
          <w:b/>
          <w:noProof/>
          <w:sz w:val="24"/>
          <w:szCs w:val="24"/>
        </w:rPr>
        <w:t>Украйна</w:t>
      </w:r>
      <w:r>
        <w:rPr>
          <w:rFonts w:ascii="Times New Roman" w:hAnsi="Times New Roman"/>
          <w:noProof/>
          <w:sz w:val="24"/>
          <w:szCs w:val="24"/>
        </w:rPr>
        <w:t xml:space="preserve"> и </w:t>
      </w:r>
      <w:r>
        <w:rPr>
          <w:rFonts w:ascii="Times New Roman" w:hAnsi="Times New Roman"/>
          <w:b/>
          <w:noProof/>
          <w:sz w:val="24"/>
          <w:szCs w:val="24"/>
        </w:rPr>
        <w:t>Южноафриканския митнически съюз</w:t>
      </w:r>
      <w:r>
        <w:rPr>
          <w:rFonts w:ascii="Times New Roman" w:hAnsi="Times New Roman"/>
          <w:noProof/>
          <w:sz w:val="24"/>
          <w:szCs w:val="24"/>
        </w:rPr>
        <w:t xml:space="preserve">.  От юни 2020 г. тези спорове продължават да стоят нерешени; вж. подробностите по-долу. </w:t>
      </w:r>
    </w:p>
    <w:p>
      <w:pPr>
        <w:rPr>
          <w:rFonts w:ascii="Times New Roman" w:hAnsi="Times New Roman" w:cs="Times New Roman"/>
          <w:noProof/>
          <w:sz w:val="24"/>
          <w:szCs w:val="24"/>
        </w:rPr>
      </w:pPr>
      <w:r>
        <w:rPr>
          <w:rFonts w:ascii="Times New Roman" w:hAnsi="Times New Roman"/>
          <w:noProof/>
          <w:sz w:val="24"/>
          <w:szCs w:val="24"/>
        </w:rPr>
        <w:t xml:space="preserve">Когато въпросната мярка изглежда е в нарушение както на споразумението за СТО, </w:t>
      </w:r>
      <w:r>
        <w:rPr>
          <w:rFonts w:ascii="Times New Roman" w:hAnsi="Times New Roman"/>
          <w:noProof/>
          <w:sz w:val="24"/>
          <w:szCs w:val="24"/>
          <w:u w:val="single"/>
        </w:rPr>
        <w:t>така и</w:t>
      </w:r>
      <w:r>
        <w:rPr>
          <w:rFonts w:ascii="Times New Roman" w:hAnsi="Times New Roman"/>
          <w:noProof/>
          <w:sz w:val="24"/>
          <w:szCs w:val="24"/>
        </w:rPr>
        <w:t xml:space="preserve"> на търговско споразумение между ЕС и държавата партньор, ЕС има право на избор на орган за разрешаване на спора, като преценката се извършва за всеки отделен случай.  СТО остава добре изпитана система за уреждане на спорове, която гарантира съгласуваност при тълкуването на съответните ангажименти.  През 2019 г. ЕС прибягна до системата за уреждане на спорове на СТО в два случая.  </w:t>
      </w:r>
    </w:p>
    <w:p>
      <w:pPr>
        <w:rPr>
          <w:rFonts w:ascii="Times New Roman" w:hAnsi="Times New Roman" w:cs="Times New Roman"/>
          <w:noProof/>
          <w:sz w:val="24"/>
          <w:szCs w:val="24"/>
        </w:rPr>
      </w:pPr>
      <w:r>
        <w:rPr>
          <w:rFonts w:ascii="Times New Roman" w:hAnsi="Times New Roman"/>
          <w:noProof/>
          <w:sz w:val="24"/>
          <w:szCs w:val="24"/>
        </w:rPr>
        <w:t xml:space="preserve">На 2 април 2019 г. ЕС поиска </w:t>
      </w:r>
      <w:r>
        <w:rPr>
          <w:rFonts w:ascii="Times New Roman" w:hAnsi="Times New Roman"/>
          <w:b/>
          <w:noProof/>
          <w:sz w:val="24"/>
          <w:szCs w:val="24"/>
        </w:rPr>
        <w:t>консултации с</w:t>
      </w:r>
      <w:r>
        <w:rPr>
          <w:rFonts w:ascii="Times New Roman" w:hAnsi="Times New Roman"/>
          <w:noProof/>
          <w:sz w:val="24"/>
          <w:szCs w:val="24"/>
        </w:rPr>
        <w:t xml:space="preserve"> </w:t>
      </w:r>
      <w:r>
        <w:rPr>
          <w:rFonts w:ascii="Times New Roman" w:hAnsi="Times New Roman"/>
          <w:b/>
          <w:noProof/>
          <w:sz w:val="24"/>
          <w:szCs w:val="24"/>
        </w:rPr>
        <w:t>Турция в рамките на СТО</w:t>
      </w:r>
      <w:r>
        <w:rPr>
          <w:rFonts w:ascii="Times New Roman" w:hAnsi="Times New Roman"/>
          <w:noProof/>
          <w:sz w:val="24"/>
          <w:szCs w:val="24"/>
        </w:rPr>
        <w:t xml:space="preserve"> и след консултации на 9 и 10 май, които не успяха да разрешат спора, на 2 август поиска създаването на специализирана група на СТО</w:t>
      </w:r>
      <w:r>
        <w:rPr>
          <w:rStyle w:val="FootnoteReference"/>
          <w:rFonts w:ascii="Times New Roman" w:hAnsi="Times New Roman" w:cs="Times New Roman"/>
          <w:noProof/>
          <w:sz w:val="24"/>
          <w:szCs w:val="24"/>
          <w:lang w:val="en-GB"/>
        </w:rPr>
        <w:footnoteReference w:id="82"/>
      </w:r>
      <w:r>
        <w:rPr>
          <w:noProof/>
        </w:rPr>
        <w:t>.</w:t>
      </w:r>
      <w:r>
        <w:rPr>
          <w:rFonts w:ascii="Times New Roman" w:hAnsi="Times New Roman"/>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На 15 ноември 2019 г. ЕС започна процедура по </w:t>
      </w:r>
      <w:r>
        <w:rPr>
          <w:rFonts w:ascii="Times New Roman" w:hAnsi="Times New Roman"/>
          <w:b/>
          <w:noProof/>
          <w:sz w:val="24"/>
          <w:szCs w:val="24"/>
        </w:rPr>
        <w:t>уреждане на спорове в рамките на СТО</w:t>
      </w:r>
      <w:r>
        <w:rPr>
          <w:rFonts w:ascii="Times New Roman" w:hAnsi="Times New Roman"/>
          <w:noProof/>
          <w:sz w:val="24"/>
          <w:szCs w:val="24"/>
        </w:rPr>
        <w:t xml:space="preserve"> и поиска консултации</w:t>
      </w:r>
      <w:r>
        <w:rPr>
          <w:rStyle w:val="FootnoteReference"/>
          <w:noProof/>
          <w:lang w:val="en-GB"/>
        </w:rPr>
        <w:footnoteReference w:id="83"/>
      </w:r>
      <w:r>
        <w:rPr>
          <w:rFonts w:ascii="Times New Roman" w:hAnsi="Times New Roman"/>
          <w:noProof/>
          <w:sz w:val="24"/>
          <w:szCs w:val="24"/>
        </w:rPr>
        <w:t xml:space="preserve"> </w:t>
      </w:r>
      <w:r>
        <w:rPr>
          <w:rFonts w:ascii="Times New Roman" w:hAnsi="Times New Roman"/>
          <w:b/>
          <w:noProof/>
          <w:sz w:val="24"/>
          <w:szCs w:val="24"/>
        </w:rPr>
        <w:t>с Колумбия</w:t>
      </w:r>
      <w:r>
        <w:rPr>
          <w:rFonts w:ascii="Times New Roman" w:hAnsi="Times New Roman"/>
          <w:noProof/>
          <w:sz w:val="24"/>
          <w:szCs w:val="24"/>
        </w:rPr>
        <w:t xml:space="preserve"> относно налагането от нея на незаконни антидъмпингови мита върху вноса на замразени картофи от Белгия, Германия и Нидерландия.  Консултациите не успяха да помогнат за разрешаване на спора.  На 29 юни 2020 г., по искане на ЕС</w:t>
      </w:r>
      <w:r>
        <w:rPr>
          <w:rStyle w:val="FootnoteReference"/>
          <w:noProof/>
          <w:lang w:val="en-GB"/>
        </w:rPr>
        <w:footnoteReference w:id="84"/>
      </w:r>
      <w:r>
        <w:rPr>
          <w:rStyle w:val="FootnoteReference"/>
          <w:noProof/>
          <w:lang w:val="en-GB"/>
        </w:rPr>
        <w:t xml:space="preserve"> </w:t>
      </w:r>
      <w:r>
        <w:rPr>
          <w:rStyle w:val="FootnoteReference"/>
          <w:noProof/>
        </w:rPr>
        <w:t xml:space="preserve"> </w:t>
      </w:r>
      <w:r>
        <w:rPr>
          <w:rFonts w:ascii="Times New Roman" w:hAnsi="Times New Roman"/>
          <w:noProof/>
          <w:sz w:val="24"/>
          <w:szCs w:val="24"/>
        </w:rPr>
        <w:t xml:space="preserve">Органът за уреждане на спорове на СТО създаде специализирана група за уреждане на спорове.  </w:t>
      </w:r>
    </w:p>
    <w:p>
      <w:pPr>
        <w:spacing w:after="120" w:line="240" w:lineRule="auto"/>
        <w:rPr>
          <w:rFonts w:ascii="Times New Roman" w:hAnsi="Times New Roman" w:cs="Times New Roman"/>
          <w:noProof/>
          <w:sz w:val="24"/>
          <w:szCs w:val="24"/>
        </w:rPr>
      </w:pPr>
      <w:r>
        <w:rPr>
          <w:rFonts w:ascii="Times New Roman" w:hAnsi="Times New Roman"/>
          <w:b/>
          <w:noProof/>
          <w:sz w:val="24"/>
          <w:szCs w:val="24"/>
        </w:rPr>
        <w:t>Упражняването на правата на ЕС съгласно търговските споразумения</w:t>
      </w:r>
      <w:r>
        <w:rPr>
          <w:rFonts w:ascii="Times New Roman" w:hAnsi="Times New Roman"/>
          <w:noProof/>
          <w:sz w:val="24"/>
          <w:szCs w:val="24"/>
        </w:rPr>
        <w:t xml:space="preserve"> е един от основните принципи на търговската политика на Европейската комисия.  Европейската комисия следи внимателно изпълнението на търговските споразумения на ЕС и ще обмисли използването на мерки за правоприлагане, когато е необходимо, по-специално в случаи с голямо икономическо или системно значение.  Преференциалните търговски споразумения на ЕС предвиждат надеждно прилагане на ангажиментите с цел да се осигури ефикасно и своевременно уреждане на спорове, включително по въпроси, които надхвърлят обхвата на Споразумението за СТО, например спора с Южна Корея относно трудовите права. </w:t>
      </w:r>
    </w:p>
    <w:p>
      <w:p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В контекста на пандемията от COVID-19 е важно да се има предвид, че отворената и основана на правила търговия ще допринесе за бъдещо икономическо възстановяване.  Ето защо Европейската комисия продължава да предприема необходимите мерки, така че търговските споразумения да бъдат правилно прилагани според случая. </w:t>
      </w:r>
    </w:p>
    <w:p>
      <w:pPr>
        <w:spacing w:after="0" w:line="240" w:lineRule="auto"/>
        <w:rPr>
          <w:rFonts w:ascii="Times New Roman" w:hAnsi="Times New Roman" w:cs="Times New Roman"/>
          <w:noProof/>
          <w:lang w:val="en-GB"/>
        </w:rPr>
      </w:pPr>
    </w:p>
    <w:p>
      <w:pPr>
        <w:pStyle w:val="Heading2"/>
        <w:rPr>
          <w:rFonts w:eastAsia="Times New Roman"/>
          <w:noProof/>
        </w:rPr>
      </w:pPr>
      <w:bookmarkStart w:id="31" w:name="_Toc16233945"/>
      <w:bookmarkStart w:id="32" w:name="_Toc55319767"/>
      <w:r>
        <w:rPr>
          <w:noProof/>
        </w:rPr>
        <w:t xml:space="preserve">8.1 </w:t>
      </w:r>
      <w:r>
        <w:rPr>
          <w:noProof/>
        </w:rPr>
        <w:tab/>
        <w:t>Уреждане на спорове в областта на търговията и устойчивото развитие с Южна Корея</w:t>
      </w:r>
      <w:bookmarkEnd w:id="31"/>
      <w:bookmarkEnd w:id="32"/>
      <w:r>
        <w:rPr>
          <w:noProof/>
        </w:rPr>
        <w:t xml:space="preserve"> </w:t>
      </w:r>
    </w:p>
    <w:p>
      <w:pPr>
        <w:spacing w:after="120" w:line="240" w:lineRule="auto"/>
        <w:rPr>
          <w:rFonts w:ascii="Times New Roman" w:hAnsi="Times New Roman" w:cs="Times New Roman"/>
          <w:noProof/>
          <w:sz w:val="24"/>
          <w:szCs w:val="24"/>
        </w:rPr>
      </w:pPr>
      <w:r>
        <w:rPr>
          <w:rFonts w:ascii="Times New Roman" w:hAnsi="Times New Roman"/>
          <w:noProof/>
          <w:sz w:val="24"/>
          <w:szCs w:val="24"/>
        </w:rPr>
        <w:t>Съгласно главата относно търговията и устойчивото развитие на Споразумението за търговия между ЕС и Южна Корея, Южна Корея се ангажира „да съблюдава и осъществява в своите закони и практики“ основните права по конвенциите на Международната организация на труда (МОТ), а именно правото на свобода на сдружаване и правото на колективно договаряне. Южна Корея също така се ангажира да полага „продължителни и непрекъснати усилия“, за да ратифицира все още нератифицираните от нея конвенции на МОТ</w:t>
      </w:r>
      <w:r>
        <w:rPr>
          <w:rFonts w:ascii="Times New Roman" w:hAnsi="Times New Roman" w:cs="Times New Roman"/>
          <w:noProof/>
          <w:sz w:val="24"/>
          <w:szCs w:val="24"/>
          <w:vertAlign w:val="superscript"/>
          <w:lang w:val="en-GB"/>
        </w:rPr>
        <w:footnoteReference w:id="85"/>
      </w:r>
      <w:r>
        <w:rPr>
          <w:rFonts w:ascii="Times New Roman" w:hAnsi="Times New Roman"/>
          <w:noProof/>
          <w:sz w:val="24"/>
          <w:szCs w:val="24"/>
        </w:rPr>
        <w:t xml:space="preserve">. </w:t>
      </w:r>
    </w:p>
    <w:p>
      <w:pPr>
        <w:spacing w:after="120" w:line="240" w:lineRule="auto"/>
        <w:rPr>
          <w:rFonts w:ascii="Times New Roman" w:hAnsi="Times New Roman" w:cs="Times New Roman"/>
          <w:noProof/>
          <w:sz w:val="24"/>
          <w:szCs w:val="24"/>
        </w:rPr>
      </w:pPr>
      <w:r>
        <w:rPr>
          <w:rFonts w:ascii="Times New Roman" w:hAnsi="Times New Roman"/>
          <w:noProof/>
          <w:sz w:val="24"/>
          <w:szCs w:val="24"/>
        </w:rPr>
        <w:t>Поради липсата на напредък на 17 декември 2018 г. ЕС взе решение да поиска консултации</w:t>
      </w:r>
      <w:r>
        <w:rPr>
          <w:rFonts w:ascii="Times New Roman" w:hAnsi="Times New Roman" w:cs="Times New Roman"/>
          <w:noProof/>
          <w:sz w:val="24"/>
          <w:szCs w:val="24"/>
          <w:vertAlign w:val="superscript"/>
          <w:lang w:val="en-GB"/>
        </w:rPr>
        <w:footnoteReference w:id="86"/>
      </w:r>
      <w:r>
        <w:rPr>
          <w:rFonts w:ascii="Times New Roman" w:hAnsi="Times New Roman"/>
          <w:noProof/>
          <w:sz w:val="24"/>
          <w:szCs w:val="24"/>
        </w:rPr>
        <w:t xml:space="preserve"> с Южна Корея в рамките на главата за търговията и устойчивото развитие.  Поради липсата на достатъчно усилия за ратифициране на съответните конвенции на МОТ, на 4 юли 2019 г. ЕС поиска</w:t>
      </w:r>
      <w:r>
        <w:rPr>
          <w:noProof/>
        </w:rPr>
        <w:t xml:space="preserve"> </w:t>
      </w:r>
      <w:r>
        <w:rPr>
          <w:rFonts w:ascii="Times New Roman" w:hAnsi="Times New Roman"/>
          <w:noProof/>
          <w:sz w:val="24"/>
          <w:szCs w:val="24"/>
        </w:rPr>
        <w:t>създаване на експертна група</w:t>
      </w:r>
      <w:r>
        <w:rPr>
          <w:rFonts w:ascii="Times New Roman" w:hAnsi="Times New Roman" w:cs="Times New Roman"/>
          <w:noProof/>
          <w:sz w:val="24"/>
          <w:szCs w:val="24"/>
          <w:vertAlign w:val="superscript"/>
          <w:lang w:val="en-GB"/>
        </w:rPr>
        <w:footnoteReference w:id="87"/>
      </w:r>
      <w:r>
        <w:rPr>
          <w:rFonts w:ascii="Times New Roman" w:hAnsi="Times New Roman"/>
          <w:noProof/>
          <w:sz w:val="24"/>
          <w:szCs w:val="24"/>
        </w:rPr>
        <w:t xml:space="preserve">, която бе официално създадена на 30 декември 2019 г. Процедурата е в ход. </w:t>
      </w:r>
    </w:p>
    <w:p>
      <w:pPr>
        <w:spacing w:after="120" w:line="240" w:lineRule="auto"/>
        <w:rPr>
          <w:rFonts w:ascii="Times New Roman" w:hAnsi="Times New Roman" w:cs="Times New Roman"/>
          <w:i/>
          <w:noProof/>
          <w:sz w:val="24"/>
          <w:szCs w:val="24"/>
          <w:lang w:val="en-GB"/>
        </w:rPr>
      </w:pPr>
    </w:p>
    <w:p>
      <w:pPr>
        <w:pStyle w:val="Heading2"/>
        <w:rPr>
          <w:rFonts w:eastAsia="Times New Roman"/>
          <w:noProof/>
        </w:rPr>
      </w:pPr>
      <w:bookmarkStart w:id="33" w:name="_Toc16233946"/>
      <w:bookmarkStart w:id="34" w:name="_Toc55319768"/>
      <w:r>
        <w:rPr>
          <w:noProof/>
        </w:rPr>
        <w:t>8.2</w:t>
      </w:r>
      <w:r>
        <w:rPr>
          <w:noProof/>
        </w:rPr>
        <w:tab/>
        <w:t>Уреждане на спорове с Украйна</w:t>
      </w:r>
      <w:bookmarkEnd w:id="33"/>
      <w:bookmarkEnd w:id="34"/>
    </w:p>
    <w:p>
      <w:pPr>
        <w:spacing w:after="120" w:line="240" w:lineRule="auto"/>
        <w:rPr>
          <w:rFonts w:ascii="Times New Roman" w:hAnsi="Times New Roman" w:cs="Times New Roman"/>
          <w:noProof/>
          <w:sz w:val="24"/>
          <w:szCs w:val="24"/>
        </w:rPr>
      </w:pPr>
      <w:r>
        <w:rPr>
          <w:rFonts w:ascii="Times New Roman" w:hAnsi="Times New Roman"/>
          <w:noProof/>
          <w:sz w:val="24"/>
          <w:szCs w:val="24"/>
        </w:rPr>
        <w:t>През януари 2019 г. съгласно режима за двустранно уреждане на спорове, предвиден в Споразумението за асоцииране между ЕС и Украйна, ЕС реши да поиска консултации</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с Украйна относно ограниченията за износ на дървесина от нея.  Ограничението първоначално обхващаше дървесина и нарязана дървесина от десет дървесни вида, а от 2015 г. обхватът му беше разширен, за да включва всички видове необработена дървесина, включително, от 2017 г., борова дървесина.</w:t>
      </w:r>
    </w:p>
    <w:p>
      <w:pPr>
        <w:spacing w:after="120" w:line="264" w:lineRule="auto"/>
        <w:rPr>
          <w:rFonts w:ascii="Times New Roman" w:hAnsi="Times New Roman" w:cs="Times New Roman"/>
          <w:noProof/>
          <w:sz w:val="24"/>
          <w:szCs w:val="24"/>
        </w:rPr>
      </w:pPr>
      <w:r>
        <w:rPr>
          <w:rFonts w:ascii="Times New Roman" w:hAnsi="Times New Roman"/>
          <w:noProof/>
          <w:sz w:val="24"/>
          <w:szCs w:val="24"/>
        </w:rPr>
        <w:t>ЕС многократно повдига този въпрос пред Украйна, тъй като ограничението върху износа е несъвместимо със Споразумението за асоцииране.  През 2019 г. Украйна не се опита да отмени забраната. Поради това и след двустранните консултации за уреждане на спорове през февруари 2019 г., които не успяха да решат въпроса, ЕС поиска официалното сформиране на двустранен арбитражен състав, който да се произнесе по въпроса.  Искането бе подадено през юни 2019 г.</w:t>
      </w:r>
      <w:r>
        <w:rPr>
          <w:rStyle w:val="FootnoteReference"/>
          <w:rFonts w:ascii="Times New Roman" w:eastAsia="Times New Roman" w:hAnsi="Times New Roman" w:cs="Times New Roman"/>
          <w:noProof/>
          <w:sz w:val="24"/>
          <w:szCs w:val="24"/>
          <w:lang w:val="en-GB"/>
        </w:rPr>
        <w:footnoteReference w:id="89"/>
      </w:r>
      <w:r>
        <w:rPr>
          <w:rFonts w:ascii="Times New Roman" w:hAnsi="Times New Roman"/>
          <w:noProof/>
          <w:sz w:val="24"/>
          <w:szCs w:val="24"/>
        </w:rPr>
        <w:t xml:space="preserve">, а арбитражният състав, първият по силата на което и да е споразумение за свободна търговия на ЕС, беше официално създаден на 28 януари 2020 г.  Процедурата е в ход. </w:t>
      </w:r>
    </w:p>
    <w:p>
      <w:pPr>
        <w:spacing w:after="0" w:line="240" w:lineRule="auto"/>
        <w:rPr>
          <w:rFonts w:ascii="Times New Roman" w:eastAsia="Times New Roman" w:hAnsi="Times New Roman" w:cs="Times New Roman"/>
          <w:b/>
          <w:bCs/>
          <w:noProof/>
          <w:sz w:val="26"/>
          <w:szCs w:val="26"/>
        </w:rPr>
      </w:pPr>
      <w:bookmarkStart w:id="35" w:name="_Toc16233947"/>
    </w:p>
    <w:p>
      <w:pPr>
        <w:pStyle w:val="Heading2"/>
        <w:rPr>
          <w:rFonts w:eastAsia="Times New Roman"/>
          <w:noProof/>
        </w:rPr>
      </w:pPr>
      <w:bookmarkStart w:id="36" w:name="_Toc55319769"/>
      <w:r>
        <w:rPr>
          <w:noProof/>
        </w:rPr>
        <w:t>8.3</w:t>
      </w:r>
      <w:r>
        <w:rPr>
          <w:noProof/>
        </w:rPr>
        <w:tab/>
        <w:t>Уреждане на спорове с Южноафриканския митнически съюз</w:t>
      </w:r>
      <w:bookmarkEnd w:id="35"/>
      <w:r>
        <w:rPr>
          <w:noProof/>
        </w:rPr>
        <w:t xml:space="preserve"> (ЮАМС)</w:t>
      </w:r>
      <w:bookmarkEnd w:id="36"/>
    </w:p>
    <w:p>
      <w:pPr>
        <w:spacing w:after="120" w:line="240" w:lineRule="auto"/>
        <w:rPr>
          <w:rFonts w:ascii="Times New Roman" w:hAnsi="Times New Roman" w:cs="Times New Roman"/>
          <w:noProof/>
          <w:sz w:val="24"/>
          <w:szCs w:val="24"/>
        </w:rPr>
      </w:pPr>
      <w:r>
        <w:rPr>
          <w:rFonts w:ascii="Times New Roman" w:hAnsi="Times New Roman"/>
          <w:noProof/>
          <w:sz w:val="24"/>
          <w:szCs w:val="24"/>
        </w:rPr>
        <w:t>На 14 юни 2019 г. ЕС</w:t>
      </w:r>
      <w:r>
        <w:rPr>
          <w:noProof/>
        </w:rPr>
        <w:t xml:space="preserve"> </w:t>
      </w:r>
      <w:r>
        <w:rPr>
          <w:rFonts w:ascii="Times New Roman" w:hAnsi="Times New Roman"/>
          <w:noProof/>
          <w:sz w:val="24"/>
          <w:szCs w:val="24"/>
        </w:rPr>
        <w:t>поиска консултации</w:t>
      </w:r>
      <w:r>
        <w:rPr>
          <w:rFonts w:ascii="Times New Roman" w:hAnsi="Times New Roman" w:cs="Times New Roman"/>
          <w:noProof/>
          <w:sz w:val="24"/>
          <w:szCs w:val="24"/>
          <w:vertAlign w:val="superscript"/>
          <w:lang w:val="en-GB"/>
        </w:rPr>
        <w:footnoteReference w:id="90"/>
      </w:r>
      <w:r>
        <w:rPr>
          <w:rFonts w:ascii="Times New Roman" w:hAnsi="Times New Roman"/>
          <w:noProof/>
          <w:sz w:val="24"/>
          <w:szCs w:val="24"/>
        </w:rPr>
        <w:t xml:space="preserve"> с Южноафриканския митнически съюз (ЮАМС) съгласно частта относно предотвратяването и уреждането на спорове от Споразумението за икономическо партньорство между Европейския съюз и Южноафриканската общност за развитие (СИП ЕС — ЮАОР). Искането се отнасяше до защитната мярка, наложена върху износа на ЕС на замразени необезкостени пилешки разфасовки.  ЕС счита, че ЮАМС е наложил мярката в нарушение на принципите и правилата на СИП ЕС — ЮАОР.  Срокът на действие на защитната мярка ще изтече на 11 март 2022 г.  Тя обаче може да бъде удължена за още 4 години.</w:t>
      </w:r>
    </w:p>
    <w:p>
      <w:pPr>
        <w:spacing w:after="120"/>
        <w:rPr>
          <w:rFonts w:ascii="Times New Roman" w:hAnsi="Times New Roman" w:cs="Times New Roman"/>
          <w:noProof/>
          <w:sz w:val="24"/>
          <w:szCs w:val="24"/>
        </w:rPr>
      </w:pPr>
      <w:r>
        <w:rPr>
          <w:rFonts w:ascii="Times New Roman" w:hAnsi="Times New Roman"/>
          <w:noProof/>
          <w:sz w:val="24"/>
          <w:szCs w:val="24"/>
        </w:rPr>
        <w:t>Консултациите, проведени през септември 2019 г., не доведоха до взаимно задоволително решение, но потвърдиха позицията на ЕС, че защитната мярка не съответства на разпоредбите на СИП между ЕС и ЮАОР.  На 21 април 2020 г. ЕС поиска създаването на арбитражен състав</w:t>
      </w:r>
      <w:r>
        <w:rPr>
          <w:rStyle w:val="FootnoteReference"/>
          <w:rFonts w:ascii="Times New Roman" w:hAnsi="Times New Roman" w:cs="Times New Roman"/>
          <w:noProof/>
          <w:sz w:val="24"/>
          <w:szCs w:val="24"/>
          <w:lang w:val="en-GB"/>
        </w:rPr>
        <w:footnoteReference w:id="91"/>
      </w:r>
      <w:r>
        <w:rPr>
          <w:rFonts w:ascii="Times New Roman" w:hAnsi="Times New Roman"/>
          <w:noProof/>
          <w:sz w:val="24"/>
          <w:szCs w:val="24"/>
        </w:rPr>
        <w:t xml:space="preserve"> с ЮАОР в рамките на частта за избягване на спорове и уреждане на спорове на СИП между ЕС и ЮАОР. </w:t>
      </w:r>
    </w:p>
    <w:p>
      <w:pPr>
        <w:spacing w:after="0"/>
        <w:rPr>
          <w:rFonts w:ascii="Times New Roman" w:hAnsi="Times New Roman" w:cs="Times New Roman"/>
          <w:noProof/>
          <w:sz w:val="24"/>
          <w:szCs w:val="24"/>
          <w:lang w:val="en-GB"/>
        </w:rPr>
      </w:pPr>
    </w:p>
    <w:p>
      <w:pPr>
        <w:pStyle w:val="Heading1"/>
        <w:rPr>
          <w:noProof/>
        </w:rPr>
      </w:pPr>
      <w:bookmarkStart w:id="37" w:name="_Toc55319770"/>
      <w:r>
        <w:rPr>
          <w:noProof/>
        </w:rPr>
        <w:t>9.  ЗАКЛЮЧЕНИЯ</w:t>
      </w:r>
      <w:bookmarkEnd w:id="37"/>
    </w:p>
    <w:p>
      <w:pPr>
        <w:spacing w:after="0"/>
        <w:rPr>
          <w:noProof/>
          <w:lang w:val="en-GB"/>
        </w:rPr>
      </w:pPr>
    </w:p>
    <w:p>
      <w:pPr>
        <w:rPr>
          <w:rFonts w:ascii="Times New Roman" w:hAnsi="Times New Roman" w:cs="Times New Roman"/>
          <w:noProof/>
          <w:sz w:val="24"/>
          <w:szCs w:val="24"/>
        </w:rPr>
      </w:pPr>
      <w:r>
        <w:rPr>
          <w:rFonts w:ascii="Times New Roman" w:hAnsi="Times New Roman"/>
          <w:noProof/>
          <w:sz w:val="24"/>
          <w:szCs w:val="24"/>
        </w:rPr>
        <w:t>През 2019 г., независимо от продължителната криза в СТО и протекционистките тенденции, както и забавянето на световната търговия и инвестициите, търговските споразумения на ЕС продължиха да улесняват справедливата търговия със стоки и услуги и инвестициите, да затвърждават рамката на международните правила, да насърчават целите за устойчивост и да допринасят за международното измерение на индустриалната политика на ЕС</w:t>
      </w:r>
      <w:r>
        <w:rPr>
          <w:rFonts w:ascii="Times New Roman" w:hAnsi="Times New Roman" w:cs="Times New Roman"/>
          <w:noProof/>
          <w:sz w:val="24"/>
          <w:szCs w:val="24"/>
          <w:vertAlign w:val="superscript"/>
          <w:lang w:val="en-GB"/>
        </w:rPr>
        <w:footnoteReference w:id="92"/>
      </w:r>
      <w:r>
        <w:rPr>
          <w:rFonts w:ascii="Times New Roman" w:hAnsi="Times New Roman"/>
          <w:noProof/>
          <w:sz w:val="24"/>
          <w:szCs w:val="24"/>
        </w:rPr>
        <w:t>. Това показва, че тези споразумения могат да допринесат съществено за възстановяването след глобалната пандемията от COVID-19, която се очаква да доведе до свиване на икономиката на ЕС с 8,3 % през 2020 г.</w:t>
      </w:r>
      <w:r>
        <w:rPr>
          <w:rStyle w:val="FootnoteReference"/>
          <w:rFonts w:ascii="Times New Roman" w:hAnsi="Times New Roman" w:cs="Times New Roman"/>
          <w:noProof/>
          <w:sz w:val="24"/>
          <w:szCs w:val="24"/>
          <w:lang w:val="en-GB"/>
        </w:rPr>
        <w:footnoteReference w:id="93"/>
      </w:r>
      <w:r>
        <w:rPr>
          <w:rFonts w:ascii="Times New Roman" w:hAnsi="Times New Roman"/>
          <w:noProof/>
          <w:sz w:val="24"/>
          <w:szCs w:val="24"/>
        </w:rPr>
        <w:t xml:space="preserve"> По-специално търговските споразумения на ЕС подкрепят диверсификацията на европейските вериги за доставки, улесняват цифровата търговия и предлагат платформи за по-задълбочен ангажимент с търговските партньори от ЕС по въпросите на многостранното сътрудничество и по-общите въпроси, свързани с устойчивостта. Усилията за подобряване на ефективното изпълнение и прилагане на тези споразумения ще бъдат ръководени от новия главен служител по правоприлагането в областта на търговията в тясно сътрудничество с другите институции на ЕС, държавите членки, заинтересованите страни и гражданското общество. </w:t>
      </w:r>
    </w:p>
    <w:sectPr>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EC Square Sans Pro">
    <w:altName w:val="Segoe UI"/>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rPr>
        <w:t>С цел последователност в настоящия доклад са използвани кратките наименования за търговските партньори на ЕС, изброени в Междуинституционалното ръководство, достъпно на адрес:</w:t>
      </w:r>
      <w:r>
        <w:t xml:space="preserve"> </w:t>
      </w:r>
      <w:hyperlink r:id="rId1" w:history="1">
        <w:r>
          <w:rPr>
            <w:rStyle w:val="Hyperlink"/>
            <w:rFonts w:ascii="Times New Roman" w:hAnsi="Times New Roman"/>
          </w:rPr>
          <w:t>https://publications.europa.eu/code/bg/bg-5000500.htm</w:t>
        </w:r>
      </w:hyperlink>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Споразумението се прилага за Коморските острови от 7 февруари 2019 г. </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rPr>
        <w:t>Споразумението се прилага и за Самоа от 31 декември 2018 г.</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Азбучен списък на споразуменията, наличен на уебсайта на ГД „Търговия“: </w:t>
      </w:r>
      <w:hyperlink r:id="rId2" w:history="1">
        <w:r>
          <w:rPr>
            <w:rStyle w:val="Hyperlink"/>
            <w:rFonts w:ascii="Times New Roman" w:hAnsi="Times New Roman"/>
          </w:rPr>
          <w:t>https://ec.europa.eu/trade/policy/countries-and-regions/negotiations-and-agreements/</w:t>
        </w:r>
      </w:hyperlink>
      <w:r>
        <w:rPr>
          <w:rFonts w:ascii="Times New Roman" w:hAnsi="Times New Roman"/>
        </w:rPr>
        <w:t xml:space="preserve"> </w:t>
      </w:r>
    </w:p>
  </w:footnote>
  <w:footnote w:id="8">
    <w:p>
      <w:pPr>
        <w:pStyle w:val="FootnoteText"/>
      </w:pPr>
      <w:r>
        <w:rPr>
          <w:rStyle w:val="FootnoteReference"/>
        </w:rPr>
        <w:footnoteRef/>
      </w:r>
      <w:r>
        <w:t xml:space="preserve"> </w:t>
      </w:r>
      <w:hyperlink r:id="rId3" w:history="1">
        <w:r>
          <w:rPr>
            <w:rStyle w:val="Hyperlink"/>
          </w:rPr>
          <w:t>https://ec.europa.eu/commission/presscorner/detail/bg/IP_20_1409</w:t>
        </w:r>
      </w:hyperlink>
    </w:p>
  </w:footnote>
  <w:footnote w:id="9">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 Споразумението за свободна търговия между ЕС и Сингапур влезе в сила едва на 21 ноември 2019 г.  </w:t>
      </w:r>
    </w:p>
  </w:footnote>
  <w:footnote w:id="10">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 </w:t>
      </w:r>
      <w:hyperlink r:id="rId4" w:history="1">
        <w:r>
          <w:rPr>
            <w:rStyle w:val="Hyperlink"/>
            <w:rFonts w:ascii="Times New Roman" w:hAnsi="Times New Roman"/>
          </w:rPr>
          <w:t>https://trade.ec.europa.eu/doclib/docs/2020/september/tradoc_158926.pdf</w:t>
        </w:r>
      </w:hyperlink>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Споразумението за свободна търговия между ЕС и Сингапур влезе в сила едва на 21 ноември, така че в настоящия доклад и работния документ на службите на Комисията към него е представен само преглед на подготвителната работа. Пълен доклад ще бъде поместен в изданието през 2021 г.</w:t>
      </w:r>
    </w:p>
  </w:footnote>
  <w:footnote w:id="12">
    <w:p>
      <w:pPr>
        <w:pStyle w:val="FootnoteText"/>
      </w:pPr>
      <w:r>
        <w:rPr>
          <w:rStyle w:val="FootnoteReference"/>
        </w:rPr>
        <w:footnoteRef/>
      </w:r>
      <w:r>
        <w:t xml:space="preserve"> </w:t>
      </w:r>
      <w:r>
        <w:rPr>
          <w:rFonts w:ascii="Times New Roman" w:hAnsi="Times New Roman"/>
        </w:rPr>
        <w:t xml:space="preserve">Планът за действие от 15 точки е на разположение на адрес: </w:t>
      </w:r>
      <w:hyperlink r:id="rId5" w:history="1">
        <w:r>
          <w:rPr>
            <w:rStyle w:val="Hyperlink"/>
            <w:rFonts w:ascii="Times New Roman" w:hAnsi="Times New Roman"/>
          </w:rPr>
          <w:t>https://trade.ec.europa.eu/doclib/docs/2018/february/tradoc_156618.pdf</w:t>
        </w:r>
      </w:hyperlink>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Вж. например Последваща оценка на ССТ между ЕС и Южна Корея (окончателен доклад, раздел 10.7); Последваща оценка на споразуменията за асоцииране с 6 средиземноморски държави (междинен доклад, стр. 16, 106, 198—200); Последваща оценка на СИП между ЕС и КАРИФОРУМ (проект на междинен доклад, раздел 4.5). </w:t>
      </w:r>
    </w:p>
  </w:footnote>
  <w:footnote w:id="14">
    <w:p>
      <w:pPr>
        <w:pStyle w:val="FootnoteText"/>
        <w:rPr>
          <w:rFonts w:ascii="Times New Roman" w:hAnsi="Times New Roman" w:cs="Times New Roman"/>
        </w:rPr>
      </w:pPr>
      <w:r>
        <w:rPr>
          <w:rStyle w:val="FootnoteReference"/>
        </w:rPr>
        <w:footnoteRef/>
      </w:r>
      <w:r>
        <w:t xml:space="preserve"> </w:t>
      </w:r>
      <w:r>
        <w:rPr>
          <w:rFonts w:ascii="Times New Roman" w:hAnsi="Times New Roman"/>
        </w:rPr>
        <w:t>За повече информация относно развитието на търговията с продукти на хранително-вкусовата промишленост вж. раздел 6.</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https://eur-lex.europa.eu/LexUriServ/LexUriServ.do?uri=COM:2006:0567:FIN:en:PDF</w:t>
        </w:r>
      </w:hyperlink>
      <w:r>
        <w:rPr>
          <w:rFonts w:ascii="Times New Roman" w:hAnsi="Times New Roman"/>
        </w:rPr>
        <w:t xml:space="preserve">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Норвегия, Украйна, Молдова, Грузия, Чили, Централна Америка, държавите от Андите, Мексико, Канада, КАРИФОРУМ, Южна Корея и Япония. </w:t>
      </w:r>
    </w:p>
  </w:footnote>
  <w:footnote w:id="17">
    <w:p>
      <w:pPr>
        <w:pStyle w:val="FootnoteText"/>
      </w:pPr>
      <w:r>
        <w:rPr>
          <w:rStyle w:val="FootnoteReference"/>
        </w:rPr>
        <w:footnoteRef/>
      </w:r>
      <w:r>
        <w:t xml:space="preserve"> </w:t>
      </w:r>
      <w:r>
        <w:rPr>
          <w:rFonts w:ascii="Times New Roman" w:hAnsi="Times New Roman"/>
        </w:rPr>
        <w:t xml:space="preserve"> Споразумението на ЕС със Сингапур влезе в сила на 21 ноември 2019 г.</w:t>
      </w:r>
      <w:r>
        <w:t xml:space="preserve"> </w:t>
      </w:r>
    </w:p>
  </w:footnote>
  <w:footnote w:id="18">
    <w:p>
      <w:pPr>
        <w:pStyle w:val="FootnoteText"/>
        <w:rPr>
          <w:rFonts w:ascii="Times New Roman" w:hAnsi="Times New Roman" w:cs="Times New Roman"/>
        </w:rPr>
      </w:pPr>
      <w:r>
        <w:rPr>
          <w:rStyle w:val="FootnoteReference"/>
        </w:rPr>
        <w:footnoteRef/>
      </w:r>
      <w:r>
        <w:t xml:space="preserve"> </w:t>
      </w:r>
      <w:hyperlink r:id="rId7" w:history="1">
        <w:r>
          <w:rPr>
            <w:rStyle w:val="Hyperlink"/>
            <w:rFonts w:ascii="Times New Roman" w:hAnsi="Times New Roman"/>
          </w:rPr>
          <w:t>https://www.mti.gov.sg/Improving-Trade/Free-Trade-Agreements/CPTPP</w:t>
        </w:r>
      </w:hyperlink>
      <w:r>
        <w:rPr>
          <w:rFonts w:ascii="Times New Roman" w:hAnsi="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https://trade.ec.europa.eu/doclib/docs/2019/march/tradoc_157716.pdf</w:t>
        </w:r>
      </w:hyperlink>
    </w:p>
  </w:footnote>
  <w:footnote w:id="20">
    <w:p>
      <w:pPr>
        <w:pStyle w:val="FootnoteText"/>
        <w:rPr>
          <w:rFonts w:ascii="Times New Roman" w:hAnsi="Times New Roman" w:cs="Times New Roman"/>
        </w:rPr>
      </w:pPr>
      <w:r>
        <w:rPr>
          <w:rStyle w:val="FootnoteReference"/>
        </w:rPr>
        <w:footnoteRef/>
      </w:r>
      <w:r>
        <w:t xml:space="preserve"> </w:t>
      </w:r>
      <w:r>
        <w:rPr>
          <w:rFonts w:ascii="Times New Roman" w:hAnsi="Times New Roman"/>
        </w:rPr>
        <w:t>За повече информация относно висящия спор вж. раздел 8 — „Правоприлагане“.</w:t>
      </w:r>
    </w:p>
    <w:p>
      <w:pPr>
        <w:pStyle w:val="FootnoteText"/>
        <w:rPr>
          <w:lang w:val="en-GB"/>
        </w:rPr>
      </w:pPr>
    </w:p>
  </w:footnote>
  <w:footnote w:id="21">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Резюме на основните постижения на първата годишнина от споразумението е на разположение на адрес: </w:t>
      </w:r>
      <w:hyperlink r:id="rId9" w:history="1">
        <w:r>
          <w:rPr>
            <w:rStyle w:val="Hyperlink"/>
            <w:rFonts w:ascii="Times New Roman" w:hAnsi="Times New Roman"/>
          </w:rPr>
          <w:t>https://trade.ec.europa.eu/doclib/press/index.cfm?id=2107</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Pr>
        <w:footnoteRef/>
      </w:r>
      <w:r>
        <w:t xml:space="preserve"> </w:t>
      </w:r>
      <w:hyperlink r:id="rId10" w:history="1">
        <w:r>
          <w:rPr>
            <w:rFonts w:ascii="Times New Roman" w:hAnsi="Times New Roman"/>
            <w:color w:val="0000FF"/>
            <w:u w:val="single"/>
          </w:rPr>
          <w:t>https://www.eu-japan.eu/</w:t>
        </w:r>
      </w:hyperlink>
    </w:p>
  </w:footnote>
  <w:footnote w:id="2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Действията, които ще бъдат изпълнени от митническите органи, могат да бъдат прегледани на следния адрес: </w:t>
      </w:r>
      <w:hyperlink r:id="rId11" w:history="1">
        <w:r>
          <w:rPr>
            <w:rStyle w:val="Hyperlink"/>
            <w:rFonts w:ascii="Times New Roman" w:hAnsi="Times New Roman"/>
          </w:rPr>
          <w:t>https://trade.ec.europa.eu/doclib/docs/2019/july/tradoc_157973.pdf</w:t>
        </w:r>
      </w:hyperlink>
      <w:r>
        <w:rPr>
          <w:rFonts w:ascii="Times New Roman" w:hAnsi="Times New Roman"/>
        </w:rPr>
        <w:t xml:space="preserve"> </w:t>
      </w:r>
    </w:p>
  </w:footnote>
  <w:footnote w:id="24">
    <w:p>
      <w:pPr>
        <w:pStyle w:val="FootnoteText"/>
        <w:rPr>
          <w:rFonts w:ascii="Times New Roman" w:hAnsi="Times New Roman" w:cs="Times New Roman"/>
        </w:rPr>
      </w:pPr>
      <w:r>
        <w:rPr>
          <w:rStyle w:val="FootnoteReference"/>
        </w:rPr>
        <w:footnoteRef/>
      </w:r>
      <w:r>
        <w:t xml:space="preserve"> </w:t>
      </w:r>
      <w:r>
        <w:rPr>
          <w:rFonts w:ascii="Times New Roman" w:hAnsi="Times New Roman"/>
        </w:rPr>
        <w:t>Разпоредбите за ИСС не се прилагат временно и те ще влязат в сила само когато всички държави — членки на ЕС, ратифицират ВИТС</w:t>
      </w:r>
      <w:r>
        <w:t>.</w:t>
      </w:r>
      <w:r>
        <w:rPr>
          <w:rFonts w:ascii="Times New Roman" w:hAnsi="Times New Roman"/>
        </w:rPr>
        <w:t xml:space="preserve"> </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Предложенията се отнасят до 1) правилата на Апелативния съд; 2) Кодекса за поведение на членовете на Съда; 3) правилата за медиация; и 4) процедурата за приемане на тълкувания със задължителен характер.</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Данъкът върху внесените спиртни напитки беше оспорен в Световната търговска организация от Австралия, като ЕС беше трета страна.</w:t>
      </w:r>
    </w:p>
  </w:footnote>
  <w:footnote w:id="27">
    <w:p>
      <w:pPr>
        <w:pStyle w:val="FootnoteText"/>
        <w:rPr>
          <w:rFonts w:ascii="Times New Roman" w:hAnsi="Times New Roman" w:cs="Times New Roman"/>
        </w:rPr>
      </w:pPr>
      <w:r>
        <w:rPr>
          <w:rStyle w:val="FootnoteReference"/>
        </w:rPr>
        <w:footnoteRef/>
      </w:r>
      <w:r>
        <w:t xml:space="preserve"> </w:t>
      </w:r>
      <w:hyperlink r:id="rId12" w:history="1">
        <w:r>
          <w:rPr>
            <w:rStyle w:val="Hyperlink"/>
            <w:rFonts w:ascii="Times New Roman" w:hAnsi="Times New Roman"/>
          </w:rPr>
          <w:t>https://ec.europa.eu/taxation_customs/sites/taxation/files/ceta_guidance_en.pdf</w:t>
        </w:r>
      </w:hyperlink>
    </w:p>
  </w:footnote>
  <w:footnote w:id="28">
    <w:p>
      <w:pPr>
        <w:pStyle w:val="FootnoteText"/>
        <w:rPr>
          <w:rFonts w:ascii="Times New Roman" w:hAnsi="Times New Roman" w:cs="Times New Roman"/>
        </w:rPr>
      </w:pPr>
      <w:r>
        <w:rPr>
          <w:rStyle w:val="FootnoteReference"/>
        </w:rPr>
        <w:footnoteRef/>
      </w:r>
      <w:r>
        <w:t xml:space="preserve"> </w:t>
      </w:r>
      <w:hyperlink r:id="rId13" w:history="1">
        <w:r>
          <w:rPr>
            <w:rStyle w:val="Hyperlink"/>
            <w:rFonts w:ascii="Times New Roman" w:hAnsi="Times New Roman"/>
          </w:rPr>
          <w:t>https://trade.ec.europa.eu/doclib/docs/2019/november/tradoc_158417.pdf</w:t>
        </w:r>
      </w:hyperlink>
      <w:r>
        <w:rPr>
          <w:rFonts w:ascii="Times New Roman" w:hAnsi="Times New Roman"/>
        </w:rPr>
        <w:t xml:space="preserve"> </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rPr>
        <w:t>Източник: IMF DOTS Trade.</w:t>
      </w:r>
    </w:p>
  </w:footnote>
  <w:footnote w:id="30">
    <w:p>
      <w:pPr>
        <w:pStyle w:val="FootnoteText"/>
        <w:rPr>
          <w:rFonts w:ascii="Times New Roman" w:hAnsi="Times New Roman" w:cs="Times New Roman"/>
        </w:rPr>
      </w:pPr>
      <w:r>
        <w:rPr>
          <w:rStyle w:val="FootnoteReference"/>
        </w:rPr>
        <w:footnoteRef/>
      </w:r>
      <w:r>
        <w:t xml:space="preserve"> </w:t>
      </w:r>
      <w:hyperlink r:id="rId14" w:history="1">
        <w:r>
          <w:rPr>
            <w:rStyle w:val="Hyperlink"/>
            <w:rFonts w:ascii="Times New Roman" w:hAnsi="Times New Roman"/>
          </w:rPr>
          <w:t>http://mneguidelines.oecd.org/rbclac.htm</w:t>
        </w:r>
      </w:hyperlink>
      <w:r>
        <w:rPr>
          <w:rFonts w:ascii="Times New Roman" w:hAnsi="Times New Roman"/>
        </w:rPr>
        <w:t xml:space="preserve"> </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https://www.ilo.org/americas/programas-y-proyectos/WCMS_735906/lang--en/index.htm</w:t>
        </w:r>
      </w:hyperlink>
      <w:r>
        <w:rPr>
          <w:rFonts w:ascii="Times New Roman" w:hAnsi="Times New Roman"/>
        </w:rPr>
        <w:t xml:space="preserve"> </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https://www.ohchr.org/EN/Issues/Business/Pages/JointProjectResponsibleBusinessConduct.aspx</w:t>
        </w:r>
      </w:hyperlink>
      <w:r>
        <w:rPr>
          <w:rFonts w:ascii="Times New Roman" w:hAnsi="Times New Roman"/>
        </w:rPr>
        <w:t xml:space="preserve">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https://trade.ec.europa.eu/doclib/press/index.cfm?id=2083</w:t>
        </w:r>
      </w:hyperlink>
      <w:r>
        <w:rPr>
          <w:rFonts w:ascii="Times New Roman" w:hAnsi="Times New Roman"/>
        </w:rPr>
        <w:t xml:space="preserve"> </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35">
    <w:p>
      <w:pPr>
        <w:autoSpaceDE w:val="0"/>
        <w:autoSpaceDN w:val="0"/>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Само Алжир имаше право да отложи последния етап от премахването на митата върху някои промишлени продукти, за които все още се налагаха мита, макар и в намалена форма, до септември 2020 г. (вместо септември 2017 г.).</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hyperlink r:id="rId18" w:history="1">
        <w:r>
          <w:rPr>
            <w:rStyle w:val="Hyperlink"/>
            <w:rFonts w:ascii="Times New Roman" w:hAnsi="Times New Roman"/>
          </w:rPr>
          <w:t>https://case-research.eu/en/ex-post-evaluation-of-the-impact-of-trade-chapters-of-the-euro-mediterranean-association-agreements-with-six-partners-algeria-egypt-jordan-lebanon-morocco-and-tunisia-interim-technical-report-101329</w:t>
        </w:r>
      </w:hyperlink>
      <w:r>
        <w:rPr>
          <w:rFonts w:ascii="Times New Roman" w:hAnsi="Times New Roman"/>
        </w:rPr>
        <w:t xml:space="preserve"> </w:t>
      </w:r>
    </w:p>
  </w:footnote>
  <w:footnote w:id="37">
    <w:p>
      <w:pPr>
        <w:pStyle w:val="FootnoteText"/>
      </w:pPr>
      <w:r>
        <w:rPr>
          <w:rStyle w:val="FootnoteReference"/>
        </w:rPr>
        <w:footnoteRef/>
      </w:r>
      <w:r>
        <w:rPr>
          <w:rFonts w:ascii="Times New Roman" w:hAnsi="Times New Roman"/>
          <w:color w:val="000000" w:themeColor="text1"/>
        </w:rPr>
        <w:t>Допълнителни споразумения за селскостопански, преработени селскостопански и рибни продукти вече са в сила между ЕС и Египет, Израел, Йордания и Мароко, но все още не са в Тунис.</w:t>
      </w:r>
    </w:p>
  </w:footnote>
  <w:footnote w:id="38">
    <w:p>
      <w:pPr>
        <w:pStyle w:val="FootnoteText"/>
      </w:pPr>
      <w:r>
        <w:rPr>
          <w:rStyle w:val="FootnoteReference"/>
        </w:rPr>
        <w:footnoteRef/>
      </w:r>
      <w:r>
        <w:t xml:space="preserve"> </w:t>
      </w:r>
      <w:r>
        <w:rPr>
          <w:rFonts w:ascii="Times New Roman" w:hAnsi="Times New Roman"/>
        </w:rPr>
        <w:t>Оценката на алжирския индекс остава същата, много ниско в класацията, докато индексът на Ливан и Палестина се влошава.</w:t>
      </w:r>
    </w:p>
  </w:footnote>
  <w:footnote w:id="39">
    <w:p>
      <w:pPr>
        <w:pStyle w:val="FootnoteText"/>
        <w:rPr>
          <w:rFonts w:ascii="Times New Roman" w:hAnsi="Times New Roman" w:cs="Times New Roman"/>
        </w:rPr>
      </w:pPr>
      <w:r>
        <w:rPr>
          <w:rStyle w:val="FootnoteReference"/>
        </w:rPr>
        <w:footnoteRef/>
      </w:r>
      <w:r>
        <w:t xml:space="preserve"> </w:t>
      </w:r>
      <w:r>
        <w:rPr>
          <w:rFonts w:ascii="Times New Roman" w:hAnsi="Times New Roman"/>
        </w:rPr>
        <w:t>Office des Changes.</w:t>
      </w:r>
    </w:p>
  </w:footnote>
  <w:footnote w:id="40">
    <w:p>
      <w:pPr>
        <w:pStyle w:val="FootnoteText"/>
        <w:rPr>
          <w:rFonts w:ascii="Times New Roman" w:hAnsi="Times New Roman" w:cs="Times New Roman"/>
        </w:rPr>
      </w:pPr>
      <w:r>
        <w:rPr>
          <w:rStyle w:val="FootnoteReference"/>
        </w:rPr>
        <w:footnoteRef/>
      </w:r>
      <w:r>
        <w:t xml:space="preserve"> </w:t>
      </w:r>
      <w:r>
        <w:rPr>
          <w:rFonts w:ascii="Times New Roman" w:hAnsi="Times New Roman"/>
        </w:rPr>
        <w:t>Прегледи на инвестиционната политика на ОИСР:  Тунис 2012.</w:t>
      </w:r>
    </w:p>
  </w:footnote>
  <w:footnote w:id="41">
    <w:p>
      <w:pPr>
        <w:pStyle w:val="FootnoteText"/>
      </w:pPr>
      <w:r>
        <w:rPr>
          <w:rStyle w:val="FootnoteReference"/>
        </w:rPr>
        <w:footnoteRef/>
      </w:r>
      <w:r>
        <w:t xml:space="preserve"> </w:t>
      </w:r>
      <w:r>
        <w:rPr>
          <w:rFonts w:ascii="Times New Roman" w:hAnsi="Times New Roman"/>
        </w:rPr>
        <w:t>Общ орган на Египет за инвестиции и свободни зони.</w:t>
      </w:r>
    </w:p>
  </w:footnote>
  <w:footnote w:id="42">
    <w:p>
      <w:pPr>
        <w:pStyle w:val="FootnoteText"/>
      </w:pPr>
      <w:r>
        <w:rPr>
          <w:rStyle w:val="FootnoteReference"/>
        </w:rPr>
        <w:footnoteRef/>
      </w:r>
      <w:r>
        <w:t xml:space="preserve"> </w:t>
      </w:r>
      <w:r>
        <w:rPr>
          <w:rFonts w:ascii="Times New Roman" w:hAnsi="Times New Roman"/>
        </w:rPr>
        <w:t>Грузия, Молдова, Украйна, Армения, Азербайджан и Беларус</w:t>
      </w:r>
      <w:r>
        <w:t xml:space="preserve">. </w:t>
      </w:r>
    </w:p>
  </w:footnote>
  <w:footnote w:id="43">
    <w:p>
      <w:pPr>
        <w:pStyle w:val="FootnoteText"/>
        <w:rPr>
          <w:rFonts w:ascii="Times New Roman" w:hAnsi="Times New Roman" w:cs="Times New Roman"/>
        </w:rPr>
      </w:pPr>
      <w:r>
        <w:rPr>
          <w:rStyle w:val="FootnoteReference"/>
        </w:rPr>
        <w:footnoteRef/>
      </w:r>
      <w:r>
        <w:t xml:space="preserve"> </w:t>
      </w:r>
      <w:r>
        <w:rPr>
          <w:rFonts w:ascii="Times New Roman" w:hAnsi="Times New Roman"/>
        </w:rPr>
        <w:t>Обхваната е само търговията с промишлени продукти. За останалата част (услуги, права върху интелектуална собственост, търговия със селскостопански продукти), положението се характеризира или с липса на правила (освен правилата на СТО), или те са разделени в различни споразумения.</w:t>
      </w:r>
    </w:p>
  </w:footnote>
  <w:footnote w:id="44">
    <w:p>
      <w:pPr>
        <w:pStyle w:val="FootnoteText"/>
        <w:rPr>
          <w:rFonts w:ascii="Times New Roman" w:hAnsi="Times New Roman" w:cs="Times New Roman"/>
        </w:rPr>
      </w:pPr>
      <w:r>
        <w:rPr>
          <w:rStyle w:val="FootnoteReference"/>
        </w:rPr>
        <w:footnoteRef/>
      </w:r>
      <w:r>
        <w:t xml:space="preserve"> </w:t>
      </w:r>
      <w:r>
        <w:rPr>
          <w:rFonts w:ascii="Times New Roman" w:hAnsi="Times New Roman"/>
        </w:rPr>
        <w:t>Повече информация за този случай на уреждане на спор може да бъде намерена в раздел 8 —„Правоприлагане“</w:t>
      </w:r>
      <w:r>
        <w:t>.</w:t>
      </w:r>
    </w:p>
  </w:footnote>
  <w:footnote w:id="45">
    <w:p>
      <w:pPr>
        <w:pStyle w:val="FootnoteText"/>
        <w:rPr>
          <w:rFonts w:ascii="Times New Roman" w:hAnsi="Times New Roman" w:cs="Times New Roman"/>
        </w:rPr>
      </w:pPr>
      <w:r>
        <w:rPr>
          <w:rStyle w:val="FootnoteReference"/>
        </w:rPr>
        <w:footnoteRef/>
      </w:r>
      <w:r>
        <w:rPr>
          <w:rFonts w:ascii="Times New Roman" w:hAnsi="Times New Roman"/>
        </w:rPr>
        <w:t xml:space="preserve"> Соломоновите острови подписаха споразумението през май 2020 г., с което числото на споразуменията стана четири.</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 Изключение е Южна Африка, страна по СИП между ЕС и ЮАОР, в който случай ЕС изцяло или частично премахна митата върху 98,7 % от вноса от Южна Африка. </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Коморски острови, Мадагаскар, Мавриций, Сейшелските острови и Зимбабве</w:t>
      </w:r>
      <w:r>
        <w:t>.</w:t>
      </w:r>
    </w:p>
  </w:footnote>
  <w:footnote w:id="48">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За повече подробности вж. раздел 8 относно правоприлагането. </w:t>
      </w:r>
    </w:p>
  </w:footnote>
  <w:footnote w:id="49">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Подробна информация за работата по изпълнение през 2019 г. по клъстери на плана за действие може да бъде намерена в работния документ на службите на Комисията: </w:t>
      </w:r>
      <w:hyperlink r:id="rId19" w:history="1">
        <w:r>
          <w:rPr>
            <w:rStyle w:val="Hyperlink"/>
            <w:rFonts w:ascii="Times New Roman" w:hAnsi="Times New Roman"/>
          </w:rPr>
          <w:t>https://trade.ec.europa.eu/doclib/docs/2020/september/tradoc_158926.pdf</w:t>
        </w:r>
      </w:hyperlink>
    </w:p>
  </w:footnote>
  <w:footnote w:id="50">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Планът за действие от 15 точки е на разположение на адрес: </w:t>
      </w:r>
      <w:hyperlink r:id="rId20" w:history="1">
        <w:r>
          <w:rPr>
            <w:rStyle w:val="Hyperlink"/>
            <w:rFonts w:ascii="Times New Roman" w:hAnsi="Times New Roman"/>
          </w:rPr>
          <w:t>https://trade.ec.europa.eu/doclib/docs/2018/february/tradoc_156618.pdf</w:t>
        </w:r>
      </w:hyperlink>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rPr>
        <w:t>Две основни конвенции на МОТ се отнасят до детския труд:  „Конвенцията относно минималната възраст за приемане на работа“, 1973 г. (№ 138) и „Конвенцията относно забраната и незабавни действия за ликвидирането на най-тежките форми на детския труд“, 1999 г. (№ 182).</w:t>
      </w:r>
    </w:p>
  </w:footnote>
  <w:footnote w:id="52">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Проучването е публикувано на адрес: </w:t>
      </w:r>
      <w:hyperlink r:id="rId21" w:history="1">
        <w:r>
          <w:rPr>
            <w:rStyle w:val="Hyperlink"/>
            <w:rFonts w:ascii="Times New Roman" w:hAnsi="Times New Roman"/>
            <w:iCs/>
          </w:rPr>
          <w:t>https://www.government.nl/topics/responsible-business-conduct-rbc/evaluation-and-renewal-of-rbc-policy</w:t>
        </w:r>
      </w:hyperlink>
    </w:p>
    <w:p>
      <w:pPr>
        <w:pStyle w:val="FootnoteText"/>
        <w:rPr>
          <w:rFonts w:ascii="Times New Roman" w:hAnsi="Times New Roman" w:cs="Times New Roman"/>
        </w:rPr>
      </w:pPr>
    </w:p>
  </w:footnote>
  <w:footnote w:id="53">
    <w:p>
      <w:pPr>
        <w:pStyle w:val="FootnoteText"/>
        <w:rPr>
          <w:rFonts w:ascii="Times New Roman" w:hAnsi="Times New Roman" w:cs="Times New Roman"/>
        </w:rPr>
      </w:pPr>
      <w:r>
        <w:rPr>
          <w:rStyle w:val="FootnoteReference"/>
        </w:rPr>
        <w:footnoteRef/>
      </w:r>
      <w:r>
        <w:t xml:space="preserve"> </w:t>
      </w:r>
      <w:r>
        <w:rPr>
          <w:rFonts w:ascii="Times New Roman" w:hAnsi="Times New Roman"/>
        </w:rPr>
        <w:t>За по-подробна информация относно спора вж. раздел 8 — „Правоприлагане“</w:t>
      </w:r>
      <w:r>
        <w:t>.</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Вж. протокола от срещата за повече информация: </w:t>
      </w:r>
      <w:hyperlink r:id="rId22" w:history="1">
        <w:r>
          <w:rPr>
            <w:rStyle w:val="Hyperlink"/>
            <w:rFonts w:ascii="Times New Roman" w:hAnsi="Times New Roman"/>
            <w:sz w:val="18"/>
            <w:szCs w:val="18"/>
          </w:rPr>
          <w:t>https://trade.ec.europa.eu/doclib/docs/2019/november/tradoc_158481.pdf</w:t>
        </w:r>
      </w:hyperlink>
    </w:p>
  </w:footnote>
  <w:footnote w:id="55">
    <w:p>
      <w:pPr>
        <w:pStyle w:val="FootnoteText"/>
        <w:rPr>
          <w:rFonts w:ascii="Times New Roman" w:hAnsi="Times New Roman" w:cs="Times New Roman"/>
        </w:rPr>
      </w:pPr>
      <w:r>
        <w:rPr>
          <w:rStyle w:val="FootnoteReference"/>
        </w:rPr>
        <w:footnoteRef/>
      </w:r>
      <w:r>
        <w:t xml:space="preserve"> </w:t>
      </w:r>
      <w:r>
        <w:rPr>
          <w:rFonts w:ascii="Times New Roman" w:hAnsi="Times New Roman"/>
        </w:rPr>
        <w:t>За настоящия доклад е използвано определението на СТО за</w:t>
      </w:r>
      <w:r>
        <w:rPr>
          <w:rFonts w:ascii="Times New Roman" w:hAnsi="Times New Roman"/>
          <w:color w:val="000000"/>
          <w:shd w:val="clear" w:color="auto" w:fill="FFFFFF"/>
        </w:rPr>
        <w:t xml:space="preserve"> „продукти на хранително-вкусовата промишленост“, т.е. селскостопански продукти, включително глави 1—24 от Хармонизираната система, както и </w:t>
      </w:r>
      <w:r>
        <w:rPr>
          <w:rFonts w:ascii="Open Sans" w:hAnsi="Open Sans"/>
          <w:color w:val="000000"/>
          <w:shd w:val="clear" w:color="auto" w:fill="FFFFFF"/>
        </w:rPr>
        <w:t xml:space="preserve"> някои позиции в глави 33, 35, 38, 41, 43 и 51—53, </w:t>
      </w:r>
      <w:r>
        <w:rPr>
          <w:rFonts w:ascii="Times New Roman" w:hAnsi="Times New Roman"/>
          <w:color w:val="000000"/>
          <w:shd w:val="clear" w:color="auto" w:fill="FFFFFF"/>
        </w:rPr>
        <w:t xml:space="preserve">, с изключение на риба и рибни продукти. </w:t>
      </w:r>
    </w:p>
  </w:footnote>
  <w:footnote w:id="56">
    <w:p>
      <w:pPr>
        <w:pStyle w:val="FootnoteText"/>
        <w:rPr>
          <w:rFonts w:ascii="Times New Roman" w:hAnsi="Times New Roman" w:cs="Times New Roman"/>
          <w:bCs/>
        </w:rPr>
      </w:pPr>
      <w:r>
        <w:rPr>
          <w:rStyle w:val="FootnoteReference"/>
        </w:rPr>
        <w:footnoteRef/>
      </w:r>
      <w:r>
        <w:t xml:space="preserve"> </w:t>
      </w:r>
      <w:r>
        <w:rPr>
          <w:rFonts w:ascii="Times New Roman" w:hAnsi="Times New Roman"/>
          <w:bCs/>
        </w:rPr>
        <w:t xml:space="preserve">Проучване на икономическата стойност на схемите за качество на ЕС: </w:t>
      </w:r>
    </w:p>
    <w:p>
      <w:pPr>
        <w:pStyle w:val="FootnoteText"/>
        <w:rPr>
          <w:rFonts w:ascii="Times New Roman" w:hAnsi="Times New Roman" w:cs="Times New Roman"/>
        </w:rPr>
      </w:pPr>
      <w:hyperlink r:id="rId23" w:history="1">
        <w:r>
          <w:rPr>
            <w:rFonts w:ascii="Times New Roman" w:hAnsi="Times New Roman"/>
            <w:color w:val="0000FF"/>
            <w:u w:val="single"/>
          </w:rPr>
          <w:t>https://op.europa.eu/en/publication-detail/-/publication/a7281794-7ebe-11ea-aea8-01aa75ed71a1</w:t>
        </w:r>
      </w:hyperlink>
      <w:r>
        <w:t xml:space="preserve"> </w:t>
      </w:r>
      <w:r>
        <w:fldChar w:fldCharType="begin"/>
      </w:r>
      <w:r>
        <w:rPr>
          <w:rFonts w:ascii="Times New Roman" w:hAnsi="Times New Roman" w:cs="Times New Roman"/>
        </w:rPr>
        <w:instrText xml:space="preserve"> HYPERLINK "https://op.europa.eu/en/publication-detail/-/publication/a7281794-7ebe-11ea-aea8-01aa75ed71a1" </w:instrText>
      </w:r>
      <w:r>
        <w:fldChar w:fldCharType="separate"/>
      </w:r>
      <w:r>
        <w:rPr>
          <w:rFonts w:ascii="Times New Roman" w:hAnsi="Times New Roman"/>
        </w:rPr>
        <w:t xml:space="preserve"> </w:t>
      </w:r>
    </w:p>
    <w:p>
      <w:pPr>
        <w:pStyle w:val="FootnoteText"/>
        <w:rPr>
          <w:rFonts w:ascii="Times New Roman" w:hAnsi="Times New Roman" w:cs="Times New Roman"/>
        </w:rPr>
      </w:pPr>
      <w:r>
        <w:rPr>
          <w:rStyle w:val="Hyperlink"/>
          <w:rFonts w:ascii="Times New Roman" w:hAnsi="Times New Roman" w:cs="Times New Roman"/>
        </w:rPr>
        <w:fldChar w:fldCharType="end"/>
      </w:r>
      <w:r>
        <w:rPr>
          <w:rFonts w:ascii="Times New Roman" w:hAnsi="Times New Roman"/>
        </w:rPr>
        <w:t xml:space="preserve"> </w:t>
      </w:r>
    </w:p>
  </w:footnote>
  <w:footnote w:id="57">
    <w:p>
      <w:pPr>
        <w:pStyle w:val="FootnoteText"/>
      </w:pPr>
      <w:r>
        <w:rPr>
          <w:rStyle w:val="FootnoteReference"/>
        </w:rPr>
        <w:footnoteRef/>
      </w:r>
      <w:r>
        <w:t xml:space="preserve"> </w:t>
      </w:r>
      <w:r>
        <w:rPr>
          <w:rFonts w:ascii="Times New Roman" w:hAnsi="Times New Roman"/>
        </w:rPr>
        <w:t>Макар че за целите на проучването не беше възможно да се разделят ГО и ХТСХ, само първите (ГО) попадат в обхвата на търговските споразумения на ЕС.</w:t>
      </w:r>
      <w:r>
        <w:t xml:space="preserve"> </w:t>
      </w:r>
    </w:p>
  </w:footnote>
  <w:footnote w:id="58">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Чили отвори своя пазар за млечни продукти за четири допълнителни държави членки (20 държави членки с разрешение) и </w:t>
      </w:r>
    </w:p>
    <w:p>
      <w:pPr>
        <w:pStyle w:val="FootnoteText"/>
        <w:rPr>
          <w:rFonts w:ascii="Times New Roman" w:hAnsi="Times New Roman" w:cs="Times New Roman"/>
        </w:rPr>
      </w:pPr>
      <w:r>
        <w:rPr>
          <w:rFonts w:ascii="Times New Roman" w:hAnsi="Times New Roman"/>
        </w:rPr>
        <w:t>своя пазар за говеждо месо за четири допълнителни държави членки (14 държави членки с разрешение). Чили също така разреши вноса на прясно месо от домашни птици (8 държави членки с разрешение).</w:t>
      </w:r>
    </w:p>
    <w:p>
      <w:pPr>
        <w:pStyle w:val="FootnoteText"/>
      </w:pPr>
    </w:p>
    <w:p>
      <w:pPr>
        <w:pStyle w:val="FootnoteText"/>
      </w:pPr>
    </w:p>
  </w:footnote>
  <w:footnote w:id="59">
    <w:p>
      <w:pPr>
        <w:pStyle w:val="FootnoteText"/>
        <w:rPr>
          <w:rFonts w:ascii="Times New Roman" w:hAnsi="Times New Roman" w:cs="Times New Roman"/>
        </w:rPr>
      </w:pPr>
      <w:r>
        <w:rPr>
          <w:rStyle w:val="FootnoteReference"/>
        </w:rPr>
        <w:footnoteRef/>
      </w:r>
      <w:r>
        <w:t xml:space="preserve">  </w:t>
      </w:r>
      <w:hyperlink r:id="rId24" w:history="1">
        <w:r>
          <w:rPr>
            <w:rFonts w:ascii="Times New Roman" w:hAnsi="Times New Roman"/>
            <w:color w:val="0000FF"/>
            <w:u w:val="single"/>
          </w:rPr>
          <w:t>https://ec.europa.eu/growth/single-market/services_en</w:t>
        </w:r>
      </w:hyperlink>
    </w:p>
  </w:footnote>
  <w:footnote w:id="60">
    <w:p>
      <w:pPr>
        <w:pStyle w:val="FootnoteText"/>
        <w:rPr>
          <w:rFonts w:ascii="Times New Roman" w:hAnsi="Times New Roman" w:cs="Times New Roman"/>
        </w:rPr>
      </w:pPr>
      <w:r>
        <w:rPr>
          <w:rStyle w:val="FootnoteReference"/>
        </w:rPr>
        <w:footnoteRef/>
      </w:r>
      <w:r>
        <w:t xml:space="preserve"> </w:t>
      </w:r>
      <w:r>
        <w:rPr>
          <w:rFonts w:ascii="Times New Roman" w:hAnsi="Times New Roman"/>
        </w:rPr>
        <w:t>Евростат, 2012—2017 г., ЕС 28</w:t>
      </w:r>
      <w:r>
        <w:t>.</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Policy Center for the New South, </w:t>
      </w:r>
      <w:r>
        <w:rPr>
          <w:rFonts w:ascii="Times New Roman" w:hAnsi="Times New Roman"/>
          <w:i/>
        </w:rPr>
        <w:t xml:space="preserve"> Has Morocco Benefited from the Free Trade Agreement with the European Union? (Облагодетелствало ли се е Мароко от Споразумението за свободна търговия с Европейския съюз?)</w:t>
      </w:r>
      <w:r>
        <w:rPr>
          <w:rFonts w:ascii="Times New Roman" w:hAnsi="Times New Roman"/>
        </w:rPr>
        <w:t>, февруари 2020 г.</w:t>
      </w:r>
    </w:p>
  </w:footnote>
  <w:footnote w:id="62">
    <w:p>
      <w:pPr>
        <w:pStyle w:val="FootnoteText"/>
      </w:pPr>
      <w:r>
        <w:rPr>
          <w:rStyle w:val="FootnoteReference"/>
        </w:rPr>
        <w:footnoteRef/>
      </w:r>
      <w:r>
        <w:t xml:space="preserve"> </w:t>
      </w:r>
      <w:r>
        <w:rPr>
          <w:rFonts w:ascii="Times New Roman" w:hAnsi="Times New Roman"/>
        </w:rPr>
        <w:t xml:space="preserve">Източник:  Министерство на промишлеността на Мароко </w:t>
      </w:r>
      <w:hyperlink r:id="rId25" w:history="1">
        <w:r>
          <w:rPr>
            <w:rStyle w:val="Hyperlink"/>
            <w:rFonts w:ascii="Times New Roman" w:hAnsi="Times New Roman"/>
          </w:rPr>
          <w:t>http://www.mcinet.gov.ma/en/content/automotive-0</w:t>
        </w:r>
      </w:hyperlink>
      <w:r>
        <w:t xml:space="preserve"> </w:t>
      </w:r>
    </w:p>
  </w:footnote>
  <w:footnote w:id="6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Източник: </w:t>
      </w:r>
      <w:r>
        <w:rPr>
          <w:rFonts w:ascii="Times New Roman" w:hAnsi="Times New Roman"/>
          <w:color w:val="000000"/>
        </w:rPr>
        <w:t>базата данни на електронния ежедневник за поръчки (TED) (2017 г.)</w:t>
      </w:r>
    </w:p>
  </w:footnote>
  <w:footnote w:id="6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Начин 1: </w:t>
      </w:r>
      <w:r>
        <w:rPr>
          <w:rFonts w:ascii="Times New Roman" w:hAnsi="Times New Roman"/>
          <w:color w:val="000000"/>
        </w:rPr>
        <w:t>преки трансгранични международни обществени поръчки; начин 2: обществени поръчки чрез търговско присъствие; начин 3:  непреки международни обществени поръчки.</w:t>
      </w:r>
    </w:p>
  </w:footnote>
  <w:footnote w:id="65">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Вж. също </w:t>
      </w:r>
      <w:r>
        <w:rPr>
          <w:rFonts w:ascii="Times New Roman" w:hAnsi="Times New Roman"/>
          <w:i/>
        </w:rPr>
        <w:t>Public Procurement: How open is the European Union to US firms and beyond? (Обществени поръчки: В каква степен е отворен Европейският съюз за дружества от САЩ и други дружества?)</w:t>
      </w:r>
      <w:r>
        <w:rPr>
          <w:rFonts w:ascii="Times New Roman" w:hAnsi="Times New Roman"/>
        </w:rPr>
        <w:t xml:space="preserve">; статия на Lucian Cernat и Зорница Кутлина-Димитрова в Центъра за европейски политически изследвания, март 2020 г.; </w:t>
      </w:r>
      <w:hyperlink r:id="rId26" w:history="1">
        <w:r>
          <w:rPr>
            <w:rStyle w:val="Hyperlink"/>
            <w:rFonts w:ascii="Times New Roman" w:hAnsi="Times New Roman"/>
          </w:rPr>
          <w:t>https://www.ceps.eu/ceps-publications/public-procurement/</w:t>
        </w:r>
      </w:hyperlink>
    </w:p>
  </w:footnote>
  <w:footnote w:id="66">
    <w:p>
      <w:pPr>
        <w:pStyle w:val="CommentText"/>
      </w:pPr>
      <w:r>
        <w:rPr>
          <w:rStyle w:val="FootnoteReference"/>
        </w:rPr>
        <w:footnoteRef/>
      </w:r>
      <w:r>
        <w:t xml:space="preserve"> Източник: ОИСР (2002 г.); вж. също работния документ на службите на Комисията относно Споразумението за държавните поръчки на СТО, изготвен от Robert Anderson (2011 г.), и уебсайта на ГД „Търговия“:</w:t>
      </w:r>
      <w:r>
        <w:rPr>
          <w:sz w:val="22"/>
          <w:szCs w:val="22"/>
        </w:rPr>
        <w:t xml:space="preserve"> </w:t>
      </w:r>
      <w:hyperlink r:id="rId27" w:history="1">
        <w:r>
          <w:rPr>
            <w:color w:val="0000FF"/>
            <w:u w:val="single"/>
          </w:rPr>
          <w:t>https://ec.europa.eu/trade/policy/accessing-markets/public-procurement/</w:t>
        </w:r>
      </w:hyperlink>
      <w:r>
        <w:t xml:space="preserve"> </w:t>
      </w:r>
    </w:p>
  </w:footnote>
  <w:footnote w:id="6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Пълният списък може да се намери на следния адрес: </w:t>
      </w:r>
      <w:hyperlink r:id="rId28" w:anchor="page=11" w:history="1">
        <w:r>
          <w:rPr>
            <w:rFonts w:ascii="Times New Roman" w:hAnsi="Times New Roman"/>
            <w:color w:val="0000FF"/>
            <w:u w:val="single"/>
          </w:rPr>
          <w:t>http://data.consilium.europa.eu/doc/document/ST-10973-2016-ADD-4/en/pdf#page=11</w:t>
        </w:r>
      </w:hyperlink>
    </w:p>
  </w:footnote>
  <w:footnote w:id="68">
    <w:p>
      <w:pPr>
        <w:pStyle w:val="FootnoteText"/>
        <w:rPr>
          <w:rFonts w:ascii="Times New Roman" w:hAnsi="Times New Roman" w:cs="Times New Roman"/>
        </w:rPr>
      </w:pPr>
      <w:r>
        <w:rPr>
          <w:rStyle w:val="FootnoteReference"/>
        </w:rPr>
        <w:footnoteRef/>
      </w:r>
      <w:r>
        <w:t xml:space="preserve"> </w:t>
      </w:r>
      <w:r>
        <w:rPr>
          <w:rFonts w:ascii="Times New Roman" w:hAnsi="Times New Roman"/>
        </w:rPr>
        <w:t>Ново издание на Закона за обществените поръчки (приет на 19.9.2019 г. под № 114—IX), заменящ Закон № 922 от 2015 г.; новият закон влезе в сила на 20 април 2020 г.</w:t>
      </w:r>
    </w:p>
    <w:p>
      <w:pPr>
        <w:pStyle w:val="FootnoteText"/>
        <w:rPr>
          <w:rFonts w:ascii="Times New Roman" w:hAnsi="Times New Roman" w:cs="Times New Roman"/>
        </w:rPr>
      </w:pPr>
    </w:p>
  </w:footnote>
  <w:footnote w:id="6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9" w:history="1">
        <w:r>
          <w:rPr>
            <w:rStyle w:val="Hyperlink"/>
            <w:rFonts w:ascii="Times New Roman" w:hAnsi="Times New Roman"/>
          </w:rPr>
          <w:t>https://trade.ec.europa.eu/doclib/docs/2020/february/tradoc_158655.pdf</w:t>
        </w:r>
      </w:hyperlink>
      <w:r>
        <w:rPr>
          <w:rFonts w:ascii="Times New Roman" w:hAnsi="Times New Roman"/>
        </w:rPr>
        <w:t xml:space="preserve"> </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Информационният фиш и насоките са достъпни на следния адрес: </w:t>
      </w:r>
      <w:hyperlink r:id="rId30" w:history="1">
        <w:r>
          <w:rPr>
            <w:rStyle w:val="Hyperlink"/>
            <w:rFonts w:ascii="Times New Roman" w:hAnsi="Times New Roman"/>
          </w:rPr>
          <w:t>https://www.eubusinessinjapan.eu/library/publication/infopack-epa-government-procurement#</w:t>
        </w:r>
      </w:hyperlink>
      <w:r>
        <w:rPr>
          <w:rFonts w:ascii="Times New Roman" w:hAnsi="Times New Roman"/>
        </w:rPr>
        <w:t xml:space="preserve"> </w:t>
      </w:r>
    </w:p>
    <w:p>
      <w:pPr>
        <w:pStyle w:val="FootnoteText"/>
        <w:rPr>
          <w:rFonts w:ascii="Times New Roman" w:hAnsi="Times New Roman" w:cs="Times New Roman"/>
        </w:rPr>
      </w:pPr>
    </w:p>
  </w:footnote>
  <w:footnote w:id="71">
    <w:p>
      <w:pPr>
        <w:pStyle w:val="FootnoteText"/>
      </w:pPr>
      <w:r>
        <w:rPr>
          <w:rStyle w:val="FootnoteReference"/>
        </w:rPr>
        <w:footnoteRef/>
      </w:r>
      <w:r>
        <w:t xml:space="preserve"> </w:t>
      </w:r>
      <w:r>
        <w:rPr>
          <w:rFonts w:ascii="Times New Roman" w:hAnsi="Times New Roman"/>
        </w:rPr>
        <w:t>C(2019) 5494 final, прието на 24 юли 2019 г. „Ръководство за участието на оференти и стоки от трети държави на пазара на ЕС за обществени поръчки“</w:t>
      </w:r>
      <w:r>
        <w:t>.</w:t>
      </w:r>
    </w:p>
  </w:footnote>
  <w:footnote w:id="72">
    <w:p>
      <w:pPr>
        <w:pStyle w:val="FootnoteText"/>
        <w:rPr>
          <w:rFonts w:ascii="Times New Roman" w:hAnsi="Times New Roman" w:cs="Times New Roman"/>
        </w:rPr>
      </w:pPr>
      <w:r>
        <w:rPr>
          <w:rStyle w:val="FootnoteReference"/>
        </w:rPr>
        <w:footnoteRef/>
      </w:r>
      <w:r>
        <w:t xml:space="preserve"> </w:t>
      </w:r>
      <w:r>
        <w:rPr>
          <w:rFonts w:ascii="Times New Roman" w:hAnsi="Times New Roman"/>
        </w:rPr>
        <w:t>Другите ключови търговски партньори на ЕС, обхванати от IPPI, са Австралия, Бразилия, Китай, Индия, Индонезия, Нова Зеландия, Тайланд и Съединените щати.</w:t>
      </w:r>
    </w:p>
  </w:footnote>
  <w:footnote w:id="73">
    <w:p>
      <w:pPr>
        <w:pStyle w:val="FootnoteText"/>
      </w:pPr>
      <w:r>
        <w:rPr>
          <w:rStyle w:val="FootnoteReference"/>
        </w:rPr>
        <w:footnoteRef/>
      </w:r>
      <w:r>
        <w:t xml:space="preserve"> </w:t>
      </w:r>
      <w:r>
        <w:rPr>
          <w:rFonts w:ascii="Times New Roman" w:hAnsi="Times New Roman"/>
        </w:rPr>
        <w:t xml:space="preserve">За подробна информация относно защитата и прилагането на ПИС вж. Доклада на Европейската комисия за трети държави </w:t>
      </w:r>
      <w:hyperlink r:id="rId31" w:history="1">
        <w:r>
          <w:rPr>
            <w:rStyle w:val="Hyperlink"/>
            <w:rFonts w:ascii="Times New Roman" w:hAnsi="Times New Roman"/>
          </w:rPr>
          <w:t>https://trade.ec.europa.eu/doclib/docs/2020/january/tradoc_158561.pdf</w:t>
        </w:r>
      </w:hyperlink>
      <w:r>
        <w:rPr>
          <w:rFonts w:ascii="Times New Roman" w:hAnsi="Times New Roman"/>
        </w:rPr>
        <w:t xml:space="preserve"> </w:t>
      </w:r>
      <w:r>
        <w:rPr>
          <w:rStyle w:val="Hyperlink"/>
          <w:rFonts w:ascii="Times New Roman" w:hAnsi="Times New Roman"/>
        </w:rPr>
        <w:t xml:space="preserve"> </w:t>
      </w:r>
      <w:r>
        <w:rPr>
          <w:rFonts w:ascii="Times New Roman" w:hAnsi="Times New Roman"/>
        </w:rPr>
        <w:t xml:space="preserve">и списъка на ЕС за наблюдение на измамите и пиратството: </w:t>
      </w:r>
      <w:hyperlink r:id="rId32" w:history="1">
        <w:r>
          <w:rPr>
            <w:rStyle w:val="Hyperlink"/>
            <w:rFonts w:ascii="Times New Roman" w:hAnsi="Times New Roman"/>
          </w:rPr>
          <w:t>https://trade.ec.europa.eu/doclib/docs/2018/december/tradoc_157564.pdf</w:t>
        </w:r>
      </w:hyperlink>
      <w:r>
        <w:rPr>
          <w:rFonts w:ascii="Times New Roman" w:hAnsi="Times New Roman"/>
        </w:rPr>
        <w:t xml:space="preserve"> </w:t>
      </w:r>
    </w:p>
  </w:footnote>
  <w:footnote w:id="74">
    <w:p>
      <w:pPr>
        <w:pStyle w:val="FootnoteText"/>
        <w:rPr>
          <w:rFonts w:ascii="Times New Roman" w:hAnsi="Times New Roman" w:cs="Times New Roman"/>
        </w:rPr>
      </w:pPr>
      <w:r>
        <w:rPr>
          <w:rStyle w:val="FootnoteReference"/>
        </w:rPr>
        <w:footnoteRef/>
      </w:r>
      <w:r>
        <w:t xml:space="preserve"> Някои </w:t>
      </w:r>
      <w:r>
        <w:rPr>
          <w:rFonts w:ascii="Times New Roman" w:hAnsi="Times New Roman"/>
        </w:rPr>
        <w:t xml:space="preserve">стоки и услуги са обхванати от няколко ПИС едновременно.  Това се нарича допълнителна закрила. Примери за това са автомобили, мебели, часовници и хранителни продукти.  </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Проучването може да се намери на следния адрес: </w:t>
      </w:r>
      <w:hyperlink r:id="rId33" w:history="1">
        <w:r>
          <w:rPr>
            <w:rStyle w:val="Hyperlink"/>
            <w:rFonts w:ascii="Times New Roman" w:hAnsi="Times New Roman"/>
          </w:rPr>
          <w:t>https://www.epo.org/news-events/news/2019/20190925.html</w:t>
        </w:r>
      </w:hyperlink>
    </w:p>
  </w:footnote>
  <w:footnote w:id="76">
    <w:p>
      <w:pPr>
        <w:pStyle w:val="CommentText"/>
      </w:pPr>
      <w:r>
        <w:rPr>
          <w:rStyle w:val="FootnoteReference"/>
        </w:rPr>
        <w:footnoteRef/>
      </w:r>
      <w:r>
        <w:t xml:space="preserve"> При проучването бяха идентифицирани 356 отрасъла с интензивно използване на права върху интелектуална собственост.</w:t>
      </w:r>
    </w:p>
    <w:p>
      <w:pPr>
        <w:pStyle w:val="FootnoteText"/>
      </w:pPr>
    </w:p>
  </w:footnote>
  <w:footnote w:id="77">
    <w:p>
      <w:pPr>
        <w:pStyle w:val="FootnoteText"/>
        <w:rPr>
          <w:rFonts w:ascii="Times New Roman" w:hAnsi="Times New Roman" w:cs="Times New Roman"/>
        </w:rPr>
      </w:pPr>
      <w:r>
        <w:rPr>
          <w:rStyle w:val="FootnoteReference"/>
        </w:rPr>
        <w:footnoteRef/>
      </w:r>
      <w:r>
        <w:t xml:space="preserve"> </w:t>
      </w:r>
      <w:r>
        <w:rPr>
          <w:rFonts w:ascii="Times New Roman" w:hAnsi="Times New Roman"/>
        </w:rPr>
        <w:t>МСП обикновено се определят като предприятия, които наемат по-малко от 250 служители.</w:t>
      </w:r>
    </w:p>
  </w:footnote>
  <w:footnote w:id="78">
    <w:p>
      <w:pPr>
        <w:pStyle w:val="FootnoteText"/>
        <w:rPr>
          <w:rFonts w:ascii="Times New Roman" w:hAnsi="Times New Roman" w:cs="Times New Roman"/>
        </w:rPr>
      </w:pPr>
      <w:r>
        <w:rPr>
          <w:rStyle w:val="FootnoteReference"/>
        </w:rPr>
        <w:footnoteRef/>
      </w:r>
      <w:r>
        <w:t xml:space="preserve"> </w:t>
      </w:r>
      <w:r>
        <w:rPr>
          <w:rFonts w:ascii="Times New Roman" w:hAnsi="Times New Roman"/>
        </w:rPr>
        <w:t>Тези данни представляват оценки, тъй като данните, получени от държавите — членки на ЕС, относно износа извън ЕС, включват немалък брой предприятия с „неизвестна“ големина.</w:t>
      </w:r>
    </w:p>
  </w:footnote>
  <w:footnote w:id="79">
    <w:p>
      <w:pPr>
        <w:pStyle w:val="FootnoteText"/>
        <w:rPr>
          <w:rFonts w:ascii="Times New Roman" w:hAnsi="Times New Roman" w:cs="Times New Roman"/>
        </w:rPr>
      </w:pPr>
      <w:r>
        <w:rPr>
          <w:rStyle w:val="FootnoteReference"/>
        </w:rPr>
        <w:footnoteRef/>
      </w:r>
      <w:r>
        <w:t xml:space="preserve"> </w:t>
      </w:r>
      <w:hyperlink r:id="rId34" w:history="1">
        <w:r>
          <w:rPr>
            <w:rStyle w:val="Hyperlink"/>
            <w:rFonts w:ascii="Times New Roman" w:hAnsi="Times New Roman"/>
          </w:rPr>
          <w:t>https://ec.europa.eu/eurostat/web/experimental-statistics/stec</w:t>
        </w:r>
      </w:hyperlink>
    </w:p>
  </w:footnote>
  <w:footnote w:id="80">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Вж. бележка на главния икономист на ГД „Търговия“ от 1 май 2020 г. (Роля на МСП в износа от ЕС) на следния адрес: </w:t>
      </w:r>
      <w:hyperlink r:id="rId35" w:history="1">
        <w:r>
          <w:rPr>
            <w:rStyle w:val="Hyperlink"/>
            <w:rFonts w:ascii="Times New Roman" w:hAnsi="Times New Roman"/>
          </w:rPr>
          <w:t>https://trade.ec.europa.eu/doclib/docs/2020/june/tradoc_158778.pdf</w:t>
        </w:r>
      </w:hyperlink>
      <w:r>
        <w:rPr>
          <w:rFonts w:ascii="Times New Roman" w:hAnsi="Times New Roman"/>
        </w:rPr>
        <w:t xml:space="preserve"> </w:t>
      </w:r>
    </w:p>
  </w:footnote>
  <w:footnote w:id="81">
    <w:p>
      <w:pPr>
        <w:pStyle w:val="FootnoteText"/>
        <w:rPr>
          <w:rFonts w:ascii="Times New Roman" w:hAnsi="Times New Roman" w:cs="Times New Roman"/>
        </w:rPr>
      </w:pPr>
      <w:r>
        <w:rPr>
          <w:rStyle w:val="FootnoteReference"/>
        </w:rPr>
        <w:footnoteRef/>
      </w:r>
      <w:r>
        <w:t xml:space="preserve"> </w:t>
      </w:r>
      <w:hyperlink r:id="rId36" w:history="1">
        <w:r>
          <w:rPr>
            <w:rFonts w:ascii="Times New Roman" w:hAnsi="Times New Roman"/>
            <w:color w:val="0000FF"/>
            <w:u w:val="single"/>
          </w:rPr>
          <w:t>https://een.ec.europa.eu/</w:t>
        </w:r>
      </w:hyperlink>
      <w:r>
        <w:rPr>
          <w:rFonts w:ascii="Times New Roman" w:hAnsi="Times New Roman"/>
        </w:rPr>
        <w:t xml:space="preserve"> </w:t>
      </w:r>
    </w:p>
  </w:footnote>
  <w:footnote w:id="82">
    <w:p>
      <w:pPr>
        <w:pStyle w:val="FootnoteText"/>
        <w:rPr>
          <w:rFonts w:ascii="Times New Roman" w:hAnsi="Times New Roman" w:cs="Times New Roman"/>
        </w:rPr>
      </w:pPr>
      <w:r>
        <w:rPr>
          <w:rStyle w:val="FootnoteReference"/>
        </w:rPr>
        <w:footnoteRef/>
      </w:r>
      <w:r>
        <w:t xml:space="preserve"> </w:t>
      </w:r>
      <w:hyperlink r:id="rId37" w:history="1">
        <w:r>
          <w:rPr>
            <w:rFonts w:ascii="Times New Roman" w:hAnsi="Times New Roman"/>
            <w:color w:val="0000FF"/>
            <w:u w:val="single"/>
          </w:rPr>
          <w:t>https://trade.ec.europa.eu/doclib/docs/2019/august/tradoc_158308.pdf</w:t>
        </w:r>
      </w:hyperlink>
    </w:p>
    <w:p>
      <w:pPr>
        <w:pStyle w:val="FootnoteText"/>
        <w:rPr>
          <w:rFonts w:ascii="Times New Roman" w:hAnsi="Times New Roman" w:cs="Times New Roman"/>
        </w:rPr>
      </w:pP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8" w:history="1">
        <w:r>
          <w:rPr>
            <w:rFonts w:ascii="Times New Roman" w:hAnsi="Times New Roman"/>
            <w:color w:val="0000FF"/>
            <w:u w:val="single"/>
          </w:rPr>
          <w:t>https://trade.ec.europa.eu/doclib/docs/2020/february/tradoc_158645.pdf</w:t>
        </w:r>
      </w:hyperlink>
    </w:p>
  </w:footnote>
  <w:footnote w:id="8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9" w:history="1">
        <w:r>
          <w:rPr>
            <w:rStyle w:val="Hyperlink"/>
            <w:rFonts w:ascii="Times New Roman" w:hAnsi="Times New Roman"/>
          </w:rPr>
          <w:t>WT/DS591 — Колумбия – Антидъмпингови мита върху замразени пържени картофи от Белгия, Германия и Нидерландия</w:t>
        </w:r>
      </w:hyperlink>
    </w:p>
  </w:footnote>
  <w:footnote w:id="85">
    <w:p>
      <w:pPr>
        <w:pStyle w:val="FootnoteText"/>
        <w:rPr>
          <w:rFonts w:ascii="Times New Roman" w:hAnsi="Times New Roman" w:cs="Times New Roman"/>
        </w:rPr>
      </w:pPr>
      <w:r>
        <w:rPr>
          <w:rStyle w:val="FootnoteReference"/>
        </w:rPr>
        <w:footnoteRef/>
      </w:r>
      <w:r>
        <w:t xml:space="preserve"> </w:t>
      </w:r>
      <w:r>
        <w:rPr>
          <w:rFonts w:ascii="Times New Roman" w:hAnsi="Times New Roman"/>
        </w:rPr>
        <w:t>Конвенция 87 относно синдикалната свобода; Конвенция 98 относно правото на организиране и колективно договаряне; Конвенция 29 относно принудителния труд; и Конвенция 105 относно премахването на принудителния труд.</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0" w:history="1">
        <w:r>
          <w:rPr>
            <w:rStyle w:val="Hyperlink"/>
            <w:rFonts w:ascii="Times New Roman" w:hAnsi="Times New Roman"/>
          </w:rPr>
          <w:t>http://trade.ec.europa.eu/doclib/docs/2018/december/tradoc_157586.pdf</w:t>
        </w:r>
      </w:hyperlink>
      <w:r>
        <w:rPr>
          <w:rFonts w:ascii="Times New Roman" w:hAnsi="Times New Roman"/>
        </w:rPr>
        <w:t xml:space="preserve"> </w:t>
      </w:r>
    </w:p>
  </w:footnote>
  <w:footnote w:id="8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1" w:history="1">
        <w:r>
          <w:rPr>
            <w:rStyle w:val="Hyperlink"/>
            <w:rFonts w:ascii="Times New Roman" w:hAnsi="Times New Roman"/>
          </w:rPr>
          <w:t>http://trade.ec.europa.eu/doclib/docs/2019/july/tradoc_157992.pdf</w:t>
        </w:r>
      </w:hyperlink>
    </w:p>
  </w:footnote>
  <w:footnote w:id="88">
    <w:p>
      <w:pPr>
        <w:pStyle w:val="FootnoteText"/>
      </w:pPr>
      <w:r>
        <w:rPr>
          <w:rStyle w:val="FootnoteReference"/>
        </w:rPr>
        <w:footnoteRef/>
      </w:r>
      <w:r>
        <w:t xml:space="preserve"> </w:t>
      </w:r>
      <w:hyperlink r:id="rId42" w:history="1">
        <w:r>
          <w:rPr>
            <w:color w:val="0000FF"/>
            <w:u w:val="single"/>
          </w:rPr>
          <w:t>http://trade.ec.europa.eu/doclib/docs/2019/january/tradoc_157625.pdf</w:t>
        </w:r>
      </w:hyperlink>
    </w:p>
  </w:footnote>
  <w:footnote w:id="8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3" w:history="1">
        <w:r>
          <w:rPr>
            <w:rStyle w:val="Hyperlink"/>
            <w:rFonts w:ascii="Times New Roman" w:hAnsi="Times New Roman"/>
          </w:rPr>
          <w:t>https://trade.ec.europa.eu/doclib/docs/2019/june/tradoc_157943.pdf</w:t>
        </w:r>
      </w:hyperlink>
      <w:r>
        <w:rPr>
          <w:rFonts w:ascii="Times New Roman" w:hAnsi="Times New Roman"/>
        </w:rPr>
        <w:t xml:space="preserve"> </w:t>
      </w:r>
    </w:p>
  </w:footnote>
  <w:footnote w:id="9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4" w:history="1">
        <w:r>
          <w:rPr>
            <w:rStyle w:val="Hyperlink"/>
            <w:rFonts w:ascii="Times New Roman" w:hAnsi="Times New Roman"/>
          </w:rPr>
          <w:t>https://trade.ec.europa.eu/doclib/docs/2019/june/tradoc_157928.pdf</w:t>
        </w:r>
      </w:hyperlink>
      <w:r>
        <w:rPr>
          <w:rFonts w:ascii="Times New Roman" w:hAnsi="Times New Roman"/>
        </w:rPr>
        <w:t xml:space="preserve"> </w:t>
      </w:r>
    </w:p>
  </w:footnote>
  <w:footnote w:id="91">
    <w:p>
      <w:pPr>
        <w:pStyle w:val="FootnoteText"/>
        <w:rPr>
          <w:rFonts w:ascii="Times New Roman" w:hAnsi="Times New Roman" w:cs="Times New Roman"/>
        </w:rPr>
      </w:pPr>
      <w:r>
        <w:rPr>
          <w:rStyle w:val="FootnoteReference"/>
        </w:rPr>
        <w:footnoteRef/>
      </w:r>
      <w:r>
        <w:t xml:space="preserve"> </w:t>
      </w:r>
      <w:hyperlink r:id="rId45" w:history="1">
        <w:r>
          <w:rPr>
            <w:rStyle w:val="Hyperlink"/>
            <w:rFonts w:ascii="Times New Roman" w:hAnsi="Times New Roman"/>
          </w:rPr>
          <w:t>https://trade.ec.europa.eu/doclib/docs/2020/april/tradoc_158717.pdf</w:t>
        </w:r>
      </w:hyperlink>
      <w:r>
        <w:rPr>
          <w:rFonts w:ascii="Times New Roman" w:hAnsi="Times New Roman"/>
        </w:rPr>
        <w:t xml:space="preserve">  </w:t>
      </w:r>
    </w:p>
  </w:footnote>
  <w:footnote w:id="92">
    <w:p>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Вж. COM(2017) 479.</w:t>
      </w:r>
    </w:p>
  </w:footnote>
  <w:footnote w:id="9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Източник: Лятна икономическа прогноза на Комисията от 2020 г.: </w:t>
      </w:r>
      <w:hyperlink r:id="rId46" w:history="1">
        <w:r>
          <w:rPr>
            <w:rStyle w:val="Hyperlink"/>
            <w:rFonts w:ascii="Times New Roman" w:hAnsi="Times New Roman"/>
          </w:rPr>
          <w:t>https://ec.europa.eu/info/sites/info/files/economy-finance/ip132_en.pdf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248"/>
    <w:multiLevelType w:val="hybridMultilevel"/>
    <w:tmpl w:val="74A444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0A115E30"/>
    <w:multiLevelType w:val="hybridMultilevel"/>
    <w:tmpl w:val="9C48EE78"/>
    <w:lvl w:ilvl="0" w:tplc="1C540FEC">
      <w:start w:val="1"/>
      <w:numFmt w:val="decimal"/>
      <w:lvlText w:val="%1)"/>
      <w:lvlJc w:val="left"/>
      <w:pPr>
        <w:ind w:left="360" w:hanging="360"/>
      </w:pPr>
      <w:rPr>
        <w:rFonts w:ascii="Times New Roman" w:eastAsiaTheme="minorHAnsi" w:hAnsi="Times New Roman" w:cs="Times New Roman"/>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nsid w:val="0A575FC9"/>
    <w:multiLevelType w:val="hybridMultilevel"/>
    <w:tmpl w:val="DE02A86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A225DF"/>
    <w:multiLevelType w:val="hybridMultilevel"/>
    <w:tmpl w:val="42A66F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18167A"/>
    <w:multiLevelType w:val="hybridMultilevel"/>
    <w:tmpl w:val="0136B4BC"/>
    <w:lvl w:ilvl="0" w:tplc="D3F4F568">
      <w:start w:val="2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050B44"/>
    <w:multiLevelType w:val="hybridMultilevel"/>
    <w:tmpl w:val="D818AD82"/>
    <w:lvl w:ilvl="0" w:tplc="08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149F5594"/>
    <w:multiLevelType w:val="hybridMultilevel"/>
    <w:tmpl w:val="0F90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BC4C35"/>
    <w:multiLevelType w:val="hybridMultilevel"/>
    <w:tmpl w:val="2D486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2942E4"/>
    <w:multiLevelType w:val="hybridMultilevel"/>
    <w:tmpl w:val="CB38D8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24ED5A0A"/>
    <w:multiLevelType w:val="hybridMultilevel"/>
    <w:tmpl w:val="53322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F4469D"/>
    <w:multiLevelType w:val="hybridMultilevel"/>
    <w:tmpl w:val="1A4E9B52"/>
    <w:lvl w:ilvl="0" w:tplc="33187BD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0426E"/>
    <w:multiLevelType w:val="hybridMultilevel"/>
    <w:tmpl w:val="60B0C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24C4A7E"/>
    <w:multiLevelType w:val="hybridMultilevel"/>
    <w:tmpl w:val="017897A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2B92152"/>
    <w:multiLevelType w:val="hybridMultilevel"/>
    <w:tmpl w:val="A98017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40C75AF"/>
    <w:multiLevelType w:val="hybridMultilevel"/>
    <w:tmpl w:val="3E4AED7A"/>
    <w:lvl w:ilvl="0" w:tplc="13BC632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6CE2940"/>
    <w:multiLevelType w:val="hybridMultilevel"/>
    <w:tmpl w:val="129E96CC"/>
    <w:lvl w:ilvl="0" w:tplc="080C0001">
      <w:start w:val="1"/>
      <w:numFmt w:val="bullet"/>
      <w:lvlText w:val=""/>
      <w:lvlJc w:val="left"/>
      <w:pPr>
        <w:ind w:left="766" w:hanging="360"/>
      </w:pPr>
      <w:rPr>
        <w:rFonts w:ascii="Symbol" w:hAnsi="Symbol" w:hint="default"/>
      </w:rPr>
    </w:lvl>
    <w:lvl w:ilvl="1" w:tplc="080C0003">
      <w:start w:val="1"/>
      <w:numFmt w:val="bullet"/>
      <w:lvlText w:val="o"/>
      <w:lvlJc w:val="left"/>
      <w:pPr>
        <w:ind w:left="1486" w:hanging="360"/>
      </w:pPr>
      <w:rPr>
        <w:rFonts w:ascii="Courier New" w:hAnsi="Courier New" w:cs="Courier New" w:hint="default"/>
      </w:rPr>
    </w:lvl>
    <w:lvl w:ilvl="2" w:tplc="080C0005">
      <w:start w:val="1"/>
      <w:numFmt w:val="bullet"/>
      <w:lvlText w:val=""/>
      <w:lvlJc w:val="left"/>
      <w:pPr>
        <w:ind w:left="2206" w:hanging="360"/>
      </w:pPr>
      <w:rPr>
        <w:rFonts w:ascii="Wingdings" w:hAnsi="Wingdings" w:hint="default"/>
      </w:rPr>
    </w:lvl>
    <w:lvl w:ilvl="3" w:tplc="080C0001">
      <w:start w:val="1"/>
      <w:numFmt w:val="bullet"/>
      <w:lvlText w:val=""/>
      <w:lvlJc w:val="left"/>
      <w:pPr>
        <w:ind w:left="2926" w:hanging="360"/>
      </w:pPr>
      <w:rPr>
        <w:rFonts w:ascii="Symbol" w:hAnsi="Symbol" w:hint="default"/>
      </w:rPr>
    </w:lvl>
    <w:lvl w:ilvl="4" w:tplc="080C0003">
      <w:start w:val="1"/>
      <w:numFmt w:val="bullet"/>
      <w:lvlText w:val="o"/>
      <w:lvlJc w:val="left"/>
      <w:pPr>
        <w:ind w:left="3646" w:hanging="360"/>
      </w:pPr>
      <w:rPr>
        <w:rFonts w:ascii="Courier New" w:hAnsi="Courier New" w:cs="Courier New" w:hint="default"/>
      </w:rPr>
    </w:lvl>
    <w:lvl w:ilvl="5" w:tplc="080C0005">
      <w:start w:val="1"/>
      <w:numFmt w:val="bullet"/>
      <w:lvlText w:val=""/>
      <w:lvlJc w:val="left"/>
      <w:pPr>
        <w:ind w:left="4366" w:hanging="360"/>
      </w:pPr>
      <w:rPr>
        <w:rFonts w:ascii="Wingdings" w:hAnsi="Wingdings" w:hint="default"/>
      </w:rPr>
    </w:lvl>
    <w:lvl w:ilvl="6" w:tplc="080C0001">
      <w:start w:val="1"/>
      <w:numFmt w:val="bullet"/>
      <w:lvlText w:val=""/>
      <w:lvlJc w:val="left"/>
      <w:pPr>
        <w:ind w:left="5086" w:hanging="360"/>
      </w:pPr>
      <w:rPr>
        <w:rFonts w:ascii="Symbol" w:hAnsi="Symbol" w:hint="default"/>
      </w:rPr>
    </w:lvl>
    <w:lvl w:ilvl="7" w:tplc="080C0003">
      <w:start w:val="1"/>
      <w:numFmt w:val="bullet"/>
      <w:lvlText w:val="o"/>
      <w:lvlJc w:val="left"/>
      <w:pPr>
        <w:ind w:left="5806" w:hanging="360"/>
      </w:pPr>
      <w:rPr>
        <w:rFonts w:ascii="Courier New" w:hAnsi="Courier New" w:cs="Courier New" w:hint="default"/>
      </w:rPr>
    </w:lvl>
    <w:lvl w:ilvl="8" w:tplc="080C0005">
      <w:start w:val="1"/>
      <w:numFmt w:val="bullet"/>
      <w:lvlText w:val=""/>
      <w:lvlJc w:val="left"/>
      <w:pPr>
        <w:ind w:left="6526" w:hanging="360"/>
      </w:pPr>
      <w:rPr>
        <w:rFonts w:ascii="Wingdings" w:hAnsi="Wingdings" w:hint="default"/>
      </w:rPr>
    </w:lvl>
  </w:abstractNum>
  <w:abstractNum w:abstractNumId="16">
    <w:nsid w:val="389312D6"/>
    <w:multiLevelType w:val="hybridMultilevel"/>
    <w:tmpl w:val="1E2AB1B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95078FA"/>
    <w:multiLevelType w:val="hybridMultilevel"/>
    <w:tmpl w:val="AFDC1E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3FB70237"/>
    <w:multiLevelType w:val="hybridMultilevel"/>
    <w:tmpl w:val="3FFE41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0FE0C83"/>
    <w:multiLevelType w:val="hybridMultilevel"/>
    <w:tmpl w:val="749634F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4351415C"/>
    <w:multiLevelType w:val="hybridMultilevel"/>
    <w:tmpl w:val="4F76B95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43C65E4"/>
    <w:multiLevelType w:val="hybridMultilevel"/>
    <w:tmpl w:val="5F583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4773F19"/>
    <w:multiLevelType w:val="hybridMultilevel"/>
    <w:tmpl w:val="AC12D0C6"/>
    <w:lvl w:ilvl="0" w:tplc="0809000D">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3">
    <w:nsid w:val="46804E92"/>
    <w:multiLevelType w:val="hybridMultilevel"/>
    <w:tmpl w:val="795A1266"/>
    <w:lvl w:ilvl="0" w:tplc="C9E01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D837AA"/>
    <w:multiLevelType w:val="hybridMultilevel"/>
    <w:tmpl w:val="6FD0E5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496F787C"/>
    <w:multiLevelType w:val="hybridMultilevel"/>
    <w:tmpl w:val="E8E899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C944A5"/>
    <w:multiLevelType w:val="hybridMultilevel"/>
    <w:tmpl w:val="6506F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E7A65CF"/>
    <w:multiLevelType w:val="hybridMultilevel"/>
    <w:tmpl w:val="174C1F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nsid w:val="4FEF5836"/>
    <w:multiLevelType w:val="hybridMultilevel"/>
    <w:tmpl w:val="CB7E1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6A109E"/>
    <w:multiLevelType w:val="hybridMultilevel"/>
    <w:tmpl w:val="65061F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nsid w:val="61A240BD"/>
    <w:multiLevelType w:val="hybridMultilevel"/>
    <w:tmpl w:val="01A46C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0D01E39"/>
    <w:multiLevelType w:val="hybridMultilevel"/>
    <w:tmpl w:val="00E8FFB8"/>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2DA593D"/>
    <w:multiLevelType w:val="hybridMultilevel"/>
    <w:tmpl w:val="8D3CD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58709B7"/>
    <w:multiLevelType w:val="hybridMultilevel"/>
    <w:tmpl w:val="8CFAB8B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77D56671"/>
    <w:multiLevelType w:val="hybridMultilevel"/>
    <w:tmpl w:val="894227E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nsid w:val="7E706D84"/>
    <w:multiLevelType w:val="hybridMultilevel"/>
    <w:tmpl w:val="86AAA92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4"/>
  </w:num>
  <w:num w:numId="2">
    <w:abstractNumId w:val="35"/>
  </w:num>
  <w:num w:numId="3">
    <w:abstractNumId w:val="5"/>
  </w:num>
  <w:num w:numId="4">
    <w:abstractNumId w:val="28"/>
  </w:num>
  <w:num w:numId="5">
    <w:abstractNumId w:val="24"/>
  </w:num>
  <w:num w:numId="6">
    <w:abstractNumId w:val="35"/>
  </w:num>
  <w:num w:numId="7">
    <w:abstractNumId w:val="5"/>
  </w:num>
  <w:num w:numId="8">
    <w:abstractNumId w:val="32"/>
  </w:num>
  <w:num w:numId="9">
    <w:abstractNumId w:val="11"/>
  </w:num>
  <w:num w:numId="10">
    <w:abstractNumId w:val="21"/>
  </w:num>
  <w:num w:numId="11">
    <w:abstractNumId w:val="25"/>
  </w:num>
  <w:num w:numId="12">
    <w:abstractNumId w:val="9"/>
  </w:num>
  <w:num w:numId="13">
    <w:abstractNumId w:val="17"/>
  </w:num>
  <w:num w:numId="14">
    <w:abstractNumId w:val="0"/>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num>
  <w:num w:numId="18">
    <w:abstractNumId w:val="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31"/>
  </w:num>
  <w:num w:numId="25">
    <w:abstractNumId w:val="3"/>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7"/>
  </w:num>
  <w:num w:numId="30">
    <w:abstractNumId w:val="26"/>
  </w:num>
  <w:num w:numId="31">
    <w:abstractNumId w:val="33"/>
  </w:num>
  <w:num w:numId="32">
    <w:abstractNumId w:val="29"/>
  </w:num>
  <w:num w:numId="33">
    <w:abstractNumId w:val="32"/>
  </w:num>
  <w:num w:numId="34">
    <w:abstractNumId w:val="11"/>
  </w:num>
  <w:num w:numId="35">
    <w:abstractNumId w:val="21"/>
  </w:num>
  <w:num w:numId="36">
    <w:abstractNumId w:val="25"/>
  </w:num>
  <w:num w:numId="37">
    <w:abstractNumId w:val="6"/>
  </w:num>
  <w:num w:numId="38">
    <w:abstractNumId w:val="13"/>
  </w:num>
  <w:num w:numId="39">
    <w:abstractNumId w:val="20"/>
  </w:num>
  <w:num w:numId="40">
    <w:abstractNumId w:val="16"/>
  </w:num>
  <w:num w:numId="41">
    <w:abstractNumId w:val="12"/>
  </w:num>
  <w:num w:numId="42">
    <w:abstractNumId w:val="22"/>
  </w:num>
  <w:num w:numId="43">
    <w:abstractNumId w:val="2"/>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ocumentProtection w:edit="trackedChanges" w:enforcement="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FigNum" w:val="1"/>
    <w:docVar w:name="LW_CORRIGENDUM" w:val="&lt;UNUSED&gt;"/>
    <w:docVar w:name="LW_COVERPAGE_EXISTS" w:val="True"/>
    <w:docVar w:name="LW_COVERPAGE_GUID" w:val="12008960-E697-4466-8A7F-922B890EA725"/>
    <w:docVar w:name="LW_COVERPAGE_TYPE" w:val="1"/>
    <w:docVar w:name="LW_CROSSREFERENCE" w:val="{SWD(2020) 263 final}"/>
    <w:docVar w:name="LW_DocType" w:val="NORMAL"/>
    <w:docVar w:name="LW_EMISSION" w:val="12.11.2020"/>
    <w:docVar w:name="LW_EMISSION_ISODATE" w:val="2020-11-12"/>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90?\u1098?\u1088?\u1075?\u1086?\u1074?\u1089?\u1082?\u1080?\u1090?\u1077? \u1089?\u1087?\u1086?\u1088?\u1072?\u1079?\u1091?\u1084?\u1077?\u1085?\u1080?\u1103? \u1085?\u1072? \u1045?\u1057?_x000d__x000b__x000d__x000d__x000d__x000b__x000d__x000d__x000d__x000d__x000d__x000b_1 \u1103?\u1085?\u1091?\u1072?\u1088?\u1080? 2019 \u1075?. \u8212? 31 \u1076?\u1077?\u1082?\u1077?\u1084?\u1074?\u1088?\u1080? 2019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autoRedefine/>
    <w:uiPriority w:val="9"/>
    <w:qFormat/>
    <w:pPr>
      <w:keepNext/>
      <w:keepLines/>
      <w:spacing w:before="360" w:after="120"/>
      <w:jc w:val="center"/>
      <w:outlineLvl w:val="0"/>
    </w:pPr>
    <w:rPr>
      <w:rFonts w:ascii="Times New Roman" w:eastAsiaTheme="majorEastAsia" w:hAnsi="Times New Roman" w:cs="Times New Roman"/>
      <w:b/>
      <w:caps/>
      <w:sz w:val="24"/>
      <w:szCs w:val="32"/>
    </w:rPr>
  </w:style>
  <w:style w:type="paragraph" w:styleId="Heading2">
    <w:name w:val="heading 2"/>
    <w:aliases w:val="Heading 1.1"/>
    <w:basedOn w:val="Normal"/>
    <w:next w:val="Normal"/>
    <w:link w:val="Heading2Char"/>
    <w:autoRedefine/>
    <w:uiPriority w:val="9"/>
    <w:unhideWhenUsed/>
    <w:qFormat/>
    <w:pPr>
      <w:keepNext/>
      <w:keepLines/>
      <w:spacing w:before="120" w:after="120" w:line="360" w:lineRule="auto"/>
      <w:outlineLvl w:val="1"/>
    </w:pPr>
    <w:rPr>
      <w:rFonts w:ascii="Times New Roman" w:eastAsiaTheme="majorEastAsia" w:hAnsi="Times New Roman" w:cstheme="majorBidi"/>
      <w:b/>
      <w:sz w:val="24"/>
      <w:szCs w:val="26"/>
    </w:rPr>
  </w:style>
  <w:style w:type="paragraph" w:styleId="Heading3">
    <w:name w:val="heading 3"/>
    <w:aliases w:val="Heading 1.1.1"/>
    <w:basedOn w:val="Normal"/>
    <w:next w:val="Normal"/>
    <w:link w:val="Heading3Char"/>
    <w:autoRedefine/>
    <w:uiPriority w:val="9"/>
    <w:unhideWhenUsed/>
    <w:qFormat/>
    <w:pPr>
      <w:keepNext/>
      <w:keepLines/>
      <w:spacing w:before="160" w:after="120"/>
      <w:ind w:left="720"/>
      <w:jc w:val="left"/>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Fußnote,Caratter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qFormat/>
    <w:rPr>
      <w:sz w:val="20"/>
      <w:szCs w:val="20"/>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link w:val="ftrefCharCharCharCharCharCharCharCharChar"/>
    <w:uiPriority w:val="99"/>
    <w:qFormat/>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4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u w:val="single"/>
    </w:rPr>
  </w:style>
  <w:style w:type="paragraph" w:styleId="ListParagraph">
    <w:name w:val="List Paragraph"/>
    <w:aliases w:val="Bulleted List,Dot pt,F5 List Paragraph,List Paragraph Char Char Char,Indicator Text,Numbered Para 1,Bullet 1,Bullet Points,List Paragraph2,MAIN CONTENT,Normal numbered,List Paragraph1,Colorful List - Accent 11,Issue Action POC,3,Bullet,L"/>
    <w:basedOn w:val="Normal"/>
    <w:link w:val="ListParagraphChar"/>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spellingerror">
    <w:name w:val="spellingerror"/>
    <w:basedOn w:val="DefaultParagraphFont"/>
  </w:style>
  <w:style w:type="paragraph" w:customStyle="1" w:styleId="1">
    <w:name w:val="1"/>
    <w:basedOn w:val="Normal"/>
    <w:uiPriority w:val="99"/>
    <w:qFormat/>
    <w:pPr>
      <w:spacing w:after="160" w:line="240" w:lineRule="exact"/>
    </w:pPr>
    <w:rPr>
      <w:rFonts w:ascii="TimesNewRomanPS" w:hAnsi="TimesNewRomanPS"/>
      <w:position w:val="6"/>
      <w:sz w:val="16"/>
    </w:rPr>
  </w:style>
  <w:style w:type="character" w:customStyle="1" w:styleId="Ninguno">
    <w:name w:val="Ninguno"/>
    <w:rPr>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6CharCharCharCharCharChar">
    <w:name w:val="Char Char6 Char Char Char Char Char Char"/>
    <w:aliases w:val="Char6 Char Char Char Char Char Char Char"/>
    <w:basedOn w:val="Normal"/>
    <w:uiPriority w:val="99"/>
    <w:pPr>
      <w:spacing w:after="0" w:line="360" w:lineRule="auto"/>
      <w:jc w:val="center"/>
    </w:pPr>
    <w:rPr>
      <w:vertAlign w:val="superscript"/>
    </w:rPr>
  </w:style>
  <w:style w:type="character" w:customStyle="1" w:styleId="ListParagraphChar">
    <w:name w:val="List Paragraph Char"/>
    <w:aliases w:val="Bulleted List Char,Dot pt Char,F5 List Paragraph Char,List Paragraph Char Char Char Char,Indicator Text Char,Numbered Para 1 Char,Bullet 1 Char,Bullet Points Char,List Paragraph2 Char,MAIN CONTENT Char,Normal numbered Char,3 Char"/>
    <w:link w:val="ListParagraph"/>
    <w:qFormat/>
    <w:locked/>
    <w:rPr>
      <w:rFonts w:ascii="Calibri" w:hAnsi="Calibri" w:cs="Calibri"/>
      <w:lang w:val="bg-BG"/>
    </w:rPr>
  </w:style>
  <w:style w:type="paragraph" w:customStyle="1" w:styleId="ChapterHead">
    <w:name w:val="ChapterHead"/>
    <w:basedOn w:val="Normal"/>
    <w:qFormat/>
    <w:pPr>
      <w:spacing w:after="240"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caps/>
      <w:sz w:val="24"/>
      <w:szCs w:val="32"/>
      <w:lang w:val="bg-BG"/>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eading2Char">
    <w:name w:val="Heading 2 Char"/>
    <w:aliases w:val="Heading 1.1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aliases w:val="Heading 1.1.1 Char"/>
    <w:basedOn w:val="DefaultParagraphFont"/>
    <w:link w:val="Heading3"/>
    <w:uiPriority w:val="9"/>
    <w:rPr>
      <w:rFonts w:ascii="Times New Roman" w:eastAsiaTheme="majorEastAsia" w:hAnsi="Times New Roman" w:cstheme="majorBidi"/>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OCHeadingChar">
    <w:name w:val="TOC Heading Char"/>
    <w:basedOn w:val="Heading1Char"/>
    <w:link w:val="TOCHeading"/>
    <w:uiPriority w:val="39"/>
    <w:rPr>
      <w:rFonts w:ascii="Times New Roman" w:eastAsiaTheme="majorEastAsia" w:hAnsi="Times New Roman" w:cstheme="majorBidi"/>
      <w:b/>
      <w:caps/>
      <w:sz w:val="24"/>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imes New Roman"/>
      <w:b w:val="0"/>
      <w:caps w:val="0"/>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aps w:val="0"/>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caps w:val="0"/>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aps w:val="0"/>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b w:val="0"/>
      <w:caps w:val="0"/>
      <w:sz w:val="28"/>
      <w:szCs w:val="32"/>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4285">
      <w:bodyDiv w:val="1"/>
      <w:marLeft w:val="0"/>
      <w:marRight w:val="0"/>
      <w:marTop w:val="0"/>
      <w:marBottom w:val="0"/>
      <w:divBdr>
        <w:top w:val="none" w:sz="0" w:space="0" w:color="auto"/>
        <w:left w:val="none" w:sz="0" w:space="0" w:color="auto"/>
        <w:bottom w:val="none" w:sz="0" w:space="0" w:color="auto"/>
        <w:right w:val="none" w:sz="0" w:space="0" w:color="auto"/>
      </w:divBdr>
    </w:div>
    <w:div w:id="309406618">
      <w:bodyDiv w:val="1"/>
      <w:marLeft w:val="0"/>
      <w:marRight w:val="0"/>
      <w:marTop w:val="0"/>
      <w:marBottom w:val="0"/>
      <w:divBdr>
        <w:top w:val="none" w:sz="0" w:space="0" w:color="auto"/>
        <w:left w:val="none" w:sz="0" w:space="0" w:color="auto"/>
        <w:bottom w:val="none" w:sz="0" w:space="0" w:color="auto"/>
        <w:right w:val="none" w:sz="0" w:space="0" w:color="auto"/>
      </w:divBdr>
    </w:div>
    <w:div w:id="337781555">
      <w:bodyDiv w:val="1"/>
      <w:marLeft w:val="0"/>
      <w:marRight w:val="0"/>
      <w:marTop w:val="0"/>
      <w:marBottom w:val="0"/>
      <w:divBdr>
        <w:top w:val="none" w:sz="0" w:space="0" w:color="auto"/>
        <w:left w:val="none" w:sz="0" w:space="0" w:color="auto"/>
        <w:bottom w:val="none" w:sz="0" w:space="0" w:color="auto"/>
        <w:right w:val="none" w:sz="0" w:space="0" w:color="auto"/>
      </w:divBdr>
    </w:div>
    <w:div w:id="373117758">
      <w:bodyDiv w:val="1"/>
      <w:marLeft w:val="0"/>
      <w:marRight w:val="0"/>
      <w:marTop w:val="0"/>
      <w:marBottom w:val="0"/>
      <w:divBdr>
        <w:top w:val="none" w:sz="0" w:space="0" w:color="auto"/>
        <w:left w:val="none" w:sz="0" w:space="0" w:color="auto"/>
        <w:bottom w:val="none" w:sz="0" w:space="0" w:color="auto"/>
        <w:right w:val="none" w:sz="0" w:space="0" w:color="auto"/>
      </w:divBdr>
    </w:div>
    <w:div w:id="374155813">
      <w:bodyDiv w:val="1"/>
      <w:marLeft w:val="0"/>
      <w:marRight w:val="0"/>
      <w:marTop w:val="0"/>
      <w:marBottom w:val="0"/>
      <w:divBdr>
        <w:top w:val="none" w:sz="0" w:space="0" w:color="auto"/>
        <w:left w:val="none" w:sz="0" w:space="0" w:color="auto"/>
        <w:bottom w:val="none" w:sz="0" w:space="0" w:color="auto"/>
        <w:right w:val="none" w:sz="0" w:space="0" w:color="auto"/>
      </w:divBdr>
    </w:div>
    <w:div w:id="599533682">
      <w:bodyDiv w:val="1"/>
      <w:marLeft w:val="0"/>
      <w:marRight w:val="0"/>
      <w:marTop w:val="0"/>
      <w:marBottom w:val="0"/>
      <w:divBdr>
        <w:top w:val="none" w:sz="0" w:space="0" w:color="auto"/>
        <w:left w:val="none" w:sz="0" w:space="0" w:color="auto"/>
        <w:bottom w:val="none" w:sz="0" w:space="0" w:color="auto"/>
        <w:right w:val="none" w:sz="0" w:space="0" w:color="auto"/>
      </w:divBdr>
    </w:div>
    <w:div w:id="601498074">
      <w:bodyDiv w:val="1"/>
      <w:marLeft w:val="0"/>
      <w:marRight w:val="0"/>
      <w:marTop w:val="0"/>
      <w:marBottom w:val="0"/>
      <w:divBdr>
        <w:top w:val="none" w:sz="0" w:space="0" w:color="auto"/>
        <w:left w:val="none" w:sz="0" w:space="0" w:color="auto"/>
        <w:bottom w:val="none" w:sz="0" w:space="0" w:color="auto"/>
        <w:right w:val="none" w:sz="0" w:space="0" w:color="auto"/>
      </w:divBdr>
    </w:div>
    <w:div w:id="763768551">
      <w:bodyDiv w:val="1"/>
      <w:marLeft w:val="0"/>
      <w:marRight w:val="0"/>
      <w:marTop w:val="0"/>
      <w:marBottom w:val="0"/>
      <w:divBdr>
        <w:top w:val="none" w:sz="0" w:space="0" w:color="auto"/>
        <w:left w:val="none" w:sz="0" w:space="0" w:color="auto"/>
        <w:bottom w:val="none" w:sz="0" w:space="0" w:color="auto"/>
        <w:right w:val="none" w:sz="0" w:space="0" w:color="auto"/>
      </w:divBdr>
    </w:div>
    <w:div w:id="782114572">
      <w:bodyDiv w:val="1"/>
      <w:marLeft w:val="0"/>
      <w:marRight w:val="0"/>
      <w:marTop w:val="0"/>
      <w:marBottom w:val="0"/>
      <w:divBdr>
        <w:top w:val="none" w:sz="0" w:space="0" w:color="auto"/>
        <w:left w:val="none" w:sz="0" w:space="0" w:color="auto"/>
        <w:bottom w:val="none" w:sz="0" w:space="0" w:color="auto"/>
        <w:right w:val="none" w:sz="0" w:space="0" w:color="auto"/>
      </w:divBdr>
    </w:div>
    <w:div w:id="833375923">
      <w:bodyDiv w:val="1"/>
      <w:marLeft w:val="0"/>
      <w:marRight w:val="0"/>
      <w:marTop w:val="0"/>
      <w:marBottom w:val="0"/>
      <w:divBdr>
        <w:top w:val="none" w:sz="0" w:space="0" w:color="auto"/>
        <w:left w:val="none" w:sz="0" w:space="0" w:color="auto"/>
        <w:bottom w:val="none" w:sz="0" w:space="0" w:color="auto"/>
        <w:right w:val="none" w:sz="0" w:space="0" w:color="auto"/>
      </w:divBdr>
    </w:div>
    <w:div w:id="894394446">
      <w:bodyDiv w:val="1"/>
      <w:marLeft w:val="0"/>
      <w:marRight w:val="0"/>
      <w:marTop w:val="0"/>
      <w:marBottom w:val="0"/>
      <w:divBdr>
        <w:top w:val="none" w:sz="0" w:space="0" w:color="auto"/>
        <w:left w:val="none" w:sz="0" w:space="0" w:color="auto"/>
        <w:bottom w:val="none" w:sz="0" w:space="0" w:color="auto"/>
        <w:right w:val="none" w:sz="0" w:space="0" w:color="auto"/>
      </w:divBdr>
    </w:div>
    <w:div w:id="1056507790">
      <w:bodyDiv w:val="1"/>
      <w:marLeft w:val="0"/>
      <w:marRight w:val="0"/>
      <w:marTop w:val="0"/>
      <w:marBottom w:val="0"/>
      <w:divBdr>
        <w:top w:val="none" w:sz="0" w:space="0" w:color="auto"/>
        <w:left w:val="none" w:sz="0" w:space="0" w:color="auto"/>
        <w:bottom w:val="none" w:sz="0" w:space="0" w:color="auto"/>
        <w:right w:val="none" w:sz="0" w:space="0" w:color="auto"/>
      </w:divBdr>
    </w:div>
    <w:div w:id="1063407013">
      <w:bodyDiv w:val="1"/>
      <w:marLeft w:val="0"/>
      <w:marRight w:val="0"/>
      <w:marTop w:val="0"/>
      <w:marBottom w:val="0"/>
      <w:divBdr>
        <w:top w:val="none" w:sz="0" w:space="0" w:color="auto"/>
        <w:left w:val="none" w:sz="0" w:space="0" w:color="auto"/>
        <w:bottom w:val="none" w:sz="0" w:space="0" w:color="auto"/>
        <w:right w:val="none" w:sz="0" w:space="0" w:color="auto"/>
      </w:divBdr>
    </w:div>
    <w:div w:id="1075202476">
      <w:bodyDiv w:val="1"/>
      <w:marLeft w:val="0"/>
      <w:marRight w:val="0"/>
      <w:marTop w:val="0"/>
      <w:marBottom w:val="0"/>
      <w:divBdr>
        <w:top w:val="none" w:sz="0" w:space="0" w:color="auto"/>
        <w:left w:val="none" w:sz="0" w:space="0" w:color="auto"/>
        <w:bottom w:val="none" w:sz="0" w:space="0" w:color="auto"/>
        <w:right w:val="none" w:sz="0" w:space="0" w:color="auto"/>
      </w:divBdr>
    </w:div>
    <w:div w:id="1128546851">
      <w:bodyDiv w:val="1"/>
      <w:marLeft w:val="0"/>
      <w:marRight w:val="0"/>
      <w:marTop w:val="0"/>
      <w:marBottom w:val="0"/>
      <w:divBdr>
        <w:top w:val="none" w:sz="0" w:space="0" w:color="auto"/>
        <w:left w:val="none" w:sz="0" w:space="0" w:color="auto"/>
        <w:bottom w:val="none" w:sz="0" w:space="0" w:color="auto"/>
        <w:right w:val="none" w:sz="0" w:space="0" w:color="auto"/>
      </w:divBdr>
    </w:div>
    <w:div w:id="1176113822">
      <w:bodyDiv w:val="1"/>
      <w:marLeft w:val="0"/>
      <w:marRight w:val="0"/>
      <w:marTop w:val="0"/>
      <w:marBottom w:val="0"/>
      <w:divBdr>
        <w:top w:val="none" w:sz="0" w:space="0" w:color="auto"/>
        <w:left w:val="none" w:sz="0" w:space="0" w:color="auto"/>
        <w:bottom w:val="none" w:sz="0" w:space="0" w:color="auto"/>
        <w:right w:val="none" w:sz="0" w:space="0" w:color="auto"/>
      </w:divBdr>
    </w:div>
    <w:div w:id="1187867588">
      <w:bodyDiv w:val="1"/>
      <w:marLeft w:val="0"/>
      <w:marRight w:val="0"/>
      <w:marTop w:val="0"/>
      <w:marBottom w:val="0"/>
      <w:divBdr>
        <w:top w:val="none" w:sz="0" w:space="0" w:color="auto"/>
        <w:left w:val="none" w:sz="0" w:space="0" w:color="auto"/>
        <w:bottom w:val="none" w:sz="0" w:space="0" w:color="auto"/>
        <w:right w:val="none" w:sz="0" w:space="0" w:color="auto"/>
      </w:divBdr>
    </w:div>
    <w:div w:id="1194152266">
      <w:bodyDiv w:val="1"/>
      <w:marLeft w:val="0"/>
      <w:marRight w:val="0"/>
      <w:marTop w:val="0"/>
      <w:marBottom w:val="0"/>
      <w:divBdr>
        <w:top w:val="none" w:sz="0" w:space="0" w:color="auto"/>
        <w:left w:val="none" w:sz="0" w:space="0" w:color="auto"/>
        <w:bottom w:val="none" w:sz="0" w:space="0" w:color="auto"/>
        <w:right w:val="none" w:sz="0" w:space="0" w:color="auto"/>
      </w:divBdr>
    </w:div>
    <w:div w:id="1319577343">
      <w:bodyDiv w:val="1"/>
      <w:marLeft w:val="0"/>
      <w:marRight w:val="0"/>
      <w:marTop w:val="0"/>
      <w:marBottom w:val="0"/>
      <w:divBdr>
        <w:top w:val="none" w:sz="0" w:space="0" w:color="auto"/>
        <w:left w:val="none" w:sz="0" w:space="0" w:color="auto"/>
        <w:bottom w:val="none" w:sz="0" w:space="0" w:color="auto"/>
        <w:right w:val="none" w:sz="0" w:space="0" w:color="auto"/>
      </w:divBdr>
    </w:div>
    <w:div w:id="1498153523">
      <w:bodyDiv w:val="1"/>
      <w:marLeft w:val="0"/>
      <w:marRight w:val="0"/>
      <w:marTop w:val="0"/>
      <w:marBottom w:val="0"/>
      <w:divBdr>
        <w:top w:val="none" w:sz="0" w:space="0" w:color="auto"/>
        <w:left w:val="none" w:sz="0" w:space="0" w:color="auto"/>
        <w:bottom w:val="none" w:sz="0" w:space="0" w:color="auto"/>
        <w:right w:val="none" w:sz="0" w:space="0" w:color="auto"/>
      </w:divBdr>
    </w:div>
    <w:div w:id="1634943374">
      <w:bodyDiv w:val="1"/>
      <w:marLeft w:val="0"/>
      <w:marRight w:val="0"/>
      <w:marTop w:val="0"/>
      <w:marBottom w:val="0"/>
      <w:divBdr>
        <w:top w:val="none" w:sz="0" w:space="0" w:color="auto"/>
        <w:left w:val="none" w:sz="0" w:space="0" w:color="auto"/>
        <w:bottom w:val="none" w:sz="0" w:space="0" w:color="auto"/>
        <w:right w:val="none" w:sz="0" w:space="0" w:color="auto"/>
      </w:divBdr>
    </w:div>
    <w:div w:id="1720546795">
      <w:bodyDiv w:val="1"/>
      <w:marLeft w:val="0"/>
      <w:marRight w:val="0"/>
      <w:marTop w:val="0"/>
      <w:marBottom w:val="0"/>
      <w:divBdr>
        <w:top w:val="none" w:sz="0" w:space="0" w:color="auto"/>
        <w:left w:val="none" w:sz="0" w:space="0" w:color="auto"/>
        <w:bottom w:val="none" w:sz="0" w:space="0" w:color="auto"/>
        <w:right w:val="none" w:sz="0" w:space="0" w:color="auto"/>
      </w:divBdr>
    </w:div>
    <w:div w:id="1884320075">
      <w:bodyDiv w:val="1"/>
      <w:marLeft w:val="0"/>
      <w:marRight w:val="0"/>
      <w:marTop w:val="0"/>
      <w:marBottom w:val="0"/>
      <w:divBdr>
        <w:top w:val="none" w:sz="0" w:space="0" w:color="auto"/>
        <w:left w:val="none" w:sz="0" w:space="0" w:color="auto"/>
        <w:bottom w:val="none" w:sz="0" w:space="0" w:color="auto"/>
        <w:right w:val="none" w:sz="0" w:space="0" w:color="auto"/>
      </w:divBdr>
    </w:div>
    <w:div w:id="1886093266">
      <w:bodyDiv w:val="1"/>
      <w:marLeft w:val="0"/>
      <w:marRight w:val="0"/>
      <w:marTop w:val="0"/>
      <w:marBottom w:val="0"/>
      <w:divBdr>
        <w:top w:val="none" w:sz="0" w:space="0" w:color="auto"/>
        <w:left w:val="none" w:sz="0" w:space="0" w:color="auto"/>
        <w:bottom w:val="none" w:sz="0" w:space="0" w:color="auto"/>
        <w:right w:val="none" w:sz="0" w:space="0" w:color="auto"/>
      </w:divBdr>
    </w:div>
    <w:div w:id="1959990837">
      <w:bodyDiv w:val="1"/>
      <w:marLeft w:val="0"/>
      <w:marRight w:val="0"/>
      <w:marTop w:val="0"/>
      <w:marBottom w:val="0"/>
      <w:divBdr>
        <w:top w:val="none" w:sz="0" w:space="0" w:color="auto"/>
        <w:left w:val="none" w:sz="0" w:space="0" w:color="auto"/>
        <w:bottom w:val="none" w:sz="0" w:space="0" w:color="auto"/>
        <w:right w:val="none" w:sz="0" w:space="0" w:color="auto"/>
      </w:divBdr>
    </w:div>
    <w:div w:id="2040010137">
      <w:bodyDiv w:val="1"/>
      <w:marLeft w:val="0"/>
      <w:marRight w:val="0"/>
      <w:marTop w:val="0"/>
      <w:marBottom w:val="0"/>
      <w:divBdr>
        <w:top w:val="none" w:sz="0" w:space="0" w:color="auto"/>
        <w:left w:val="none" w:sz="0" w:space="0" w:color="auto"/>
        <w:bottom w:val="none" w:sz="0" w:space="0" w:color="auto"/>
        <w:right w:val="none" w:sz="0" w:space="0" w:color="auto"/>
      </w:divBdr>
    </w:div>
    <w:div w:id="2069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march/tradoc_157716.pdf" TargetMode="External"/><Relationship Id="rId13" Type="http://schemas.openxmlformats.org/officeDocument/2006/relationships/hyperlink" Target="https://trade.ec.europa.eu/doclib/docs/2019/november/tradoc_158417.pdf" TargetMode="External"/><Relationship Id="rId18" Type="http://schemas.openxmlformats.org/officeDocument/2006/relationships/hyperlink" Target="https://case-research.eu/en/ex-post-evaluation-of-the-impact-of-trade-chapters-of-the-euro-mediterranean-association-agreements-with-six-partners-algeria-egypt-jordan-lebanon-morocco-and-tunisia-interim-technical-report-101329" TargetMode="External"/><Relationship Id="rId26" Type="http://schemas.openxmlformats.org/officeDocument/2006/relationships/hyperlink" Target="https://www.ceps.eu/ceps-publications/public-procurement/" TargetMode="External"/><Relationship Id="rId39" Type="http://schemas.openxmlformats.org/officeDocument/2006/relationships/hyperlink" Target="https://trade.ec.europa.eu/wtodispute/show.cfm?id=792&amp;code=1" TargetMode="External"/><Relationship Id="rId3" Type="http://schemas.openxmlformats.org/officeDocument/2006/relationships/hyperlink" Target="https://ec.europa.eu/commission/presscorner/detail/bg/IP_20_1409" TargetMode="External"/><Relationship Id="rId21" Type="http://schemas.openxmlformats.org/officeDocument/2006/relationships/hyperlink" Target="https://www.government.nl/topics/responsible-business-conduct-rbc/evaluation-and-renewal-of-rbc-policy" TargetMode="External"/><Relationship Id="rId34" Type="http://schemas.openxmlformats.org/officeDocument/2006/relationships/hyperlink" Target="https://ec.europa.eu/eurostat/web/experimental-statistics/stec" TargetMode="External"/><Relationship Id="rId42" Type="http://schemas.openxmlformats.org/officeDocument/2006/relationships/hyperlink" Target="http://trade.ec.europa.eu/doclib/docs/2019/january/tradoc_157625.pdf" TargetMode="External"/><Relationship Id="rId7" Type="http://schemas.openxmlformats.org/officeDocument/2006/relationships/hyperlink" Target="https://www.mti.gov.sg/Improving-Trade/Free-Trade-Agreements/CPTPP" TargetMode="External"/><Relationship Id="rId12" Type="http://schemas.openxmlformats.org/officeDocument/2006/relationships/hyperlink" Target="https://ec.europa.eu/taxation_customs/sites/taxation/files/ceta_guidance_en.pdf" TargetMode="External"/><Relationship Id="rId17" Type="http://schemas.openxmlformats.org/officeDocument/2006/relationships/hyperlink" Target="https://trade.ec.europa.eu/doclib/press/index.cfm?id=2083" TargetMode="External"/><Relationship Id="rId25" Type="http://schemas.openxmlformats.org/officeDocument/2006/relationships/hyperlink" Target="http://www.mcinet.gov.ma/en/content/automotive-0" TargetMode="External"/><Relationship Id="rId33" Type="http://schemas.openxmlformats.org/officeDocument/2006/relationships/hyperlink" Target="https://www.epo.org/news-events/news/2019/20190925.html" TargetMode="External"/><Relationship Id="rId38" Type="http://schemas.openxmlformats.org/officeDocument/2006/relationships/hyperlink" Target="https://trade.ec.europa.eu/doclib/docs/2020/february/tradoc_158645.pdf" TargetMode="External"/><Relationship Id="rId46" Type="http://schemas.openxmlformats.org/officeDocument/2006/relationships/hyperlink" Target="https://ec.europa.eu/info/sites/info/files/economy-finance/ip132_en.pdf" TargetMode="External"/><Relationship Id="rId2" Type="http://schemas.openxmlformats.org/officeDocument/2006/relationships/hyperlink" Target="https://ec.europa.eu/trade/policy/countries-and-regions/negotiations-and-agreements/" TargetMode="External"/><Relationship Id="rId16" Type="http://schemas.openxmlformats.org/officeDocument/2006/relationships/hyperlink" Target="https://www.ohchr.org/EN/Issues/Business/Pages/JointProjectResponsibleBusinessConduct.aspx" TargetMode="External"/><Relationship Id="rId20" Type="http://schemas.openxmlformats.org/officeDocument/2006/relationships/hyperlink" Target="https://trade.ec.europa.eu/doclib/docs/2018/february/tradoc_156618.pdf" TargetMode="External"/><Relationship Id="rId29" Type="http://schemas.openxmlformats.org/officeDocument/2006/relationships/hyperlink" Target="https://trade.ec.europa.eu/doclib/docs/2020/february/tradoc_158655.pdf" TargetMode="External"/><Relationship Id="rId41" Type="http://schemas.openxmlformats.org/officeDocument/2006/relationships/hyperlink" Target="http://trade.ec.europa.eu/doclib/docs/2019/july/tradoc_157992.pdf" TargetMode="External"/><Relationship Id="rId1" Type="http://schemas.openxmlformats.org/officeDocument/2006/relationships/hyperlink" Target="https://publications.europa.eu/code/bg/bg-5000500.htm" TargetMode="External"/><Relationship Id="rId6" Type="http://schemas.openxmlformats.org/officeDocument/2006/relationships/hyperlink" Target="https://eur-lex.europa.eu/LexUriServ/LexUriServ.do?uri=COM:2006:0567:FIN:en:PDF" TargetMode="External"/><Relationship Id="rId11" Type="http://schemas.openxmlformats.org/officeDocument/2006/relationships/hyperlink" Target="https://trade.ec.europa.eu/doclib/docs/2019/july/tradoc_157973.pdf" TargetMode="External"/><Relationship Id="rId24" Type="http://schemas.openxmlformats.org/officeDocument/2006/relationships/hyperlink" Target="https://ec.europa.eu/growth/single-market/services_en" TargetMode="External"/><Relationship Id="rId32" Type="http://schemas.openxmlformats.org/officeDocument/2006/relationships/hyperlink" Target="https://trade.ec.europa.eu/doclib/docs/2018/december/tradoc_157564.pdf" TargetMode="External"/><Relationship Id="rId37" Type="http://schemas.openxmlformats.org/officeDocument/2006/relationships/hyperlink" Target="https://trade.ec.europa.eu/doclib/docs/2019/august/tradoc_158308.pdf" TargetMode="External"/><Relationship Id="rId40" Type="http://schemas.openxmlformats.org/officeDocument/2006/relationships/hyperlink" Target="http://trade.ec.europa.eu/doclib/docs/2018/december/tradoc_157586.pdf" TargetMode="External"/><Relationship Id="rId45" Type="http://schemas.openxmlformats.org/officeDocument/2006/relationships/hyperlink" Target="https://trade.ec.europa.eu/doclib/docs/2020/april/tradoc_158717.pdf" TargetMode="External"/><Relationship Id="rId5" Type="http://schemas.openxmlformats.org/officeDocument/2006/relationships/hyperlink" Target="https://trade.ec.europa.eu/doclib/docs/2018/february/tradoc_156618.pdf" TargetMode="External"/><Relationship Id="rId15" Type="http://schemas.openxmlformats.org/officeDocument/2006/relationships/hyperlink" Target="https://www.ilo.org/americas/programas-y-proyectos/WCMS_735906/lang--en/index.htm" TargetMode="External"/><Relationship Id="rId23" Type="http://schemas.openxmlformats.org/officeDocument/2006/relationships/hyperlink" Target="https://op.europa.eu/en/publication-detail/-/publication/a7281794-7ebe-11ea-aea8-01aa75ed71a1" TargetMode="External"/><Relationship Id="rId28" Type="http://schemas.openxmlformats.org/officeDocument/2006/relationships/hyperlink" Target="http://data.consilium.europa.eu/doc/document/ST-10973-2016-ADD-4/bg/pdf" TargetMode="External"/><Relationship Id="rId36" Type="http://schemas.openxmlformats.org/officeDocument/2006/relationships/hyperlink" Target="https://een.ec.europa.eu/" TargetMode="External"/><Relationship Id="rId10" Type="http://schemas.openxmlformats.org/officeDocument/2006/relationships/hyperlink" Target="https://www.eu-japan.eu/" TargetMode="External"/><Relationship Id="rId19" Type="http://schemas.openxmlformats.org/officeDocument/2006/relationships/hyperlink" Target="https://trade.ec.europa.eu/doclib/docs/2020/september/tradoc_158926.pdf" TargetMode="External"/><Relationship Id="rId31" Type="http://schemas.openxmlformats.org/officeDocument/2006/relationships/hyperlink" Target="https://trade.ec.europa.eu/doclib/docs/2020/january/tradoc_158561.pdf" TargetMode="External"/><Relationship Id="rId44" Type="http://schemas.openxmlformats.org/officeDocument/2006/relationships/hyperlink" Target="https://trade.ec.europa.eu/doclib/docs/2019/june/tradoc_157928.pdf" TargetMode="External"/><Relationship Id="rId4" Type="http://schemas.openxmlformats.org/officeDocument/2006/relationships/hyperlink" Target="https://trade.ec.europa.eu/doclib/docs/2020/september/tradoc_158926.pdf" TargetMode="External"/><Relationship Id="rId9" Type="http://schemas.openxmlformats.org/officeDocument/2006/relationships/hyperlink" Target="https://trade.ec.europa.eu/doclib/press/index.cfm?id=2107" TargetMode="External"/><Relationship Id="rId14" Type="http://schemas.openxmlformats.org/officeDocument/2006/relationships/hyperlink" Target="http://mneguidelines.oecd.org/rbclac.htm" TargetMode="External"/><Relationship Id="rId22" Type="http://schemas.openxmlformats.org/officeDocument/2006/relationships/hyperlink" Target="https://trade.ec.europa.eu/doclib/docs/2019/november/tradoc_158481.pdf" TargetMode="External"/><Relationship Id="rId27" Type="http://schemas.openxmlformats.org/officeDocument/2006/relationships/hyperlink" Target="https://ec.europa.eu/trade/policy/accessing-markets/public-procurement/" TargetMode="External"/><Relationship Id="rId30" Type="http://schemas.openxmlformats.org/officeDocument/2006/relationships/hyperlink" Target="https://www.eubusinessinjapan.eu/library/publication/infopack-epa-government-procurement" TargetMode="External"/><Relationship Id="rId35" Type="http://schemas.openxmlformats.org/officeDocument/2006/relationships/hyperlink" Target="https://trade.ec.europa.eu/doclib/docs/2020/june/tradoc_158778.pdf" TargetMode="External"/><Relationship Id="rId43" Type="http://schemas.openxmlformats.org/officeDocument/2006/relationships/hyperlink" Target="https://trade.ec.europa.eu/doclib/docs/2019/june/tradoc_1579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7b883e67-1a29-4712-81ce-4abcb156cfc7">Not Started</EC_Collab_Status>
    <EC_Collab_Reference xmlns="7b883e67-1a29-4712-81ce-4abcb156cfc7" xsi:nil="true"/>
    <EC_Collab_DocumentLanguage xmlns="7b883e67-1a29-4712-81ce-4abcb156cfc7">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C9093A9498FA84CA06A5E94D7C6D09C" ma:contentTypeVersion="1" ma:contentTypeDescription="Create a new document in this library." ma:contentTypeScope="" ma:versionID="e60087c61f90190b0ef47eb6b18b1daa">
  <xsd:schema xmlns:xsd="http://www.w3.org/2001/XMLSchema" xmlns:xs="http://www.w3.org/2001/XMLSchema" xmlns:p="http://schemas.microsoft.com/office/2006/metadata/properties" xmlns:ns3="7b883e67-1a29-4712-81ce-4abcb156cfc7" targetNamespace="http://schemas.microsoft.com/office/2006/metadata/properties" ma:root="true" ma:fieldsID="2b6153e5acd43337297a4e3edfe99674" ns3:_="">
    <xsd:import namespace="7b883e67-1a29-4712-81ce-4abcb156cfc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3e67-1a29-4712-81ce-4abcb156cfc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9A9904-5CD9-4ADD-97FE-DDB57DD6AF27}">
  <ds:schemaRefs>
    <ds:schemaRef ds:uri="http://schemas.microsoft.com/sharepoint/v3/contenttype/forms"/>
  </ds:schemaRefs>
</ds:datastoreItem>
</file>

<file path=customXml/itemProps2.xml><?xml version="1.0" encoding="utf-8"?>
<ds:datastoreItem xmlns:ds="http://schemas.openxmlformats.org/officeDocument/2006/customXml" ds:itemID="{AD08E033-075A-429E-AA23-A5C5D6BF513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b883e67-1a29-4712-81ce-4abcb156cfc7"/>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546A6A-B2B2-4454-9892-EA5D469E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3e67-1a29-4712-81ce-4abcb156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56BE1-89B0-441D-ABE8-EE8F0C24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60</Pages>
  <Words>16338</Words>
  <Characters>92476</Characters>
  <Application>Microsoft Office Word</Application>
  <DocSecurity>0</DocSecurity>
  <Lines>1778</Lines>
  <Paragraphs>513</Paragraphs>
  <ScaleCrop>false</ScaleCrop>
  <HeadingPairs>
    <vt:vector size="2" baseType="variant">
      <vt:variant>
        <vt:lpstr>Title</vt:lpstr>
      </vt:variant>
      <vt:variant>
        <vt:i4>1</vt:i4>
      </vt:variant>
    </vt:vector>
  </HeadingPairs>
  <TitlesOfParts>
    <vt:vector size="1" baseType="lpstr">
      <vt:lpstr>Draft Report for ARES procedure</vt:lpstr>
    </vt:vector>
  </TitlesOfParts>
  <Manager/>
  <Company/>
  <LinksUpToDate>false</LinksUpToDate>
  <CharactersWithSpaces>108301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ARES procedure</dc:title>
  <dc:subject>FTA Implementation</dc:subject>
  <dc:creator/>
  <cp:keywords/>
  <dc:description/>
  <cp:lastModifiedBy>WES PDFC Administrator</cp:lastModifiedBy>
  <cp:revision>31</cp:revision>
  <cp:lastPrinted>2020-09-03T07:59:00Z</cp:lastPrinted>
  <dcterms:created xsi:type="dcterms:W3CDTF">2020-11-03T10:39:00Z</dcterms:created>
  <dcterms:modified xsi:type="dcterms:W3CDTF">2020-11-04T09:14:00Z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0x010100258AA79CEB83498886A3A08681123250005C9093A9498FA84CA06A5E94D7C6D09C</vt:lpwstr>
  </property>
</Properties>
</file>