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2D" w:rsidRDefault="008241A6">
      <w:pPr>
        <w:pStyle w:val="Pagedecouverture"/>
        <w:rPr>
          <w:noProof/>
        </w:rPr>
      </w:pPr>
      <w:bookmarkStart w:id="0" w:name="LW_BM_COVERPAGE"/>
      <w:r>
        <w:rPr>
          <w:noProof/>
        </w:rPr>
        <w:pict w14:anchorId="4C032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8BC540D-0F57-47CF-9FBB-CE37DF1230FB" style="width:450pt;height:334.5pt">
            <v:imagedata r:id="rId8" o:title=""/>
          </v:shape>
        </w:pict>
      </w:r>
    </w:p>
    <w:bookmarkEnd w:id="0"/>
    <w:p w:rsidR="00677F2D" w:rsidRDefault="00677F2D">
      <w:pPr>
        <w:rPr>
          <w:noProof/>
        </w:rPr>
        <w:sectPr w:rsidR="00677F2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77F2D" w:rsidRDefault="008241A6">
      <w:pPr>
        <w:pStyle w:val="ManualHeading1"/>
        <w:spacing w:before="0" w:after="360"/>
        <w:rPr>
          <w:noProof/>
          <w:szCs w:val="24"/>
        </w:rPr>
      </w:pPr>
      <w:r>
        <w:rPr>
          <w:noProof/>
          <w:szCs w:val="24"/>
        </w:rPr>
        <w:lastRenderedPageBreak/>
        <w:t>1.</w:t>
      </w:r>
      <w:r>
        <w:rPr>
          <w:noProof/>
          <w:szCs w:val="24"/>
        </w:rPr>
        <w:tab/>
        <w:t xml:space="preserve">THE NEED FOR A STRONGER EU HEALTH SECURITY FRAMEWORK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Health is a precondition for our society and economy to function. The COVID-19 pandemic is causing immense human suffering, pushing health systems and healthcare workers to their limits. </w:t>
      </w:r>
      <w:r>
        <w:rPr>
          <w:rFonts w:ascii="Times New Roman" w:hAnsi="Times New Roman"/>
          <w:noProof/>
          <w:sz w:val="24"/>
        </w:rPr>
        <w:t xml:space="preserve">As of early-November 2020, over 50 million people worldwide had been </w:t>
      </w:r>
      <w:r>
        <w:rPr>
          <w:rFonts w:ascii="Times New Roman" w:hAnsi="Times New Roman"/>
          <w:noProof/>
          <w:sz w:val="24"/>
        </w:rPr>
        <w:t xml:space="preserve">infected with </w:t>
      </w:r>
      <w:r>
        <w:rPr>
          <w:rFonts w:ascii="Times New Roman" w:hAnsi="Times New Roman" w:cs="Times New Roman"/>
          <w:noProof/>
          <w:sz w:val="24"/>
          <w:szCs w:val="24"/>
        </w:rPr>
        <w:t>the coronavirus. More than 12 million, or  25% of those, were people living in Europe. In the EU/EEA and UK, nearly 250 000 people had lost their lives to COVID-19</w:t>
      </w:r>
      <w:r>
        <w:rPr>
          <w:noProof/>
          <w:vertAlign w:val="superscript"/>
        </w:rPr>
        <w:footnoteReference w:id="2"/>
      </w:r>
      <w:r>
        <w:rPr>
          <w:rFonts w:ascii="Times New Roman" w:hAnsi="Times New Roman" w:cs="Times New Roman"/>
          <w:noProof/>
          <w:sz w:val="24"/>
          <w:szCs w:val="24"/>
        </w:rPr>
        <w:t>. The measures needed to contain the pandemic and save lives have a huge impac</w:t>
      </w:r>
      <w:r>
        <w:rPr>
          <w:rFonts w:ascii="Times New Roman" w:hAnsi="Times New Roman" w:cs="Times New Roman"/>
          <w:noProof/>
          <w:sz w:val="24"/>
          <w:szCs w:val="24"/>
        </w:rPr>
        <w:t xml:space="preserve">t on people’s livelihoods, their jobs and their freedoms.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During the early days of the COVID-19 outbreak in Europe, Member States took unilateral measures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to protect their own populations. However, these uncoordinated measures were not effective in overc</w:t>
      </w:r>
      <w:r>
        <w:rPr>
          <w:rFonts w:ascii="Times New Roman" w:hAnsi="Times New Roman" w:cs="Times New Roman"/>
          <w:noProof/>
          <w:sz w:val="24"/>
          <w:szCs w:val="24"/>
        </w:rPr>
        <w:t>oming the virus. Reintroduction of internal border controls, for example, disrupted mobility and the daily life of millions of people living and working in border regions. They disrupted vital supply chains and prevented the flow of essential goods and ser</w:t>
      </w:r>
      <w:r>
        <w:rPr>
          <w:rFonts w:ascii="Times New Roman" w:hAnsi="Times New Roman" w:cs="Times New Roman"/>
          <w:noProof/>
          <w:sz w:val="24"/>
          <w:szCs w:val="24"/>
        </w:rPr>
        <w:t xml:space="preserve">vices across the internal market.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European citizens have been increasingly clear that they expect the EU to have a more active role in protecting their health, particularly in protecting them from health threats that transcend national borders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Coordinat</w:t>
      </w:r>
      <w:r>
        <w:rPr>
          <w:rFonts w:ascii="Times New Roman" w:hAnsi="Times New Roman" w:cs="Times New Roman"/>
          <w:noProof/>
          <w:sz w:val="24"/>
          <w:szCs w:val="24"/>
        </w:rPr>
        <w:t xml:space="preserve">ing and where necessary pooling efforts at European level will deliver more effective responses to the expectations of European citizens in an area which is consistently among their top concerns. We need to heed this call now and in our discussions on the </w:t>
      </w:r>
      <w:r>
        <w:rPr>
          <w:rFonts w:ascii="Times New Roman" w:hAnsi="Times New Roman" w:cs="Times New Roman"/>
          <w:noProof/>
          <w:sz w:val="24"/>
          <w:szCs w:val="24"/>
        </w:rPr>
        <w:t>future of Europe.   Attention needs to be given also to the risk of popular scepticism on health measures, that is partly triggered by an increase of mis- and disinformation on health issues. Health is a prerequisite for a dynamic economy stimulating growt</w:t>
      </w:r>
      <w:r>
        <w:rPr>
          <w:rFonts w:ascii="Times New Roman" w:hAnsi="Times New Roman" w:cs="Times New Roman"/>
          <w:noProof/>
          <w:sz w:val="24"/>
          <w:szCs w:val="24"/>
        </w:rPr>
        <w:t>h, innovation and investment.</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From the beginning of the pandemic, solidarity has been real and tangible. Healthcare workers were at the forefront, working day and night to care for COVID-19 patients, social workers continued to perform indispensable tasks </w:t>
      </w:r>
      <w:r>
        <w:rPr>
          <w:rFonts w:ascii="Times New Roman" w:hAnsi="Times New Roman" w:cs="Times New Roman"/>
          <w:noProof/>
          <w:sz w:val="24"/>
          <w:szCs w:val="24"/>
        </w:rPr>
        <w:t>to support the most vulnerable, including older persons and persons with disabilities. Often, these essential workers were operating while being confronted with staff shortages, limited information on preparedness and insufficient protective equipment, res</w:t>
      </w:r>
      <w:r>
        <w:rPr>
          <w:rFonts w:ascii="Times New Roman" w:hAnsi="Times New Roman" w:cs="Times New Roman"/>
          <w:noProof/>
          <w:sz w:val="24"/>
          <w:szCs w:val="24"/>
        </w:rPr>
        <w:t>ulting in an overexposure to the virus.</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Solidarity has also inspired the EU’s response: as the pandemic progressed, EU Member States turned from unilateral measures, such as export restrictions or the reintroduction of internal border controls, to support </w:t>
      </w:r>
      <w:r>
        <w:rPr>
          <w:rFonts w:ascii="Times New Roman" w:hAnsi="Times New Roman" w:cs="Times New Roman"/>
          <w:noProof/>
          <w:sz w:val="24"/>
          <w:szCs w:val="24"/>
        </w:rPr>
        <w:t>each other, either by receiving COVID-19 patients from neighbouring countries or by sending healthcare professionals and key medical equipment to other regions in need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Through the Coronavirus Response Investment Initiative (CRII), which enabled the mobil</w:t>
      </w:r>
      <w:r>
        <w:rPr>
          <w:rFonts w:ascii="Times New Roman" w:hAnsi="Times New Roman" w:cs="Times New Roman"/>
          <w:noProof/>
          <w:sz w:val="24"/>
          <w:szCs w:val="24"/>
        </w:rPr>
        <w:t xml:space="preserve">isation of unspent EU funds under Cohesion policy, so far EUR 5.9 </w:t>
      </w:r>
      <w:r>
        <w:rPr>
          <w:rFonts w:ascii="Times New Roman" w:hAnsi="Times New Roman" w:cs="Times New Roman"/>
          <w:noProof/>
          <w:sz w:val="24"/>
          <w:szCs w:val="24"/>
        </w:rPr>
        <w:lastRenderedPageBreak/>
        <w:t>billion euros have been reallocated since 1st February 2020 to support health systems and actions in EU Member States and regions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In addition, the European Solidarity Fund’s scope was exte</w:t>
      </w:r>
      <w:r>
        <w:rPr>
          <w:rFonts w:ascii="Times New Roman" w:hAnsi="Times New Roman" w:cs="Times New Roman"/>
          <w:noProof/>
          <w:sz w:val="24"/>
          <w:szCs w:val="24"/>
        </w:rPr>
        <w:t>nded to encompass major public health emergencies. Cooperation and coordination at EU level has increased  and efforts across all sectors have been made. This is the only way to effectively address the different interlocking damage caused by the pandemic i</w:t>
      </w:r>
      <w:r>
        <w:rPr>
          <w:rFonts w:ascii="Times New Roman" w:hAnsi="Times New Roman" w:cs="Times New Roman"/>
          <w:noProof/>
          <w:sz w:val="24"/>
          <w:szCs w:val="24"/>
        </w:rPr>
        <w:t>n the health, economic and social sectors.</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The collective effort to fight the ongoing COVID-19 pandemic, as well as other future health emergencies, calls for strengthened coordination at EU level. Public health measures need to be consistent, coherent and</w:t>
      </w:r>
      <w:r>
        <w:rPr>
          <w:rFonts w:ascii="Times New Roman" w:hAnsi="Times New Roman" w:cs="Times New Roman"/>
          <w:noProof/>
          <w:sz w:val="24"/>
          <w:szCs w:val="24"/>
        </w:rPr>
        <w:t xml:space="preserve"> coordinated to maximise their effect and minimise the damage for people and business alike. The health situation in one Member State is contingent on that of others. Fragmentation of effort in tackling cross-border health threats makes all Member States c</w:t>
      </w:r>
      <w:r>
        <w:rPr>
          <w:rFonts w:ascii="Times New Roman" w:hAnsi="Times New Roman" w:cs="Times New Roman"/>
          <w:noProof/>
          <w:sz w:val="24"/>
          <w:szCs w:val="24"/>
        </w:rPr>
        <w:t>ollectively more vulnerable.</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In her 2020 State of the Union address, the President of the Commission called on Europe to draw lessons from the current crisis and </w:t>
      </w:r>
      <w:r>
        <w:rPr>
          <w:rFonts w:ascii="Times New Roman" w:hAnsi="Times New Roman" w:cs="Times New Roman"/>
          <w:b/>
          <w:bCs/>
          <w:noProof/>
          <w:sz w:val="24"/>
          <w:szCs w:val="24"/>
        </w:rPr>
        <w:t>build a</w:t>
      </w:r>
      <w:r>
        <w:rPr>
          <w:rFonts w:ascii="Times New Roman" w:hAnsi="Times New Roman" w:cs="Times New Roman"/>
          <w:noProof/>
          <w:sz w:val="24"/>
          <w:szCs w:val="24"/>
        </w:rPr>
        <w:t xml:space="preserve"> </w:t>
      </w:r>
      <w:r>
        <w:rPr>
          <w:rFonts w:ascii="Times New Roman" w:hAnsi="Times New Roman" w:cs="Times New Roman"/>
          <w:b/>
          <w:noProof/>
          <w:sz w:val="24"/>
          <w:szCs w:val="24"/>
        </w:rPr>
        <w:t>European Health Union</w:t>
      </w:r>
      <w:r>
        <w:rPr>
          <w:rFonts w:ascii="Times New Roman" w:hAnsi="Times New Roman" w:cs="Times New Roman"/>
          <w:noProof/>
          <w:sz w:val="24"/>
          <w:szCs w:val="24"/>
        </w:rPr>
        <w:t>. As the experience of the current pandemic is showing, gathering the EU Member States’ strengths helps overcome individual weaknesses. By working with the European Parliament and the Council towards a stronger Health Union, the EU can be equipped to preve</w:t>
      </w:r>
      <w:r>
        <w:rPr>
          <w:rFonts w:ascii="Times New Roman" w:hAnsi="Times New Roman" w:cs="Times New Roman"/>
          <w:noProof/>
          <w:sz w:val="24"/>
          <w:szCs w:val="24"/>
        </w:rPr>
        <w:t xml:space="preserve">nt, prepare for and manage health crises both at the EU and global level, with all the societal and economic benefits that it would bring.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A strong European Health Union will protect our way of living, our economies and societies. If public health is in d</w:t>
      </w:r>
      <w:r>
        <w:rPr>
          <w:rFonts w:ascii="Times New Roman" w:hAnsi="Times New Roman" w:cs="Times New Roman"/>
          <w:noProof/>
          <w:sz w:val="24"/>
          <w:szCs w:val="24"/>
        </w:rPr>
        <w:t>anger, the economy inevitably suffers. The close relationship between saving lives and saving livelihoods has never been so apparent. The proposals put forward today will also contribute to a more resilient EU internal market and a sustained economic recov</w:t>
      </w:r>
      <w:r>
        <w:rPr>
          <w:rFonts w:ascii="Times New Roman" w:hAnsi="Times New Roman" w:cs="Times New Roman"/>
          <w:noProof/>
          <w:sz w:val="24"/>
          <w:szCs w:val="24"/>
        </w:rPr>
        <w:t xml:space="preserve">ery.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This agenda for a Health Union is presented in the midst of a widespread resurgence in COVID-19 cases across Europe and the world.  The EU and its Member States will need to continue to take the necessary measures to contain and manage the pandemic o</w:t>
      </w:r>
      <w:r>
        <w:rPr>
          <w:rFonts w:ascii="Times New Roman" w:hAnsi="Times New Roman" w:cs="Times New Roman"/>
          <w:noProof/>
          <w:sz w:val="24"/>
          <w:szCs w:val="24"/>
        </w:rPr>
        <w:t>n a day-to-day basis, for which coordinated EU-level action remain essential. At the same time, planning for future outbreak and increasing our capacity for preparedness and response becomes more pressing as recurrent outbreaks of communicable diseases are</w:t>
      </w:r>
      <w:r>
        <w:rPr>
          <w:rFonts w:ascii="Times New Roman" w:hAnsi="Times New Roman" w:cs="Times New Roman"/>
          <w:noProof/>
          <w:sz w:val="24"/>
          <w:szCs w:val="24"/>
        </w:rPr>
        <w:t xml:space="preserve"> becoming more likely.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Moreover, long-term trends such as antimicrobial resistance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pressures on biodiversity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climate change, all associated with increasing communicable disease threats worldwide and in Europe, keep rising</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In addition, changing de</w:t>
      </w:r>
      <w:r>
        <w:rPr>
          <w:rFonts w:ascii="Times New Roman" w:hAnsi="Times New Roman" w:cs="Times New Roman"/>
          <w:noProof/>
          <w:sz w:val="24"/>
          <w:szCs w:val="24"/>
        </w:rPr>
        <w:t xml:space="preserve">mographic structures in our population, in particular ageing, lead to changing health vulnerabilities and disease patterns. This require a systemic, foresight-based approach recognising the interaction between human and animal </w:t>
      </w:r>
      <w:r>
        <w:rPr>
          <w:rFonts w:ascii="Times New Roman" w:hAnsi="Times New Roman" w:cs="Times New Roman"/>
          <w:noProof/>
          <w:sz w:val="24"/>
          <w:szCs w:val="24"/>
        </w:rPr>
        <w:lastRenderedPageBreak/>
        <w:t>health and the environment to</w:t>
      </w:r>
      <w:r>
        <w:rPr>
          <w:rFonts w:ascii="Times New Roman" w:hAnsi="Times New Roman" w:cs="Times New Roman"/>
          <w:noProof/>
          <w:sz w:val="24"/>
          <w:szCs w:val="24"/>
        </w:rPr>
        <w:t xml:space="preserve"> develop structural, future-proof solutions, coherent with a One-Health approach.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Health Union builds on the EU’s joint effort to reconcile our relationship with the natural environment by engaging in different and more sustainable patterns of economic growth, as put forward the by the European Green Deal. Fighting climate </w:t>
      </w:r>
      <w:r>
        <w:rPr>
          <w:rFonts w:ascii="Times New Roman" w:hAnsi="Times New Roman" w:cs="Times New Roman"/>
          <w:noProof/>
          <w:sz w:val="24"/>
          <w:szCs w:val="24"/>
        </w:rPr>
        <w:t>change and finding ways to adapt to it, preserving and restoring biodiversity, improving diets and lifestyles, reducing and removing pollution from the environment improves will have positive effects on citizens’ health and the European Health Union will b</w:t>
      </w:r>
      <w:r>
        <w:rPr>
          <w:rFonts w:ascii="Times New Roman" w:hAnsi="Times New Roman" w:cs="Times New Roman"/>
          <w:noProof/>
          <w:sz w:val="24"/>
          <w:szCs w:val="24"/>
        </w:rPr>
        <w:t xml:space="preserve">e able to better protect.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This Communication proposes first building blocks for a European Health Union. It implements the obligation to ensure high level of human health protection as defined in the Charter of Fundamental Rights of the European Unio</w:t>
      </w:r>
      <w:r>
        <w:rPr>
          <w:rFonts w:ascii="Times New Roman" w:hAnsi="Times New Roman" w:cs="Times New Roman"/>
          <w:noProof/>
          <w:sz w:val="24"/>
          <w:szCs w:val="24"/>
        </w:rPr>
        <w:t xml:space="preserve">n. It outlines the lessons learnt from the first stage of the pandemic, and advocates the strengthening of existing structures and mechanisms for better EU level protection, prevention, preparedness and response against human health hazards. It recommends </w:t>
      </w:r>
      <w:r>
        <w:rPr>
          <w:rFonts w:ascii="Times New Roman" w:hAnsi="Times New Roman" w:cs="Times New Roman"/>
          <w:noProof/>
          <w:sz w:val="24"/>
          <w:szCs w:val="24"/>
        </w:rPr>
        <w:t xml:space="preserve">a reinforced framework for cross-border cooperation against all health threats in order to better protect lives and the internal market as well as to maintain the highest standards in the protection of human rights and civil liberties. It also strengthens </w:t>
      </w:r>
      <w:r>
        <w:rPr>
          <w:rFonts w:ascii="Times New Roman" w:eastAsia="Times New Roman" w:hAnsi="Times New Roman" w:cs="Times New Roman"/>
          <w:noProof/>
          <w:sz w:val="24"/>
          <w:szCs w:val="20"/>
        </w:rPr>
        <w:t>the EU role in international coordination and cooperation to prevent and control cross-border health threats and improve global health security.</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These first proposals are envisaged within the current Treaty provisions, particularly in respect of Article 16</w:t>
      </w:r>
      <w:r>
        <w:rPr>
          <w:rFonts w:ascii="Times New Roman" w:hAnsi="Times New Roman" w:cs="Times New Roman"/>
          <w:noProof/>
          <w:sz w:val="24"/>
          <w:szCs w:val="24"/>
        </w:rPr>
        <w:t>8 (5) of the TFEU. By upgrading the EU framework for cross-border health threats, these first building blocks of the European Health Union will bring greater overall impact while fully respecting the Member States’ competence in the area of health.</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Concret</w:t>
      </w:r>
      <w:r>
        <w:rPr>
          <w:rFonts w:ascii="Times New Roman" w:hAnsi="Times New Roman" w:cs="Times New Roman"/>
          <w:noProof/>
          <w:sz w:val="24"/>
          <w:szCs w:val="24"/>
        </w:rPr>
        <w:t>ely, this Communication is accompanied by three legislative proposals: an upgrading of Decision 1082/2013/EU on serious cross-border health threats, a strengthening of the mandate of the European Centre for Disease Prevention and Control (ECDC), and an ext</w:t>
      </w:r>
      <w:r>
        <w:rPr>
          <w:rFonts w:ascii="Times New Roman" w:hAnsi="Times New Roman" w:cs="Times New Roman"/>
          <w:noProof/>
          <w:sz w:val="24"/>
          <w:szCs w:val="24"/>
        </w:rPr>
        <w:t>ension of the mandate of the European Medicines Agency (EMA)</w:t>
      </w:r>
      <w:r>
        <w:rPr>
          <w:noProof/>
          <w:vertAlign w:val="superscript"/>
        </w:rPr>
        <w:footnoteReference w:id="11"/>
      </w:r>
      <w:r>
        <w:rPr>
          <w:rFonts w:ascii="Times New Roman" w:hAnsi="Times New Roman" w:cs="Times New Roman"/>
          <w:noProof/>
          <w:sz w:val="24"/>
          <w:szCs w:val="24"/>
        </w:rPr>
        <w:t>. It links to the proposal for enhancing the Union Civil Protection Mechanism</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proposed by the Commission in June 2020</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Together, these proposals will put in place a robust and cost-effective f</w:t>
      </w:r>
      <w:r>
        <w:rPr>
          <w:rFonts w:ascii="Times New Roman" w:hAnsi="Times New Roman" w:cs="Times New Roman"/>
          <w:noProof/>
          <w:sz w:val="24"/>
          <w:szCs w:val="24"/>
        </w:rPr>
        <w:t>ramework to enable EU Member States to respond to future health crises as a Union.</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Where the legislative proposals entail the processing of personal data, this will happen in full compliance with the applicable EU data protection rules. The principles and </w:t>
      </w:r>
      <w:r>
        <w:rPr>
          <w:rFonts w:ascii="Times New Roman" w:hAnsi="Times New Roman" w:cs="Times New Roman"/>
          <w:noProof/>
          <w:sz w:val="24"/>
          <w:szCs w:val="24"/>
        </w:rPr>
        <w:t>specific safeguards laid down by the EU data protection framework</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allow for an effective and comprehensive protection of personal data, including data concerning health. </w:t>
      </w:r>
    </w:p>
    <w:p w:rsidR="00677F2D" w:rsidRDefault="00677F2D">
      <w:pPr>
        <w:pStyle w:val="NoSpacing"/>
        <w:rPr>
          <w:noProof/>
        </w:rPr>
      </w:pPr>
    </w:p>
    <w:p w:rsidR="00677F2D" w:rsidRDefault="008241A6">
      <w:pPr>
        <w:pStyle w:val="ManualHeading1"/>
        <w:spacing w:before="0" w:after="360"/>
        <w:rPr>
          <w:noProof/>
        </w:rPr>
      </w:pPr>
      <w:r>
        <w:rPr>
          <w:noProof/>
          <w:szCs w:val="24"/>
        </w:rPr>
        <w:t>2.</w:t>
      </w:r>
      <w:r>
        <w:rPr>
          <w:noProof/>
          <w:szCs w:val="24"/>
        </w:rPr>
        <w:tab/>
        <w:t>EARLY LESSONS LEARNT FROM THE COVID-19 PANDEMIC AND PROPOSALS FOR THE WAY FORWAR</w:t>
      </w:r>
      <w:r>
        <w:rPr>
          <w:noProof/>
          <w:szCs w:val="24"/>
        </w:rPr>
        <w:t xml:space="preserve">D </w:t>
      </w:r>
    </w:p>
    <w:p w:rsidR="00677F2D" w:rsidRDefault="008241A6">
      <w:pPr>
        <w:jc w:val="both"/>
        <w:rPr>
          <w:rFonts w:ascii="Times New Roman" w:eastAsia="Times New Roman" w:hAnsi="Times New Roman" w:cs="Times New Roman"/>
          <w:noProof/>
          <w:sz w:val="24"/>
        </w:rPr>
      </w:pPr>
      <w:r>
        <w:rPr>
          <w:rFonts w:ascii="Times New Roman" w:hAnsi="Times New Roman" w:cs="Times New Roman"/>
          <w:noProof/>
          <w:sz w:val="24"/>
          <w:szCs w:val="24"/>
        </w:rPr>
        <w:t>In 2013, the EU put in place a health security framework to protect its citizens, to promote coordination between Member States and with neighbouring countries, and to respond to the increasing threat of communicable diseases. The Decision on serious cr</w:t>
      </w:r>
      <w:r>
        <w:rPr>
          <w:rFonts w:ascii="Times New Roman" w:hAnsi="Times New Roman" w:cs="Times New Roman"/>
          <w:noProof/>
          <w:sz w:val="24"/>
          <w:szCs w:val="24"/>
        </w:rPr>
        <w:t>oss-border health threats</w:t>
      </w:r>
      <w:r>
        <w:rPr>
          <w:rStyle w:val="FootnoteReference"/>
          <w:rFonts w:ascii="Times New Roman" w:eastAsia="Times New Roman" w:hAnsi="Times New Roman" w:cs="Times New Roman"/>
          <w:noProof/>
          <w:sz w:val="24"/>
        </w:rPr>
        <w:footnoteReference w:id="15"/>
      </w:r>
      <w:r>
        <w:rPr>
          <w:rFonts w:ascii="Times New Roman" w:hAnsi="Times New Roman" w:cs="Times New Roman"/>
          <w:noProof/>
          <w:sz w:val="24"/>
          <w:szCs w:val="24"/>
        </w:rPr>
        <w:t xml:space="preserve"> was adopted, aiming to improve preparedness across Europe and to strengthen its capacity to rapidly detect, monitor and coordinate responses to health emergencies caused by communicable diseases, biological or chemical agents, or</w:t>
      </w:r>
      <w:r>
        <w:rPr>
          <w:rFonts w:ascii="Times New Roman" w:hAnsi="Times New Roman" w:cs="Times New Roman"/>
          <w:noProof/>
          <w:sz w:val="24"/>
          <w:szCs w:val="24"/>
        </w:rPr>
        <w:t xml:space="preserve"> environmental and climate events, and threats of unknown origin.</w:t>
      </w:r>
      <w:r>
        <w:rPr>
          <w:rFonts w:ascii="Times New Roman" w:eastAsia="Times New Roman" w:hAnsi="Times New Roman" w:cs="Times New Roman"/>
          <w:noProof/>
          <w:sz w:val="24"/>
        </w:rPr>
        <w:t xml:space="preserve"> </w:t>
      </w:r>
    </w:p>
    <w:p w:rsidR="00677F2D" w:rsidRDefault="008241A6">
      <w:pPr>
        <w:spacing w:before="24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The 2020 Annual Strategic Foresight Report showed that there is a need to better anticipate health risks and prevent the spread of new infectious diseases and associated disorders. Embeddin</w:t>
      </w:r>
      <w:r>
        <w:rPr>
          <w:rFonts w:ascii="Times New Roman" w:hAnsi="Times New Roman" w:cs="Times New Roman"/>
          <w:noProof/>
          <w:sz w:val="24"/>
          <w:szCs w:val="24"/>
        </w:rPr>
        <w:t>g foresight in health policies will therefore contribute to better preparedness and resilience.</w:t>
      </w:r>
    </w:p>
    <w:p w:rsidR="00677F2D" w:rsidRDefault="00677F2D">
      <w:pPr>
        <w:spacing w:before="240" w:after="240"/>
        <w:contextualSpacing/>
        <w:jc w:val="both"/>
        <w:rPr>
          <w:rFonts w:ascii="Times New Roman" w:hAnsi="Times New Roman" w:cs="Times New Roman"/>
          <w:noProof/>
          <w:sz w:val="24"/>
          <w:szCs w:val="24"/>
        </w:rPr>
      </w:pPr>
    </w:p>
    <w:p w:rsidR="00677F2D" w:rsidRDefault="008241A6">
      <w:pPr>
        <w:spacing w:before="24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The COVID-19 public health crisis has highlighted that the EU and Member States must do more regarding preparedness and response planning for epidemics and oth</w:t>
      </w:r>
      <w:r>
        <w:rPr>
          <w:rFonts w:ascii="Times New Roman" w:hAnsi="Times New Roman" w:cs="Times New Roman"/>
          <w:noProof/>
          <w:sz w:val="24"/>
          <w:szCs w:val="24"/>
        </w:rPr>
        <w:t>er serious cross-border health threats. While structures and mechanisms set up at EU level as part of the Decision on serious cross-border health threats facilitated the exchange of information on the evolution of the pandemic and supported specific nation</w:t>
      </w:r>
      <w:r>
        <w:rPr>
          <w:rFonts w:ascii="Times New Roman" w:hAnsi="Times New Roman" w:cs="Times New Roman"/>
          <w:noProof/>
          <w:sz w:val="24"/>
          <w:szCs w:val="24"/>
        </w:rPr>
        <w:t xml:space="preserve">al measures taken, they could do little to trigger a timely common EU level response and ensure coherent risk communication. This lack of coherence and coordination continues to be an obstacle to tackling the pandemic. </w:t>
      </w:r>
    </w:p>
    <w:p w:rsidR="00677F2D" w:rsidRDefault="00677F2D">
      <w:pPr>
        <w:spacing w:before="240" w:after="240"/>
        <w:contextualSpacing/>
        <w:jc w:val="both"/>
        <w:rPr>
          <w:rFonts w:ascii="Times New Roman" w:hAnsi="Times New Roman" w:cs="Times New Roman"/>
          <w:noProof/>
          <w:sz w:val="24"/>
          <w:szCs w:val="24"/>
        </w:rPr>
      </w:pPr>
    </w:p>
    <w:p w:rsidR="00677F2D" w:rsidRDefault="008241A6">
      <w:pPr>
        <w:spacing w:before="240" w:after="240"/>
        <w:contextualSpacing/>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The crisis response from the </w:t>
      </w:r>
      <w:r>
        <w:rPr>
          <w:rFonts w:ascii="Times New Roman" w:eastAsia="Times New Roman" w:hAnsi="Times New Roman" w:cs="Times New Roman"/>
          <w:b/>
          <w:noProof/>
          <w:sz w:val="24"/>
          <w:szCs w:val="20"/>
        </w:rPr>
        <w:t>European Centre for Disease Prevention and Control (ECDC) and the European Medicines Agency (EMA)</w:t>
      </w:r>
    </w:p>
    <w:p w:rsidR="00677F2D" w:rsidRDefault="00677F2D">
      <w:pPr>
        <w:spacing w:before="240" w:after="240"/>
        <w:contextualSpacing/>
        <w:jc w:val="both"/>
        <w:rPr>
          <w:rFonts w:ascii="Times New Roman" w:eastAsia="Times New Roman" w:hAnsi="Times New Roman" w:cs="Times New Roman"/>
          <w:noProof/>
          <w:sz w:val="24"/>
          <w:szCs w:val="20"/>
        </w:rPr>
      </w:pPr>
    </w:p>
    <w:p w:rsidR="00677F2D" w:rsidRDefault="008241A6">
      <w:pPr>
        <w:spacing w:before="240" w:after="240"/>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ECDC’s role in the EU’s health security framework is crucial. However, there is a need to strengthen the Agency’s capabilities to better protect citizens. Fo</w:t>
      </w:r>
      <w:r>
        <w:rPr>
          <w:rFonts w:ascii="Times New Roman" w:eastAsia="Times New Roman" w:hAnsi="Times New Roman" w:cs="Times New Roman"/>
          <w:noProof/>
          <w:sz w:val="24"/>
          <w:szCs w:val="20"/>
        </w:rPr>
        <w:t>r example, its surveillance system has to be reinforced so as to deliver its full potential as at present the ECDC has a limited mandate/capacity to provide analysed data that support early evidence-based decision making and real-time situational awareness</w:t>
      </w:r>
      <w:r>
        <w:rPr>
          <w:rFonts w:ascii="Times New Roman" w:eastAsia="Times New Roman" w:hAnsi="Times New Roman" w:cs="Times New Roman"/>
          <w:noProof/>
          <w:sz w:val="24"/>
          <w:szCs w:val="20"/>
        </w:rPr>
        <w:t xml:space="preserve">. In a context such as the COVID-19 pandemic, ECDC needs to be able to provide hands-on support to Member States, and the Agency’s scientific recommendations for appropriate health measures need to address Member State-specific elements. The ECDC needs to </w:t>
      </w:r>
      <w:r>
        <w:rPr>
          <w:rFonts w:ascii="Times New Roman" w:eastAsia="Times New Roman" w:hAnsi="Times New Roman" w:cs="Times New Roman"/>
          <w:noProof/>
          <w:sz w:val="24"/>
          <w:szCs w:val="20"/>
        </w:rPr>
        <w:t xml:space="preserve">become a real EU Health Agency that Member States can entrust to deal with crisis preparedness and response as appropriate. </w:t>
      </w:r>
    </w:p>
    <w:p w:rsidR="00677F2D" w:rsidRDefault="00677F2D">
      <w:pPr>
        <w:spacing w:before="240" w:after="240"/>
        <w:contextualSpacing/>
        <w:jc w:val="both"/>
        <w:rPr>
          <w:rFonts w:ascii="Times New Roman" w:eastAsia="Times New Roman" w:hAnsi="Times New Roman" w:cs="Times New Roman"/>
          <w:noProof/>
          <w:sz w:val="24"/>
          <w:szCs w:val="20"/>
        </w:rPr>
      </w:pPr>
    </w:p>
    <w:p w:rsidR="00677F2D" w:rsidRDefault="008241A6">
      <w:pPr>
        <w:spacing w:before="240" w:after="240"/>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EMA also plays an essential role in the EU’s health security framework, particularly regarding the assessment of safe and effectiv</w:t>
      </w:r>
      <w:r>
        <w:rPr>
          <w:rFonts w:ascii="Times New Roman" w:eastAsia="Times New Roman" w:hAnsi="Times New Roman" w:cs="Times New Roman"/>
          <w:noProof/>
          <w:sz w:val="24"/>
          <w:szCs w:val="20"/>
        </w:rPr>
        <w:t>e treatments and vaccines. However, the COVID-19 pandemic has shown that EMA lacks a strong system to monitor and mitigate shortages of critical medicines, as well as a solid framework for crisis response. As a result, the Agency’s ability to fast track sc</w:t>
      </w:r>
      <w:r>
        <w:rPr>
          <w:rFonts w:ascii="Times New Roman" w:eastAsia="Times New Roman" w:hAnsi="Times New Roman" w:cs="Times New Roman"/>
          <w:noProof/>
          <w:sz w:val="24"/>
          <w:szCs w:val="20"/>
        </w:rPr>
        <w:t xml:space="preserve">ientific advice, procedures and obligations on Member States and developers has been hampered. </w:t>
      </w:r>
    </w:p>
    <w:p w:rsidR="00677F2D" w:rsidRDefault="00677F2D">
      <w:pPr>
        <w:spacing w:before="240" w:after="240"/>
        <w:contextualSpacing/>
        <w:jc w:val="both"/>
        <w:rPr>
          <w:rFonts w:ascii="Times New Roman" w:eastAsia="Times New Roman" w:hAnsi="Times New Roman" w:cs="Times New Roman"/>
          <w:noProof/>
          <w:sz w:val="24"/>
          <w:szCs w:val="20"/>
        </w:rPr>
      </w:pP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The COVID-19 pandemic has thus clearly shown that there are opportunities to further strengthen and improve the EU health security framework</w:t>
      </w:r>
      <w:r>
        <w:rPr>
          <w:noProof/>
        </w:rPr>
        <w:t xml:space="preserve"> </w:t>
      </w:r>
      <w:r>
        <w:rPr>
          <w:rFonts w:ascii="Times New Roman" w:hAnsi="Times New Roman" w:cs="Times New Roman"/>
          <w:noProof/>
          <w:sz w:val="24"/>
          <w:szCs w:val="24"/>
        </w:rPr>
        <w:t>to be ready for al</w:t>
      </w:r>
      <w:r>
        <w:rPr>
          <w:rFonts w:ascii="Times New Roman" w:hAnsi="Times New Roman" w:cs="Times New Roman"/>
          <w:noProof/>
          <w:sz w:val="24"/>
          <w:szCs w:val="24"/>
        </w:rPr>
        <w:t>l health threats. Significant gaps and an evident need for more EU coordination have become apparent in public health preparedness and response. Inconsistencies in the application of health measures – such as the use of masks, social distancing requirement</w:t>
      </w:r>
      <w:r>
        <w:rPr>
          <w:rFonts w:ascii="Times New Roman" w:hAnsi="Times New Roman" w:cs="Times New Roman"/>
          <w:noProof/>
          <w:sz w:val="24"/>
          <w:szCs w:val="24"/>
        </w:rPr>
        <w:t>s, testing strategies and isolation/quarantine requirements – have led citizens to question the scientific basis for these policies. Capacity shortages, shortfalls in equipment, shortcomings in testing and contact tracing, and a failure to protect the most</w:t>
      </w:r>
      <w:r>
        <w:rPr>
          <w:rFonts w:ascii="Times New Roman" w:hAnsi="Times New Roman" w:cs="Times New Roman"/>
          <w:noProof/>
          <w:sz w:val="24"/>
          <w:szCs w:val="24"/>
        </w:rPr>
        <w:t xml:space="preserve"> vulnerable groups have all pointed to a lack of readiness and preparation, as well as to structural weaknesses and lack of resources. EU solidarity mechanisms offered ways to offset these problems, but were not extensively used. For example, the EU Civil </w:t>
      </w:r>
      <w:r>
        <w:rPr>
          <w:rFonts w:ascii="Times New Roman" w:hAnsi="Times New Roman" w:cs="Times New Roman"/>
          <w:noProof/>
          <w:sz w:val="24"/>
          <w:szCs w:val="24"/>
        </w:rPr>
        <w:t>Protection Mechanism could have been drawn on far more effectively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Such disparities when dealing with an identical threat, which threatens all of us, cannot be maintained.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While the pandemic is still ongoing, early lessons learnt have identified these c</w:t>
      </w:r>
      <w:r>
        <w:rPr>
          <w:rFonts w:ascii="Times New Roman" w:hAnsi="Times New Roman" w:cs="Times New Roman"/>
          <w:noProof/>
          <w:sz w:val="24"/>
          <w:szCs w:val="24"/>
        </w:rPr>
        <w:t>hallenges and are being addressed herewith. It is evident that further investments and reforms are necessary in health systems to ensure that they have the required means and resources to come out of the current crisis, as well as to strengthen their longe</w:t>
      </w:r>
      <w:r>
        <w:rPr>
          <w:rFonts w:ascii="Times New Roman" w:hAnsi="Times New Roman" w:cs="Times New Roman"/>
          <w:noProof/>
          <w:sz w:val="24"/>
          <w:szCs w:val="24"/>
        </w:rPr>
        <w:t>r-term resilience in order to manage public health crises in the future.</w:t>
      </w:r>
    </w:p>
    <w:p w:rsidR="00677F2D" w:rsidRDefault="008241A6">
      <w:pPr>
        <w:pStyle w:val="ManualHeading1"/>
        <w:spacing w:before="0" w:after="360"/>
        <w:rPr>
          <w:noProof/>
        </w:rPr>
      </w:pPr>
      <w:r>
        <w:rPr>
          <w:noProof/>
          <w:szCs w:val="24"/>
        </w:rPr>
        <w:t>3.</w:t>
      </w:r>
      <w:r>
        <w:rPr>
          <w:noProof/>
          <w:szCs w:val="24"/>
        </w:rPr>
        <w:tab/>
        <w:t>ENFORCING COORDINATED RESPONSE AT THE EU LEVEL</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Coordination of health measures is central not only to an effective practical response by the authorities but also to ensure that cit</w:t>
      </w:r>
      <w:r>
        <w:rPr>
          <w:rFonts w:ascii="Times New Roman" w:hAnsi="Times New Roman" w:cs="Times New Roman"/>
          <w:noProof/>
          <w:sz w:val="24"/>
          <w:szCs w:val="24"/>
        </w:rPr>
        <w:t>izens understand that action is evidence-based and grounded in consensus. The EU’s health security framework sets out the work of the Commission through the EU Health Security Committee and the Early Warning and Response System (EWRS). At Council level, th</w:t>
      </w:r>
      <w:r>
        <w:rPr>
          <w:rFonts w:ascii="Times New Roman" w:hAnsi="Times New Roman" w:cs="Times New Roman"/>
          <w:noProof/>
          <w:sz w:val="24"/>
          <w:szCs w:val="24"/>
        </w:rPr>
        <w:t>e EU Integrated Political Crisis Response (IPCR) arrangements have been used to carry out coordination and to support the EU’s political response.</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The Health Security Committee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is a key body where EU Member States consult each other in liaison with the Co</w:t>
      </w:r>
      <w:r>
        <w:rPr>
          <w:rFonts w:ascii="Times New Roman" w:hAnsi="Times New Roman" w:cs="Times New Roman"/>
          <w:noProof/>
          <w:sz w:val="24"/>
          <w:szCs w:val="24"/>
        </w:rPr>
        <w:t xml:space="preserve">mmission with a view to coordinating preparedness and response planning, national responses, and risk and crisis communication related to serious cross-border threats to health.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In response to COVID-19, the Health Security Committee convened, from January</w:t>
      </w:r>
      <w:r>
        <w:rPr>
          <w:rFonts w:ascii="Times New Roman" w:hAnsi="Times New Roman" w:cs="Times New Roman"/>
          <w:noProof/>
          <w:sz w:val="24"/>
          <w:szCs w:val="24"/>
        </w:rPr>
        <w:t xml:space="preserve"> to November 2020, more than 40 times, to discuss risk assessments, guidance from ECDC, preparedness and response measures implemented, as well as capacities and needs in Member States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 Committee proved to be a key forum for exchange of information an</w:t>
      </w:r>
      <w:r>
        <w:rPr>
          <w:rFonts w:ascii="Times New Roman" w:hAnsi="Times New Roman" w:cs="Times New Roman"/>
          <w:noProof/>
          <w:sz w:val="24"/>
          <w:szCs w:val="24"/>
        </w:rPr>
        <w:t xml:space="preserve">d developing common positions in certain areas, such as the Health Security Committee agreement on recommendations for COVID-19 testing strategies. This was a prerequisite for effectively communicating to citizens, at EU but also at national level. On the </w:t>
      </w:r>
      <w:r>
        <w:rPr>
          <w:rFonts w:ascii="Times New Roman" w:hAnsi="Times New Roman" w:cs="Times New Roman"/>
          <w:noProof/>
          <w:sz w:val="24"/>
          <w:szCs w:val="24"/>
        </w:rPr>
        <w:t>other hand, it became apparent that the Health Security Committee has a limited ability to enforce or coordinate the national responses around control measures or to implement the agreed common approaches. This is exemplified by the wide variety of nationa</w:t>
      </w:r>
      <w:r>
        <w:rPr>
          <w:rFonts w:ascii="Times New Roman" w:hAnsi="Times New Roman" w:cs="Times New Roman"/>
          <w:noProof/>
          <w:sz w:val="24"/>
          <w:szCs w:val="24"/>
        </w:rPr>
        <w:t>l control measures that exist and that were implemented across the EU, such as social distancing, mask wearing or measures at points of entry. The imposition of export restrictions on personal protective equipment, the implementation of border restrictions</w:t>
      </w:r>
      <w:r>
        <w:rPr>
          <w:rFonts w:ascii="Times New Roman" w:hAnsi="Times New Roman" w:cs="Times New Roman"/>
          <w:noProof/>
          <w:sz w:val="24"/>
          <w:szCs w:val="24"/>
        </w:rPr>
        <w:t xml:space="preserve"> without mechanisms to ensure the necessary flow and exchange of goods and people, or the use of therapeutics outside of the context of clinical trials, further showed the plethora of measures identified.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Moreover, the coordination of communication aspect</w:t>
      </w:r>
      <w:r>
        <w:rPr>
          <w:rFonts w:ascii="Times New Roman" w:hAnsi="Times New Roman" w:cs="Times New Roman"/>
          <w:noProof/>
          <w:sz w:val="24"/>
          <w:szCs w:val="24"/>
        </w:rPr>
        <w:t>s, under the remit of the Health Security Committee Communicators’ Network, proved to have limited EU efficacy. This was partly a consequence of different national approaches taken. However, it may also be a result of the minimal engagement of Member State</w:t>
      </w:r>
      <w:r>
        <w:rPr>
          <w:rFonts w:ascii="Times New Roman" w:hAnsi="Times New Roman" w:cs="Times New Roman"/>
          <w:noProof/>
          <w:sz w:val="24"/>
          <w:szCs w:val="24"/>
        </w:rPr>
        <w:t xml:space="preserve">s, exemplified by low rates of attendance in Network meetings.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In addition, experience has shown that the interplay between technical discussions in European structures, such as the Health Security Committee, and the Ministries of Health in Member States,</w:t>
      </w:r>
      <w:r>
        <w:rPr>
          <w:rFonts w:ascii="Times New Roman" w:hAnsi="Times New Roman" w:cs="Times New Roman"/>
          <w:noProof/>
          <w:sz w:val="24"/>
          <w:szCs w:val="24"/>
        </w:rPr>
        <w:t xml:space="preserve"> is not always straightforward and this has a clear impact on decisions taken at national level. Moreover, given that health crises like COVID-19 are multi-sectoral in nature, a key priority will be to enhance cross-sectoral linkages and coordination with </w:t>
      </w:r>
      <w:r>
        <w:rPr>
          <w:rFonts w:ascii="Times New Roman" w:hAnsi="Times New Roman" w:cs="Times New Roman"/>
          <w:noProof/>
          <w:sz w:val="24"/>
          <w:szCs w:val="24"/>
        </w:rPr>
        <w:t>other relevant structures and constituencies beyond the Health Security Committee, for instance in the area of civil protection, which has a cross-cutting emergency and disaster preparedness as well as response function.</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In light of this, it has become app</w:t>
      </w:r>
      <w:r>
        <w:rPr>
          <w:rFonts w:ascii="Times New Roman" w:hAnsi="Times New Roman" w:cs="Times New Roman"/>
          <w:noProof/>
          <w:sz w:val="24"/>
          <w:szCs w:val="24"/>
        </w:rPr>
        <w:t>arent that the Health Security Committee must be strengthened to allow the triggering of a common EU-level response and enhanced coordination of risk communication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Based on this, the proposals present a strengthened mandate to enforce coordinated respons</w:t>
      </w:r>
      <w:r>
        <w:rPr>
          <w:rFonts w:ascii="Times New Roman" w:hAnsi="Times New Roman" w:cs="Times New Roman"/>
          <w:noProof/>
          <w:sz w:val="24"/>
          <w:szCs w:val="24"/>
        </w:rPr>
        <w:t xml:space="preserve">e at EU level in the Health Security Committee. This will be enabled by </w:t>
      </w:r>
      <w:r>
        <w:rPr>
          <w:rFonts w:ascii="Times New Roman" w:hAnsi="Times New Roman" w:cs="Times New Roman"/>
          <w:b/>
          <w:bCs/>
          <w:noProof/>
          <w:sz w:val="24"/>
          <w:szCs w:val="24"/>
        </w:rPr>
        <w:t>targeted recommendations on response measures by the ECDC</w:t>
      </w:r>
      <w:r>
        <w:rPr>
          <w:rFonts w:ascii="Times New Roman" w:hAnsi="Times New Roman" w:cs="Times New Roman"/>
          <w:noProof/>
          <w:sz w:val="24"/>
          <w:szCs w:val="24"/>
        </w:rPr>
        <w:t xml:space="preserve"> and relevant EU decentralised Agencies, incorporated in the risk assessments provided to the Health Security Committee. In tur</w:t>
      </w:r>
      <w:r>
        <w:rPr>
          <w:rFonts w:ascii="Times New Roman" w:hAnsi="Times New Roman" w:cs="Times New Roman"/>
          <w:noProof/>
          <w:sz w:val="24"/>
          <w:szCs w:val="24"/>
        </w:rPr>
        <w:t xml:space="preserve">n, </w:t>
      </w:r>
      <w:r>
        <w:rPr>
          <w:rFonts w:ascii="Times New Roman" w:hAnsi="Times New Roman" w:cs="Times New Roman"/>
          <w:b/>
          <w:bCs/>
          <w:noProof/>
          <w:sz w:val="24"/>
          <w:szCs w:val="24"/>
        </w:rPr>
        <w:t>the Health Security Committee can formally adopt guidance and opinions complemented by</w:t>
      </w:r>
      <w:r>
        <w:rPr>
          <w:rFonts w:ascii="Times New Roman" w:hAnsi="Times New Roman" w:cs="Times New Roman"/>
          <w:noProof/>
          <w:sz w:val="24"/>
          <w:szCs w:val="24"/>
        </w:rPr>
        <w:t xml:space="preserve"> Commission recommendations. Crucially, the adoption of these recommendations would translate into actual implementable measures within countries. It is essential that</w:t>
      </w:r>
      <w:r>
        <w:rPr>
          <w:rFonts w:ascii="Times New Roman" w:hAnsi="Times New Roman" w:cs="Times New Roman"/>
          <w:noProof/>
          <w:sz w:val="24"/>
          <w:szCs w:val="24"/>
        </w:rPr>
        <w:t xml:space="preserve"> Member States commit to implement the work of the Health Security Committee. In order to underline the increased role of the Health Security Committee and in analogy to the Economic and Financial Committee (EFC), Deputy Health Ministers will meet in the h</w:t>
      </w:r>
      <w:r>
        <w:rPr>
          <w:rFonts w:ascii="Times New Roman" w:hAnsi="Times New Roman" w:cs="Times New Roman"/>
          <w:noProof/>
          <w:sz w:val="24"/>
          <w:szCs w:val="24"/>
        </w:rPr>
        <w:t>igh-level working group of the HSC, in particular when politically sensitive issues are on its agenda.</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for the recognition of an emergency at the EU level will also be amended. The new rules will enable the activation of EU emergency </w:t>
      </w:r>
      <w:r>
        <w:rPr>
          <w:rFonts w:ascii="Times New Roman" w:hAnsi="Times New Roman" w:cs="Times New Roman"/>
          <w:noProof/>
          <w:sz w:val="24"/>
          <w:szCs w:val="24"/>
        </w:rPr>
        <w:t>response mechanisms, in close coordination with the World Health Organization (WHO), without making it contingent upon the WHO’s own declaration of a Public Health Emergency of International Concern (PHEIC). This will give further flexibility to the EU whe</w:t>
      </w:r>
      <w:r>
        <w:rPr>
          <w:rFonts w:ascii="Times New Roman" w:hAnsi="Times New Roman" w:cs="Times New Roman"/>
          <w:noProof/>
          <w:sz w:val="24"/>
          <w:szCs w:val="24"/>
        </w:rPr>
        <w:t>n tackling health crises. For example, the recognition of an emergency situation at EU level would allow for the flexible development, manufacturing, stockpiling and procurement of critical products during a crisis, as well as the adoption of immediately a</w:t>
      </w:r>
      <w:r>
        <w:rPr>
          <w:rFonts w:ascii="Times New Roman" w:hAnsi="Times New Roman" w:cs="Times New Roman"/>
          <w:noProof/>
          <w:sz w:val="24"/>
          <w:szCs w:val="24"/>
        </w:rPr>
        <w:t xml:space="preserve">pplicable implementing acts by the Commission concerning the protection of human health and to ensure the smooth functioning of the internal market. This should be done ensuring full complementarity with the Union Civil Protection Mechanism, including its </w:t>
      </w:r>
      <w:r>
        <w:rPr>
          <w:rFonts w:ascii="Times New Roman" w:hAnsi="Times New Roman" w:cs="Times New Roman"/>
          <w:noProof/>
          <w:sz w:val="24"/>
          <w:szCs w:val="24"/>
        </w:rPr>
        <w:t>Emergency Medical Teams.</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not act unilaterally in such a recognition, with the process supported by an </w:t>
      </w:r>
      <w:r>
        <w:rPr>
          <w:rFonts w:ascii="Times New Roman" w:hAnsi="Times New Roman" w:cs="Times New Roman"/>
          <w:b/>
          <w:bCs/>
          <w:noProof/>
          <w:sz w:val="24"/>
          <w:szCs w:val="24"/>
        </w:rPr>
        <w:t>independent Advisory Committee</w:t>
      </w:r>
      <w:r>
        <w:rPr>
          <w:rFonts w:ascii="Times New Roman" w:hAnsi="Times New Roman" w:cs="Times New Roman"/>
          <w:noProof/>
          <w:sz w:val="24"/>
          <w:szCs w:val="24"/>
        </w:rPr>
        <w:t xml:space="preserve"> to provide advice on the recognition and termination of a public health emergency as well as on response measures. The Advisory Committee will be essential in ensuring evidence-based health policy, covering diverse scientific areas and policies, composed </w:t>
      </w:r>
      <w:r>
        <w:rPr>
          <w:rFonts w:ascii="Times New Roman" w:hAnsi="Times New Roman" w:cs="Times New Roman"/>
          <w:noProof/>
          <w:sz w:val="24"/>
          <w:szCs w:val="24"/>
        </w:rPr>
        <w:t>of a multidisciplinary group of members as well as representatives of Union bodies or agencies relevant to the specific threat, which will participate as observers. The identification of the pool of experts will be in place prior to any future emergencies,</w:t>
      </w:r>
      <w:r>
        <w:rPr>
          <w:rFonts w:ascii="Times New Roman" w:hAnsi="Times New Roman" w:cs="Times New Roman"/>
          <w:noProof/>
          <w:sz w:val="24"/>
          <w:szCs w:val="24"/>
        </w:rPr>
        <w:t xml:space="preserve"> so that they are immediately available and are ready to collaborate across their sectorial expertise. </w:t>
      </w:r>
    </w:p>
    <w:tbl>
      <w:tblPr>
        <w:tblStyle w:val="GridTable4-Accent51"/>
        <w:tblW w:w="9072" w:type="dxa"/>
        <w:tblInd w:w="108" w:type="dxa"/>
        <w:tblLook w:val="04A0" w:firstRow="1" w:lastRow="0" w:firstColumn="1" w:lastColumn="0" w:noHBand="0" w:noVBand="1"/>
      </w:tblPr>
      <w:tblGrid>
        <w:gridCol w:w="7230"/>
        <w:gridCol w:w="1842"/>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rPr>
              <w:t xml:space="preserve">PROPOSED ACTIONS </w:t>
            </w:r>
          </w:p>
          <w:p w:rsidR="00677F2D" w:rsidRDefault="00677F2D">
            <w:pPr>
              <w:jc w:val="both"/>
              <w:rPr>
                <w:rFonts w:ascii="Times New Roman" w:eastAsia="Times New Roman" w:hAnsi="Times New Roman" w:cs="Times New Roman"/>
                <w:noProof/>
                <w:sz w:val="24"/>
                <w:szCs w:val="24"/>
                <w:lang w:val="en-GB"/>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Proposal</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lang w:val="en-GB"/>
              </w:rPr>
            </w:pPr>
            <w:r>
              <w:rPr>
                <w:rFonts w:ascii="Times New Roman" w:hAnsi="Times New Roman" w:cs="Times New Roman"/>
                <w:b/>
                <w:bCs/>
                <w:noProof/>
                <w:sz w:val="24"/>
                <w:szCs w:val="24"/>
                <w:lang w:val="en-GB"/>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lang w:val="en-GB"/>
              </w:rPr>
              <w:t>R</w:t>
            </w:r>
            <w:r>
              <w:rPr>
                <w:rFonts w:ascii="Times New Roman" w:hAnsi="Times New Roman" w:cs="Times New Roman"/>
                <w:b w:val="0"/>
                <w:bCs w:val="0"/>
                <w:noProof/>
                <w:sz w:val="24"/>
                <w:szCs w:val="24"/>
              </w:rPr>
              <w:t xml:space="preserve">ecommendations on response measures by ECDC as part of rapid risk assessments </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rPr>
              <w:t>ECDC</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Commission</w:t>
            </w:r>
            <w:r>
              <w:rPr>
                <w:rFonts w:ascii="Times New Roman" w:hAnsi="Times New Roman" w:cs="Times New Roman"/>
                <w:b w:val="0"/>
                <w:bCs w:val="0"/>
                <w:noProof/>
                <w:sz w:val="24"/>
                <w:szCs w:val="24"/>
                <w:lang w:val="en-GB"/>
              </w:rPr>
              <w:t xml:space="preserve"> Recommendation on response measures</w:t>
            </w:r>
            <w:r>
              <w:rPr>
                <w:rFonts w:cstheme="minorHAnsi"/>
                <w:b w:val="0"/>
                <w:bCs w:val="0"/>
                <w:noProof/>
                <w:lang w:val="en-US"/>
              </w:rPr>
              <w:t xml:space="preserve"> </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EU recognition of an emergency situation and advice on response measures, supported by an independent Advisory Committee</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EU Agencies</w:t>
            </w:r>
          </w:p>
        </w:tc>
      </w:tr>
    </w:tbl>
    <w:p w:rsidR="00677F2D" w:rsidRDefault="00677F2D">
      <w:pPr>
        <w:rPr>
          <w:noProof/>
        </w:rPr>
      </w:pPr>
    </w:p>
    <w:p w:rsidR="00677F2D" w:rsidRDefault="008241A6">
      <w:pPr>
        <w:pStyle w:val="ManualHeading1"/>
        <w:spacing w:before="0" w:after="360"/>
        <w:rPr>
          <w:noProof/>
          <w:szCs w:val="24"/>
        </w:rPr>
      </w:pPr>
      <w:r>
        <w:rPr>
          <w:noProof/>
          <w:szCs w:val="24"/>
        </w:rPr>
        <w:t>4.</w:t>
      </w:r>
      <w:r>
        <w:rPr>
          <w:noProof/>
          <w:szCs w:val="24"/>
        </w:rPr>
        <w:tab/>
        <w:t>MEDICAL COUNTERMEASURES</w:t>
      </w:r>
      <w:r>
        <w:rPr>
          <w:rStyle w:val="FootnoteReference"/>
          <w:noProof/>
          <w:szCs w:val="24"/>
        </w:rPr>
        <w:footnoteReference w:id="20"/>
      </w:r>
    </w:p>
    <w:p w:rsidR="00677F2D" w:rsidRDefault="008241A6">
      <w:pPr>
        <w:jc w:val="both"/>
        <w:rPr>
          <w:noProof/>
          <w:lang w:val="en-IE"/>
        </w:rPr>
      </w:pPr>
      <w:r>
        <w:rPr>
          <w:rFonts w:ascii="Times New Roman" w:hAnsi="Times New Roman" w:cs="Times New Roman"/>
          <w:noProof/>
          <w:sz w:val="24"/>
          <w:szCs w:val="24"/>
        </w:rPr>
        <w:t>The COVID-19 pandemic has revea</w:t>
      </w:r>
      <w:r>
        <w:rPr>
          <w:rFonts w:ascii="Times New Roman" w:hAnsi="Times New Roman" w:cs="Times New Roman"/>
          <w:noProof/>
          <w:sz w:val="24"/>
          <w:szCs w:val="24"/>
        </w:rPr>
        <w:t>led the lack of medical countermeasure stockpiles at EU and Member State level and the vulnerability of EU supply chains for critical medical countermeasures. It has also highlighted the lack of a coordinated and systematic EU-level approach to support the</w:t>
      </w:r>
      <w:r>
        <w:rPr>
          <w:rFonts w:ascii="Times New Roman" w:hAnsi="Times New Roman" w:cs="Times New Roman"/>
          <w:noProof/>
          <w:sz w:val="24"/>
          <w:szCs w:val="24"/>
        </w:rPr>
        <w:t xml:space="preserve"> development, production, procurement and purchase of necessary vaccines, therapeutics, diagnostics as well as personal protective equipment (PPE) and medical devices. Given the of lack of up-to-date, reliable and comparable information on the level of dem</w:t>
      </w:r>
      <w:r>
        <w:rPr>
          <w:rFonts w:ascii="Times New Roman" w:hAnsi="Times New Roman" w:cs="Times New Roman"/>
          <w:noProof/>
          <w:sz w:val="24"/>
          <w:szCs w:val="24"/>
        </w:rPr>
        <w:t>and per Member State, it has been challenging to predict and meet the demand across the EU for certain products that are key in fighting the disease, but also essential raw materials, components and accessories used during production.  The EU lacked effect</w:t>
      </w:r>
      <w:r>
        <w:rPr>
          <w:rFonts w:ascii="Times New Roman" w:hAnsi="Times New Roman" w:cs="Times New Roman"/>
          <w:noProof/>
          <w:sz w:val="24"/>
          <w:szCs w:val="24"/>
        </w:rPr>
        <w:t>ive mechanisms and structures to have an overview of demand and supply of critical medical countermeasures and to monitor and support Member States in addressing shortages.</w:t>
      </w:r>
      <w:r>
        <w:rPr>
          <w:noProof/>
          <w:lang w:val="en-IE"/>
        </w:rPr>
        <w:t xml:space="preserve">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Moreover, in the context of an outbreak or pandemic caused by a novel pathogen, th</w:t>
      </w:r>
      <w:r>
        <w:rPr>
          <w:rFonts w:ascii="Times New Roman" w:hAnsi="Times New Roman" w:cs="Times New Roman"/>
          <w:noProof/>
          <w:sz w:val="24"/>
          <w:szCs w:val="24"/>
        </w:rPr>
        <w:t xml:space="preserve">e pressure is high for research to deliver results that can be acted upon rapidly, to be integrated in the emergency response. Further support and coordination are needed at EU level to facilitate the conduct of large scale, multi-centric clinical trials, </w:t>
      </w:r>
      <w:r>
        <w:rPr>
          <w:rFonts w:ascii="Times New Roman" w:hAnsi="Times New Roman" w:cs="Times New Roman"/>
          <w:noProof/>
          <w:sz w:val="24"/>
          <w:szCs w:val="24"/>
        </w:rPr>
        <w:t>to allow for their rapid implementation in times of crisis and save precious time towards making the necessary countermeasures available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Rules on the conduct of clinical trials need to allow for their rapid implementation in times of crisis and save prec</w:t>
      </w:r>
      <w:r>
        <w:rPr>
          <w:rFonts w:ascii="Times New Roman" w:hAnsi="Times New Roman" w:cs="Times New Roman"/>
          <w:noProof/>
          <w:sz w:val="24"/>
          <w:szCs w:val="24"/>
        </w:rPr>
        <w:t>ious time towards making the necessary countermeasures available.</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Despite these shortcomings, several measures were introduced to facilitate access to medical countermeasures. In order to facilitate this access the Commission introduced the strategic </w:t>
      </w:r>
      <w:r>
        <w:rPr>
          <w:rFonts w:ascii="Times New Roman" w:hAnsi="Times New Roman" w:cs="Times New Roman"/>
          <w:noProof/>
          <w:sz w:val="24"/>
          <w:szCs w:val="24"/>
        </w:rPr>
        <w:t>rescEU stockpile of emergency medical equipment as part of the UCPM in March 2020</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This tool acts as an emergency mechanism to provide countries with needed medical countermeasures, such as PPE, laboratory supplies and intensive care unit medical devices </w:t>
      </w:r>
      <w:r>
        <w:rPr>
          <w:rFonts w:ascii="Times New Roman" w:hAnsi="Times New Roman" w:cs="Times New Roman"/>
          <w:noProof/>
          <w:sz w:val="24"/>
          <w:szCs w:val="24"/>
        </w:rPr>
        <w:t>when national capacities are overwhelmed, and complementing the capacities available in the EU Civil Protection Pool. A number of actions were introduced to better monitor and maintain the supply of critical medicines or medical devices, by providing regul</w:t>
      </w:r>
      <w:r>
        <w:rPr>
          <w:rFonts w:ascii="Times New Roman" w:hAnsi="Times New Roman" w:cs="Times New Roman"/>
          <w:noProof/>
          <w:sz w:val="24"/>
          <w:szCs w:val="24"/>
        </w:rPr>
        <w:t>atory flexibility, while maintaining safety standards. Specific guidance has been published and continuously updated to inform stakeholders about expectations and flexibilities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 Commission Clearing house for COVID-19 medical equipment was established </w:t>
      </w:r>
      <w:r>
        <w:rPr>
          <w:rFonts w:ascii="Times New Roman" w:hAnsi="Times New Roman" w:cs="Times New Roman"/>
          <w:noProof/>
          <w:sz w:val="24"/>
          <w:szCs w:val="24"/>
        </w:rPr>
        <w:t>on 1 April 2020 to facilitate matching the supply and demand of PPE, medical devices and medicines and address regulatory and other supply chain issues. The activation of the Emergency Support Instrument, research funding and advanced purchase agreements w</w:t>
      </w:r>
      <w:r>
        <w:rPr>
          <w:rFonts w:ascii="Times New Roman" w:hAnsi="Times New Roman" w:cs="Times New Roman"/>
          <w:noProof/>
          <w:sz w:val="24"/>
          <w:szCs w:val="24"/>
        </w:rPr>
        <w:t xml:space="preserve">ith vaccine developers under the EU's vaccine strategy are other concrete examples of decisive actions. Through the Emergency Support Instrument, the Commission helped in responding to needs that can be best addressed in a strategic, coordinated manner at </w:t>
      </w:r>
      <w:r>
        <w:rPr>
          <w:rFonts w:ascii="Times New Roman" w:hAnsi="Times New Roman" w:cs="Times New Roman"/>
          <w:noProof/>
          <w:sz w:val="24"/>
          <w:szCs w:val="24"/>
        </w:rPr>
        <w:t>European level. Over €2 000 million from the instrument has thus been made available for the advanced purchase agreements for vaccines, €70 million for the purchase and distribution to Member States of Veklury (the therapeutic remdesivir), and €100 million</w:t>
      </w:r>
      <w:r>
        <w:rPr>
          <w:rFonts w:ascii="Times New Roman" w:hAnsi="Times New Roman" w:cs="Times New Roman"/>
          <w:noProof/>
          <w:sz w:val="24"/>
          <w:szCs w:val="24"/>
        </w:rPr>
        <w:t xml:space="preserve"> will be used for rapid antigen tests.</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All together, these measures have helped in building the response to the on-going crisis, to fill in the gaps of the existing framework. However, they do not address the EU’s long-term structural challenges with regar</w:t>
      </w:r>
      <w:r>
        <w:rPr>
          <w:rFonts w:ascii="Times New Roman" w:hAnsi="Times New Roman" w:cs="Times New Roman"/>
          <w:noProof/>
          <w:sz w:val="24"/>
          <w:szCs w:val="24"/>
        </w:rPr>
        <w:t xml:space="preserve">ds to medical countermeasures. </w:t>
      </w:r>
    </w:p>
    <w:p w:rsidR="00677F2D" w:rsidRDefault="008241A6">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Joint Procurement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EU’s Joint Procurement Agreement for medical countermeasures, enabled by Decision 1082/2013/EU, was used throughout 2020 in response to the COVID-19 crisis. However, the Joint Procurement Agreement is </w:t>
      </w:r>
      <w:r>
        <w:rPr>
          <w:rFonts w:ascii="Times New Roman" w:hAnsi="Times New Roman" w:cs="Times New Roman"/>
          <w:noProof/>
          <w:sz w:val="24"/>
          <w:szCs w:val="24"/>
        </w:rPr>
        <w:t>predominately a preparedness tool and, as such, is not designed to deal with an on-going crisis. It aims at improving Member States' preparedness to mitigating serious cross-border threats to health, allowing for a more equitable access to specific medical</w:t>
      </w:r>
      <w:r>
        <w:rPr>
          <w:rFonts w:ascii="Times New Roman" w:hAnsi="Times New Roman" w:cs="Times New Roman"/>
          <w:noProof/>
          <w:sz w:val="24"/>
          <w:szCs w:val="24"/>
        </w:rPr>
        <w:t xml:space="preserve"> countermeasures and an improved security of supply, together with more balanced prices for participating Member States. </w:t>
      </w:r>
    </w:p>
    <w:p w:rsidR="00677F2D" w:rsidRDefault="008241A6">
      <w:pPr>
        <w:spacing w:before="240" w:after="240"/>
        <w:contextualSpacing/>
        <w:jc w:val="both"/>
        <w:rPr>
          <w:rFonts w:ascii="Times New Roman" w:eastAsia="Times New Roman" w:hAnsi="Times New Roman" w:cs="Times New Roman"/>
          <w:b/>
          <w:bCs/>
          <w:noProof/>
          <w:sz w:val="24"/>
          <w:szCs w:val="24"/>
        </w:rPr>
      </w:pPr>
      <w:r>
        <w:rPr>
          <w:rFonts w:ascii="Times New Roman" w:hAnsi="Times New Roman" w:cs="Times New Roman"/>
          <w:noProof/>
          <w:sz w:val="24"/>
          <w:szCs w:val="24"/>
        </w:rPr>
        <w:t xml:space="preserve">However, in the proposed Regulation for serious cross-border threats to health, elements of the legal framework of the joint </w:t>
      </w:r>
      <w:r>
        <w:rPr>
          <w:rFonts w:ascii="Times New Roman" w:hAnsi="Times New Roman" w:cs="Times New Roman"/>
          <w:noProof/>
          <w:sz w:val="24"/>
          <w:szCs w:val="24"/>
        </w:rPr>
        <w:t xml:space="preserve">procurement agreement will be enhanced, as it remains a key tool for preparedness. Specifically, the participation to European Free Trade Association (EFTA) States and Union candidate countries is formally envisaged. Moreover, it will be strengthened as a </w:t>
      </w:r>
      <w:r>
        <w:rPr>
          <w:rFonts w:ascii="Times New Roman" w:hAnsi="Times New Roman" w:cs="Times New Roman"/>
          <w:noProof/>
          <w:sz w:val="24"/>
          <w:szCs w:val="24"/>
        </w:rPr>
        <w:t>key EU procurement process, whilst mitigating the risk of internal competition for limited resources or parallel national tracks, through an “exclusivity clause”. This exclusivity approach, implemented in the EU vaccines strategy, has proven successful</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C</w:t>
      </w:r>
      <w:r>
        <w:rPr>
          <w:rFonts w:ascii="Times New Roman" w:hAnsi="Times New Roman" w:cs="Times New Roman"/>
          <w:noProof/>
          <w:sz w:val="24"/>
          <w:szCs w:val="24"/>
        </w:rPr>
        <w:t>omplementarity should be ensured with the strategic rescEU stockpiling of emergency medical equipment under the Union Civil Protection Mechanism.</w:t>
      </w:r>
    </w:p>
    <w:p w:rsidR="00677F2D" w:rsidRDefault="00677F2D">
      <w:pPr>
        <w:spacing w:before="240" w:after="240"/>
        <w:contextualSpacing/>
        <w:jc w:val="both"/>
        <w:rPr>
          <w:rFonts w:ascii="Times New Roman" w:eastAsia="Times New Roman" w:hAnsi="Times New Roman" w:cs="Times New Roman"/>
          <w:b/>
          <w:bCs/>
          <w:noProof/>
          <w:sz w:val="24"/>
          <w:szCs w:val="24"/>
        </w:rPr>
      </w:pPr>
    </w:p>
    <w:p w:rsidR="00677F2D" w:rsidRDefault="008241A6">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Addressing shortages through the European Medicines Agency </w:t>
      </w:r>
    </w:p>
    <w:p w:rsidR="00677F2D" w:rsidRDefault="008241A6">
      <w:pPr>
        <w:pBdr>
          <w:top w:val="nil"/>
          <w:left w:val="nil"/>
          <w:bottom w:val="nil"/>
          <w:right w:val="nil"/>
          <w:between w:val="nil"/>
          <w:bar w:val="nil"/>
        </w:pBdr>
        <w:spacing w:after="24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eastAsia="Times New Roman" w:hAnsi="Times New Roman" w:cs="Times New Roman"/>
          <w:noProof/>
          <w:sz w:val="24"/>
        </w:rPr>
        <w:t xml:space="preserve"> pandemic has also demonstrated that the Union</w:t>
      </w:r>
      <w:r>
        <w:rPr>
          <w:rFonts w:ascii="Times New Roman" w:eastAsia="Times New Roman" w:hAnsi="Times New Roman" w:cs="Times New Roman"/>
          <w:noProof/>
          <w:sz w:val="24"/>
        </w:rPr>
        <w:t>’s ability to coordinate work to ensure the availability of medicinal products and medical devices and facilitate the development of new treatment is currently limited. EMA has played a crucial role by setting up temporary mechanisms to monitor shortages o</w:t>
      </w:r>
      <w:r>
        <w:rPr>
          <w:rFonts w:ascii="Times New Roman" w:eastAsia="Times New Roman" w:hAnsi="Times New Roman" w:cs="Times New Roman"/>
          <w:noProof/>
          <w:sz w:val="24"/>
        </w:rPr>
        <w:t>f medicines and offer scientific advice to developers.</w:t>
      </w:r>
      <w:r>
        <w:rPr>
          <w:noProof/>
        </w:rPr>
        <w:t xml:space="preserve"> </w:t>
      </w:r>
      <w:r>
        <w:rPr>
          <w:rFonts w:ascii="Times New Roman" w:eastAsia="Times New Roman" w:hAnsi="Times New Roman" w:cs="Times New Roman"/>
          <w:noProof/>
          <w:sz w:val="24"/>
        </w:rPr>
        <w:t>A</w:t>
      </w:r>
      <w:r>
        <w:rPr>
          <w:rFonts w:ascii="Times New Roman" w:hAnsi="Times New Roman" w:cs="Times New Roman"/>
          <w:noProof/>
          <w:sz w:val="24"/>
          <w:szCs w:val="24"/>
        </w:rPr>
        <w:t xml:space="preserve">d hoc solutions, including contingent arrangements between the Commission, the European Medicines Agency, marketing authorisation holders, manufacturers and Member States have been used. In addition, </w:t>
      </w:r>
      <w:r>
        <w:rPr>
          <w:rFonts w:ascii="Times New Roman" w:hAnsi="Times New Roman" w:cs="Times New Roman"/>
          <w:noProof/>
          <w:sz w:val="24"/>
          <w:szCs w:val="24"/>
        </w:rPr>
        <w:t>a scientific task force facilitated the development of potential treatments and vaccines for COVID-19. Such temporary solutions need to be formalised, as a key element of an improved EU health security framework.</w:t>
      </w:r>
      <w:r>
        <w:rPr>
          <w:rFonts w:ascii="Times New Roman" w:eastAsia="Times New Roman" w:hAnsi="Times New Roman" w:cs="Times New Roman"/>
          <w:noProof/>
          <w:sz w:val="24"/>
        </w:rPr>
        <w:t xml:space="preserve"> For medical devices it became apparent that</w:t>
      </w:r>
      <w:r>
        <w:rPr>
          <w:rFonts w:ascii="Times New Roman" w:eastAsia="Times New Roman" w:hAnsi="Times New Roman" w:cs="Times New Roman"/>
          <w:noProof/>
          <w:sz w:val="24"/>
        </w:rPr>
        <w:t xml:space="preserve"> there is no mechanism at the EU level providing for the monitoring of their availability in times of crisis.</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O</w:t>
      </w:r>
      <w:r>
        <w:rPr>
          <w:rFonts w:ascii="Times New Roman" w:hAnsi="Times New Roman" w:cs="Times New Roman"/>
          <w:noProof/>
          <w:sz w:val="24"/>
          <w:szCs w:val="24"/>
          <w:lang w:val="en-IE"/>
        </w:rPr>
        <w:t>n medicinal products,</w:t>
      </w:r>
      <w:r>
        <w:rPr>
          <w:rFonts w:ascii="Times New Roman" w:hAnsi="Times New Roman" w:cs="Times New Roman"/>
          <w:noProof/>
          <w:sz w:val="24"/>
          <w:szCs w:val="24"/>
        </w:rPr>
        <w:t xml:space="preserve"> during the COVID-19 pandemic, the EU Executive Steering Group on Shortages of Medicines Caused by Major Events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was set up </w:t>
      </w:r>
      <w:r>
        <w:rPr>
          <w:rFonts w:ascii="Times New Roman" w:hAnsi="Times New Roman" w:cs="Times New Roman"/>
          <w:noProof/>
          <w:sz w:val="24"/>
          <w:szCs w:val="24"/>
        </w:rPr>
        <w:t>to urgently</w:t>
      </w:r>
      <w:r>
        <w:rPr>
          <w:rFonts w:ascii="Times New Roman" w:hAnsi="Times New Roman" w:cs="Times New Roman"/>
          <w:noProof/>
          <w:sz w:val="24"/>
          <w:szCs w:val="24"/>
          <w:lang w:val="en-IE"/>
        </w:rPr>
        <w:t xml:space="preserve"> ensure a better </w:t>
      </w:r>
      <w:r>
        <w:rPr>
          <w:rFonts w:ascii="Times New Roman" w:hAnsi="Times New Roman" w:cs="Times New Roman"/>
          <w:noProof/>
          <w:sz w:val="24"/>
          <w:szCs w:val="24"/>
        </w:rPr>
        <w:t>overview of real needs. The group has provided strategic direction for the process in case of potential supply shortages. This includes dealing with emerging issues, agreeing remedial action where necessary, addressing shortages</w:t>
      </w:r>
      <w:r>
        <w:rPr>
          <w:rFonts w:ascii="Times New Roman" w:hAnsi="Times New Roman" w:cs="Times New Roman"/>
          <w:noProof/>
          <w:sz w:val="24"/>
          <w:szCs w:val="24"/>
        </w:rPr>
        <w:t xml:space="preserve"> in a coordinated way, including crisis communication and overseeing the implementation of agreed actions. The proposed Regulation will therefore </w:t>
      </w:r>
      <w:r>
        <w:rPr>
          <w:rFonts w:ascii="Times New Roman" w:hAnsi="Times New Roman" w:cs="Times New Roman"/>
          <w:b/>
          <w:bCs/>
          <w:noProof/>
          <w:sz w:val="24"/>
          <w:szCs w:val="24"/>
        </w:rPr>
        <w:t>formalise and reinforce the current structure of the Steering Group on medicines</w:t>
      </w:r>
      <w:r>
        <w:rPr>
          <w:rFonts w:ascii="Times New Roman" w:hAnsi="Times New Roman" w:cs="Times New Roman"/>
          <w:noProof/>
          <w:sz w:val="24"/>
          <w:szCs w:val="24"/>
        </w:rPr>
        <w:t>, as well as its two-way fast-</w:t>
      </w:r>
      <w:r>
        <w:rPr>
          <w:rFonts w:ascii="Times New Roman" w:hAnsi="Times New Roman" w:cs="Times New Roman"/>
          <w:noProof/>
          <w:sz w:val="24"/>
          <w:szCs w:val="24"/>
        </w:rPr>
        <w:t xml:space="preserve">track communication channel between the European medicines regulatory network and marketing authorisation holders. Specifically, the proposed changes will result in a permanent structure within the EMA to monitor events related to the pharmaceutical area, </w:t>
      </w:r>
      <w:r>
        <w:rPr>
          <w:rFonts w:ascii="Times New Roman" w:hAnsi="Times New Roman" w:cs="Times New Roman"/>
          <w:noProof/>
          <w:sz w:val="24"/>
          <w:szCs w:val="24"/>
        </w:rPr>
        <w:t>which could lead to future crises, as well as monitoring and mitigating the risk of shortages of key medicines once a crisis is declared. To support such work obligations will be placed on marketing authorisation holders and Member States to provide the ne</w:t>
      </w:r>
      <w:r>
        <w:rPr>
          <w:rFonts w:ascii="Times New Roman" w:hAnsi="Times New Roman" w:cs="Times New Roman"/>
          <w:noProof/>
          <w:sz w:val="24"/>
          <w:szCs w:val="24"/>
        </w:rPr>
        <w:t xml:space="preserve">cessary data through streamlined IT tools and fast-track procedures already established in view for future crises. </w:t>
      </w:r>
    </w:p>
    <w:p w:rsidR="00677F2D" w:rsidRDefault="008241A6">
      <w:pPr>
        <w:pStyle w:val="ListParagraph"/>
        <w:ind w:left="0"/>
        <w:jc w:val="both"/>
        <w:rPr>
          <w:rFonts w:ascii="Times New Roman" w:hAnsi="Times New Roman" w:cs="Times New Roman"/>
          <w:noProof/>
          <w:color w:val="000000"/>
          <w:sz w:val="24"/>
          <w:szCs w:val="24"/>
          <w:shd w:val="clear" w:color="auto" w:fill="FFFFFF"/>
          <w:lang w:val="en-IE"/>
        </w:rPr>
      </w:pPr>
      <w:r>
        <w:rPr>
          <w:rFonts w:ascii="Times New Roman" w:hAnsi="Times New Roman" w:cs="Times New Roman"/>
          <w:noProof/>
          <w:sz w:val="24"/>
          <w:szCs w:val="24"/>
        </w:rPr>
        <w:t xml:space="preserve">In April 2020, the EMA also established an ad hoc COVID-19 EMA pandemic Task Force as part of its health threat plan. The Task Force </w:t>
      </w:r>
      <w:r>
        <w:rPr>
          <w:rFonts w:ascii="Times New Roman" w:hAnsi="Times New Roman" w:cs="Times New Roman"/>
          <w:noProof/>
          <w:sz w:val="24"/>
          <w:szCs w:val="24"/>
        </w:rPr>
        <w:t>contributes to direct scientific advice on clinical trials design and product development and provides a rolling review</w:t>
      </w:r>
      <w:r>
        <w:rPr>
          <w:rStyle w:val="FootnoteReference"/>
          <w:noProof/>
          <w:lang w:val="en-IE"/>
        </w:rPr>
        <w:footnoteReference w:id="26"/>
      </w:r>
      <w:r>
        <w:rPr>
          <w:rFonts w:ascii="Times New Roman" w:hAnsi="Times New Roman" w:cs="Times New Roman"/>
          <w:noProof/>
          <w:sz w:val="24"/>
          <w:szCs w:val="24"/>
        </w:rPr>
        <w:t xml:space="preserve"> of incoming evidence to allow a more efficient assessment approach of promising therapies or vaccines for COVID-19</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r>
        <w:rPr>
          <w:noProof/>
          <w:color w:val="000000"/>
          <w:sz w:val="24"/>
          <w:szCs w:val="24"/>
          <w:shd w:val="clear" w:color="auto" w:fill="FFFFFF"/>
          <w:lang w:val="en-IE"/>
        </w:rPr>
        <w:t xml:space="preserve"> </w:t>
      </w:r>
      <w:r>
        <w:rPr>
          <w:rFonts w:ascii="Times New Roman" w:hAnsi="Times New Roman" w:cs="Times New Roman"/>
          <w:noProof/>
          <w:sz w:val="24"/>
          <w:szCs w:val="24"/>
        </w:rPr>
        <w:t>These measures are</w:t>
      </w:r>
      <w:r>
        <w:rPr>
          <w:rFonts w:ascii="Times New Roman" w:hAnsi="Times New Roman" w:cs="Times New Roman"/>
          <w:noProof/>
          <w:sz w:val="24"/>
          <w:szCs w:val="24"/>
        </w:rPr>
        <w:t xml:space="preserve"> crucial to ensure timely authorisation of products and the compilation of robust data. The</w:t>
      </w:r>
      <w:r>
        <w:rPr>
          <w:rFonts w:ascii="Times New Roman" w:hAnsi="Times New Roman" w:cs="Times New Roman"/>
          <w:noProof/>
          <w:color w:val="000000"/>
          <w:sz w:val="24"/>
          <w:szCs w:val="24"/>
          <w:lang w:val="en-IE"/>
        </w:rPr>
        <w:t xml:space="preserve"> Task Force also offers scientific support to COVID-19 products’ clinical trials and contributes to activities on emerging safety issues related to COVID-19 products</w:t>
      </w:r>
      <w:r>
        <w:rPr>
          <w:rFonts w:ascii="Times New Roman" w:hAnsi="Times New Roman" w:cs="Times New Roman"/>
          <w:noProof/>
          <w:color w:val="000000"/>
          <w:sz w:val="24"/>
          <w:szCs w:val="24"/>
          <w:lang w:val="en-IE"/>
        </w:rPr>
        <w:t xml:space="preserve">. In the medium-term, strengthened access of EMA to health data, in the context of the upcoming European Health Data Space, should support its regulatory capacity. </w:t>
      </w:r>
      <w:r>
        <w:rPr>
          <w:rFonts w:ascii="Times New Roman" w:hAnsi="Times New Roman" w:cs="Times New Roman"/>
          <w:noProof/>
          <w:sz w:val="24"/>
          <w:szCs w:val="24"/>
          <w:lang w:val="en-IE"/>
        </w:rPr>
        <w:t xml:space="preserve">To reinforce the work of EMA, the legal proposal builds on the above and intends to replace </w:t>
      </w:r>
      <w:r>
        <w:rPr>
          <w:rFonts w:ascii="Times New Roman" w:hAnsi="Times New Roman" w:cs="Times New Roman"/>
          <w:noProof/>
          <w:sz w:val="24"/>
          <w:szCs w:val="24"/>
          <w:lang w:val="en-IE"/>
        </w:rPr>
        <w:t xml:space="preserve">the current ad hoc arrangements, by </w:t>
      </w:r>
      <w:r>
        <w:rPr>
          <w:rFonts w:ascii="Times New Roman" w:hAnsi="Times New Roman" w:cs="Times New Roman"/>
          <w:b/>
          <w:bCs/>
          <w:noProof/>
          <w:sz w:val="24"/>
          <w:szCs w:val="24"/>
          <w:lang w:val="en-IE"/>
        </w:rPr>
        <w:t>introducing permanent structures within the EMA</w:t>
      </w:r>
      <w:r>
        <w:rPr>
          <w:rFonts w:ascii="Times New Roman" w:hAnsi="Times New Roman" w:cs="Times New Roman"/>
          <w:noProof/>
          <w:sz w:val="24"/>
          <w:szCs w:val="24"/>
          <w:lang w:val="en-IE"/>
        </w:rPr>
        <w:t xml:space="preserve"> with a clear and unambiguous mandate. For clinical trials, the legal proposal includes a role for the Task Force in </w:t>
      </w:r>
      <w:r>
        <w:rPr>
          <w:rFonts w:ascii="Times New Roman" w:hAnsi="Times New Roman" w:cs="Times New Roman"/>
          <w:b/>
          <w:bCs/>
          <w:noProof/>
          <w:sz w:val="24"/>
          <w:szCs w:val="24"/>
          <w:lang w:val="en-IE"/>
        </w:rPr>
        <w:t>providing advice on clinical trial protocols</w:t>
      </w:r>
      <w:r>
        <w:rPr>
          <w:rFonts w:ascii="Times New Roman" w:hAnsi="Times New Roman" w:cs="Times New Roman"/>
          <w:noProof/>
          <w:sz w:val="24"/>
          <w:szCs w:val="24"/>
          <w:lang w:val="en-IE"/>
        </w:rPr>
        <w:t>, but also a</w:t>
      </w:r>
      <w:r>
        <w:rPr>
          <w:rFonts w:ascii="Times New Roman" w:hAnsi="Times New Roman" w:cs="Times New Roman"/>
          <w:noProof/>
          <w:sz w:val="24"/>
          <w:szCs w:val="24"/>
          <w:lang w:val="en-IE"/>
        </w:rPr>
        <w:t xml:space="preserve"> broader role in the coordination and facilitation of clinical trials in the European Union. It also implies a stronger role in providing recommendations with regard to the use of both centrally and nationally authorised medicinal products, which may have </w:t>
      </w:r>
      <w:r>
        <w:rPr>
          <w:rFonts w:ascii="Times New Roman" w:hAnsi="Times New Roman" w:cs="Times New Roman"/>
          <w:noProof/>
          <w:sz w:val="24"/>
          <w:szCs w:val="24"/>
          <w:lang w:val="en-IE"/>
        </w:rPr>
        <w:t>the potential to address public health emergencies. The proposal will also include tools to ensure that companies and Member States submit the necessary data to facilitate the assessment, given the crucial importance of robust and comprehensive evidence fo</w:t>
      </w:r>
      <w:r>
        <w:rPr>
          <w:rFonts w:ascii="Times New Roman" w:hAnsi="Times New Roman" w:cs="Times New Roman"/>
          <w:noProof/>
          <w:sz w:val="24"/>
          <w:szCs w:val="24"/>
          <w:lang w:val="en-IE"/>
        </w:rPr>
        <w:t xml:space="preserve">r sound scientific advice and regulatory decision-making. </w:t>
      </w:r>
      <w:r>
        <w:rPr>
          <w:rFonts w:ascii="Times New Roman" w:hAnsi="Times New Roman" w:cs="Times New Roman"/>
          <w:noProof/>
          <w:sz w:val="24"/>
          <w:szCs w:val="24"/>
        </w:rPr>
        <w:t>Moreover, after the authorisation of vaccines, it is necessary to have safety and effectiveness data to complement the set of data generated by industry to support the authorisation. The proposals t</w:t>
      </w:r>
      <w:r>
        <w:rPr>
          <w:rFonts w:ascii="Times New Roman" w:hAnsi="Times New Roman" w:cs="Times New Roman"/>
          <w:noProof/>
          <w:sz w:val="24"/>
          <w:szCs w:val="24"/>
        </w:rPr>
        <w:t xml:space="preserve">herefore provide for </w:t>
      </w:r>
      <w:r>
        <w:rPr>
          <w:rFonts w:ascii="Times New Roman" w:hAnsi="Times New Roman" w:cs="Times New Roman"/>
          <w:b/>
          <w:bCs/>
          <w:noProof/>
          <w:sz w:val="24"/>
          <w:szCs w:val="24"/>
        </w:rPr>
        <w:t>an IT platform to allow EMA and ECDC to coordinate vaccines safety and effectiveness studies</w:t>
      </w:r>
      <w:r>
        <w:rPr>
          <w:rFonts w:ascii="Times New Roman" w:hAnsi="Times New Roman" w:cs="Times New Roman"/>
          <w:noProof/>
          <w:sz w:val="24"/>
          <w:szCs w:val="24"/>
        </w:rPr>
        <w:t xml:space="preserve"> – a major element in the current landscape of pandemic management.</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area of medical devices, the legal proposal builds on lessons learnt</w:t>
      </w:r>
      <w:r>
        <w:rPr>
          <w:rFonts w:ascii="Times New Roman" w:hAnsi="Times New Roman" w:cs="Times New Roman"/>
          <w:noProof/>
          <w:sz w:val="24"/>
          <w:szCs w:val="24"/>
          <w:lang w:val="en-IE"/>
        </w:rPr>
        <w:t xml:space="preserve"> from the ad hoc work undertaken during the COVID-19 pandemic by the Commission Clearing House given the EMA currently has no competence in the area of medical devices. The purpose is to improve the Union’s crisis preparedness and facilitate a coordinated </w:t>
      </w:r>
      <w:r>
        <w:rPr>
          <w:rFonts w:ascii="Times New Roman" w:hAnsi="Times New Roman" w:cs="Times New Roman"/>
          <w:noProof/>
          <w:sz w:val="24"/>
          <w:szCs w:val="24"/>
          <w:lang w:val="en-IE"/>
        </w:rPr>
        <w:t xml:space="preserve">Union-level response by setting a </w:t>
      </w:r>
      <w:r>
        <w:rPr>
          <w:rFonts w:ascii="Times New Roman" w:hAnsi="Times New Roman" w:cs="Times New Roman"/>
          <w:b/>
          <w:bCs/>
          <w:noProof/>
          <w:sz w:val="24"/>
          <w:szCs w:val="24"/>
          <w:lang w:val="en-IE"/>
        </w:rPr>
        <w:t>permanent structure to monitor and mitigate shortages of medical devices</w:t>
      </w:r>
      <w:r>
        <w:rPr>
          <w:rFonts w:ascii="Times New Roman" w:hAnsi="Times New Roman" w:cs="Times New Roman"/>
          <w:noProof/>
          <w:sz w:val="24"/>
          <w:szCs w:val="24"/>
          <w:lang w:val="en-IE"/>
        </w:rPr>
        <w:t xml:space="preserve"> (a Steering Group for Medical Devices) and to ensure that industry and Member States submit the necessary data to facilitate the monitoring and possi</w:t>
      </w:r>
      <w:r>
        <w:rPr>
          <w:rFonts w:ascii="Times New Roman" w:hAnsi="Times New Roman" w:cs="Times New Roman"/>
          <w:noProof/>
          <w:sz w:val="24"/>
          <w:szCs w:val="24"/>
          <w:lang w:val="en-IE"/>
        </w:rPr>
        <w:t>ble mitigation measures.</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Additionally, the EMA will </w:t>
      </w:r>
      <w:r>
        <w:rPr>
          <w:rFonts w:ascii="Times New Roman" w:hAnsi="Times New Roman" w:cs="Times New Roman"/>
          <w:b/>
          <w:bCs/>
          <w:noProof/>
          <w:sz w:val="24"/>
          <w:szCs w:val="24"/>
          <w:lang w:val="en-IE"/>
        </w:rPr>
        <w:t>host on a permanent basis the medical device Expert Panels</w:t>
      </w:r>
      <w:r>
        <w:rPr>
          <w:rFonts w:ascii="Times New Roman" w:hAnsi="Times New Roman" w:cs="Times New Roman"/>
          <w:noProof/>
          <w:sz w:val="24"/>
          <w:szCs w:val="24"/>
          <w:lang w:val="en-IE"/>
        </w:rPr>
        <w:t>, which could play an essential role in crisis preparedness and crisis management, in particular by providing scientific, technical and clinical a</w:t>
      </w:r>
      <w:r>
        <w:rPr>
          <w:rFonts w:ascii="Times New Roman" w:hAnsi="Times New Roman" w:cs="Times New Roman"/>
          <w:noProof/>
          <w:sz w:val="24"/>
          <w:szCs w:val="24"/>
          <w:lang w:val="en-IE"/>
        </w:rPr>
        <w:t>ssistance to the Commission, the Medical Device Coordination Group (MDCG), Member States, notified bodies and manufacturers.</w:t>
      </w:r>
      <w:r>
        <w:rPr>
          <w:rStyle w:val="FootnoteReference"/>
          <w:rFonts w:ascii="Times New Roman" w:hAnsi="Times New Roman" w:cs="Times New Roman"/>
          <w:noProof/>
          <w:sz w:val="24"/>
          <w:szCs w:val="24"/>
          <w:lang w:val="en-IE"/>
        </w:rPr>
        <w:footnoteReference w:id="28"/>
      </w:r>
      <w:r>
        <w:rPr>
          <w:rFonts w:ascii="Times New Roman" w:hAnsi="Times New Roman" w:cs="Times New Roman"/>
          <w:noProof/>
          <w:sz w:val="24"/>
          <w:szCs w:val="24"/>
          <w:lang w:val="en-IE"/>
        </w:rPr>
        <w:t xml:space="preserve"> At the beginning of the COVID-19 crisis, when availability of medical devices such as ventilators and protective devices was essential for saving lives and containing the pandemic, such advice would have been invaluable, for example, in the context of rep</w:t>
      </w:r>
      <w:r>
        <w:rPr>
          <w:rFonts w:ascii="Times New Roman" w:hAnsi="Times New Roman" w:cs="Times New Roman"/>
          <w:noProof/>
          <w:sz w:val="24"/>
          <w:szCs w:val="24"/>
          <w:lang w:val="en-IE"/>
        </w:rPr>
        <w:t xml:space="preserve">urposing production lines for fast production of ventilators with the associated minimal technical and safety specifications.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approach will benefit from the long-founded expertise of the Agency in the management of various scientific committees and </w:t>
      </w:r>
      <w:r>
        <w:rPr>
          <w:rFonts w:ascii="Times New Roman" w:hAnsi="Times New Roman" w:cs="Times New Roman"/>
          <w:noProof/>
          <w:sz w:val="24"/>
          <w:szCs w:val="24"/>
          <w:lang w:val="en-IE"/>
        </w:rPr>
        <w:t xml:space="preserve">working groups.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order for the EMA to carry out these further tasks in addition to its current mandate, a swift increase in the number of permanent staff in this agency is required.</w:t>
      </w:r>
    </w:p>
    <w:tbl>
      <w:tblPr>
        <w:tblStyle w:val="GridTable4-Accent51"/>
        <w:tblW w:w="0" w:type="auto"/>
        <w:tblLook w:val="04A0" w:firstRow="1" w:lastRow="0" w:firstColumn="1" w:lastColumn="0" w:noHBand="0" w:noVBand="1"/>
      </w:tblPr>
      <w:tblGrid>
        <w:gridCol w:w="7054"/>
        <w:gridCol w:w="1985"/>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rPr>
              <w:t xml:space="preserve">PROPOSED ACTIONS </w:t>
            </w:r>
          </w:p>
          <w:p w:rsidR="00677F2D" w:rsidRDefault="00677F2D">
            <w:pPr>
              <w:jc w:val="center"/>
              <w:rPr>
                <w:rFonts w:ascii="Times New Roman" w:hAnsi="Times New Roman" w:cs="Times New Roman"/>
                <w:noProof/>
                <w:sz w:val="24"/>
                <w:szCs w:val="24"/>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Proposal</w:t>
            </w:r>
          </w:p>
        </w:tc>
        <w:tc>
          <w:tcPr>
            <w:tcW w:w="1985"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lang w:val="en-GB"/>
              </w:rPr>
            </w:pPr>
            <w:r>
              <w:rPr>
                <w:rFonts w:ascii="Times New Roman" w:hAnsi="Times New Roman" w:cs="Times New Roman"/>
                <w:b/>
                <w:bCs/>
                <w:noProof/>
                <w:sz w:val="24"/>
                <w:szCs w:val="24"/>
                <w:lang w:val="en-GB"/>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 xml:space="preserve">A reinforced joint procurement agreement beyond the EU </w:t>
            </w:r>
          </w:p>
        </w:tc>
        <w:tc>
          <w:tcPr>
            <w:tcW w:w="1985" w:type="dxa"/>
          </w:tcPr>
          <w:p w:rsidR="00677F2D" w:rsidRDefault="008241A6">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 permanent EU Executive Steering Group on shortages of medicines</w:t>
            </w:r>
          </w:p>
        </w:tc>
        <w:tc>
          <w:tcPr>
            <w:tcW w:w="1985" w:type="dxa"/>
          </w:tcPr>
          <w:p w:rsidR="00677F2D" w:rsidRDefault="008241A6">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EMA</w:t>
            </w:r>
          </w:p>
        </w:tc>
      </w:tr>
      <w:tr w:rsidR="00677F2D" w:rsidTr="00677F2D">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 new EU Executive Steering Group on medical devices</w:t>
            </w:r>
          </w:p>
        </w:tc>
        <w:tc>
          <w:tcPr>
            <w:tcW w:w="1985" w:type="dxa"/>
          </w:tcPr>
          <w:p w:rsidR="00677F2D" w:rsidRDefault="008241A6">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EMA</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 permanent EMA emergency Task Force</w:t>
            </w:r>
          </w:p>
        </w:tc>
        <w:tc>
          <w:tcPr>
            <w:tcW w:w="1985" w:type="dxa"/>
          </w:tcPr>
          <w:p w:rsidR="00677F2D" w:rsidRDefault="008241A6">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EMA</w:t>
            </w:r>
          </w:p>
        </w:tc>
      </w:tr>
      <w:tr w:rsidR="00677F2D" w:rsidTr="00677F2D">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 xml:space="preserve">New EMA Expert Panels on high risk medical devices </w:t>
            </w:r>
          </w:p>
        </w:tc>
        <w:tc>
          <w:tcPr>
            <w:tcW w:w="1985" w:type="dxa"/>
          </w:tcPr>
          <w:p w:rsidR="00677F2D" w:rsidRDefault="008241A6">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EMA</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lang w:val="fr-BE"/>
              </w:rPr>
            </w:pPr>
            <w:r>
              <w:rPr>
                <w:rFonts w:ascii="Times New Roman" w:hAnsi="Times New Roman" w:cs="Times New Roman"/>
                <w:b w:val="0"/>
                <w:bCs w:val="0"/>
                <w:noProof/>
                <w:sz w:val="24"/>
                <w:szCs w:val="24"/>
                <w:lang w:val="fr-BE"/>
              </w:rPr>
              <w:t>A stronger EU clinical trials infrastructure</w:t>
            </w:r>
          </w:p>
        </w:tc>
        <w:tc>
          <w:tcPr>
            <w:tcW w:w="1985"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EMA; </w:t>
            </w:r>
          </w:p>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ECDC</w:t>
            </w:r>
          </w:p>
        </w:tc>
      </w:tr>
      <w:tr w:rsidR="00677F2D" w:rsidTr="00677F2D">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Creation of a vaccine monitoring platform</w:t>
            </w:r>
          </w:p>
        </w:tc>
        <w:tc>
          <w:tcPr>
            <w:tcW w:w="1985"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EMA; ECDC</w:t>
            </w:r>
          </w:p>
        </w:tc>
      </w:tr>
    </w:tbl>
    <w:p w:rsidR="00677F2D" w:rsidRDefault="00677F2D">
      <w:pPr>
        <w:rPr>
          <w:noProof/>
          <w:lang w:val="fr-BE"/>
        </w:rPr>
      </w:pPr>
    </w:p>
    <w:p w:rsidR="00677F2D" w:rsidRDefault="008241A6">
      <w:pPr>
        <w:pStyle w:val="ManualHeading1"/>
        <w:spacing w:before="0" w:after="360"/>
        <w:rPr>
          <w:noProof/>
        </w:rPr>
      </w:pPr>
      <w:r>
        <w:rPr>
          <w:noProof/>
          <w:szCs w:val="24"/>
        </w:rPr>
        <w:t>5.</w:t>
      </w:r>
      <w:r>
        <w:rPr>
          <w:noProof/>
          <w:szCs w:val="24"/>
        </w:rPr>
        <w:tab/>
        <w:t>PREPAREDNESS &amp; RESPONSE PLANNING AND REPORTING</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Under the current Decision on cross-border threats to health, the Commission’s monitoring of Member States preparedness and response planning is primarily based on Member States reporting, every three years, on their respective plans. This includes the int</w:t>
      </w:r>
      <w:r>
        <w:rPr>
          <w:rFonts w:ascii="Times New Roman" w:hAnsi="Times New Roman" w:cs="Times New Roman"/>
          <w:noProof/>
          <w:sz w:val="24"/>
          <w:szCs w:val="24"/>
          <w:lang w:val="en-IE"/>
        </w:rPr>
        <w:t xml:space="preserve">ersectoral dimensions at the EU level and supporting the implementation of core capacity requirements under the World Health Organization’s International Health Regulations.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COVID-19 has revealed that national-level preparedness and response capacities we</w:t>
      </w:r>
      <w:r>
        <w:rPr>
          <w:rFonts w:ascii="Times New Roman" w:hAnsi="Times New Roman" w:cs="Times New Roman"/>
          <w:noProof/>
          <w:sz w:val="24"/>
          <w:szCs w:val="24"/>
          <w:lang w:val="en-IE"/>
        </w:rPr>
        <w:t>re sub-optimal. This was illustrated, for example, when many EU Member States were confronted with inadequate stockpiling (e.g. PPE), the lack of immediately available surge capacities for healthcare systems, testing, contact tracing and surveillance and t</w:t>
      </w:r>
      <w:r>
        <w:rPr>
          <w:rFonts w:ascii="Times New Roman" w:hAnsi="Times New Roman" w:cs="Times New Roman"/>
          <w:noProof/>
          <w:sz w:val="24"/>
          <w:szCs w:val="24"/>
          <w:lang w:val="en-IE"/>
        </w:rPr>
        <w:t xml:space="preserve">he lack of implementable business continuity plans for healthcare provision (to avoid postponement of inpatient scheduled treatments) as well as shortages of qualified medical staff. </w:t>
      </w:r>
    </w:p>
    <w:p w:rsidR="00677F2D" w:rsidRDefault="008241A6">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COVID-19 has also shown that there was a clear lack of an overall vision</w:t>
      </w:r>
      <w:r>
        <w:rPr>
          <w:rFonts w:ascii="Times New Roman" w:hAnsi="Times New Roman" w:cs="Times New Roman"/>
          <w:noProof/>
          <w:sz w:val="24"/>
          <w:szCs w:val="24"/>
          <w:lang w:val="en-IE"/>
        </w:rPr>
        <w:t xml:space="preserve"> on the operationalisation of Member State preparedness and response plans, as well as an incoherence with regards to their compatibility. This was greatly a result of the EU’s inability to compare plans in a uniform manner across the EU due to a lack of E</w:t>
      </w:r>
      <w:r>
        <w:rPr>
          <w:rFonts w:ascii="Times New Roman" w:hAnsi="Times New Roman" w:cs="Times New Roman"/>
          <w:noProof/>
          <w:sz w:val="24"/>
          <w:szCs w:val="24"/>
          <w:lang w:val="en-IE"/>
        </w:rPr>
        <w:t>U baseline standards and indicators</w:t>
      </w:r>
      <w:r>
        <w:rPr>
          <w:rStyle w:val="FootnoteReference"/>
          <w:rFonts w:ascii="Times New Roman" w:hAnsi="Times New Roman" w:cs="Times New Roman"/>
          <w:noProof/>
          <w:sz w:val="24"/>
          <w:szCs w:val="24"/>
          <w:lang w:val="en-IE"/>
        </w:rPr>
        <w:footnoteReference w:id="29"/>
      </w:r>
      <w:r>
        <w:rPr>
          <w:rFonts w:ascii="Times New Roman" w:hAnsi="Times New Roman" w:cs="Times New Roman"/>
          <w:noProof/>
          <w:sz w:val="24"/>
          <w:szCs w:val="24"/>
          <w:lang w:val="en-IE"/>
        </w:rPr>
        <w:t>, a lack of EU knowledge on national level capacities to implement plans and incoherent feedback from Member States on respective preparedness and response plans. The situation was further exacerbated by the absence of a</w:t>
      </w:r>
      <w:r>
        <w:rPr>
          <w:rFonts w:ascii="Times New Roman" w:hAnsi="Times New Roman" w:cs="Times New Roman"/>
          <w:noProof/>
          <w:sz w:val="24"/>
          <w:szCs w:val="24"/>
          <w:lang w:val="en-IE"/>
        </w:rPr>
        <w:t xml:space="preserve">n overarching EU pandemic preparedness plan.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It is therefore proposed to strengthen coordination mechanisms for preparedness, via the development of a </w:t>
      </w:r>
      <w:r>
        <w:rPr>
          <w:rFonts w:ascii="Times New Roman" w:hAnsi="Times New Roman" w:cs="Times New Roman"/>
          <w:b/>
          <w:bCs/>
          <w:noProof/>
          <w:sz w:val="24"/>
          <w:szCs w:val="24"/>
          <w:lang w:val="en-IE"/>
        </w:rPr>
        <w:t>binding EU health crisis/pandemic preparedness and response plan</w:t>
      </w:r>
      <w:r>
        <w:rPr>
          <w:rFonts w:ascii="Times New Roman" w:hAnsi="Times New Roman" w:cs="Times New Roman"/>
          <w:noProof/>
          <w:sz w:val="24"/>
          <w:szCs w:val="24"/>
          <w:lang w:val="en-IE"/>
        </w:rPr>
        <w:t>. This plan will include clear provision</w:t>
      </w:r>
      <w:r>
        <w:rPr>
          <w:rFonts w:ascii="Times New Roman" w:hAnsi="Times New Roman" w:cs="Times New Roman"/>
          <w:noProof/>
          <w:sz w:val="24"/>
          <w:szCs w:val="24"/>
          <w:lang w:val="en-IE"/>
        </w:rPr>
        <w:t xml:space="preserve">s for the EU and Member States to adopt similar and interoperable plans at national and local levels. To ensure these plans are actually operable in times of crisis, </w:t>
      </w:r>
      <w:r>
        <w:rPr>
          <w:rFonts w:ascii="Times New Roman" w:hAnsi="Times New Roman" w:cs="Times New Roman"/>
          <w:b/>
          <w:bCs/>
          <w:noProof/>
          <w:sz w:val="24"/>
          <w:szCs w:val="24"/>
          <w:lang w:val="en-IE"/>
        </w:rPr>
        <w:t>regular full-scale exercises and carry-out after-action reviews to implement corrective me</w:t>
      </w:r>
      <w:r>
        <w:rPr>
          <w:rFonts w:ascii="Times New Roman" w:hAnsi="Times New Roman" w:cs="Times New Roman"/>
          <w:b/>
          <w:bCs/>
          <w:noProof/>
          <w:sz w:val="24"/>
          <w:szCs w:val="24"/>
          <w:lang w:val="en-IE"/>
        </w:rPr>
        <w:t>asures will be organised</w:t>
      </w:r>
      <w:r>
        <w:rPr>
          <w:rFonts w:ascii="Times New Roman" w:hAnsi="Times New Roman" w:cs="Times New Roman"/>
          <w:noProof/>
          <w:sz w:val="24"/>
          <w:szCs w:val="24"/>
          <w:lang w:val="en-IE"/>
        </w:rPr>
        <w:t xml:space="preserve">.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further strengthen the operationalisation of these plans, an </w:t>
      </w:r>
      <w:r>
        <w:rPr>
          <w:rFonts w:ascii="Times New Roman" w:hAnsi="Times New Roman" w:cs="Times New Roman"/>
          <w:b/>
          <w:bCs/>
          <w:noProof/>
          <w:sz w:val="24"/>
          <w:szCs w:val="24"/>
          <w:lang w:val="en-IE"/>
        </w:rPr>
        <w:t>EU audit process on national level capacities will be launched</w:t>
      </w:r>
      <w:r>
        <w:rPr>
          <w:rFonts w:ascii="Times New Roman" w:hAnsi="Times New Roman" w:cs="Times New Roman"/>
          <w:noProof/>
          <w:sz w:val="24"/>
          <w:szCs w:val="24"/>
          <w:lang w:val="en-IE"/>
        </w:rPr>
        <w:t>. The audit process will be led and coordinated by the Commission with the technical implementation pri</w:t>
      </w:r>
      <w:r>
        <w:rPr>
          <w:rFonts w:ascii="Times New Roman" w:hAnsi="Times New Roman" w:cs="Times New Roman"/>
          <w:noProof/>
          <w:sz w:val="24"/>
          <w:szCs w:val="24"/>
          <w:lang w:val="en-IE"/>
        </w:rPr>
        <w:t xml:space="preserve">marily undertaken by the ECDC to further ensure, preparedness, transparency and adequate operationalisation. The Commission will report on these findings to the European Parliament and the Council.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conclusions will be drawn upon </w:t>
      </w:r>
      <w:r>
        <w:rPr>
          <w:rFonts w:ascii="Times New Roman" w:hAnsi="Times New Roman" w:cs="Times New Roman"/>
          <w:b/>
          <w:bCs/>
          <w:noProof/>
          <w:sz w:val="24"/>
          <w:szCs w:val="24"/>
          <w:lang w:val="en-IE"/>
        </w:rPr>
        <w:t>to address the gaps id</w:t>
      </w:r>
      <w:r>
        <w:rPr>
          <w:rFonts w:ascii="Times New Roman" w:hAnsi="Times New Roman" w:cs="Times New Roman"/>
          <w:b/>
          <w:bCs/>
          <w:noProof/>
          <w:sz w:val="24"/>
          <w:szCs w:val="24"/>
          <w:lang w:val="en-IE"/>
        </w:rPr>
        <w:t>entified during this reporting and auditing process</w:t>
      </w:r>
      <w:r>
        <w:rPr>
          <w:rFonts w:ascii="Times New Roman" w:hAnsi="Times New Roman" w:cs="Times New Roman"/>
          <w:noProof/>
          <w:sz w:val="24"/>
          <w:szCs w:val="24"/>
          <w:lang w:val="en-IE"/>
        </w:rPr>
        <w:t xml:space="preserve"> and to ensure optimal use of </w:t>
      </w:r>
      <w:r>
        <w:rPr>
          <w:rFonts w:ascii="Times New Roman" w:hAnsi="Times New Roman" w:cs="Times New Roman"/>
          <w:b/>
          <w:bCs/>
          <w:noProof/>
          <w:sz w:val="24"/>
          <w:szCs w:val="24"/>
          <w:lang w:val="en-IE"/>
        </w:rPr>
        <w:t>financial support through the future EU4Health programme, as well as the Structural Funds and support to research and innovation under Horizon Europe</w:t>
      </w:r>
      <w:r>
        <w:rPr>
          <w:rFonts w:ascii="Times New Roman" w:hAnsi="Times New Roman" w:cs="Times New Roman"/>
          <w:noProof/>
          <w:sz w:val="24"/>
          <w:szCs w:val="24"/>
          <w:lang w:val="en-IE"/>
        </w:rPr>
        <w:t>.</w:t>
      </w:r>
    </w:p>
    <w:p w:rsidR="00677F2D" w:rsidRDefault="008241A6">
      <w:pPr>
        <w:spacing w:after="240"/>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Another area of actions </w:t>
      </w:r>
      <w:r>
        <w:rPr>
          <w:rFonts w:ascii="Times New Roman" w:hAnsi="Times New Roman" w:cs="Times New Roman"/>
          <w:noProof/>
          <w:sz w:val="24"/>
          <w:szCs w:val="24"/>
          <w:lang w:val="en-IE"/>
        </w:rPr>
        <w:t>concerns support to Member States to improve the resilience, accessibility and effectiveness of their health systems. This may include knowledge brokering, best practice exchange, hands-on technical support as well as financing from EU programmes to initia</w:t>
      </w:r>
      <w:r>
        <w:rPr>
          <w:rFonts w:ascii="Times New Roman" w:hAnsi="Times New Roman" w:cs="Times New Roman"/>
          <w:noProof/>
          <w:sz w:val="24"/>
          <w:szCs w:val="24"/>
          <w:lang w:val="en-IE"/>
        </w:rPr>
        <w:t xml:space="preserve">te and implement relevant health system reforms in order to overcome structural weaknesses and address challenges identified in the European Semester. The </w:t>
      </w:r>
      <w:r>
        <w:rPr>
          <w:rFonts w:ascii="Times New Roman" w:hAnsi="Times New Roman" w:cs="Times New Roman"/>
          <w:b/>
          <w:bCs/>
          <w:noProof/>
          <w:sz w:val="24"/>
          <w:szCs w:val="24"/>
          <w:lang w:val="en-IE"/>
        </w:rPr>
        <w:t>Social Scoreboard</w:t>
      </w:r>
      <w:r>
        <w:rPr>
          <w:rFonts w:ascii="Times New Roman" w:hAnsi="Times New Roman" w:cs="Times New Roman"/>
          <w:noProof/>
          <w:sz w:val="24"/>
          <w:szCs w:val="24"/>
          <w:lang w:val="en-IE"/>
        </w:rPr>
        <w:t xml:space="preserve"> that monitors Member States' performance in relation to the </w:t>
      </w:r>
      <w:hyperlink r:id="rId15" w:history="1">
        <w:r>
          <w:rPr>
            <w:rFonts w:ascii="Times New Roman" w:hAnsi="Times New Roman" w:cs="Times New Roman"/>
            <w:noProof/>
            <w:sz w:val="24"/>
            <w:szCs w:val="24"/>
            <w:lang w:val="en-IE"/>
          </w:rPr>
          <w:t>European Pillar of Social Rights</w:t>
        </w:r>
      </w:hyperlink>
      <w:r>
        <w:rPr>
          <w:rStyle w:val="FootnoteReference"/>
          <w:rFonts w:ascii="Times New Roman" w:hAnsi="Times New Roman" w:cs="Times New Roman"/>
          <w:noProof/>
          <w:sz w:val="24"/>
          <w:szCs w:val="24"/>
          <w:lang w:val="en-IE"/>
        </w:rPr>
        <w:footnoteReference w:id="30"/>
      </w:r>
      <w:r>
        <w:rPr>
          <w:rFonts w:ascii="Times New Roman" w:hAnsi="Times New Roman" w:cs="Times New Roman"/>
          <w:noProof/>
          <w:sz w:val="24"/>
          <w:szCs w:val="24"/>
          <w:lang w:val="en-IE"/>
        </w:rPr>
        <w:t xml:space="preserve">, will further help to </w:t>
      </w:r>
      <w:r>
        <w:rPr>
          <w:rFonts w:ascii="Times New Roman" w:hAnsi="Times New Roman" w:cs="Times New Roman"/>
          <w:bCs/>
          <w:noProof/>
          <w:sz w:val="24"/>
          <w:szCs w:val="24"/>
          <w:lang w:val="en-IE"/>
        </w:rPr>
        <w:t>detect</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key problems, including in healthcare and skills and deliver on implementation</w:t>
      </w:r>
      <w:r>
        <w:rPr>
          <w:rFonts w:ascii="Times New Roman" w:hAnsi="Times New Roman" w:cs="Times New Roman"/>
          <w:noProof/>
          <w:sz w:val="24"/>
          <w:szCs w:val="24"/>
          <w:lang w:val="en-IE"/>
        </w:rPr>
        <w:t xml:space="preserve"> of the EPSR. The Recovery and Resilience Facility</w:t>
      </w:r>
      <w:r>
        <w:rPr>
          <w:rStyle w:val="FootnoteReference"/>
          <w:rFonts w:ascii="Times New Roman" w:hAnsi="Times New Roman"/>
          <w:noProof/>
          <w:sz w:val="24"/>
        </w:rPr>
        <w:footnoteReference w:id="31"/>
      </w:r>
      <w:r>
        <w:rPr>
          <w:rStyle w:val="FootnoteReference"/>
          <w:noProof/>
        </w:rPr>
        <w:t xml:space="preserve"> </w:t>
      </w:r>
      <w:r>
        <w:rPr>
          <w:rFonts w:ascii="Times New Roman" w:hAnsi="Times New Roman" w:cs="Times New Roman"/>
          <w:noProof/>
          <w:sz w:val="24"/>
          <w:szCs w:val="24"/>
          <w:lang w:val="en-IE"/>
        </w:rPr>
        <w:t xml:space="preserve">offers an unprecedented opportunity for Member States to carry out structural reforms supported by investments, aiming at, amongst others, </w:t>
      </w:r>
      <w:r>
        <w:rPr>
          <w:rFonts w:ascii="Times New Roman" w:hAnsi="Times New Roman" w:cs="Times New Roman"/>
          <w:noProof/>
          <w:sz w:val="24"/>
          <w:szCs w:val="24"/>
        </w:rPr>
        <w:t>enhancing the preparedness and resilience of their national healt</w:t>
      </w:r>
      <w:r>
        <w:rPr>
          <w:rFonts w:ascii="Times New Roman" w:hAnsi="Times New Roman" w:cs="Times New Roman"/>
          <w:noProof/>
          <w:sz w:val="24"/>
          <w:szCs w:val="24"/>
        </w:rPr>
        <w:t>h systems and ensuring equal access to affordable and quality health care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Targeted actions may concern, for instance, reorganising hospital networks with flexible capacity for surge in demand, the cross-border transport and treatment of patients during health emergencies, sufficient availability of primary care structures, good </w:t>
      </w:r>
      <w:r>
        <w:rPr>
          <w:rFonts w:ascii="Times New Roman" w:hAnsi="Times New Roman" w:cs="Times New Roman"/>
          <w:noProof/>
          <w:sz w:val="24"/>
          <w:szCs w:val="24"/>
          <w:lang w:val="en-IE"/>
        </w:rPr>
        <w:t xml:space="preserve">integration of all levels of health and social care, availability of sufficient and up-skilled healthcare staff who can be redeployed to new roles in case of emergency, deployment and financial coverage of eHealth tools (including telemedicine). </w:t>
      </w:r>
    </w:p>
    <w:p w:rsidR="00677F2D" w:rsidRDefault="008241A6">
      <w:pPr>
        <w:spacing w:after="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order </w:t>
      </w:r>
      <w:r>
        <w:rPr>
          <w:rFonts w:ascii="Times New Roman" w:hAnsi="Times New Roman" w:cs="Times New Roman"/>
          <w:noProof/>
          <w:sz w:val="24"/>
          <w:szCs w:val="24"/>
          <w:lang w:val="en-IE"/>
        </w:rPr>
        <w:t>for the ECDC to carry out these further tasks in addition to its current mandate, a swift increase in the number of permanent staff in this agency is required.</w:t>
      </w:r>
    </w:p>
    <w:tbl>
      <w:tblPr>
        <w:tblStyle w:val="GridTable4-Accent51"/>
        <w:tblW w:w="0" w:type="auto"/>
        <w:tblInd w:w="108" w:type="dxa"/>
        <w:tblLayout w:type="fixed"/>
        <w:tblLook w:val="04A0" w:firstRow="1" w:lastRow="0" w:firstColumn="1" w:lastColumn="0" w:noHBand="0" w:noVBand="1"/>
      </w:tblPr>
      <w:tblGrid>
        <w:gridCol w:w="7230"/>
        <w:gridCol w:w="1842"/>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rPr>
              <w:t xml:space="preserve">PROPOSED ACTIONS </w:t>
            </w:r>
          </w:p>
          <w:p w:rsidR="00677F2D" w:rsidRDefault="00677F2D">
            <w:pPr>
              <w:rPr>
                <w:rFonts w:ascii="Times New Roman" w:eastAsia="Times New Roman" w:hAnsi="Times New Roman" w:cs="Times New Roman"/>
                <w:noProof/>
                <w:sz w:val="24"/>
                <w:szCs w:val="24"/>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rPr>
                <w:rFonts w:ascii="Times New Roman" w:eastAsia="Times New Roman" w:hAnsi="Times New Roman" w:cs="Times New Roman"/>
                <w:b w:val="0"/>
                <w:bCs w:val="0"/>
                <w:noProof/>
                <w:sz w:val="24"/>
                <w:szCs w:val="24"/>
              </w:rPr>
            </w:pPr>
            <w:r>
              <w:rPr>
                <w:rFonts w:ascii="Times New Roman" w:eastAsia="Times New Roman" w:hAnsi="Times New Roman" w:cs="Times New Roman"/>
                <w:noProof/>
                <w:sz w:val="24"/>
                <w:szCs w:val="24"/>
              </w:rPr>
              <w:t>Proposal</w:t>
            </w:r>
          </w:p>
        </w:tc>
        <w:tc>
          <w:tcPr>
            <w:tcW w:w="1842" w:type="dxa"/>
          </w:tcPr>
          <w:p w:rsidR="00677F2D" w:rsidRDefault="008241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noProof/>
                <w:sz w:val="24"/>
                <w:szCs w:val="24"/>
                <w:lang w:val="en-GB"/>
              </w:rPr>
            </w:pPr>
            <w:r>
              <w:rPr>
                <w:rFonts w:ascii="Times New Roman" w:eastAsia="Times New Roman" w:hAnsi="Times New Roman" w:cs="Times New Roman"/>
                <w:b/>
                <w:bCs/>
                <w:noProof/>
                <w:sz w:val="24"/>
                <w:szCs w:val="24"/>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rPr>
                <w:rFonts w:ascii="Times New Roman" w:hAnsi="Times New Roman" w:cs="Times New Roman"/>
                <w:b w:val="0"/>
                <w:bCs w:val="0"/>
                <w:noProof/>
                <w:sz w:val="24"/>
                <w:szCs w:val="24"/>
                <w:lang w:val="en-GB"/>
              </w:rPr>
            </w:pPr>
            <w:r>
              <w:rPr>
                <w:rFonts w:ascii="Times New Roman" w:hAnsi="Times New Roman" w:cs="Times New Roman"/>
                <w:b w:val="0"/>
                <w:bCs w:val="0"/>
                <w:noProof/>
                <w:sz w:val="24"/>
                <w:szCs w:val="24"/>
              </w:rPr>
              <w:t>D</w:t>
            </w:r>
            <w:r>
              <w:rPr>
                <w:rFonts w:ascii="Times New Roman" w:hAnsi="Times New Roman" w:cs="Times New Roman"/>
                <w:b w:val="0"/>
                <w:bCs w:val="0"/>
                <w:noProof/>
                <w:sz w:val="24"/>
                <w:szCs w:val="24"/>
                <w:lang w:val="en-US"/>
              </w:rPr>
              <w:t xml:space="preserve">evelopment and implementation of an EU health </w:t>
            </w:r>
            <w:r>
              <w:rPr>
                <w:rFonts w:ascii="Times New Roman" w:hAnsi="Times New Roman" w:cs="Times New Roman"/>
                <w:b w:val="0"/>
                <w:bCs w:val="0"/>
                <w:noProof/>
                <w:sz w:val="24"/>
                <w:szCs w:val="24"/>
                <w:lang w:val="en-US"/>
              </w:rPr>
              <w:t>crisis/pandemic preparedness and response plan</w:t>
            </w:r>
            <w:r>
              <w:rPr>
                <w:rStyle w:val="FootnoteReference"/>
                <w:rFonts w:ascii="Times New Roman" w:hAnsi="Times New Roman" w:cs="Times New Roman"/>
                <w:b w:val="0"/>
                <w:bCs w:val="0"/>
                <w:noProof/>
                <w:sz w:val="24"/>
                <w:szCs w:val="24"/>
                <w:lang w:val="en-US"/>
              </w:rPr>
              <w:footnoteReference w:id="33"/>
            </w:r>
            <w:r>
              <w:rPr>
                <w:rFonts w:ascii="Times New Roman" w:hAnsi="Times New Roman" w:cs="Times New Roman"/>
                <w:b w:val="0"/>
                <w:bCs w:val="0"/>
                <w:noProof/>
                <w:sz w:val="24"/>
                <w:szCs w:val="24"/>
                <w:lang w:val="en-US"/>
              </w:rPr>
              <w:t>.</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rPr>
              <w:t>Commission; ECDC; Member States</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cs="Times New Roman"/>
                <w:b w:val="0"/>
                <w:bCs w:val="0"/>
                <w:noProof/>
                <w:sz w:val="24"/>
                <w:szCs w:val="24"/>
              </w:rPr>
              <w:t>D</w:t>
            </w:r>
            <w:r>
              <w:rPr>
                <w:rFonts w:ascii="Times New Roman" w:hAnsi="Times New Roman" w:cs="Times New Roman"/>
                <w:b w:val="0"/>
                <w:bCs w:val="0"/>
                <w:noProof/>
                <w:sz w:val="24"/>
                <w:szCs w:val="24"/>
                <w:lang w:val="en-US"/>
              </w:rPr>
              <w:t xml:space="preserve">evelopment and implementation of national level preparedness and response plans following common structures, standards and indicators. </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Member States; </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cs="Times New Roman"/>
                <w:b w:val="0"/>
                <w:bCs w:val="0"/>
                <w:noProof/>
                <w:sz w:val="24"/>
                <w:szCs w:val="24"/>
                <w:lang w:val="en-US"/>
              </w:rPr>
              <w:t>Enhanced Member Stat</w:t>
            </w:r>
            <w:r>
              <w:rPr>
                <w:rFonts w:ascii="Times New Roman" w:hAnsi="Times New Roman" w:cs="Times New Roman"/>
                <w:b w:val="0"/>
                <w:bCs w:val="0"/>
                <w:noProof/>
                <w:sz w:val="24"/>
                <w:szCs w:val="24"/>
                <w:lang w:val="en-US"/>
              </w:rPr>
              <w:t>e reporting of preparedness and response plans coupled with EU auditing process</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Member States</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cs="Times New Roman"/>
                <w:b w:val="0"/>
                <w:bCs w:val="0"/>
                <w:noProof/>
                <w:sz w:val="24"/>
                <w:szCs w:val="24"/>
              </w:rPr>
              <w:t>Strengthened transparency with</w:t>
            </w:r>
            <w:r>
              <w:rPr>
                <w:rFonts w:ascii="Times New Roman" w:hAnsi="Times New Roman" w:cs="Times New Roman"/>
                <w:b w:val="0"/>
                <w:bCs w:val="0"/>
                <w:noProof/>
                <w:sz w:val="24"/>
                <w:szCs w:val="24"/>
                <w:lang w:val="en-US"/>
              </w:rPr>
              <w:t xml:space="preserve"> the Commission preparing reports, including results from the audits and recommendations to Member States, transmitted to the European Parliament and the Council. </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rPr>
              <w:t>Commission;</w:t>
            </w:r>
          </w:p>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rPr>
              <w:t xml:space="preserve">EU decentralised agencies </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jc w:val="both"/>
              <w:rPr>
                <w:rFonts w:ascii="Times New Roman" w:hAnsi="Times New Roman" w:cs="Times New Roman"/>
                <w:b w:val="0"/>
                <w:bCs w:val="0"/>
                <w:noProof/>
                <w:sz w:val="24"/>
                <w:szCs w:val="24"/>
                <w:lang w:val="en-US"/>
              </w:rPr>
            </w:pPr>
            <w:r>
              <w:rPr>
                <w:rFonts w:ascii="Times New Roman" w:hAnsi="Times New Roman" w:cs="Times New Roman"/>
                <w:b w:val="0"/>
                <w:bCs w:val="0"/>
                <w:noProof/>
                <w:sz w:val="24"/>
                <w:szCs w:val="24"/>
                <w:lang w:val="en-US"/>
              </w:rPr>
              <w:t xml:space="preserve">Regular public health and cross sector stress tests </w:t>
            </w:r>
            <w:r>
              <w:rPr>
                <w:rFonts w:ascii="Times New Roman" w:hAnsi="Times New Roman" w:cs="Times New Roman"/>
                <w:b w:val="0"/>
                <w:bCs w:val="0"/>
                <w:noProof/>
                <w:sz w:val="24"/>
                <w:szCs w:val="24"/>
                <w:lang w:val="en-US"/>
              </w:rPr>
              <w:t>carried out at national and EU levels with corrective measures.</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Member States</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jc w:val="both"/>
              <w:rPr>
                <w:rFonts w:ascii="Times New Roman" w:hAnsi="Times New Roman" w:cs="Times New Roman"/>
                <w:b w:val="0"/>
                <w:bCs w:val="0"/>
                <w:noProof/>
                <w:sz w:val="24"/>
                <w:szCs w:val="24"/>
                <w:lang w:val="en-US"/>
              </w:rPr>
            </w:pPr>
            <w:r>
              <w:rPr>
                <w:rFonts w:ascii="Times New Roman" w:hAnsi="Times New Roman" w:cs="Times New Roman"/>
                <w:b w:val="0"/>
                <w:bCs w:val="0"/>
                <w:noProof/>
                <w:sz w:val="24"/>
                <w:szCs w:val="24"/>
                <w:lang w:val="en-US"/>
              </w:rPr>
              <w:t>Through the Technical Support Instrument</w:t>
            </w:r>
            <w:r>
              <w:rPr>
                <w:rStyle w:val="FootnoteReference"/>
                <w:rFonts w:ascii="Times New Roman" w:hAnsi="Times New Roman" w:cs="Times New Roman"/>
                <w:b w:val="0"/>
                <w:bCs w:val="0"/>
                <w:noProof/>
                <w:sz w:val="24"/>
                <w:szCs w:val="24"/>
                <w:lang w:val="en-US"/>
              </w:rPr>
              <w:footnoteReference w:id="34"/>
            </w:r>
            <w:r>
              <w:rPr>
                <w:rFonts w:ascii="Times New Roman" w:hAnsi="Times New Roman" w:cs="Times New Roman"/>
                <w:b w:val="0"/>
                <w:bCs w:val="0"/>
                <w:noProof/>
                <w:sz w:val="24"/>
                <w:szCs w:val="24"/>
                <w:lang w:val="en-US"/>
              </w:rPr>
              <w:t xml:space="preserve">, targeted training and knowledge exchange activities for healthcare staff and public health staff to provide knowledge and skills to </w:t>
            </w:r>
            <w:r>
              <w:rPr>
                <w:rFonts w:ascii="Times New Roman" w:hAnsi="Times New Roman" w:cs="Times New Roman"/>
                <w:b w:val="0"/>
                <w:bCs w:val="0"/>
                <w:noProof/>
                <w:sz w:val="24"/>
                <w:szCs w:val="24"/>
                <w:lang w:val="en-US"/>
              </w:rPr>
              <w:t>develop and implement the national preparedness plans, implement activities to strengthen crisis preparedness and surveillance capacities.</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ECDC; Member States</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spacing w:after="0"/>
              <w:jc w:val="both"/>
              <w:rPr>
                <w:rFonts w:ascii="Times New Roman" w:hAnsi="Times New Roman" w:cs="Times New Roman"/>
                <w:b w:val="0"/>
                <w:bCs w:val="0"/>
                <w:noProof/>
                <w:sz w:val="24"/>
                <w:szCs w:val="24"/>
                <w:lang w:val="en-US"/>
              </w:rPr>
            </w:pPr>
            <w:r>
              <w:rPr>
                <w:rFonts w:ascii="Times New Roman" w:hAnsi="Times New Roman" w:cs="Times New Roman"/>
                <w:b w:val="0"/>
                <w:bCs w:val="0"/>
                <w:noProof/>
                <w:sz w:val="24"/>
                <w:szCs w:val="24"/>
                <w:lang w:val="en-US"/>
              </w:rPr>
              <w:t>Support to Member States to strengthen the resilience, accessibility and effectivene</w:t>
            </w:r>
            <w:r>
              <w:rPr>
                <w:rFonts w:ascii="Times New Roman" w:hAnsi="Times New Roman" w:cs="Times New Roman"/>
                <w:b w:val="0"/>
                <w:bCs w:val="0"/>
                <w:noProof/>
                <w:sz w:val="24"/>
                <w:szCs w:val="24"/>
                <w:lang w:val="en-US"/>
              </w:rPr>
              <w:t>ss of health systems through co-operation, best practice exchange, training schemes, technical support, resilience dashboards</w:t>
            </w:r>
            <w:r>
              <w:rPr>
                <w:rStyle w:val="FootnoteReference"/>
                <w:rFonts w:ascii="Times New Roman" w:hAnsi="Times New Roman" w:cs="Times New Roman"/>
                <w:b w:val="0"/>
                <w:bCs w:val="0"/>
                <w:noProof/>
                <w:sz w:val="24"/>
                <w:szCs w:val="24"/>
                <w:lang w:val="en-US"/>
              </w:rPr>
              <w:footnoteReference w:id="35"/>
            </w:r>
            <w:r>
              <w:rPr>
                <w:rFonts w:ascii="Times New Roman" w:hAnsi="Times New Roman" w:cs="Times New Roman"/>
                <w:b w:val="0"/>
                <w:bCs w:val="0"/>
                <w:noProof/>
                <w:sz w:val="24"/>
                <w:szCs w:val="24"/>
                <w:lang w:val="en-US"/>
              </w:rPr>
              <w:t xml:space="preserve"> and financing from EU programmes</w:t>
            </w:r>
            <w:r>
              <w:rPr>
                <w:rStyle w:val="FootnoteReference"/>
                <w:rFonts w:ascii="Times New Roman" w:hAnsi="Times New Roman" w:cs="Times New Roman"/>
                <w:b w:val="0"/>
                <w:bCs w:val="0"/>
                <w:noProof/>
                <w:sz w:val="24"/>
                <w:szCs w:val="24"/>
                <w:lang w:val="en-US"/>
              </w:rPr>
              <w:footnoteReference w:id="36"/>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Member States</w:t>
            </w:r>
          </w:p>
        </w:tc>
      </w:tr>
    </w:tbl>
    <w:p w:rsidR="00677F2D" w:rsidRDefault="008241A6">
      <w:pPr>
        <w:pStyle w:val="ManualHeading1"/>
        <w:spacing w:after="360"/>
        <w:rPr>
          <w:noProof/>
          <w:szCs w:val="24"/>
        </w:rPr>
      </w:pPr>
      <w:r>
        <w:rPr>
          <w:noProof/>
          <w:szCs w:val="24"/>
        </w:rPr>
        <w:t>6.</w:t>
      </w:r>
      <w:r>
        <w:rPr>
          <w:noProof/>
          <w:szCs w:val="24"/>
        </w:rPr>
        <w:tab/>
        <w:t>EPIDEMIOLOGICAL SURVEILLANCE</w:t>
      </w:r>
    </w:p>
    <w:p w:rsidR="00677F2D" w:rsidRDefault="008241A6">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Reinforcing the European Centre for </w:t>
      </w:r>
      <w:r>
        <w:rPr>
          <w:rFonts w:ascii="Times New Roman" w:hAnsi="Times New Roman" w:cs="Times New Roman"/>
          <w:b/>
          <w:noProof/>
          <w:sz w:val="24"/>
          <w:szCs w:val="24"/>
          <w:u w:val="single"/>
        </w:rPr>
        <w:t>Disease Prevention and Control</w:t>
      </w:r>
    </w:p>
    <w:p w:rsidR="00677F2D" w:rsidRDefault="008241A6">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Several communicable diseases and special health issues</w:t>
      </w:r>
      <w:r>
        <w:rPr>
          <w:rStyle w:val="FootnoteReference"/>
          <w:rFonts w:ascii="Times New Roman" w:eastAsia="Times New Roman" w:hAnsi="Times New Roman" w:cs="Times New Roman"/>
          <w:noProof/>
          <w:sz w:val="24"/>
          <w:szCs w:val="24"/>
        </w:rPr>
        <w:footnoteReference w:id="37"/>
      </w:r>
      <w:r>
        <w:rPr>
          <w:rFonts w:ascii="Times New Roman" w:eastAsia="Times New Roman" w:hAnsi="Times New Roman" w:cs="Times New Roman"/>
          <w:noProof/>
          <w:sz w:val="24"/>
          <w:szCs w:val="24"/>
        </w:rPr>
        <w:t xml:space="preserve"> are under mandatory epidemiological surveillance at the EU level. The network for this epidemiological surveillance is operated and coordinated by the ECDC, including </w:t>
      </w:r>
      <w:r>
        <w:rPr>
          <w:rFonts w:ascii="Times New Roman" w:hAnsi="Times New Roman" w:cs="Times New Roman"/>
          <w:noProof/>
          <w:sz w:val="24"/>
          <w:szCs w:val="24"/>
        </w:rPr>
        <w:t>s</w:t>
      </w:r>
      <w:r>
        <w:rPr>
          <w:rFonts w:ascii="Times New Roman" w:hAnsi="Times New Roman" w:cs="Times New Roman"/>
          <w:noProof/>
          <w:sz w:val="24"/>
          <w:szCs w:val="24"/>
        </w:rPr>
        <w:t>upport to national reference laboratories</w:t>
      </w:r>
      <w:r>
        <w:rPr>
          <w:rFonts w:ascii="Times New Roman" w:eastAsia="Times New Roman" w:hAnsi="Times New Roman" w:cs="Times New Roman"/>
          <w:noProof/>
          <w:sz w:val="24"/>
          <w:szCs w:val="24"/>
        </w:rPr>
        <w:t xml:space="preserve">. COVID-19 </w:t>
      </w:r>
      <w:r>
        <w:rPr>
          <w:rFonts w:ascii="Times New Roman" w:hAnsi="Times New Roman" w:cs="Times New Roman"/>
          <w:noProof/>
          <w:sz w:val="24"/>
          <w:szCs w:val="24"/>
        </w:rPr>
        <w:t>has demonstrated a lack of comparable data and understanding of the situation on which to base decision-making. Furthermore, it has prompted investigation of the value of monitoring infectious agents in u</w:t>
      </w:r>
      <w:r>
        <w:rPr>
          <w:rFonts w:ascii="Times New Roman" w:hAnsi="Times New Roman" w:cs="Times New Roman"/>
          <w:noProof/>
          <w:sz w:val="24"/>
          <w:szCs w:val="24"/>
        </w:rPr>
        <w:t>rban waste water as a means of tracking infections, and as a possible early warning mechanism.</w:t>
      </w:r>
    </w:p>
    <w:p w:rsidR="00677F2D" w:rsidRDefault="008241A6">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EU surveillance systems must be bolstered with capacities for detecting, monitoring and the surveying of emerging diseases. The </w:t>
      </w:r>
      <w:r>
        <w:rPr>
          <w:rFonts w:ascii="Times New Roman" w:hAnsi="Times New Roman" w:cs="Times New Roman"/>
          <w:noProof/>
          <w:sz w:val="24"/>
          <w:szCs w:val="24"/>
        </w:rPr>
        <w:t xml:space="preserve">experience from COVID-19 also highlighted the important ability to increase capacity of frontline diagnostic laboratory testing, from which further data is accessible and necessary for the management of novel diseases. Up-to-date surveillance data enables </w:t>
      </w:r>
      <w:r>
        <w:rPr>
          <w:rFonts w:ascii="Times New Roman" w:hAnsi="Times New Roman" w:cs="Times New Roman"/>
          <w:noProof/>
          <w:sz w:val="24"/>
          <w:szCs w:val="24"/>
        </w:rPr>
        <w:t xml:space="preserve">the monitoring of trends in the incidence of communicable diseases over time and across Member States, and allows rapid detection and monitoring of cross-border outbreaks.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The rapidly evolving technological environment and digital solutions (AI, High Perf</w:t>
      </w:r>
      <w:r>
        <w:rPr>
          <w:rFonts w:ascii="Times New Roman" w:hAnsi="Times New Roman" w:cs="Times New Roman"/>
          <w:noProof/>
          <w:sz w:val="24"/>
          <w:szCs w:val="24"/>
        </w:rPr>
        <w:t xml:space="preserve">ormance Computing, computational models and simulation system) provides an opportunity to </w:t>
      </w:r>
      <w:r>
        <w:rPr>
          <w:rFonts w:ascii="Times New Roman" w:hAnsi="Times New Roman" w:cs="Times New Roman"/>
          <w:b/>
          <w:bCs/>
          <w:noProof/>
          <w:sz w:val="24"/>
          <w:szCs w:val="24"/>
        </w:rPr>
        <w:t>update surveillance systems</w:t>
      </w:r>
      <w:r>
        <w:rPr>
          <w:rFonts w:ascii="Times New Roman" w:hAnsi="Times New Roman" w:cs="Times New Roman"/>
          <w:noProof/>
          <w:sz w:val="24"/>
          <w:szCs w:val="24"/>
        </w:rPr>
        <w:t>, integrating data from new and different sources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and to create sensitive systems that detect early signals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A modern approach to survei</w:t>
      </w:r>
      <w:r>
        <w:rPr>
          <w:rFonts w:ascii="Times New Roman" w:hAnsi="Times New Roman" w:cs="Times New Roman"/>
          <w:noProof/>
          <w:sz w:val="24"/>
          <w:szCs w:val="24"/>
        </w:rPr>
        <w:t>llance should be used, relying on linking and integrating relevant surveillance systems, using electronic health records and harmonised datasets, environmental data, data analytics and artificial intelligence, social media - linked with modelling and forec</w:t>
      </w:r>
      <w:r>
        <w:rPr>
          <w:rFonts w:ascii="Times New Roman" w:hAnsi="Times New Roman" w:cs="Times New Roman"/>
          <w:noProof/>
          <w:sz w:val="24"/>
          <w:szCs w:val="24"/>
        </w:rPr>
        <w:t>asting capacity and dedicated high-performant digital computing platforms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Enhancing these technologies will increase the capacity of the EU and its Member States for accurate risk assessments, rapid response and informed decision-making. The ECDC’s key r</w:t>
      </w:r>
      <w:r>
        <w:rPr>
          <w:rFonts w:ascii="Times New Roman" w:hAnsi="Times New Roman" w:cs="Times New Roman"/>
          <w:noProof/>
          <w:sz w:val="24"/>
          <w:szCs w:val="24"/>
        </w:rPr>
        <w:t xml:space="preserve">ole in establishing </w:t>
      </w:r>
      <w:r>
        <w:rPr>
          <w:rFonts w:ascii="Times New Roman" w:hAnsi="Times New Roman" w:cs="Times New Roman"/>
          <w:b/>
          <w:bCs/>
          <w:noProof/>
          <w:sz w:val="24"/>
          <w:szCs w:val="24"/>
        </w:rPr>
        <w:t>integrated surveillance and monitoring systems at the EU level</w:t>
      </w:r>
      <w:r>
        <w:rPr>
          <w:rFonts w:ascii="Times New Roman" w:hAnsi="Times New Roman" w:cs="Times New Roman"/>
          <w:noProof/>
          <w:sz w:val="24"/>
          <w:szCs w:val="24"/>
        </w:rPr>
        <w:t>, including research data</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and data on health systems capacity for diagnosis, prevention and treatment of specific communicable diseases as well as patient safety, should the</w:t>
      </w:r>
      <w:r>
        <w:rPr>
          <w:rFonts w:ascii="Times New Roman" w:hAnsi="Times New Roman" w:cs="Times New Roman"/>
          <w:noProof/>
          <w:sz w:val="24"/>
          <w:szCs w:val="24"/>
        </w:rPr>
        <w:t xml:space="preserve">refore be reinforced, as should its interaction with other relevant agencies including the European Food Safety Authority and the European Environment Agency.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National reporting of timely, complete and comparable data to ECDC, including health systems in</w:t>
      </w:r>
      <w:r>
        <w:rPr>
          <w:rFonts w:ascii="Times New Roman" w:hAnsi="Times New Roman" w:cs="Times New Roman"/>
          <w:noProof/>
          <w:sz w:val="24"/>
          <w:szCs w:val="24"/>
        </w:rPr>
        <w:t xml:space="preserve">dicators, based on common EU case definitions, is an integral element in this wider system of surveillance. To support Member States, the </w:t>
      </w:r>
      <w:r>
        <w:rPr>
          <w:rFonts w:ascii="Times New Roman" w:hAnsi="Times New Roman" w:cs="Times New Roman"/>
          <w:b/>
          <w:bCs/>
          <w:noProof/>
          <w:sz w:val="24"/>
          <w:szCs w:val="24"/>
        </w:rPr>
        <w:t>upcoming EU4Health programme will provide financing to improve national surveillance systems</w:t>
      </w:r>
      <w:r>
        <w:rPr>
          <w:rFonts w:ascii="Times New Roman" w:hAnsi="Times New Roman" w:cs="Times New Roman"/>
          <w:noProof/>
          <w:sz w:val="24"/>
          <w:szCs w:val="24"/>
        </w:rPr>
        <w:t xml:space="preserve">, whilst EU decentralised </w:t>
      </w:r>
      <w:r>
        <w:rPr>
          <w:rFonts w:ascii="Times New Roman" w:hAnsi="Times New Roman" w:cs="Times New Roman"/>
          <w:noProof/>
          <w:sz w:val="24"/>
          <w:szCs w:val="24"/>
        </w:rPr>
        <w:t xml:space="preserve">Agencies will support Member States via tailored technical advice and guidance. </w:t>
      </w:r>
    </w:p>
    <w:tbl>
      <w:tblPr>
        <w:tblStyle w:val="GridTable4-Accent51"/>
        <w:tblW w:w="0" w:type="auto"/>
        <w:tblInd w:w="108" w:type="dxa"/>
        <w:tblLook w:val="04A0" w:firstRow="1" w:lastRow="0" w:firstColumn="1" w:lastColumn="0" w:noHBand="0" w:noVBand="1"/>
      </w:tblPr>
      <w:tblGrid>
        <w:gridCol w:w="7230"/>
        <w:gridCol w:w="1842"/>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lang w:val="en-GB"/>
              </w:rPr>
              <w:t xml:space="preserve">PROPOSED ACTIONS </w:t>
            </w:r>
          </w:p>
          <w:p w:rsidR="00677F2D" w:rsidRDefault="00677F2D">
            <w:pPr>
              <w:jc w:val="center"/>
              <w:rPr>
                <w:rFonts w:ascii="Times New Roman" w:eastAsia="Times New Roman" w:hAnsi="Times New Roman" w:cs="Times New Roman"/>
                <w:noProof/>
                <w:sz w:val="24"/>
                <w:szCs w:val="24"/>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jc w:val="both"/>
              <w:rPr>
                <w:rFonts w:ascii="Times New Roman" w:eastAsia="Times New Roman" w:hAnsi="Times New Roman" w:cs="Times New Roman"/>
                <w:b w:val="0"/>
                <w:noProof/>
                <w:sz w:val="24"/>
                <w:szCs w:val="24"/>
                <w:lang w:val="en-GB"/>
              </w:rPr>
            </w:pPr>
            <w:r>
              <w:rPr>
                <w:rFonts w:ascii="Times New Roman" w:eastAsia="Times New Roman" w:hAnsi="Times New Roman" w:cs="Times New Roman"/>
                <w:noProof/>
                <w:sz w:val="24"/>
                <w:szCs w:val="24"/>
              </w:rPr>
              <w:t>Proposal</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lang w:val="en-GB"/>
              </w:rPr>
            </w:pPr>
            <w:r>
              <w:rPr>
                <w:rFonts w:ascii="Times New Roman" w:eastAsia="Times New Roman" w:hAnsi="Times New Roman" w:cs="Times New Roman"/>
                <w:b/>
                <w:bCs/>
                <w:noProof/>
                <w:sz w:val="24"/>
                <w:szCs w:val="24"/>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 xml:space="preserve">A new high performing epidemiological surveillance system at the EU level, using artificial intelligence, harmonised datasets and </w:t>
            </w:r>
            <w:r>
              <w:rPr>
                <w:rFonts w:ascii="Times New Roman" w:hAnsi="Times New Roman" w:cs="Times New Roman"/>
                <w:b w:val="0"/>
                <w:bCs w:val="0"/>
                <w:noProof/>
                <w:sz w:val="24"/>
                <w:szCs w:val="24"/>
              </w:rPr>
              <w:t>digital tools for accurate modelling, risk assessment and response for the surveillance of novel pathogens based on common EU case definitions</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lang w:val="en-GB"/>
              </w:rPr>
            </w:pPr>
            <w:r>
              <w:rPr>
                <w:rFonts w:ascii="Times New Roman" w:hAnsi="Times New Roman" w:cs="Times New Roman"/>
                <w:bCs/>
                <w:noProof/>
                <w:sz w:val="24"/>
                <w:szCs w:val="24"/>
              </w:rPr>
              <w:t>ECDC;</w:t>
            </w:r>
          </w:p>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lang w:val="en-GB"/>
              </w:rPr>
            </w:pPr>
            <w:r>
              <w:rPr>
                <w:rFonts w:ascii="Times New Roman" w:hAnsi="Times New Roman" w:cs="Times New Roman"/>
                <w:bCs/>
                <w:noProof/>
                <w:sz w:val="24"/>
                <w:szCs w:val="24"/>
              </w:rPr>
              <w:t xml:space="preserve">Commission </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 xml:space="preserve">Strengthen access of ECDC to health data for research and epidemiological aspects, in the </w:t>
            </w:r>
            <w:r>
              <w:rPr>
                <w:rFonts w:ascii="Times New Roman" w:hAnsi="Times New Roman" w:cs="Times New Roman"/>
                <w:b w:val="0"/>
                <w:bCs w:val="0"/>
                <w:noProof/>
                <w:sz w:val="24"/>
                <w:szCs w:val="24"/>
              </w:rPr>
              <w:t>context of the European Health Data Space.</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ECDC; Commission</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Reinforced surveillance linked to other available information sources and data (e.g. research, environmental, trade, transport, economic data, health systems data, pharmaceutical supplies, contac</w:t>
            </w:r>
            <w:r>
              <w:rPr>
                <w:rFonts w:ascii="Times New Roman" w:hAnsi="Times New Roman" w:cs="Times New Roman"/>
                <w:b w:val="0"/>
                <w:bCs w:val="0"/>
                <w:noProof/>
                <w:sz w:val="24"/>
                <w:szCs w:val="24"/>
              </w:rPr>
              <w:t>t tracing.)</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 xml:space="preserve">ECDC; Commission </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rPr>
              <w:t>More detailed and timely reporting requirements for Member States on health care data and performance (e.g. hospital beds availability, specialised treatment and intensive care capacity, number of medically trained staff, con</w:t>
            </w:r>
            <w:r>
              <w:rPr>
                <w:rFonts w:ascii="Times New Roman" w:hAnsi="Times New Roman" w:cs="Times New Roman"/>
                <w:b w:val="0"/>
                <w:bCs w:val="0"/>
                <w:noProof/>
                <w:sz w:val="24"/>
                <w:szCs w:val="24"/>
              </w:rPr>
              <w:t xml:space="preserve">tact tracing).  </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lang w:val="en-GB"/>
              </w:rPr>
            </w:pPr>
            <w:r>
              <w:rPr>
                <w:rFonts w:ascii="Times New Roman" w:hAnsi="Times New Roman" w:cs="Times New Roman"/>
                <w:bCs/>
                <w:noProof/>
                <w:sz w:val="24"/>
                <w:szCs w:val="24"/>
              </w:rPr>
              <w:t xml:space="preserve">Member States </w:t>
            </w:r>
          </w:p>
        </w:tc>
      </w:tr>
    </w:tbl>
    <w:p w:rsidR="00677F2D" w:rsidRDefault="00677F2D">
      <w:pPr>
        <w:pStyle w:val="NoSpacing"/>
        <w:rPr>
          <w:noProof/>
        </w:rPr>
      </w:pPr>
    </w:p>
    <w:p w:rsidR="00677F2D" w:rsidRDefault="008241A6">
      <w:pPr>
        <w:pStyle w:val="ManualHeading1"/>
        <w:spacing w:before="0" w:after="360"/>
        <w:rPr>
          <w:noProof/>
          <w:szCs w:val="24"/>
        </w:rPr>
      </w:pPr>
      <w:r>
        <w:rPr>
          <w:noProof/>
          <w:szCs w:val="24"/>
        </w:rPr>
        <w:t>7.</w:t>
      </w:r>
      <w:r>
        <w:rPr>
          <w:noProof/>
          <w:szCs w:val="24"/>
        </w:rPr>
        <w:tab/>
        <w:t>LABORATORY FINDINGS, TESTING &amp; CONTACT TRACING</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The Commission and ECDC support Member States to comply with existing EU legislation in the area of surveillance, for which they are required to submit comparable and compatible data based inter alia on laboratory findings. However, whilst there are extens</w:t>
      </w:r>
      <w:r>
        <w:rPr>
          <w:rFonts w:ascii="Times New Roman" w:hAnsi="Times New Roman" w:cs="Times New Roman"/>
          <w:noProof/>
          <w:sz w:val="24"/>
          <w:szCs w:val="24"/>
        </w:rPr>
        <w:t xml:space="preserve">ive national laboratory systems in place, there is currently no coordinated EU-wide system of reference laboratory networks for human pathogens. This has resulted in a lack of coordination for consolidated microbiological testing standards.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diversity </w:t>
      </w:r>
      <w:r>
        <w:rPr>
          <w:rFonts w:ascii="Times New Roman" w:hAnsi="Times New Roman" w:cs="Times New Roman"/>
          <w:noProof/>
          <w:sz w:val="24"/>
          <w:szCs w:val="24"/>
        </w:rPr>
        <w:t>in testing strategies and approaches put in place by Member States during the current pandemic has been a consistent challenge and has significantly hampered the EU’s coordination efforts to respond to the disease. The reasons behind such diversity in appr</w:t>
      </w:r>
      <w:r>
        <w:rPr>
          <w:rFonts w:ascii="Times New Roman" w:hAnsi="Times New Roman" w:cs="Times New Roman"/>
          <w:noProof/>
          <w:sz w:val="24"/>
          <w:szCs w:val="24"/>
        </w:rPr>
        <w:t>oaches depends on factors such as the epidemiological situation, transmission dynamics, resources and testing capacities. Efficient testing strategies, coordinated between countries, are a pre-condition to ensuring the effective implementation of mitigatio</w:t>
      </w:r>
      <w:r>
        <w:rPr>
          <w:rFonts w:ascii="Times New Roman" w:hAnsi="Times New Roman" w:cs="Times New Roman"/>
          <w:noProof/>
          <w:sz w:val="24"/>
          <w:szCs w:val="24"/>
        </w:rPr>
        <w:t>n measures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This work can draw on the long experience in EU cooperation on research and innovation, an on the specific opportunities provided by the Horizon Europe programme.</w:t>
      </w:r>
    </w:p>
    <w:p w:rsidR="00677F2D" w:rsidRDefault="008241A6">
      <w:pPr>
        <w:jc w:val="both"/>
        <w:rPr>
          <w:rFonts w:ascii="Times New Roman" w:hAnsi="Times New Roman" w:cs="Times New Roman"/>
          <w:noProof/>
          <w:sz w:val="24"/>
          <w:szCs w:val="24"/>
        </w:rPr>
      </w:pPr>
      <w:r>
        <w:rPr>
          <w:rFonts w:ascii="Times New Roman" w:hAnsi="Times New Roman" w:cs="Times New Roman"/>
          <w:b/>
          <w:bCs/>
          <w:noProof/>
          <w:sz w:val="24"/>
          <w:szCs w:val="24"/>
        </w:rPr>
        <w:t>New EU networks</w:t>
      </w:r>
      <w:r>
        <w:rPr>
          <w:rFonts w:ascii="Times New Roman" w:hAnsi="Times New Roman" w:cs="Times New Roman"/>
          <w:noProof/>
          <w:sz w:val="24"/>
          <w:szCs w:val="24"/>
        </w:rPr>
        <w:t xml:space="preserve"> are necessary</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to remediate these challenges and ensure these capacities can aptly respond to future serious cross-border threats to health:</w:t>
      </w:r>
    </w:p>
    <w:p w:rsidR="00677F2D" w:rsidRDefault="008241A6">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a new network of EU reference laboratories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allowing the alignment on diagnostics, serological testing, testing methods and use a</w:t>
      </w:r>
      <w:r>
        <w:rPr>
          <w:rFonts w:ascii="Times New Roman" w:hAnsi="Times New Roman" w:cs="Times New Roman"/>
          <w:noProof/>
          <w:sz w:val="24"/>
          <w:szCs w:val="24"/>
        </w:rPr>
        <w:t xml:space="preserve">nd validation of certain tests will be established; </w:t>
      </w:r>
    </w:p>
    <w:p w:rsidR="00677F2D" w:rsidRDefault="008241A6">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a new network including Member State services supporting transfusion, transplantation and medically assisted reproduction to allow for the continuous and rapid access to sero-epidemiological data.</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A key </w:t>
      </w:r>
      <w:r>
        <w:rPr>
          <w:rFonts w:ascii="Times New Roman" w:hAnsi="Times New Roman" w:cs="Times New Roman"/>
          <w:noProof/>
          <w:sz w:val="24"/>
          <w:szCs w:val="24"/>
        </w:rPr>
        <w:t xml:space="preserve">pillar for mitigating the transmission of diseases is the implementation of efficient </w:t>
      </w:r>
      <w:r>
        <w:rPr>
          <w:rFonts w:ascii="Times New Roman" w:hAnsi="Times New Roman" w:cs="Times New Roman"/>
          <w:b/>
          <w:noProof/>
          <w:sz w:val="24"/>
          <w:szCs w:val="24"/>
        </w:rPr>
        <w:t>contact tracing measures</w:t>
      </w:r>
      <w:r>
        <w:rPr>
          <w:rFonts w:ascii="Times New Roman" w:hAnsi="Times New Roman" w:cs="Times New Roman"/>
          <w:noProof/>
          <w:sz w:val="24"/>
          <w:szCs w:val="24"/>
        </w:rPr>
        <w:t xml:space="preserve">, particularly to enable the control of localised outbreaks. In the current framework, contact tracing was solely included as one of the elements </w:t>
      </w:r>
      <w:r>
        <w:rPr>
          <w:rFonts w:ascii="Times New Roman" w:hAnsi="Times New Roman" w:cs="Times New Roman"/>
          <w:noProof/>
          <w:sz w:val="24"/>
          <w:szCs w:val="24"/>
        </w:rPr>
        <w:t>for Member States to coordinate via EWRS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Based on lessons learnt from COVID-19, additional efforts are needed at the EU level</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to reinforce EU capacities for contact tracing across borders. To begin with, contact tracing will be a required element of th</w:t>
      </w:r>
      <w:r>
        <w:rPr>
          <w:rFonts w:ascii="Times New Roman" w:hAnsi="Times New Roman" w:cs="Times New Roman"/>
          <w:noProof/>
          <w:sz w:val="24"/>
          <w:szCs w:val="24"/>
        </w:rPr>
        <w:t xml:space="preserve">e EU health crisis/pandemic preparedness and response plan. To complement the feasibility of contact tracing and to support Member States in this endeavour, the </w:t>
      </w:r>
      <w:r>
        <w:rPr>
          <w:rFonts w:ascii="Times New Roman" w:hAnsi="Times New Roman" w:cs="Times New Roman"/>
          <w:b/>
          <w:bCs/>
          <w:noProof/>
          <w:sz w:val="24"/>
          <w:szCs w:val="24"/>
        </w:rPr>
        <w:t>ECDC will be additionally mandated to set up an automated system</w:t>
      </w:r>
      <w:r>
        <w:rPr>
          <w:rStyle w:val="FootnoteReference"/>
          <w:rFonts w:ascii="Times New Roman" w:hAnsi="Times New Roman" w:cs="Times New Roman"/>
          <w:b/>
          <w:bCs/>
          <w:noProof/>
          <w:sz w:val="24"/>
          <w:szCs w:val="24"/>
        </w:rPr>
        <w:footnoteReference w:id="47"/>
      </w:r>
      <w:r>
        <w:rPr>
          <w:rFonts w:ascii="Times New Roman" w:hAnsi="Times New Roman" w:cs="Times New Roman"/>
          <w:b/>
          <w:bCs/>
          <w:noProof/>
          <w:sz w:val="24"/>
          <w:szCs w:val="24"/>
        </w:rPr>
        <w:t xml:space="preserve"> for contact tracing</w:t>
      </w:r>
      <w:r>
        <w:rPr>
          <w:rFonts w:ascii="Times New Roman" w:hAnsi="Times New Roman" w:cs="Times New Roman"/>
          <w:noProof/>
          <w:sz w:val="24"/>
          <w:szCs w:val="24"/>
        </w:rPr>
        <w:t>, building</w:t>
      </w:r>
      <w:r>
        <w:rPr>
          <w:rFonts w:ascii="Times New Roman" w:hAnsi="Times New Roman" w:cs="Times New Roman"/>
          <w:noProof/>
          <w:sz w:val="24"/>
          <w:szCs w:val="24"/>
        </w:rPr>
        <w:t xml:space="preserve"> upon the contact tracing technologies developed by the Member States context of contact tracing and warning applications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Finally, contact tracing will also be incorporated into the epidemiological surveillance network of the ECDC. Given these developmen</w:t>
      </w:r>
      <w:r>
        <w:rPr>
          <w:rFonts w:ascii="Times New Roman" w:hAnsi="Times New Roman" w:cs="Times New Roman"/>
          <w:noProof/>
          <w:sz w:val="24"/>
          <w:szCs w:val="24"/>
        </w:rPr>
        <w:t xml:space="preserve">ts, engagement with, and information sharing from Member States to the ECDC will be a prerequisite for ensuring the success of bolstering this capacity.  </w:t>
      </w:r>
    </w:p>
    <w:tbl>
      <w:tblPr>
        <w:tblStyle w:val="GridTable4-Accent51"/>
        <w:tblW w:w="0" w:type="auto"/>
        <w:tblInd w:w="108" w:type="dxa"/>
        <w:tblLook w:val="04A0" w:firstRow="1" w:lastRow="0" w:firstColumn="1" w:lastColumn="0" w:noHBand="0" w:noVBand="1"/>
      </w:tblPr>
      <w:tblGrid>
        <w:gridCol w:w="7230"/>
        <w:gridCol w:w="1842"/>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rPr>
              <w:t xml:space="preserve">PROPOSED ACTIONS </w:t>
            </w:r>
          </w:p>
          <w:p w:rsidR="00677F2D" w:rsidRDefault="00677F2D">
            <w:pPr>
              <w:jc w:val="center"/>
              <w:rPr>
                <w:rFonts w:ascii="Times New Roman" w:eastAsia="Times New Roman" w:hAnsi="Times New Roman" w:cs="Times New Roman"/>
                <w:noProof/>
                <w:sz w:val="24"/>
                <w:szCs w:val="24"/>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jc w:val="both"/>
              <w:rPr>
                <w:rFonts w:ascii="Times New Roman" w:eastAsia="Times New Roman" w:hAnsi="Times New Roman" w:cs="Times New Roman"/>
                <w:b w:val="0"/>
                <w:noProof/>
                <w:sz w:val="24"/>
                <w:szCs w:val="24"/>
                <w:lang w:val="en-GB"/>
              </w:rPr>
            </w:pPr>
            <w:r>
              <w:rPr>
                <w:rFonts w:ascii="Times New Roman" w:eastAsia="Times New Roman" w:hAnsi="Times New Roman" w:cs="Times New Roman"/>
                <w:noProof/>
                <w:sz w:val="24"/>
                <w:szCs w:val="24"/>
              </w:rPr>
              <w:t>Proposal</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lang w:val="en-GB"/>
              </w:rPr>
            </w:pPr>
            <w:r>
              <w:rPr>
                <w:rFonts w:ascii="Times New Roman" w:eastAsia="Times New Roman" w:hAnsi="Times New Roman" w:cs="Times New Roman"/>
                <w:b/>
                <w:bCs/>
                <w:noProof/>
                <w:sz w:val="24"/>
                <w:szCs w:val="24"/>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lang w:val="en-GB"/>
              </w:rPr>
            </w:pPr>
            <w:r>
              <w:rPr>
                <w:rFonts w:ascii="Times New Roman" w:hAnsi="Times New Roman" w:cs="Times New Roman"/>
                <w:b w:val="0"/>
                <w:bCs w:val="0"/>
                <w:noProof/>
                <w:sz w:val="24"/>
                <w:szCs w:val="24"/>
                <w:lang w:val="en-US"/>
              </w:rPr>
              <w:t xml:space="preserve">Creation of an EU reference laboratories’ network that </w:t>
            </w:r>
            <w:r>
              <w:rPr>
                <w:rFonts w:ascii="Times New Roman" w:hAnsi="Times New Roman" w:cs="Times New Roman"/>
                <w:b w:val="0"/>
                <w:bCs w:val="0"/>
                <w:noProof/>
                <w:sz w:val="24"/>
                <w:szCs w:val="24"/>
                <w:lang w:val="en-US"/>
              </w:rPr>
              <w:t>would allow alignment on diagnostics, serological testing, testing methods, use of certain tests</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ECDC; Commission</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lang w:val="en-GB"/>
              </w:rPr>
            </w:pPr>
            <w:r>
              <w:rPr>
                <w:rFonts w:ascii="Times New Roman" w:hAnsi="Times New Roman" w:cs="Times New Roman"/>
                <w:b w:val="0"/>
                <w:bCs w:val="0"/>
                <w:noProof/>
                <w:sz w:val="24"/>
                <w:szCs w:val="24"/>
                <w:lang w:val="en-US"/>
              </w:rPr>
              <w:t>Creation of a network including Member State services supporting transfusion, transplantation and medically assisted reproduction</w:t>
            </w:r>
          </w:p>
        </w:tc>
        <w:tc>
          <w:tcPr>
            <w:tcW w:w="1842"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 xml:space="preserve">ECDC; </w:t>
            </w:r>
            <w:r>
              <w:rPr>
                <w:rFonts w:ascii="Times New Roman" w:hAnsi="Times New Roman" w:cs="Times New Roman"/>
                <w:bCs/>
                <w:noProof/>
                <w:sz w:val="24"/>
                <w:szCs w:val="24"/>
              </w:rPr>
              <w:t>Commission; Member States</w:t>
            </w:r>
          </w:p>
        </w:tc>
      </w:tr>
      <w:tr w:rsidR="00677F2D" w:rsidTr="00677F2D">
        <w:tc>
          <w:tcPr>
            <w:cnfStyle w:val="001000000000" w:firstRow="0" w:lastRow="0" w:firstColumn="1" w:lastColumn="0" w:oddVBand="0" w:evenVBand="0" w:oddHBand="0" w:evenHBand="0" w:firstRowFirstColumn="0" w:firstRowLastColumn="0" w:lastRowFirstColumn="0" w:lastRowLastColumn="0"/>
            <w:tcW w:w="7230" w:type="dxa"/>
          </w:tcPr>
          <w:p w:rsidR="00677F2D" w:rsidRDefault="008241A6">
            <w:pPr>
              <w:pStyle w:val="ListParagraph"/>
              <w:numPr>
                <w:ilvl w:val="0"/>
                <w:numId w:val="1"/>
              </w:numPr>
              <w:rPr>
                <w:rFonts w:ascii="Times New Roman" w:hAnsi="Times New Roman" w:cs="Times New Roman"/>
                <w:b w:val="0"/>
                <w:bCs w:val="0"/>
                <w:noProof/>
                <w:sz w:val="24"/>
                <w:szCs w:val="24"/>
                <w:lang w:val="en-US"/>
              </w:rPr>
            </w:pPr>
            <w:r>
              <w:rPr>
                <w:rFonts w:ascii="Times New Roman" w:hAnsi="Times New Roman" w:cs="Times New Roman"/>
                <w:b w:val="0"/>
                <w:bCs w:val="0"/>
                <w:noProof/>
                <w:sz w:val="24"/>
                <w:szCs w:val="24"/>
              </w:rPr>
              <w:t>A robust system for automated contact tracing, using modern technologies</w:t>
            </w:r>
            <w:r>
              <w:rPr>
                <w:rStyle w:val="FootnoteReference"/>
                <w:rFonts w:ascii="Times New Roman" w:hAnsi="Times New Roman" w:cs="Times New Roman"/>
                <w:b w:val="0"/>
                <w:bCs w:val="0"/>
                <w:noProof/>
                <w:sz w:val="24"/>
                <w:szCs w:val="24"/>
              </w:rPr>
              <w:footnoteReference w:id="49"/>
            </w:r>
            <w:r>
              <w:rPr>
                <w:rFonts w:ascii="Times New Roman" w:hAnsi="Times New Roman" w:cs="Times New Roman"/>
                <w:b w:val="0"/>
                <w:bCs w:val="0"/>
                <w:noProof/>
                <w:sz w:val="24"/>
                <w:szCs w:val="24"/>
              </w:rPr>
              <w:t>, building on contact tracing and warning applications</w:t>
            </w:r>
          </w:p>
        </w:tc>
        <w:tc>
          <w:tcPr>
            <w:tcW w:w="1842"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ECDC;</w:t>
            </w:r>
          </w:p>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Commission;</w:t>
            </w:r>
          </w:p>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noProof/>
                <w:sz w:val="24"/>
                <w:szCs w:val="24"/>
              </w:rPr>
              <w:t>Member States</w:t>
            </w:r>
          </w:p>
          <w:p w:rsidR="00677F2D" w:rsidRDefault="0067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p>
        </w:tc>
      </w:tr>
    </w:tbl>
    <w:p w:rsidR="00677F2D" w:rsidRDefault="00677F2D">
      <w:pPr>
        <w:pStyle w:val="NoSpacing"/>
        <w:rPr>
          <w:rFonts w:ascii="Times New Roman" w:hAnsi="Times New Roman" w:cs="Times New Roman"/>
          <w:noProof/>
          <w:sz w:val="24"/>
          <w:szCs w:val="24"/>
        </w:rPr>
      </w:pPr>
    </w:p>
    <w:p w:rsidR="00677F2D" w:rsidRDefault="008241A6">
      <w:pPr>
        <w:pStyle w:val="ManualHeading1"/>
        <w:spacing w:before="0" w:after="360"/>
        <w:rPr>
          <w:noProof/>
        </w:rPr>
      </w:pPr>
      <w:r>
        <w:rPr>
          <w:noProof/>
          <w:szCs w:val="24"/>
        </w:rPr>
        <w:t>8.</w:t>
      </w:r>
      <w:r>
        <w:rPr>
          <w:noProof/>
          <w:szCs w:val="24"/>
        </w:rPr>
        <w:tab/>
        <w:t>EARLY WARNING AND RISK ASSESSMENT CAPACITY</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The Early Warning </w:t>
      </w:r>
      <w:r>
        <w:rPr>
          <w:rFonts w:ascii="Times New Roman" w:hAnsi="Times New Roman" w:cs="Times New Roman"/>
          <w:noProof/>
          <w:sz w:val="24"/>
          <w:szCs w:val="24"/>
        </w:rPr>
        <w:t>and Response System (EWRS) is a rapid alert system for serious-cross border threats to health, enabling the Commission and Member States to be in permanent communication for the purposes of alerting and assessing public health risks and determining measure</w:t>
      </w:r>
      <w:r>
        <w:rPr>
          <w:rFonts w:ascii="Times New Roman" w:hAnsi="Times New Roman" w:cs="Times New Roman"/>
          <w:noProof/>
          <w:sz w:val="24"/>
          <w:szCs w:val="24"/>
        </w:rPr>
        <w:t xml:space="preserve">s that may be required to protect public health. EWRS has supported the sharing of notifications and information on COVID-19 cases and response measures. The platform has proven useful and responded to the needs required. By illustration, since 9 January, </w:t>
      </w:r>
      <w:r>
        <w:rPr>
          <w:rFonts w:ascii="Times New Roman" w:hAnsi="Times New Roman" w:cs="Times New Roman"/>
          <w:noProof/>
          <w:sz w:val="24"/>
          <w:szCs w:val="24"/>
        </w:rPr>
        <w:t>when the Commission formally alerted EU Member States to COVID-19 via the first alert message, the platform has processed over 2 700 COVID-19 messages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from Member States and the Commission. Moreover, it has facilitated over 30 COVID-19 medical evacuation</w:t>
      </w:r>
      <w:r>
        <w:rPr>
          <w:rFonts w:ascii="Times New Roman" w:hAnsi="Times New Roman" w:cs="Times New Roman"/>
          <w:noProof/>
          <w:sz w:val="24"/>
          <w:szCs w:val="24"/>
        </w:rPr>
        <w:t xml:space="preserve"> operations - involving the Member States, the Commission and the World Health Organization - of healthcare workers</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the scope of alerts will be broadened to </w:t>
      </w:r>
      <w:r>
        <w:rPr>
          <w:rFonts w:ascii="Times New Roman" w:hAnsi="Times New Roman" w:cs="Times New Roman"/>
          <w:b/>
          <w:bCs/>
          <w:noProof/>
          <w:sz w:val="24"/>
          <w:szCs w:val="24"/>
        </w:rPr>
        <w:t>include needs for or shortages of medical countermeasures, as well as requests</w:t>
      </w:r>
      <w:r>
        <w:rPr>
          <w:rFonts w:ascii="Times New Roman" w:hAnsi="Times New Roman" w:cs="Times New Roman"/>
          <w:b/>
          <w:bCs/>
          <w:noProof/>
          <w:sz w:val="24"/>
          <w:szCs w:val="24"/>
        </w:rPr>
        <w:t xml:space="preserve"> and/or offers for cross-border emergency assistance</w:t>
      </w:r>
      <w:r>
        <w:rPr>
          <w:rFonts w:ascii="Times New Roman" w:hAnsi="Times New Roman" w:cs="Times New Roman"/>
          <w:noProof/>
          <w:sz w:val="24"/>
          <w:szCs w:val="24"/>
        </w:rPr>
        <w:t>. This responds directly to the needs revealed during the outbreak of COVID-19 and to ensure coordination of EU mechanisms, notably with strategic rescEU stockpile under the UCPM, as well as with the Mobi</w:t>
      </w:r>
      <w:r>
        <w:rPr>
          <w:rFonts w:ascii="Times New Roman" w:hAnsi="Times New Roman" w:cs="Times New Roman"/>
          <w:noProof/>
          <w:sz w:val="24"/>
          <w:szCs w:val="24"/>
        </w:rPr>
        <w:t>lity Package under ESI framework</w:t>
      </w:r>
      <w:r>
        <w:rPr>
          <w:noProof/>
          <w:vertAlign w:val="superscript"/>
        </w:rPr>
        <w:footnoteReference w:id="52"/>
      </w:r>
      <w:r>
        <w:rPr>
          <w:rFonts w:ascii="Times New Roman" w:hAnsi="Times New Roman" w:cs="Times New Roman"/>
          <w:noProof/>
          <w:sz w:val="24"/>
          <w:szCs w:val="24"/>
        </w:rPr>
        <w:t>. The EWRS will further support this coordination amongst countries and the Commission, complementing the UCPM and avoiding duplication and conflicting actions, and it will be enhanced to include functionalities relevant fo</w:t>
      </w:r>
      <w:r>
        <w:rPr>
          <w:rFonts w:ascii="Times New Roman" w:hAnsi="Times New Roman" w:cs="Times New Roman"/>
          <w:noProof/>
          <w:sz w:val="24"/>
          <w:szCs w:val="24"/>
        </w:rPr>
        <w:t xml:space="preserve">r preparedness planning and reporting, as well as interlinking the platform with other EU level crisis management alert systems. </w:t>
      </w:r>
    </w:p>
    <w:p w:rsidR="00677F2D" w:rsidRDefault="008241A6">
      <w:pPr>
        <w:jc w:val="both"/>
        <w:rPr>
          <w:rFonts w:ascii="Times New Roman" w:hAnsi="Times New Roman" w:cs="Times New Roman"/>
          <w:noProof/>
          <w:sz w:val="24"/>
          <w:szCs w:val="24"/>
        </w:rPr>
      </w:pPr>
      <w:r>
        <w:rPr>
          <w:rFonts w:ascii="Times New Roman" w:hAnsi="Times New Roman" w:cs="Times New Roman"/>
          <w:noProof/>
          <w:sz w:val="24"/>
          <w:szCs w:val="24"/>
        </w:rPr>
        <w:t>Finally, the Commission will reinforce an all hazard approach to risk assessment in the new proposals. The proposed Regulation</w:t>
      </w:r>
      <w:r>
        <w:rPr>
          <w:rFonts w:ascii="Times New Roman" w:hAnsi="Times New Roman" w:cs="Times New Roman"/>
          <w:noProof/>
          <w:sz w:val="24"/>
          <w:szCs w:val="24"/>
        </w:rPr>
        <w:t xml:space="preserve"> on serious cross-border threats to health will entrust all relevant EU decentralised agencies with risk assessment, scientific advice and recommendations for response measures, incorporating a mandated responsibility for the Commission</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and Union agencies</w:t>
      </w:r>
      <w:r>
        <w:rPr>
          <w:rFonts w:ascii="Times New Roman" w:hAnsi="Times New Roman" w:cs="Times New Roman"/>
          <w:noProof/>
          <w:sz w:val="24"/>
          <w:szCs w:val="24"/>
        </w:rPr>
        <w:t>.</w:t>
      </w:r>
    </w:p>
    <w:tbl>
      <w:tblPr>
        <w:tblStyle w:val="GridTable4-Accent51"/>
        <w:tblW w:w="0" w:type="auto"/>
        <w:tblInd w:w="108" w:type="dxa"/>
        <w:tblLayout w:type="fixed"/>
        <w:tblLook w:val="04A0" w:firstRow="1" w:lastRow="0" w:firstColumn="1" w:lastColumn="0" w:noHBand="0" w:noVBand="1"/>
      </w:tblPr>
      <w:tblGrid>
        <w:gridCol w:w="6946"/>
        <w:gridCol w:w="2126"/>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lang w:val="en-GB"/>
              </w:rPr>
              <w:t xml:space="preserve">PROPOSED ACTIONS </w:t>
            </w:r>
          </w:p>
          <w:p w:rsidR="00677F2D" w:rsidRDefault="00677F2D">
            <w:pPr>
              <w:jc w:val="center"/>
              <w:rPr>
                <w:rFonts w:ascii="Times New Roman" w:hAnsi="Times New Roman" w:cs="Times New Roman"/>
                <w:b w:val="0"/>
                <w:noProof/>
                <w:sz w:val="24"/>
                <w:szCs w:val="24"/>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Proposal</w:t>
            </w:r>
          </w:p>
        </w:tc>
        <w:tc>
          <w:tcPr>
            <w:tcW w:w="2126"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lang w:val="en-GB"/>
              </w:rPr>
            </w:pPr>
            <w:r>
              <w:rPr>
                <w:rFonts w:ascii="Times New Roman" w:hAnsi="Times New Roman" w:cs="Times New Roman"/>
                <w:b/>
                <w:bCs/>
                <w:noProof/>
                <w:sz w:val="24"/>
                <w:szCs w:val="24"/>
                <w:lang w:val="en-GB"/>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6946"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szCs w:val="24"/>
                <w:lang w:val="en-GB"/>
              </w:rPr>
              <w:t>A new</w:t>
            </w:r>
            <w:r>
              <w:rPr>
                <w:rFonts w:ascii="Times New Roman" w:hAnsi="Times New Roman" w:cs="Times New Roman"/>
                <w:b w:val="0"/>
                <w:bCs w:val="0"/>
                <w:noProof/>
                <w:sz w:val="24"/>
                <w:szCs w:val="24"/>
              </w:rPr>
              <w:t xml:space="preserve"> risk assessment framework for all hazards, including rapid and appropriate recommendation for response measures that Member States should implement</w:t>
            </w:r>
          </w:p>
        </w:tc>
        <w:tc>
          <w:tcPr>
            <w:tcW w:w="2126"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EU decentralised Agencies;</w:t>
            </w:r>
          </w:p>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Commission</w:t>
            </w:r>
          </w:p>
          <w:p w:rsidR="00677F2D" w:rsidRDefault="0067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p>
        </w:tc>
      </w:tr>
    </w:tbl>
    <w:p w:rsidR="00677F2D" w:rsidRDefault="00677F2D">
      <w:pPr>
        <w:jc w:val="both"/>
        <w:rPr>
          <w:rFonts w:ascii="Times New Roman" w:hAnsi="Times New Roman" w:cs="Times New Roman"/>
          <w:noProof/>
          <w:sz w:val="24"/>
          <w:szCs w:val="24"/>
        </w:rPr>
      </w:pPr>
    </w:p>
    <w:p w:rsidR="00677F2D" w:rsidRDefault="008241A6">
      <w:pPr>
        <w:pStyle w:val="ManualHeading1"/>
        <w:spacing w:before="0" w:after="360"/>
        <w:rPr>
          <w:noProof/>
        </w:rPr>
      </w:pPr>
      <w:r>
        <w:rPr>
          <w:noProof/>
          <w:szCs w:val="24"/>
        </w:rPr>
        <w:t>9.</w:t>
      </w:r>
      <w:r>
        <w:rPr>
          <w:noProof/>
          <w:szCs w:val="24"/>
        </w:rPr>
        <w:tab/>
      </w:r>
      <w:r>
        <w:rPr>
          <w:noProof/>
          <w:szCs w:val="24"/>
        </w:rPr>
        <w:t>INTERNATIONAL COOPERATION AND COORDINATION</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COVID-19 has shown that serious threats to health are inherently cross-border. The EU and its Member States provided to, and also received assistance from, third countries in responding to the crisis. As Team Euro</w:t>
      </w:r>
      <w:r>
        <w:rPr>
          <w:rFonts w:ascii="Times New Roman" w:eastAsia="Times New Roman" w:hAnsi="Times New Roman" w:cs="Times New Roman"/>
          <w:noProof/>
          <w:sz w:val="24"/>
          <w:szCs w:val="24"/>
        </w:rPr>
        <w:t>pe,</w:t>
      </w:r>
      <w:r>
        <w:rPr>
          <w:rFonts w:ascii="Times New Roman" w:hAnsi="Times New Roman" w:cs="Times New Roman"/>
          <w:noProof/>
          <w:sz w:val="24"/>
          <w:szCs w:val="24"/>
        </w:rPr>
        <w:t xml:space="preserve"> they have so far mobilised over EUR 36 billion with emergency aid and longer-term health and socio-economic support to partner countries in need, with a particular focus on vulnerable people. It has also set up an EU Humanitarian Air Bridge to maintain</w:t>
      </w:r>
      <w:r>
        <w:rPr>
          <w:rFonts w:ascii="Times New Roman" w:hAnsi="Times New Roman" w:cs="Times New Roman"/>
          <w:noProof/>
          <w:sz w:val="24"/>
          <w:szCs w:val="24"/>
        </w:rPr>
        <w:t xml:space="preserve"> vital transport links for humanitarian and emergency health workers and supplies</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such, the Commission and EU decentralised Agencies work, and continue to do so, with international stakeholders as well as partner countries. This includes, for example, c</w:t>
      </w:r>
      <w:r>
        <w:rPr>
          <w:rFonts w:ascii="Times New Roman" w:eastAsia="Times New Roman" w:hAnsi="Times New Roman" w:cs="Times New Roman"/>
          <w:noProof/>
          <w:sz w:val="24"/>
          <w:szCs w:val="24"/>
        </w:rPr>
        <w:t>lose collaboration with the WHO, non-EU centres for disease control and prevention, Participating States in the Union Civil Protection Mechanism, as well as engagement in coordination platforms such as the Global Health Security Initiative and GloPiD-R, th</w:t>
      </w:r>
      <w:r>
        <w:rPr>
          <w:rFonts w:ascii="Times New Roman" w:eastAsia="Times New Roman" w:hAnsi="Times New Roman" w:cs="Times New Roman"/>
          <w:noProof/>
          <w:sz w:val="24"/>
          <w:szCs w:val="24"/>
        </w:rPr>
        <w:t>e network of preparedness research funders. The Commission also actively promotes the need for continued political attention and coordination of public health preparedness and response, via frameworks such as the G7 and G20.</w:t>
      </w:r>
    </w:p>
    <w:p w:rsidR="00677F2D" w:rsidRDefault="008241A6">
      <w:pPr>
        <w:autoSpaceDE w:val="0"/>
        <w:autoSpaceDN w:val="0"/>
        <w:adjustRightInd w:val="0"/>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The EU has a leading role to pl</w:t>
      </w:r>
      <w:r>
        <w:rPr>
          <w:rFonts w:ascii="Times New Roman" w:eastAsia="Times New Roman" w:hAnsi="Times New Roman" w:cs="Times New Roman"/>
          <w:noProof/>
          <w:sz w:val="24"/>
          <w:szCs w:val="24"/>
          <w:lang w:eastAsia="pl-PL"/>
        </w:rPr>
        <w:t xml:space="preserve">ay to strengthen health systems </w:t>
      </w:r>
      <w:r>
        <w:rPr>
          <w:rFonts w:ascii="Times New Roman" w:hAnsi="Times New Roman" w:cs="Times New Roman"/>
          <w:noProof/>
          <w:sz w:val="24"/>
          <w:szCs w:val="24"/>
        </w:rPr>
        <w:t>including global health security preparedness and response capacity</w:t>
      </w:r>
      <w:r>
        <w:rPr>
          <w:rFonts w:ascii="Times New Roman" w:eastAsia="Times New Roman" w:hAnsi="Times New Roman" w:cs="Times New Roman"/>
          <w:noProof/>
          <w:sz w:val="24"/>
          <w:szCs w:val="24"/>
          <w:lang w:eastAsia="pl-PL"/>
        </w:rPr>
        <w:t>.</w:t>
      </w:r>
    </w:p>
    <w:p w:rsidR="00677F2D" w:rsidRDefault="008241A6">
      <w:pPr>
        <w:autoSpaceDE w:val="0"/>
        <w:autoSpaceDN w:val="0"/>
        <w:adjustRightInd w:val="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pl-PL"/>
        </w:rPr>
        <w:t>In direct response to COVID-19, the Commission provided the EU’s enlargement countries and priority Eastern neighbouring countries access to the Health Sec</w:t>
      </w:r>
      <w:r>
        <w:rPr>
          <w:rFonts w:ascii="Times New Roman" w:eastAsia="Times New Roman" w:hAnsi="Times New Roman" w:cs="Times New Roman"/>
          <w:noProof/>
          <w:sz w:val="24"/>
          <w:szCs w:val="24"/>
          <w:lang w:eastAsia="pl-PL"/>
        </w:rPr>
        <w:t>urity Committee and EWRS, access that was also given to Switzerland. This was undertaken to maximise the protection of citizens and support the response of the EU by clearly acknowledging that the virus does not stop at borders, and that the strongest resp</w:t>
      </w:r>
      <w:r>
        <w:rPr>
          <w:rFonts w:ascii="Times New Roman" w:eastAsia="Times New Roman" w:hAnsi="Times New Roman" w:cs="Times New Roman"/>
          <w:noProof/>
          <w:sz w:val="24"/>
          <w:szCs w:val="24"/>
          <w:lang w:eastAsia="pl-PL"/>
        </w:rPr>
        <w:t>onse and crisis management is via regional and international solidarity and cooperation. The European Parliament and the Council have recently strongly affirmed EU’s commitment to scaling up global health emergency preparedness, and the 16 October 2020 Eur</w:t>
      </w:r>
      <w:r>
        <w:rPr>
          <w:rFonts w:ascii="Times New Roman" w:eastAsia="Times New Roman" w:hAnsi="Times New Roman" w:cs="Times New Roman"/>
          <w:noProof/>
          <w:sz w:val="24"/>
          <w:szCs w:val="24"/>
          <w:lang w:eastAsia="pl-PL"/>
        </w:rPr>
        <w:t>opean Council committed to strengthening EU support to health systems and the reinforcement of partners’ preparedness and response capacity in Africa. Furthermore, the Commission and EU Agencies also initiated regular exchanges of experience with preventio</w:t>
      </w:r>
      <w:r>
        <w:rPr>
          <w:rFonts w:ascii="Times New Roman" w:eastAsia="Times New Roman" w:hAnsi="Times New Roman" w:cs="Times New Roman"/>
          <w:noProof/>
          <w:sz w:val="24"/>
          <w:szCs w:val="24"/>
          <w:lang w:eastAsia="pl-PL"/>
        </w:rPr>
        <w:t>n and control measures with China and other third countries.</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consolidate and underpin the benefits of international cooperation and coordination on serious cross-border threats to health, the new proposals confirm the EU’s leading role in the global sph</w:t>
      </w:r>
      <w:r>
        <w:rPr>
          <w:rFonts w:ascii="Times New Roman" w:eastAsia="Times New Roman" w:hAnsi="Times New Roman" w:cs="Times New Roman"/>
          <w:noProof/>
          <w:sz w:val="24"/>
          <w:szCs w:val="24"/>
        </w:rPr>
        <w:t>ere of public health preparedness and response, with the objective of  addressing outbreaks at the source via a two-pronged approach: (1) reinforced and targeted international cooperation and coordination; and (2) on the ground support to Member States and</w:t>
      </w:r>
      <w:r>
        <w:rPr>
          <w:rFonts w:ascii="Times New Roman" w:eastAsia="Times New Roman" w:hAnsi="Times New Roman" w:cs="Times New Roman"/>
          <w:noProof/>
          <w:sz w:val="24"/>
          <w:szCs w:val="24"/>
        </w:rPr>
        <w:t xml:space="preserve"> third countries, in times of need. On the global level, the ECDC will pursue a leading role and build an international network with other major Disease Control Centres, such as the US Centers for Disease Control and Prevention (CDC).</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will be translat</w:t>
      </w:r>
      <w:r>
        <w:rPr>
          <w:rFonts w:ascii="Times New Roman" w:eastAsia="Times New Roman" w:hAnsi="Times New Roman" w:cs="Times New Roman"/>
          <w:noProof/>
          <w:sz w:val="24"/>
          <w:szCs w:val="24"/>
        </w:rPr>
        <w:t xml:space="preserve">ed by a </w:t>
      </w:r>
      <w:r>
        <w:rPr>
          <w:rFonts w:ascii="Times New Roman" w:eastAsia="Times New Roman" w:hAnsi="Times New Roman" w:cs="Times New Roman"/>
          <w:b/>
          <w:bCs/>
          <w:noProof/>
          <w:sz w:val="24"/>
          <w:szCs w:val="24"/>
        </w:rPr>
        <w:t>reinforced capacity for ECDC to mobilise and deploy the EU Health Task Force to assist local response in particular in the Member States and greater involvement in international response teams</w:t>
      </w:r>
      <w:r>
        <w:rPr>
          <w:rStyle w:val="FootnoteReference"/>
          <w:rFonts w:ascii="Times New Roman" w:eastAsia="Times New Roman" w:hAnsi="Times New Roman" w:cs="Times New Roman"/>
          <w:noProof/>
          <w:sz w:val="24"/>
          <w:szCs w:val="24"/>
        </w:rPr>
        <w:footnoteReference w:id="54"/>
      </w:r>
      <w:r>
        <w:rPr>
          <w:rFonts w:ascii="Times New Roman" w:eastAsia="Times New Roman" w:hAnsi="Times New Roman" w:cs="Times New Roman"/>
          <w:noProof/>
          <w:sz w:val="24"/>
          <w:szCs w:val="24"/>
        </w:rPr>
        <w:t>, including ECDC support to build more resilient health</w:t>
      </w:r>
      <w:r>
        <w:rPr>
          <w:rFonts w:ascii="Times New Roman" w:eastAsia="Times New Roman" w:hAnsi="Times New Roman" w:cs="Times New Roman"/>
          <w:noProof/>
          <w:sz w:val="24"/>
          <w:szCs w:val="24"/>
        </w:rPr>
        <w:t xml:space="preserve"> systems for sustainable health security preparedness in EU partner countries.</w:t>
      </w:r>
    </w:p>
    <w:tbl>
      <w:tblPr>
        <w:tblStyle w:val="GridTable4-Accent51"/>
        <w:tblW w:w="0" w:type="auto"/>
        <w:tblLook w:val="04A0" w:firstRow="1" w:lastRow="0" w:firstColumn="1" w:lastColumn="0" w:noHBand="0" w:noVBand="1"/>
      </w:tblPr>
      <w:tblGrid>
        <w:gridCol w:w="7054"/>
        <w:gridCol w:w="2126"/>
      </w:tblGrid>
      <w:tr w:rsidR="00677F2D" w:rsidTr="0067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677F2D" w:rsidRDefault="008241A6">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lang w:val="en-GB"/>
              </w:rPr>
              <w:t xml:space="preserve">PROPOSED ACTIONS </w:t>
            </w:r>
          </w:p>
          <w:p w:rsidR="00677F2D" w:rsidRDefault="00677F2D">
            <w:pPr>
              <w:jc w:val="center"/>
              <w:rPr>
                <w:rFonts w:ascii="Times New Roman" w:hAnsi="Times New Roman" w:cs="Times New Roman"/>
                <w:b w:val="0"/>
                <w:noProof/>
                <w:sz w:val="24"/>
                <w:szCs w:val="24"/>
              </w:rPr>
            </w:pP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Proposal</w:t>
            </w:r>
          </w:p>
        </w:tc>
        <w:tc>
          <w:tcPr>
            <w:tcW w:w="2126" w:type="dxa"/>
          </w:tcPr>
          <w:p w:rsidR="00677F2D" w:rsidRDefault="008241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lang w:val="en-GB"/>
              </w:rPr>
            </w:pPr>
            <w:r>
              <w:rPr>
                <w:rFonts w:ascii="Times New Roman" w:hAnsi="Times New Roman" w:cs="Times New Roman"/>
                <w:b/>
                <w:bCs/>
                <w:noProof/>
                <w:sz w:val="24"/>
                <w:szCs w:val="24"/>
                <w:lang w:val="en-GB"/>
              </w:rPr>
              <w:t>Responsibility</w:t>
            </w:r>
          </w:p>
        </w:tc>
      </w:tr>
      <w:tr w:rsidR="00677F2D" w:rsidTr="00677F2D">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szCs w:val="24"/>
              </w:rPr>
            </w:pPr>
            <w:r>
              <w:rPr>
                <w:rFonts w:ascii="Times New Roman" w:hAnsi="Times New Roman" w:cs="Times New Roman"/>
                <w:b w:val="0"/>
                <w:bCs w:val="0"/>
                <w:noProof/>
                <w:sz w:val="24"/>
              </w:rPr>
              <w:t xml:space="preserve">Establishment of the EU Health Task Force within ECDC, to mobilise and deploy to assist local response to outbreaks of communicable </w:t>
            </w:r>
            <w:r>
              <w:rPr>
                <w:rFonts w:ascii="Times New Roman" w:hAnsi="Times New Roman" w:cs="Times New Roman"/>
                <w:b w:val="0"/>
                <w:bCs w:val="0"/>
                <w:noProof/>
                <w:sz w:val="24"/>
              </w:rPr>
              <w:t>diseases in Member States and third countries</w:t>
            </w:r>
          </w:p>
        </w:tc>
        <w:tc>
          <w:tcPr>
            <w:tcW w:w="2126" w:type="dxa"/>
          </w:tcPr>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ECDC;</w:t>
            </w:r>
          </w:p>
          <w:p w:rsidR="00677F2D" w:rsidRDefault="008241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w:t>
            </w:r>
          </w:p>
        </w:tc>
      </w:tr>
      <w:tr w:rsidR="00677F2D" w:rsidTr="0067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rPr>
            </w:pPr>
            <w:r>
              <w:rPr>
                <w:rFonts w:ascii="Times New Roman" w:hAnsi="Times New Roman" w:cs="Times New Roman"/>
                <w:b w:val="0"/>
                <w:bCs w:val="0"/>
                <w:noProof/>
                <w:sz w:val="24"/>
              </w:rPr>
              <w:t>Framework for the mobilisation of the EU Health Task Force to provide contribution within international response teams mobilised by the WHO Health Emergencies Programme mechanism, the Global O</w:t>
            </w:r>
            <w:r>
              <w:rPr>
                <w:rFonts w:ascii="Times New Roman" w:hAnsi="Times New Roman" w:cs="Times New Roman"/>
                <w:b w:val="0"/>
                <w:bCs w:val="0"/>
                <w:noProof/>
                <w:sz w:val="24"/>
              </w:rPr>
              <w:t>utbreak Alert and Response Network (GOARN) and the Union Civil Protection Mechanism</w:t>
            </w:r>
          </w:p>
        </w:tc>
        <w:tc>
          <w:tcPr>
            <w:tcW w:w="2126" w:type="dxa"/>
          </w:tcPr>
          <w:p w:rsidR="00677F2D" w:rsidRDefault="008241A6">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ECDC; Commission; Member States</w:t>
            </w:r>
          </w:p>
        </w:tc>
      </w:tr>
      <w:tr w:rsidR="00677F2D" w:rsidTr="00677F2D">
        <w:tc>
          <w:tcPr>
            <w:cnfStyle w:val="001000000000" w:firstRow="0" w:lastRow="0" w:firstColumn="1" w:lastColumn="0" w:oddVBand="0" w:evenVBand="0" w:oddHBand="0" w:evenHBand="0" w:firstRowFirstColumn="0" w:firstRowLastColumn="0" w:lastRowFirstColumn="0" w:lastRowLastColumn="0"/>
            <w:tcW w:w="7054" w:type="dxa"/>
          </w:tcPr>
          <w:p w:rsidR="00677F2D" w:rsidRDefault="008241A6">
            <w:pPr>
              <w:pStyle w:val="ListParagraph"/>
              <w:numPr>
                <w:ilvl w:val="0"/>
                <w:numId w:val="1"/>
              </w:numPr>
              <w:rPr>
                <w:rFonts w:ascii="Times New Roman" w:hAnsi="Times New Roman" w:cs="Times New Roman"/>
                <w:b w:val="0"/>
                <w:bCs w:val="0"/>
                <w:noProof/>
                <w:sz w:val="24"/>
              </w:rPr>
            </w:pPr>
            <w:r>
              <w:rPr>
                <w:rFonts w:ascii="Times New Roman" w:hAnsi="Times New Roman" w:cs="Times New Roman"/>
                <w:b w:val="0"/>
                <w:bCs w:val="0"/>
                <w:noProof/>
                <w:sz w:val="24"/>
              </w:rPr>
              <w:t>Development of field response capabilities and crisis management expertise among ECDC’s staff and experts from EU and EEA countries, EU pre</w:t>
            </w:r>
            <w:r>
              <w:rPr>
                <w:rFonts w:ascii="Times New Roman" w:hAnsi="Times New Roman" w:cs="Times New Roman"/>
                <w:b w:val="0"/>
                <w:bCs w:val="0"/>
                <w:noProof/>
                <w:sz w:val="24"/>
              </w:rPr>
              <w:t>-accession countries, and European Neighbourhood Policy and EU partner countries, upon request of the Commission</w:t>
            </w:r>
          </w:p>
        </w:tc>
        <w:tc>
          <w:tcPr>
            <w:tcW w:w="2126" w:type="dxa"/>
          </w:tcPr>
          <w:p w:rsidR="00677F2D" w:rsidRDefault="008241A6">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ECDC; Commission; Member States; EEA; EU-pre-accession countries; EU Neighbourhood policy and EU partner counters</w:t>
            </w:r>
          </w:p>
        </w:tc>
      </w:tr>
    </w:tbl>
    <w:p w:rsidR="00677F2D" w:rsidRDefault="00677F2D">
      <w:pPr>
        <w:rPr>
          <w:noProof/>
          <w:lang w:val="en-IE"/>
        </w:rPr>
      </w:pPr>
    </w:p>
    <w:p w:rsidR="00677F2D" w:rsidRDefault="008241A6">
      <w:pPr>
        <w:pStyle w:val="ManualHeading1"/>
        <w:spacing w:before="0" w:after="360"/>
        <w:rPr>
          <w:noProof/>
          <w:szCs w:val="24"/>
        </w:rPr>
      </w:pPr>
      <w:r>
        <w:rPr>
          <w:noProof/>
          <w:szCs w:val="24"/>
        </w:rPr>
        <w:t>10.</w:t>
      </w:r>
      <w:r>
        <w:rPr>
          <w:noProof/>
          <w:szCs w:val="24"/>
        </w:rPr>
        <w:tab/>
        <w:t xml:space="preserve">AN EU HEALTH EMERGENCY </w:t>
      </w:r>
      <w:r>
        <w:rPr>
          <w:noProof/>
          <w:szCs w:val="24"/>
        </w:rPr>
        <w:t>PREPAREDNESS AND RESPONSE AUTHORITY (HERA)</w:t>
      </w:r>
      <w:bookmarkStart w:id="1" w:name="_GoBack"/>
      <w:bookmarkEnd w:id="1"/>
    </w:p>
    <w:p w:rsidR="00677F2D" w:rsidRDefault="008241A6">
      <w:pPr>
        <w:jc w:val="both"/>
        <w:rPr>
          <w:rFonts w:ascii="Times New Roman" w:eastAsia="Times New Roman" w:hAnsi="Times New Roman" w:cs="Times New Roman"/>
          <w:noProof/>
          <w:sz w:val="24"/>
          <w:szCs w:val="24"/>
        </w:rPr>
      </w:pPr>
      <w:bookmarkStart w:id="2" w:name="_Hlk55328969"/>
      <w:r>
        <w:rPr>
          <w:rFonts w:ascii="Times New Roman" w:eastAsia="Times New Roman" w:hAnsi="Times New Roman" w:cs="Times New Roman"/>
          <w:noProof/>
          <w:sz w:val="24"/>
          <w:szCs w:val="24"/>
        </w:rPr>
        <w:t>The COVID-19 pandemic has demonstrated the need for and value of co-ordinated EU level action. EU-level advanced purchase agreements for vaccines increase the likelihood that we will exit the crisis together, and stockpi</w:t>
      </w:r>
      <w:r>
        <w:rPr>
          <w:rFonts w:ascii="Times New Roman" w:eastAsia="Times New Roman" w:hAnsi="Times New Roman" w:cs="Times New Roman"/>
          <w:noProof/>
          <w:sz w:val="24"/>
          <w:szCs w:val="24"/>
        </w:rPr>
        <w:t>ling of medical countermeasures has already lessened its impact. At the same time, the pandemic has revealed structural weaknesses and market failures in our foresight, preparedness and ability to respond coherently, rapidly and appropriately to protect ou</w:t>
      </w:r>
      <w:r>
        <w:rPr>
          <w:rFonts w:ascii="Times New Roman" w:eastAsia="Times New Roman" w:hAnsi="Times New Roman" w:cs="Times New Roman"/>
          <w:noProof/>
          <w:sz w:val="24"/>
          <w:szCs w:val="24"/>
        </w:rPr>
        <w:t xml:space="preserve">r citizens from health crises. </w:t>
      </w:r>
    </w:p>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COVID-19 is unlikely to be the only global or pan-European health crisis of our century. Anticipating this calls for a dedicated European authority that will strengthen the EU’s preparedness and response capability for new and emerging cross-border threats</w:t>
      </w:r>
      <w:r>
        <w:rPr>
          <w:rFonts w:ascii="Times New Roman" w:eastAsia="Times New Roman" w:hAnsi="Times New Roman" w:cs="Times New Roman"/>
          <w:noProof/>
          <w:sz w:val="24"/>
          <w:szCs w:val="24"/>
        </w:rPr>
        <w:t xml:space="preserve"> to human health. </w:t>
      </w:r>
    </w:p>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authority’s mission will be to enable the EU and its Member States to rapidly deploy the most advanced medical and other measures in the event of a health emergency, by covering the whole value chain from conception to distribution a</w:t>
      </w:r>
      <w:r>
        <w:rPr>
          <w:rFonts w:ascii="Times New Roman" w:eastAsia="Times New Roman" w:hAnsi="Times New Roman" w:cs="Times New Roman"/>
          <w:noProof/>
          <w:sz w:val="24"/>
          <w:szCs w:val="24"/>
        </w:rPr>
        <w:t xml:space="preserve">nd use. </w:t>
      </w:r>
    </w:p>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that effect, it will, for example, undertake horizon scanning and foresight to anticipate specific threats, identify promising potential countermeasures and underpinning competencies, and generate and disseminate knowledge on these. It will mon</w:t>
      </w:r>
      <w:r>
        <w:rPr>
          <w:rFonts w:ascii="Times New Roman" w:eastAsia="Times New Roman" w:hAnsi="Times New Roman" w:cs="Times New Roman"/>
          <w:noProof/>
          <w:sz w:val="24"/>
          <w:szCs w:val="24"/>
        </w:rPr>
        <w:t>itor and pool production capacity and development facilities, raw material requirements and availability, and ensure that supply chain vulnerabilities are addressed. It will support the development of crosscutting technologies and solutions sustaining mult</w:t>
      </w:r>
      <w:r>
        <w:rPr>
          <w:rFonts w:ascii="Times New Roman" w:eastAsia="Times New Roman" w:hAnsi="Times New Roman" w:cs="Times New Roman"/>
          <w:noProof/>
          <w:sz w:val="24"/>
          <w:szCs w:val="24"/>
        </w:rPr>
        <w:t xml:space="preserve">iple potential future threat responses (e.g. vaccine platform technologies, or the application of digital tools and artificial intelligence) as well as the development of specific countermeasures, including through clinical trials and data infrastructure. </w:t>
      </w:r>
      <w:r>
        <w:rPr>
          <w:rFonts w:ascii="Times New Roman" w:eastAsia="Times New Roman" w:hAnsi="Times New Roman" w:cs="Times New Roman"/>
          <w:noProof/>
          <w:sz w:val="24"/>
          <w:szCs w:val="24"/>
        </w:rPr>
        <w:t xml:space="preserve">It will ensure that sufficient production capacity will be available when necessary, as well as arrangements for stockpiling and distribution. </w:t>
      </w:r>
    </w:p>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authority will plan, co-ordinate and assemble ecosystems of public and private capabilities that jo</w:t>
      </w:r>
      <w:r>
        <w:rPr>
          <w:rFonts w:ascii="Times New Roman" w:eastAsia="Times New Roman" w:hAnsi="Times New Roman" w:cs="Times New Roman"/>
          <w:noProof/>
          <w:sz w:val="24"/>
          <w:szCs w:val="24"/>
        </w:rPr>
        <w:t>intly enable a rapid response when the need arises. When an EU health emergency is declared, it will acquire specific additional resources required to adequately react in the interest of all Member States.</w:t>
      </w:r>
    </w:p>
    <w:p w:rsidR="00677F2D" w:rsidRDefault="008241A6">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Building on the experience with COVID-19 vaccines </w:t>
      </w:r>
      <w:r>
        <w:rPr>
          <w:rFonts w:ascii="Times New Roman" w:eastAsia="Times New Roman" w:hAnsi="Times New Roman" w:cs="Times New Roman"/>
          <w:noProof/>
          <w:sz w:val="24"/>
          <w:szCs w:val="24"/>
        </w:rPr>
        <w:t>development and the central clearing house for medical equipment, the Commission will launch a preparatory action focusing on emerging biological threats to human health, such as corona-related transmissible diseases and anti-microbial resistance. In paral</w:t>
      </w:r>
      <w:r>
        <w:rPr>
          <w:rFonts w:ascii="Times New Roman" w:eastAsia="Times New Roman" w:hAnsi="Times New Roman" w:cs="Times New Roman"/>
          <w:noProof/>
          <w:sz w:val="24"/>
          <w:szCs w:val="24"/>
        </w:rPr>
        <w:t xml:space="preserve">lel, it will launch an impact assessment and consultation on the establishment of an EU authority, with a view to proposing in 2021 a properly mandated and resourced dedicated structure to start operations in 2023. </w:t>
      </w:r>
      <w:bookmarkEnd w:id="2"/>
      <w:r>
        <w:rPr>
          <w:rFonts w:ascii="Times New Roman" w:eastAsia="Times New Roman" w:hAnsi="Times New Roman" w:cs="Times New Roman"/>
          <w:noProof/>
          <w:sz w:val="24"/>
          <w:szCs w:val="24"/>
        </w:rPr>
        <w:t>Synergies and complementarity with existi</w:t>
      </w:r>
      <w:r>
        <w:rPr>
          <w:rFonts w:ascii="Times New Roman" w:eastAsia="Times New Roman" w:hAnsi="Times New Roman" w:cs="Times New Roman"/>
          <w:noProof/>
          <w:sz w:val="24"/>
          <w:szCs w:val="24"/>
        </w:rPr>
        <w:t xml:space="preserve">ng EU bodies and relevant spending programmes will be ensured.  </w:t>
      </w:r>
    </w:p>
    <w:p w:rsidR="00677F2D" w:rsidRDefault="008241A6">
      <w:pPr>
        <w:pStyle w:val="ManualHeading1"/>
        <w:spacing w:before="0" w:after="360"/>
        <w:rPr>
          <w:noProof/>
          <w:szCs w:val="24"/>
        </w:rPr>
      </w:pPr>
      <w:r>
        <w:rPr>
          <w:noProof/>
          <w:szCs w:val="24"/>
        </w:rPr>
        <w:t xml:space="preserve">11. </w:t>
      </w:r>
      <w:r>
        <w:rPr>
          <w:noProof/>
          <w:szCs w:val="24"/>
        </w:rPr>
        <w:tab/>
        <w:t>CONCLUSION AND NEXT STEPS</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Health is central to people’s well-being. They rightly expect it to be one of the major priorities of public policy. Governments must do everything they can to </w:t>
      </w:r>
      <w:r>
        <w:rPr>
          <w:rFonts w:ascii="Times New Roman" w:eastAsia="Times New Roman" w:hAnsi="Times New Roman" w:cs="Times New Roman"/>
          <w:noProof/>
          <w:sz w:val="24"/>
          <w:szCs w:val="24"/>
        </w:rPr>
        <w:t>deliver health services and to protect from health threats. This means working together, and using the EU’s potential to improve the health response and to support Member States to fulfil their responsibilities. This needs clear direction at EU level, clos</w:t>
      </w:r>
      <w:r>
        <w:rPr>
          <w:rFonts w:ascii="Times New Roman" w:eastAsia="Times New Roman" w:hAnsi="Times New Roman" w:cs="Times New Roman"/>
          <w:noProof/>
          <w:sz w:val="24"/>
          <w:szCs w:val="24"/>
        </w:rPr>
        <w:t>e coordination with the Council and the European Parliament, and the updating of key tools and legislation as set out in this Communication.</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upcoming Conference on the Future of Europe, with its emphasis on outreach to citizens and its aim to create a </w:t>
      </w:r>
      <w:r>
        <w:rPr>
          <w:rFonts w:ascii="Times New Roman" w:eastAsia="Times New Roman" w:hAnsi="Times New Roman" w:cs="Times New Roman"/>
          <w:noProof/>
          <w:sz w:val="24"/>
          <w:szCs w:val="24"/>
        </w:rPr>
        <w:t xml:space="preserve">forum to address their concerns and priorities, provides an optimal platform to ignite discussions provide impetus on the evolution of the EU’s role on health in the future, in order to respond to citizens’ expectations towards the Union. In addition, the </w:t>
      </w:r>
      <w:r>
        <w:rPr>
          <w:rFonts w:ascii="Times New Roman" w:eastAsia="Times New Roman" w:hAnsi="Times New Roman" w:cs="Times New Roman"/>
          <w:noProof/>
          <w:sz w:val="24"/>
          <w:szCs w:val="24"/>
        </w:rPr>
        <w:t>Global Health Summit scheduled for 2021 in Italy will allow the EU to steer the worldwide reflection on how to strengthen global health security in the “age of pandemics".</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coronavirus has touched every single aspect of personal, professional, social an</w:t>
      </w:r>
      <w:r>
        <w:rPr>
          <w:rFonts w:ascii="Times New Roman" w:eastAsia="Times New Roman" w:hAnsi="Times New Roman" w:cs="Times New Roman"/>
          <w:noProof/>
          <w:sz w:val="24"/>
          <w:szCs w:val="24"/>
        </w:rPr>
        <w:t>d economic life. To effectively address the threat it poses, European health authorities need to work seamlessly together, to pool their resources and expertise, and to operate as jointly as possible and in close coordination with the economic authorities.</w:t>
      </w:r>
      <w:r>
        <w:rPr>
          <w:rFonts w:ascii="Times New Roman" w:eastAsia="Times New Roman" w:hAnsi="Times New Roman" w:cs="Times New Roman"/>
          <w:noProof/>
          <w:sz w:val="24"/>
          <w:szCs w:val="24"/>
        </w:rPr>
        <w:t xml:space="preserve"> This is the only way to counter the cross-border health threat of COVID-19 effectively. </w:t>
      </w:r>
    </w:p>
    <w:p w:rsidR="00677F2D" w:rsidRDefault="008241A6">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Communication sets out the additional actions that need to be taken in the immediate future, both at the European and the national level to increase our resilien</w:t>
      </w:r>
      <w:r>
        <w:rPr>
          <w:rFonts w:ascii="Times New Roman" w:eastAsia="Times New Roman" w:hAnsi="Times New Roman" w:cs="Times New Roman"/>
          <w:noProof/>
          <w:sz w:val="24"/>
          <w:szCs w:val="24"/>
        </w:rPr>
        <w:t>ce to all cross-border health threats and provide all European citizens with the high level of public health they expect and deserve. It is our shared and urgent responsibility to take forward these measures quickly and thoroughly, and to overcome the frag</w:t>
      </w:r>
      <w:r>
        <w:rPr>
          <w:rFonts w:ascii="Times New Roman" w:eastAsia="Times New Roman" w:hAnsi="Times New Roman" w:cs="Times New Roman"/>
          <w:noProof/>
          <w:sz w:val="24"/>
          <w:szCs w:val="24"/>
        </w:rPr>
        <w:t xml:space="preserve">mentation and gaps in instruments, information, and mind-sets, which will otherwise continue to make us collectively vulnerable and endanger our way of life. </w:t>
      </w:r>
    </w:p>
    <w:p w:rsidR="00677F2D" w:rsidRDefault="008241A6">
      <w:pPr>
        <w:jc w:val="both"/>
        <w:rPr>
          <w:noProof/>
        </w:rPr>
      </w:pPr>
      <w:r>
        <w:rPr>
          <w:rFonts w:ascii="Times New Roman" w:eastAsia="Times New Roman" w:hAnsi="Times New Roman" w:cs="Times New Roman"/>
          <w:noProof/>
          <w:sz w:val="24"/>
          <w:szCs w:val="24"/>
        </w:rPr>
        <w:t xml:space="preserve">The European Health Union will be as strong as its Member States’ commitment to it. </w:t>
      </w:r>
    </w:p>
    <w:sectPr w:rsidR="00677F2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9B75C" w16cid:durableId="23541D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F2D" w:rsidRDefault="008241A6">
      <w:pPr>
        <w:spacing w:after="0" w:line="240" w:lineRule="auto"/>
      </w:pPr>
      <w:r>
        <w:separator/>
      </w:r>
    </w:p>
  </w:endnote>
  <w:endnote w:type="continuationSeparator" w:id="0">
    <w:p w:rsidR="00677F2D" w:rsidRDefault="008241A6">
      <w:pPr>
        <w:spacing w:after="0" w:line="240" w:lineRule="auto"/>
      </w:pPr>
      <w:r>
        <w:continuationSeparator/>
      </w:r>
    </w:p>
  </w:endnote>
  <w:endnote w:type="continuationNotice" w:id="1">
    <w:p w:rsidR="00677F2D" w:rsidRDefault="00677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8241A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8241A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w:instrText>
    </w:r>
    <w:r>
      <w:rPr>
        <w:caps/>
        <w:color w:val="4F81BD" w:themeColor="accent1"/>
      </w:rPr>
      <w:instrText xml:space="preserve">* MERGEFORMAT </w:instrText>
    </w:r>
    <w:r>
      <w:rPr>
        <w:caps/>
        <w:color w:val="4F81BD" w:themeColor="accent1"/>
      </w:rPr>
      <w:fldChar w:fldCharType="separate"/>
    </w:r>
    <w:r>
      <w:rPr>
        <w:caps/>
        <w:noProof/>
        <w:color w:val="4F81BD" w:themeColor="accent1"/>
      </w:rPr>
      <w:t>20</w:t>
    </w:r>
    <w:r>
      <w:rPr>
        <w:caps/>
        <w:noProof/>
        <w:color w:val="4F81BD" w:themeColor="accent1"/>
      </w:rPr>
      <w:fldChar w:fldCharType="end"/>
    </w:r>
  </w:p>
  <w:p w:rsidR="00677F2D" w:rsidRDefault="00677F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F2D" w:rsidRDefault="008241A6">
      <w:pPr>
        <w:spacing w:after="0" w:line="240" w:lineRule="auto"/>
      </w:pPr>
      <w:r>
        <w:separator/>
      </w:r>
    </w:p>
  </w:footnote>
  <w:footnote w:type="continuationSeparator" w:id="0">
    <w:p w:rsidR="00677F2D" w:rsidRDefault="008241A6">
      <w:pPr>
        <w:spacing w:after="0" w:line="240" w:lineRule="auto"/>
      </w:pPr>
      <w:r>
        <w:continuationSeparator/>
      </w:r>
    </w:p>
  </w:footnote>
  <w:footnote w:type="continuationNotice" w:id="1">
    <w:p w:rsidR="00677F2D" w:rsidRDefault="00677F2D">
      <w:pPr>
        <w:spacing w:after="0" w:line="240" w:lineRule="auto"/>
      </w:pPr>
    </w:p>
  </w:footnote>
  <w:footnote w:id="2">
    <w:p w:rsidR="00677F2D" w:rsidRDefault="008241A6">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1" w:history="1">
        <w:r>
          <w:rPr>
            <w:rStyle w:val="FootnoteReference"/>
            <w:rFonts w:ascii="Times New Roman" w:hAnsi="Times New Roman" w:cs="Times New Roman"/>
          </w:rPr>
          <w:t>https://www.ecdc.europa.eu/en/covid-19/situation-updates</w:t>
        </w:r>
      </w:hyperlink>
      <w:r>
        <w:rPr>
          <w:rStyle w:val="FootnoteReference"/>
          <w:rFonts w:ascii="Times New Roman" w:hAnsi="Times New Roman" w:cs="Times New Roman"/>
        </w:rPr>
        <w:t xml:space="preserve"> </w:t>
      </w:r>
    </w:p>
  </w:footnote>
  <w:footnote w:id="3">
    <w:p w:rsidR="00677F2D" w:rsidRDefault="008241A6">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cs="Times New Roman"/>
        </w:rPr>
        <w:t xml:space="preserve"> Such as export restrictions on personal protective equipment and the </w:t>
      </w:r>
      <w:r>
        <w:rPr>
          <w:rStyle w:val="FootnoteReference"/>
        </w:rPr>
        <w:t xml:space="preserve">reintroduction of </w:t>
      </w:r>
      <w:r>
        <w:rPr>
          <w:rStyle w:val="FootnoteReference"/>
        </w:rPr>
        <w:t>internal border controls</w:t>
      </w:r>
      <w:r>
        <w:rPr>
          <w:rStyle w:val="FootnoteReference"/>
          <w:rFonts w:ascii="Times New Roman" w:hAnsi="Times New Roman" w:cs="Times New Roman"/>
        </w:rPr>
        <w:t xml:space="preserve">. </w:t>
      </w:r>
    </w:p>
  </w:footnote>
  <w:footnote w:id="4">
    <w:p w:rsidR="00677F2D" w:rsidRDefault="008241A6">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cs="Times New Roman"/>
        </w:rPr>
        <w:t xml:space="preserve"> https://europarl.europa.eu/at-your-service/en/be-heard/eurobarometer/public-opinion-in-the-eu-in-time-of-coronavirus-crisis-2</w:t>
      </w:r>
    </w:p>
  </w:footnote>
  <w:footnote w:id="5">
    <w:p w:rsidR="00677F2D" w:rsidRDefault="008241A6">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cs="Times New Roman"/>
        </w:rPr>
        <w:t xml:space="preserve"> Many border regions already have a history of and structures for cross-border cooperation, including in health. https://ec.europa.eu/info/sites/info/files/guidelines_on_eu_emergency_assistance_in_cross-bordercooperationin_heathcare_related_to_the_covid-19</w:t>
      </w:r>
      <w:r>
        <w:rPr>
          <w:rStyle w:val="FootnoteReference"/>
          <w:rFonts w:ascii="Times New Roman" w:hAnsi="Times New Roman" w:cs="Times New Roman"/>
        </w:rPr>
        <w:t>_crisis.pdf</w:t>
      </w:r>
    </w:p>
  </w:footnote>
  <w:footnote w:id="6">
    <w:p w:rsidR="00677F2D" w:rsidRDefault="008241A6">
      <w:pPr>
        <w:pStyle w:val="FootnoteText"/>
      </w:pPr>
      <w:r>
        <w:rPr>
          <w:rStyle w:val="FootnoteReference"/>
        </w:rPr>
        <w:footnoteRef/>
      </w:r>
      <w:r>
        <w:t xml:space="preserve"> </w:t>
      </w:r>
      <w:r>
        <w:rPr>
          <w:rStyle w:val="FootnoteReference"/>
          <w:rFonts w:ascii="Times New Roman" w:hAnsi="Times New Roman" w:cs="Times New Roman"/>
        </w:rPr>
        <w:t>https://ec.europa.eu/commission/presscorner/detail/en/IP_20_1864</w:t>
      </w:r>
    </w:p>
  </w:footnote>
  <w:footnote w:id="7">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2" w:history="1">
        <w:r>
          <w:rPr>
            <w:rStyle w:val="FootnoteReference"/>
            <w:rFonts w:ascii="Times New Roman" w:hAnsi="Times New Roman" w:cs="Times New Roman"/>
          </w:rPr>
          <w:t>https://www.weforum.org/agenda/2020/03/coronavirus-global-epidemi</w:t>
        </w:r>
        <w:r>
          <w:rPr>
            <w:rStyle w:val="FootnoteReference"/>
            <w:rFonts w:ascii="Times New Roman" w:hAnsi="Times New Roman" w:cs="Times New Roman"/>
          </w:rPr>
          <w:t>cs-health-pandemic-covid-19/</w:t>
        </w:r>
      </w:hyperlink>
      <w:r>
        <w:rPr>
          <w:rStyle w:val="FootnoteReference"/>
          <w:rFonts w:ascii="Times New Roman" w:hAnsi="Times New Roman" w:cs="Times New Roman"/>
        </w:rPr>
        <w:t xml:space="preserve"> </w:t>
      </w:r>
    </w:p>
  </w:footnote>
  <w:footnote w:id="8">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https://atlas.ecdc.europa.eu/public/index.aspx?Dataset=27&amp;HealthTopic=4</w:t>
      </w:r>
    </w:p>
  </w:footnote>
  <w:footnote w:id="9">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3" w:history="1">
        <w:r>
          <w:rPr>
            <w:rStyle w:val="FootnoteReference"/>
            <w:rFonts w:ascii="Times New Roman" w:hAnsi="Times New Roman" w:cs="Times New Roman"/>
          </w:rPr>
          <w:t>https://ipbes.net/pandemics</w:t>
        </w:r>
      </w:hyperlink>
      <w:r>
        <w:rPr>
          <w:rFonts w:ascii="Times New Roman" w:hAnsi="Times New Roman" w:cs="Times New Roman"/>
        </w:rPr>
        <w:t xml:space="preserve"> </w:t>
      </w:r>
    </w:p>
  </w:footnote>
  <w:footnote w:id="10">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https://easac.eu/projects/details/climate-change-and-health/</w:t>
      </w:r>
    </w:p>
  </w:footnote>
  <w:footnote w:id="11">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To be added once available</w:t>
      </w:r>
    </w:p>
  </w:footnote>
  <w:footnote w:id="12">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Union Civil Protection Mechanism (UCPM) allows the Commission to support Member States in coordination of efforts to preve</w:t>
      </w:r>
      <w:r>
        <w:rPr>
          <w:rStyle w:val="FootnoteReference"/>
          <w:rFonts w:ascii="Times New Roman" w:hAnsi="Times New Roman" w:cs="Times New Roman"/>
        </w:rPr>
        <w:t xml:space="preserve">nt and prepare for disasters as well as through its Emergency Response Coordination Centre (ERCC) in responding when their national capacities are overwhelmed by any kind of disaster, including ones such as COVID-19. Indeed, amidst the pandemic, EU Member </w:t>
      </w:r>
      <w:r>
        <w:rPr>
          <w:rStyle w:val="FootnoteReference"/>
          <w:rFonts w:ascii="Times New Roman" w:hAnsi="Times New Roman" w:cs="Times New Roman"/>
        </w:rPr>
        <w:t xml:space="preserve">States, UCPM Participating States as well as third countries resorted to the UCPM for support requesting for in-kind assistance in form of PPE, sanitation, but also for requesting for support of medical teams. </w:t>
      </w:r>
    </w:p>
  </w:footnote>
  <w:footnote w:id="13">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COM(2020)220</w:t>
      </w:r>
    </w:p>
  </w:footnote>
  <w:footnote w:id="14">
    <w:p w:rsidR="00677F2D" w:rsidRDefault="008241A6">
      <w:pPr>
        <w:pStyle w:val="FootnoteText"/>
        <w:rPr>
          <w:rStyle w:val="FootnoteReference"/>
          <w:rFonts w:ascii="Times New Roman" w:hAnsi="Times New Roman" w:cs="Times New Roman"/>
        </w:rPr>
      </w:pPr>
      <w:r>
        <w:rPr>
          <w:rStyle w:val="FootnoteReference"/>
        </w:rPr>
        <w:footnoteRef/>
      </w:r>
      <w:r>
        <w:t xml:space="preserve"> </w:t>
      </w:r>
      <w:r>
        <w:rPr>
          <w:rStyle w:val="FootnoteReference"/>
          <w:rFonts w:ascii="Times New Roman" w:hAnsi="Times New Roman" w:cs="Times New Roman"/>
        </w:rPr>
        <w:t>Regulation (EU) 2016/679 (th</w:t>
      </w:r>
      <w:r>
        <w:rPr>
          <w:rStyle w:val="FootnoteReference"/>
          <w:rFonts w:ascii="Times New Roman" w:hAnsi="Times New Roman" w:cs="Times New Roman"/>
        </w:rPr>
        <w:t>e General Data Protection Regulation (GDPR) and Regulation (EU) 2018/1725</w:t>
      </w:r>
    </w:p>
  </w:footnote>
  <w:footnote w:id="15">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Decision No 1082/2013/EU https://eur-lex.europa.eu/legal-content/EN/TXT/?uri=celex:32013D1082</w:t>
      </w:r>
    </w:p>
  </w:footnote>
  <w:footnote w:id="16">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For example, the response capacity of the Union Civil Protection Mechanism (UCPM) was</w:t>
      </w:r>
      <w:r>
        <w:rPr>
          <w:rStyle w:val="FootnoteReference"/>
          <w:rFonts w:ascii="Times New Roman" w:hAnsi="Times New Roman" w:cs="Times New Roman"/>
        </w:rPr>
        <w:t xml:space="preserve"> initially hindered due to the scale of the outbreak, which hit simultaneously all the Member States at a time when markets for personal protective equipment were saturated.  As a result, several requests for assistance went unfulfilled for some weeks in t</w:t>
      </w:r>
      <w:r>
        <w:rPr>
          <w:rStyle w:val="FootnoteReference"/>
          <w:rFonts w:ascii="Times New Roman" w:hAnsi="Times New Roman" w:cs="Times New Roman"/>
        </w:rPr>
        <w:t>he early stages of the outbreak in Europe. This experience demonstrated that the need to further enhance the UCPM and prompted the Commission to propose targeted amendments to the legal framework in June 2020.</w:t>
      </w:r>
    </w:p>
  </w:footnote>
  <w:footnote w:id="17">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HSC is composed of public health represe</w:t>
      </w:r>
      <w:r>
        <w:rPr>
          <w:rStyle w:val="FootnoteReference"/>
          <w:rFonts w:ascii="Times New Roman" w:hAnsi="Times New Roman" w:cs="Times New Roman"/>
        </w:rPr>
        <w:t>ntatives of Member States, and observers from European Economic Area (EEA) countries, EU agencies, most importantly the European Centre for Disease Prevention and Control (ECDC), as well as international partners such as the World Health Organization.</w:t>
      </w:r>
    </w:p>
  </w:footnote>
  <w:footnote w:id="18">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Pr</w:t>
      </w:r>
      <w:r>
        <w:rPr>
          <w:rStyle w:val="FootnoteReference"/>
          <w:rFonts w:ascii="Times New Roman" w:hAnsi="Times New Roman" w:cs="Times New Roman"/>
        </w:rPr>
        <w:t>actically speaking, this has provided an additional means to keep Member States informed of joint procurements and their practicalities, as well as supporting the practical implementation of Emergency Support Instrument funded activities, such as the distr</w:t>
      </w:r>
      <w:r>
        <w:rPr>
          <w:rStyle w:val="FootnoteReference"/>
          <w:rFonts w:ascii="Times New Roman" w:hAnsi="Times New Roman" w:cs="Times New Roman"/>
        </w:rPr>
        <w:t xml:space="preserve">ibution of the masks for healthcare workers and treatment courses of Veklury (remdesivir). </w:t>
      </w:r>
    </w:p>
  </w:footnote>
  <w:footnote w:id="19">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This also relates to  the research aspect of the response.</w:t>
      </w:r>
    </w:p>
  </w:footnote>
  <w:footnote w:id="20">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Medical countermeasures relevant for public health response include pharmaceutical products, as well as non- pharmaceutical products, such as, but not limited to, medical devices, personal protective equipment, vaccination supplies, testing material and k</w:t>
      </w:r>
      <w:r>
        <w:rPr>
          <w:rStyle w:val="FootnoteReference"/>
          <w:rFonts w:ascii="Times New Roman" w:hAnsi="Times New Roman" w:cs="Times New Roman"/>
        </w:rPr>
        <w:t>its, and laboratory equipment.</w:t>
      </w:r>
    </w:p>
  </w:footnote>
  <w:footnote w:id="21">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COVID-19 illustrated suboptimal coordination and decision making as regards multinational clinical trials. The process has been slow and inefficient, causing delays in the adoption of research outcomes and eventually delays</w:t>
      </w:r>
      <w:r>
        <w:rPr>
          <w:rStyle w:val="FootnoteReference"/>
          <w:rFonts w:ascii="Times New Roman" w:hAnsi="Times New Roman" w:cs="Times New Roman"/>
        </w:rPr>
        <w:t xml:space="preserve"> and unequal patient access to new or repurposed medicines. A very high number of trials were submitted for medicines on Covid-19, both therapeutic and vaccines (454 distinct clinical trial applications submitted in at least one EU MS or the UK from March </w:t>
      </w:r>
      <w:r>
        <w:rPr>
          <w:rStyle w:val="FootnoteReference"/>
          <w:rFonts w:ascii="Times New Roman" w:hAnsi="Times New Roman" w:cs="Times New Roman"/>
        </w:rPr>
        <w:t xml:space="preserve">to end of September 2020); the high proportion of trials (88%) takes place in only one Member State and is performed by non-commercial researchers (75%); even well-known international clinical trial protocols are submitted to individual Member States as a </w:t>
      </w:r>
      <w:r>
        <w:rPr>
          <w:rStyle w:val="FootnoteReference"/>
          <w:rFonts w:ascii="Times New Roman" w:hAnsi="Times New Roman" w:cs="Times New Roman"/>
        </w:rPr>
        <w:t>separate project – leading to differences in approach and potentially a lesser comparability of the results. Lastly, the experience to date has shown a need for clear, fast and streamlined positioning and communication on therapeutic and prophylactic “cand</w:t>
      </w:r>
      <w:r>
        <w:rPr>
          <w:rStyle w:val="FootnoteReference"/>
          <w:rFonts w:ascii="Times New Roman" w:hAnsi="Times New Roman" w:cs="Times New Roman"/>
        </w:rPr>
        <w:t>idate” medicines</w:t>
      </w:r>
    </w:p>
  </w:footnote>
  <w:footnote w:id="22">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system of civil protection relies on solidarity among Member States, in the sense that it depends on their voluntary requests and offers of assistance. This voluntary system works very well in emergencies of limited scope, which affe</w:t>
      </w:r>
      <w:r>
        <w:rPr>
          <w:rStyle w:val="FootnoteReference"/>
          <w:rFonts w:ascii="Times New Roman" w:hAnsi="Times New Roman" w:cs="Times New Roman"/>
        </w:rPr>
        <w:t>cts one or a few Member States. But, as we have come to learn, it is ineffective in cases where a large number or all Member States are affected at the same time. That is why reinforced rescEU to create strategic stockpiles of medical and personal protecti</w:t>
      </w:r>
      <w:r>
        <w:rPr>
          <w:rStyle w:val="FootnoteReference"/>
          <w:rFonts w:ascii="Times New Roman" w:hAnsi="Times New Roman" w:cs="Times New Roman"/>
        </w:rPr>
        <w:t>ve equipment has been created. The rescEU strategic stockpile of emergency medical equipment is a last resort capacity under the Union Civil Protection Mechanism.</w:t>
      </w:r>
    </w:p>
  </w:footnote>
  <w:footnote w:id="23">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https://ec.europa.eu/health/sites/health/files/human-use/docs/guidance_regulatory_covid19_e</w:t>
      </w:r>
      <w:r>
        <w:rPr>
          <w:rStyle w:val="FootnoteReference"/>
          <w:rFonts w:ascii="Times New Roman" w:hAnsi="Times New Roman" w:cs="Times New Roman"/>
        </w:rPr>
        <w:t>n.pdf</w:t>
      </w:r>
    </w:p>
  </w:footnote>
  <w:footnote w:id="24">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A similar clause was successfully included in the Agreement between the Commission and the Member States as regards the Advanced Purchase Agreements on the purchase of vaccines against COVID-19.</w:t>
      </w:r>
    </w:p>
  </w:footnote>
  <w:footnote w:id="25">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group is chaired by the European Commission, wi</w:t>
      </w:r>
      <w:r>
        <w:rPr>
          <w:rStyle w:val="FootnoteReference"/>
          <w:rFonts w:ascii="Times New Roman" w:hAnsi="Times New Roman" w:cs="Times New Roman"/>
        </w:rPr>
        <w:t>th representatives from the Heads of Medicines Agencies, European Medicines Agency, the chairs of the Coordination groups for Mutual-recognition and Decentralised Procedures (human and veterinary), as well as risk communication specialists.</w:t>
      </w:r>
    </w:p>
  </w:footnote>
  <w:footnote w:id="26">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In general, a</w:t>
      </w:r>
      <w:r>
        <w:rPr>
          <w:rStyle w:val="FootnoteReference"/>
          <w:rFonts w:ascii="Times New Roman" w:hAnsi="Times New Roman" w:cs="Times New Roman"/>
        </w:rPr>
        <w:t>ll data on a medicine’s effectiveness, safety and quality and all required documents must be submitted in the initial formal application for marketing authorisation. In the case of a “rolling review” data is reviewed as they become available from ongoing s</w:t>
      </w:r>
      <w:r>
        <w:rPr>
          <w:rStyle w:val="FootnoteReference"/>
          <w:rFonts w:ascii="Times New Roman" w:hAnsi="Times New Roman" w:cs="Times New Roman"/>
        </w:rPr>
        <w:t>tudies, before a formal application is submitted. Once the data package is complete, the developer submits a formal marketing authorisation application to be assessed under a shortened timetable. That significantly shortens the time needed to make the medi</w:t>
      </w:r>
      <w:r>
        <w:rPr>
          <w:rStyle w:val="FootnoteReference"/>
          <w:rFonts w:ascii="Times New Roman" w:hAnsi="Times New Roman" w:cs="Times New Roman"/>
        </w:rPr>
        <w:t>cine available, while maintaining the principles of quality, safety and efficacy.</w:t>
      </w:r>
    </w:p>
  </w:footnote>
  <w:footnote w:id="27">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By October 2020, EMA had finalised 39 </w:t>
      </w:r>
      <w:hyperlink r:id="rId4" w:tgtFrame="_blank" w:tooltip="The provision of advice by the European Medicines Agency on the appropriate tests and studies required in the development of a medicine or on the quality of a medicine.     More information can be found under 'Scientific advice and protocol assistance'." w:history="1">
        <w:r>
          <w:rPr>
            <w:rStyle w:val="FootnoteReference"/>
            <w:rFonts w:ascii="Times New Roman" w:hAnsi="Times New Roman" w:cs="Times New Roman"/>
          </w:rPr>
          <w:t>scientific advice</w:t>
        </w:r>
      </w:hyperlink>
      <w:r>
        <w:rPr>
          <w:rStyle w:val="FootnoteReference"/>
          <w:rFonts w:ascii="Times New Roman" w:hAnsi="Times New Roman" w:cs="Times New Roman"/>
        </w:rPr>
        <w:t xml:space="preserve"> procedures to provide develop</w:t>
      </w:r>
      <w:r>
        <w:rPr>
          <w:rStyle w:val="FootnoteReference"/>
          <w:rFonts w:ascii="Times New Roman" w:hAnsi="Times New Roman" w:cs="Times New Roman"/>
        </w:rPr>
        <w:t>ers with direction on the most appropriate methods and study designs for potential COVID-19 medicines. A further 14 such procedures are ongoing: The European Medicines Agency continuously updates on the activities of the Task Force on its website: www.ema.</w:t>
      </w:r>
      <w:r>
        <w:rPr>
          <w:rStyle w:val="FootnoteReference"/>
          <w:rFonts w:ascii="Times New Roman" w:hAnsi="Times New Roman" w:cs="Times New Roman"/>
        </w:rPr>
        <w:t>europa.eu</w:t>
      </w:r>
    </w:p>
  </w:footnote>
  <w:footnote w:id="28">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In addition, the panels are entrusted with other functions, including providing various types of scientific advice to Commission, Medical Devices Coordination Group, Member States, Notified Bodies and manufacturers. Such advice may cover safety</w:t>
      </w:r>
      <w:r>
        <w:rPr>
          <w:rStyle w:val="FootnoteReference"/>
          <w:rFonts w:ascii="Times New Roman" w:hAnsi="Times New Roman" w:cs="Times New Roman"/>
        </w:rPr>
        <w:t xml:space="preserve"> and performance aspects, Common Specifications, clinical strategies, conformity assessment in relation to the state of the art for biocompatibility, mechanical, electrical, electronic and toxicological testing.</w:t>
      </w:r>
    </w:p>
  </w:footnote>
  <w:footnote w:id="29">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With regards to assessing preparedness and</w:t>
      </w:r>
      <w:r>
        <w:rPr>
          <w:rStyle w:val="FootnoteReference"/>
          <w:rFonts w:ascii="Times New Roman" w:hAnsi="Times New Roman" w:cs="Times New Roman"/>
        </w:rPr>
        <w:t xml:space="preserve"> response plans and corresponding capacities.</w:t>
      </w:r>
      <w:r>
        <w:rPr>
          <w:rFonts w:ascii="Times New Roman" w:hAnsi="Times New Roman" w:cs="Times New Roman"/>
        </w:rPr>
        <w:t xml:space="preserve"> </w:t>
      </w:r>
    </w:p>
  </w:footnote>
  <w:footnote w:id="30">
    <w:p w:rsidR="00677F2D" w:rsidRDefault="008241A6">
      <w:pPr>
        <w:pStyle w:val="FootnoteText"/>
      </w:pPr>
      <w:r>
        <w:rPr>
          <w:rStyle w:val="FootnoteReference"/>
        </w:rPr>
        <w:footnoteRef/>
      </w:r>
      <w:r>
        <w:t xml:space="preserve"> </w:t>
      </w:r>
      <w:r>
        <w:rPr>
          <w:rStyle w:val="FootnoteReference"/>
          <w:rFonts w:ascii="Times New Roman" w:hAnsi="Times New Roman" w:cs="Times New Roman"/>
        </w:rPr>
        <w:t>https://ec.europa.eu/info/strategy/priorities-2019-2024/economy-works-people/deeper-and-fairer-economic-and-monetary-union/european-pillar-social-rights_en</w:t>
      </w:r>
    </w:p>
  </w:footnote>
  <w:footnote w:id="31">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establishment of the Recovery and Resilience </w:t>
      </w:r>
      <w:r>
        <w:rPr>
          <w:rStyle w:val="FootnoteReference"/>
          <w:rFonts w:ascii="Times New Roman" w:hAnsi="Times New Roman" w:cs="Times New Roman"/>
        </w:rPr>
        <w:t>Facility is subject to the agreement of the European Parliament and of the Council on the proposal for a Regulation establishing a Recovery and Resilience Facility, COM(2020) 408 final</w:t>
      </w:r>
    </w:p>
  </w:footnote>
  <w:footnote w:id="32">
    <w:p w:rsidR="00677F2D" w:rsidRDefault="008241A6">
      <w:pPr>
        <w:pStyle w:val="FootnoteText"/>
        <w:rPr>
          <w:sz w:val="14"/>
          <w:szCs w:val="14"/>
          <w:lang w:val="en-US"/>
        </w:rPr>
      </w:pPr>
      <w:r>
        <w:rPr>
          <w:rStyle w:val="FootnoteReference"/>
          <w:sz w:val="14"/>
          <w:szCs w:val="14"/>
          <w:vertAlign w:val="baseline"/>
        </w:rPr>
        <w:footnoteRef/>
      </w:r>
      <w:r>
        <w:rPr>
          <w:sz w:val="14"/>
          <w:szCs w:val="14"/>
        </w:rPr>
        <w:t xml:space="preserve">  </w:t>
      </w:r>
      <w:r>
        <w:rPr>
          <w:rFonts w:ascii="Times New Roman" w:hAnsi="Times New Roman" w:cs="Times New Roman"/>
          <w:sz w:val="14"/>
          <w:szCs w:val="14"/>
        </w:rPr>
        <w:t xml:space="preserve">In this context, it is also important to ensure that persons with </w:t>
      </w:r>
      <w:r>
        <w:rPr>
          <w:rFonts w:ascii="Times New Roman" w:hAnsi="Times New Roman" w:cs="Times New Roman"/>
          <w:sz w:val="14"/>
          <w:szCs w:val="14"/>
        </w:rPr>
        <w:t>disabilities have access to essential social support services as well as access to information on protective measures</w:t>
      </w:r>
      <w:r>
        <w:rPr>
          <w:sz w:val="14"/>
          <w:szCs w:val="14"/>
        </w:rPr>
        <w:t>.</w:t>
      </w:r>
    </w:p>
  </w:footnote>
  <w:footnote w:id="33">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This plan must take into consideration the intersectoral dimensions and critical sectors at the EU level, such as those that exist for </w:t>
      </w:r>
      <w:r>
        <w:rPr>
          <w:rStyle w:val="FootnoteReference"/>
          <w:rFonts w:ascii="Times New Roman" w:hAnsi="Times New Roman" w:cs="Times New Roman"/>
        </w:rPr>
        <w:t>such as for transport, mobility, energy, communication and civil protection. These plans should include a section on research preparedness.</w:t>
      </w:r>
    </w:p>
  </w:footnote>
  <w:footnote w:id="34">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establishment of the Technical Support Instrument is subject to the agreement of the European Parliament and o</w:t>
      </w:r>
      <w:r>
        <w:rPr>
          <w:rStyle w:val="FootnoteReference"/>
          <w:rFonts w:ascii="Times New Roman" w:hAnsi="Times New Roman" w:cs="Times New Roman"/>
        </w:rPr>
        <w:t>f the Council on the proposal for a Regulation establishing a Technical Support Instrument, COM(2020) 409 final</w:t>
      </w:r>
    </w:p>
  </w:footnote>
  <w:footnote w:id="35">
    <w:p w:rsidR="00677F2D" w:rsidRDefault="008241A6">
      <w:pPr>
        <w:pStyle w:val="FootnoteText"/>
      </w:pPr>
      <w:r>
        <w:rPr>
          <w:rStyle w:val="FootnoteReference"/>
        </w:rPr>
        <w:footnoteRef/>
      </w:r>
      <w:r>
        <w:t xml:space="preserve"> </w:t>
      </w:r>
      <w:r>
        <w:rPr>
          <w:rStyle w:val="FootnoteReference"/>
          <w:rFonts w:ascii="Times New Roman" w:hAnsi="Times New Roman" w:cs="Times New Roman"/>
        </w:rPr>
        <w:t>The JRC is developing resilience dashboards with Member States and other stakeholders, with health as an important element. These dashboards w</w:t>
      </w:r>
      <w:r>
        <w:rPr>
          <w:rStyle w:val="FootnoteReference"/>
          <w:rFonts w:ascii="Times New Roman" w:hAnsi="Times New Roman" w:cs="Times New Roman"/>
        </w:rPr>
        <w:t>ill serve as a proper monitoring tool for assessing the resilience. Informed by strategic foresight, they can help identify emerging challenges and propose new forward-looking indicators to assess vulnerabilities or capacities</w:t>
      </w:r>
    </w:p>
  </w:footnote>
  <w:footnote w:id="36">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Such as EU4Health, Recovery</w:t>
      </w:r>
      <w:r>
        <w:rPr>
          <w:rStyle w:val="FootnoteReference"/>
          <w:rFonts w:ascii="Times New Roman" w:hAnsi="Times New Roman" w:cs="Times New Roman"/>
        </w:rPr>
        <w:t xml:space="preserve"> and Resilience Facility, Cohesion Policy and the Technical Support Instrument.</w:t>
      </w:r>
    </w:p>
  </w:footnote>
  <w:footnote w:id="37">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Special health issues are antimicrobial resistance and healthcare-associated infections related to communicable diseases</w:t>
      </w:r>
    </w:p>
  </w:footnote>
  <w:footnote w:id="38">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Such as from space, including Earth Observation data from EU Copernicus and geolocation data from Galileo applications</w:t>
      </w:r>
    </w:p>
  </w:footnote>
  <w:footnote w:id="39">
    <w:p w:rsidR="00677F2D" w:rsidRDefault="008241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vertAlign w:val="superscript"/>
        </w:rPr>
        <w:t xml:space="preserve">Such as from the surveillance of infectious agents in waste wate </w:t>
      </w:r>
    </w:p>
  </w:footnote>
  <w:footnote w:id="40">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These systems may also benefit from and use services and data enab</w:t>
      </w:r>
      <w:r>
        <w:rPr>
          <w:rStyle w:val="FootnoteReference"/>
          <w:rFonts w:ascii="Times New Roman" w:hAnsi="Times New Roman" w:cs="Times New Roman"/>
        </w:rPr>
        <w:t>led or generated by EU initiatives such as the EU Space Programme. The experience of COVID-19 has shown that space enabled services, such as those enabled by EU Galileo, which could provide valuable services and data i.e. geolocation services to map contag</w:t>
      </w:r>
      <w:r>
        <w:rPr>
          <w:rStyle w:val="FootnoteReference"/>
          <w:rFonts w:ascii="Times New Roman" w:hAnsi="Times New Roman" w:cs="Times New Roman"/>
        </w:rPr>
        <w:t>ion areas, warn about restricted or quarantined areas and alert authorities in case of major gatherings. Specifically in response to COVID-19,  Galileo, the EU Satellite Navigation System was used for the development of a new Galileo-enabled application “G</w:t>
      </w:r>
      <w:r>
        <w:rPr>
          <w:rStyle w:val="FootnoteReference"/>
          <w:rFonts w:ascii="Times New Roman" w:hAnsi="Times New Roman" w:cs="Times New Roman"/>
        </w:rPr>
        <w:t>alileo for Green Lane” to allow monitoring in real time the circulation of goods between EU Member States and facilitate freight traffic at borders.</w:t>
      </w:r>
    </w:p>
  </w:footnote>
  <w:footnote w:id="41">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Integration of Research into policy recommendations, through closer and more active of EU Agencies, is  i</w:t>
      </w:r>
      <w:r>
        <w:rPr>
          <w:rStyle w:val="FootnoteReference"/>
          <w:rFonts w:ascii="Times New Roman" w:hAnsi="Times New Roman" w:cs="Times New Roman"/>
        </w:rPr>
        <w:t>mportant.</w:t>
      </w:r>
      <w:r>
        <w:rPr>
          <w:rFonts w:ascii="Times New Roman" w:hAnsi="Times New Roman" w:cs="Times New Roman"/>
        </w:rPr>
        <w:t xml:space="preserve"> </w:t>
      </w:r>
    </w:p>
  </w:footnote>
  <w:footnote w:id="42">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To this end, the Commission, EU Agencies and Member States put forward recommendations via the Health Security Committee for a common EU testing approach for COVID-19</w:t>
      </w:r>
    </w:p>
  </w:footnote>
  <w:footnote w:id="43">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To be operated by ECDC with support of the JRC Commission service</w:t>
      </w:r>
      <w:r>
        <w:rPr>
          <w:rFonts w:ascii="Times New Roman" w:hAnsi="Times New Roman" w:cs="Times New Roman"/>
        </w:rPr>
        <w:t>.</w:t>
      </w:r>
    </w:p>
  </w:footnote>
  <w:footnote w:id="44">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This </w:t>
      </w:r>
      <w:r>
        <w:rPr>
          <w:rStyle w:val="FootnoteReference"/>
          <w:rFonts w:ascii="Times New Roman" w:hAnsi="Times New Roman" w:cs="Times New Roman"/>
        </w:rPr>
        <w:t>network will, amongst other things, provide a framework for evaluation and approval of diagnostics and seek to ensure mutual EU recognition in the field of diagnostics.</w:t>
      </w:r>
    </w:p>
  </w:footnote>
  <w:footnote w:id="45">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EWRS has operationally supported the sharing of contact tracing information for COVID</w:t>
      </w:r>
      <w:r>
        <w:rPr>
          <w:rStyle w:val="FootnoteReference"/>
          <w:rFonts w:ascii="Times New Roman" w:hAnsi="Times New Roman" w:cs="Times New Roman"/>
        </w:rPr>
        <w:t>-19</w:t>
      </w:r>
    </w:p>
  </w:footnote>
  <w:footnote w:id="46">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Emergency Support Instrument has financed European Federation Gateway Service for the purpose of contact tracing and warning apps and in July 2020, the Commission also introduced an implementing Decision to enable interoperability of mobile traci</w:t>
      </w:r>
      <w:r>
        <w:rPr>
          <w:rStyle w:val="FootnoteReference"/>
          <w:rFonts w:ascii="Times New Roman" w:hAnsi="Times New Roman" w:cs="Times New Roman"/>
        </w:rPr>
        <w:t>ng and warning apps across the EU</w:t>
      </w:r>
    </w:p>
  </w:footnote>
  <w:footnote w:id="47">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This should allow the use of modern technologies, such as digital mobile applications, artificial intelligence models, or other applicable tools that emerge.</w:t>
      </w:r>
    </w:p>
  </w:footnote>
  <w:footnote w:id="48">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Respect will be ensured as to GDPR</w:t>
      </w:r>
    </w:p>
  </w:footnote>
  <w:footnote w:id="49">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Such as, but not limite</w:t>
      </w:r>
      <w:r>
        <w:rPr>
          <w:rStyle w:val="FootnoteReference"/>
          <w:rFonts w:ascii="Times New Roman" w:hAnsi="Times New Roman" w:cs="Times New Roman"/>
        </w:rPr>
        <w:t>d to, space-enabled applications</w:t>
      </w:r>
    </w:p>
  </w:footnote>
  <w:footnote w:id="50">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These messages, for example, relate to sharing information with regards to contact tracing, epidemiological updates, sharing of technical expertise and updates on health measures implemented.</w:t>
      </w:r>
    </w:p>
  </w:footnote>
  <w:footnote w:id="51">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 Commission has in place</w:t>
      </w:r>
      <w:r>
        <w:rPr>
          <w:rStyle w:val="FootnoteReference"/>
          <w:rFonts w:ascii="Times New Roman" w:hAnsi="Times New Roman" w:cs="Times New Roman"/>
        </w:rPr>
        <w:t xml:space="preserve"> a dedicated medical evacuation system (MEDEVAC) with the World Health Organization to facilitate the medical evacuation of healthcare workers for viral haemorrhagic fevers. In 2020, this was extended to include COVID-19. The EWRS platform is used for the </w:t>
      </w:r>
      <w:r>
        <w:rPr>
          <w:rStyle w:val="FootnoteReference"/>
          <w:rFonts w:ascii="Times New Roman" w:hAnsi="Times New Roman" w:cs="Times New Roman"/>
        </w:rPr>
        <w:t xml:space="preserve">Commission to coordinate medical evacuations between the WHO and Member States. </w:t>
      </w:r>
    </w:p>
  </w:footnote>
  <w:footnote w:id="52">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EWRS has been integrated into the EU ‘mobility package’ for the purpose of cross border transport of medical teams and the transfer of COVID-19 patients: https://ec.europa.e</w:t>
      </w:r>
      <w:r>
        <w:rPr>
          <w:rStyle w:val="FootnoteReference"/>
          <w:rFonts w:ascii="Times New Roman" w:hAnsi="Times New Roman" w:cs="Times New Roman"/>
        </w:rPr>
        <w:t>u/commission/presscorner/detail/en/ip_20_1118</w:t>
      </w:r>
    </w:p>
  </w:footnote>
  <w:footnote w:id="53">
    <w:p w:rsidR="00677F2D" w:rsidRDefault="008241A6">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Where the risk assessment needed is totally or partially outside the mandates of the agencies and it is considered necessary for the coordination of the response at EU level, the Commission shall, upon reques</w:t>
      </w:r>
      <w:r>
        <w:rPr>
          <w:rStyle w:val="FootnoteReference"/>
          <w:rFonts w:ascii="Times New Roman" w:hAnsi="Times New Roman" w:cs="Times New Roman"/>
        </w:rPr>
        <w:t>t of the HSC or its own initiative, provide an ad hoc risk assessment.</w:t>
      </w:r>
    </w:p>
  </w:footnote>
  <w:footnote w:id="54">
    <w:p w:rsidR="00677F2D" w:rsidRDefault="008241A6">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These capacities will be interlinked with the UCPM and notably the work of the European Medical Corps, which already gathers Member States medical response capacities.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2D" w:rsidRDefault="00677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57"/>
    <w:multiLevelType w:val="hybridMultilevel"/>
    <w:tmpl w:val="3FC01AB6"/>
    <w:lvl w:ilvl="0" w:tplc="FD624730">
      <w:start w:val="1"/>
      <w:numFmt w:val="bullet"/>
      <w:lvlText w:val="•"/>
      <w:lvlJc w:val="left"/>
      <w:pPr>
        <w:tabs>
          <w:tab w:val="num" w:pos="720"/>
        </w:tabs>
        <w:ind w:left="720" w:hanging="360"/>
      </w:pPr>
      <w:rPr>
        <w:rFonts w:ascii="Arial" w:hAnsi="Arial" w:hint="default"/>
      </w:rPr>
    </w:lvl>
    <w:lvl w:ilvl="1" w:tplc="6BBC736A">
      <w:start w:val="1"/>
      <w:numFmt w:val="bullet"/>
      <w:lvlText w:val="•"/>
      <w:lvlJc w:val="left"/>
      <w:pPr>
        <w:tabs>
          <w:tab w:val="num" w:pos="1440"/>
        </w:tabs>
        <w:ind w:left="1440" w:hanging="360"/>
      </w:pPr>
      <w:rPr>
        <w:rFonts w:ascii="Arial" w:hAnsi="Arial" w:hint="default"/>
      </w:rPr>
    </w:lvl>
    <w:lvl w:ilvl="2" w:tplc="2A7C1EE8" w:tentative="1">
      <w:start w:val="1"/>
      <w:numFmt w:val="bullet"/>
      <w:lvlText w:val="•"/>
      <w:lvlJc w:val="left"/>
      <w:pPr>
        <w:tabs>
          <w:tab w:val="num" w:pos="2160"/>
        </w:tabs>
        <w:ind w:left="2160" w:hanging="360"/>
      </w:pPr>
      <w:rPr>
        <w:rFonts w:ascii="Arial" w:hAnsi="Arial" w:hint="default"/>
      </w:rPr>
    </w:lvl>
    <w:lvl w:ilvl="3" w:tplc="089A5068" w:tentative="1">
      <w:start w:val="1"/>
      <w:numFmt w:val="bullet"/>
      <w:lvlText w:val="•"/>
      <w:lvlJc w:val="left"/>
      <w:pPr>
        <w:tabs>
          <w:tab w:val="num" w:pos="2880"/>
        </w:tabs>
        <w:ind w:left="2880" w:hanging="360"/>
      </w:pPr>
      <w:rPr>
        <w:rFonts w:ascii="Arial" w:hAnsi="Arial" w:hint="default"/>
      </w:rPr>
    </w:lvl>
    <w:lvl w:ilvl="4" w:tplc="02B4F4BE" w:tentative="1">
      <w:start w:val="1"/>
      <w:numFmt w:val="bullet"/>
      <w:lvlText w:val="•"/>
      <w:lvlJc w:val="left"/>
      <w:pPr>
        <w:tabs>
          <w:tab w:val="num" w:pos="3600"/>
        </w:tabs>
        <w:ind w:left="3600" w:hanging="360"/>
      </w:pPr>
      <w:rPr>
        <w:rFonts w:ascii="Arial" w:hAnsi="Arial" w:hint="default"/>
      </w:rPr>
    </w:lvl>
    <w:lvl w:ilvl="5" w:tplc="D0DAF5B8" w:tentative="1">
      <w:start w:val="1"/>
      <w:numFmt w:val="bullet"/>
      <w:lvlText w:val="•"/>
      <w:lvlJc w:val="left"/>
      <w:pPr>
        <w:tabs>
          <w:tab w:val="num" w:pos="4320"/>
        </w:tabs>
        <w:ind w:left="4320" w:hanging="360"/>
      </w:pPr>
      <w:rPr>
        <w:rFonts w:ascii="Arial" w:hAnsi="Arial" w:hint="default"/>
      </w:rPr>
    </w:lvl>
    <w:lvl w:ilvl="6" w:tplc="4F2CBA40" w:tentative="1">
      <w:start w:val="1"/>
      <w:numFmt w:val="bullet"/>
      <w:lvlText w:val="•"/>
      <w:lvlJc w:val="left"/>
      <w:pPr>
        <w:tabs>
          <w:tab w:val="num" w:pos="5040"/>
        </w:tabs>
        <w:ind w:left="5040" w:hanging="360"/>
      </w:pPr>
      <w:rPr>
        <w:rFonts w:ascii="Arial" w:hAnsi="Arial" w:hint="default"/>
      </w:rPr>
    </w:lvl>
    <w:lvl w:ilvl="7" w:tplc="C35C5D2E" w:tentative="1">
      <w:start w:val="1"/>
      <w:numFmt w:val="bullet"/>
      <w:lvlText w:val="•"/>
      <w:lvlJc w:val="left"/>
      <w:pPr>
        <w:tabs>
          <w:tab w:val="num" w:pos="5760"/>
        </w:tabs>
        <w:ind w:left="5760" w:hanging="360"/>
      </w:pPr>
      <w:rPr>
        <w:rFonts w:ascii="Arial" w:hAnsi="Arial" w:hint="default"/>
      </w:rPr>
    </w:lvl>
    <w:lvl w:ilvl="8" w:tplc="432415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258E"/>
    <w:multiLevelType w:val="hybridMultilevel"/>
    <w:tmpl w:val="D1B2233A"/>
    <w:lvl w:ilvl="0" w:tplc="DDE65644">
      <w:start w:val="1"/>
      <w:numFmt w:val="bullet"/>
      <w:lvlText w:val="•"/>
      <w:lvlJc w:val="left"/>
      <w:pPr>
        <w:tabs>
          <w:tab w:val="num" w:pos="720"/>
        </w:tabs>
        <w:ind w:left="720" w:hanging="360"/>
      </w:pPr>
      <w:rPr>
        <w:rFonts w:ascii="Arial" w:hAnsi="Arial" w:hint="default"/>
      </w:rPr>
    </w:lvl>
    <w:lvl w:ilvl="1" w:tplc="CC8E1578">
      <w:start w:val="1"/>
      <w:numFmt w:val="bullet"/>
      <w:lvlText w:val="•"/>
      <w:lvlJc w:val="left"/>
      <w:pPr>
        <w:tabs>
          <w:tab w:val="num" w:pos="1440"/>
        </w:tabs>
        <w:ind w:left="1440" w:hanging="360"/>
      </w:pPr>
      <w:rPr>
        <w:rFonts w:ascii="Arial" w:hAnsi="Arial" w:hint="default"/>
      </w:rPr>
    </w:lvl>
    <w:lvl w:ilvl="2" w:tplc="F64C58EA" w:tentative="1">
      <w:start w:val="1"/>
      <w:numFmt w:val="bullet"/>
      <w:lvlText w:val="•"/>
      <w:lvlJc w:val="left"/>
      <w:pPr>
        <w:tabs>
          <w:tab w:val="num" w:pos="2160"/>
        </w:tabs>
        <w:ind w:left="2160" w:hanging="360"/>
      </w:pPr>
      <w:rPr>
        <w:rFonts w:ascii="Arial" w:hAnsi="Arial" w:hint="default"/>
      </w:rPr>
    </w:lvl>
    <w:lvl w:ilvl="3" w:tplc="A4061A74" w:tentative="1">
      <w:start w:val="1"/>
      <w:numFmt w:val="bullet"/>
      <w:lvlText w:val="•"/>
      <w:lvlJc w:val="left"/>
      <w:pPr>
        <w:tabs>
          <w:tab w:val="num" w:pos="2880"/>
        </w:tabs>
        <w:ind w:left="2880" w:hanging="360"/>
      </w:pPr>
      <w:rPr>
        <w:rFonts w:ascii="Arial" w:hAnsi="Arial" w:hint="default"/>
      </w:rPr>
    </w:lvl>
    <w:lvl w:ilvl="4" w:tplc="33E43688" w:tentative="1">
      <w:start w:val="1"/>
      <w:numFmt w:val="bullet"/>
      <w:lvlText w:val="•"/>
      <w:lvlJc w:val="left"/>
      <w:pPr>
        <w:tabs>
          <w:tab w:val="num" w:pos="3600"/>
        </w:tabs>
        <w:ind w:left="3600" w:hanging="360"/>
      </w:pPr>
      <w:rPr>
        <w:rFonts w:ascii="Arial" w:hAnsi="Arial" w:hint="default"/>
      </w:rPr>
    </w:lvl>
    <w:lvl w:ilvl="5" w:tplc="4D902012" w:tentative="1">
      <w:start w:val="1"/>
      <w:numFmt w:val="bullet"/>
      <w:lvlText w:val="•"/>
      <w:lvlJc w:val="left"/>
      <w:pPr>
        <w:tabs>
          <w:tab w:val="num" w:pos="4320"/>
        </w:tabs>
        <w:ind w:left="4320" w:hanging="360"/>
      </w:pPr>
      <w:rPr>
        <w:rFonts w:ascii="Arial" w:hAnsi="Arial" w:hint="default"/>
      </w:rPr>
    </w:lvl>
    <w:lvl w:ilvl="6" w:tplc="BD7CD3A0" w:tentative="1">
      <w:start w:val="1"/>
      <w:numFmt w:val="bullet"/>
      <w:lvlText w:val="•"/>
      <w:lvlJc w:val="left"/>
      <w:pPr>
        <w:tabs>
          <w:tab w:val="num" w:pos="5040"/>
        </w:tabs>
        <w:ind w:left="5040" w:hanging="360"/>
      </w:pPr>
      <w:rPr>
        <w:rFonts w:ascii="Arial" w:hAnsi="Arial" w:hint="default"/>
      </w:rPr>
    </w:lvl>
    <w:lvl w:ilvl="7" w:tplc="2A4AA0AA" w:tentative="1">
      <w:start w:val="1"/>
      <w:numFmt w:val="bullet"/>
      <w:lvlText w:val="•"/>
      <w:lvlJc w:val="left"/>
      <w:pPr>
        <w:tabs>
          <w:tab w:val="num" w:pos="5760"/>
        </w:tabs>
        <w:ind w:left="5760" w:hanging="360"/>
      </w:pPr>
      <w:rPr>
        <w:rFonts w:ascii="Arial" w:hAnsi="Arial" w:hint="default"/>
      </w:rPr>
    </w:lvl>
    <w:lvl w:ilvl="8" w:tplc="3DC898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37506"/>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13386CAD"/>
    <w:multiLevelType w:val="hybridMultilevel"/>
    <w:tmpl w:val="C9927AB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0642DB"/>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159F3AEC"/>
    <w:multiLevelType w:val="hybridMultilevel"/>
    <w:tmpl w:val="73449B64"/>
    <w:lvl w:ilvl="0" w:tplc="EBCA4E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9395CF9"/>
    <w:multiLevelType w:val="hybridMultilevel"/>
    <w:tmpl w:val="FF9C9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A43D1"/>
    <w:multiLevelType w:val="multilevel"/>
    <w:tmpl w:val="D900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61A8B"/>
    <w:multiLevelType w:val="hybridMultilevel"/>
    <w:tmpl w:val="0840DE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D66476"/>
    <w:multiLevelType w:val="hybridMultilevel"/>
    <w:tmpl w:val="C2F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43DB5"/>
    <w:multiLevelType w:val="hybridMultilevel"/>
    <w:tmpl w:val="22B4DE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93556D"/>
    <w:multiLevelType w:val="hybridMultilevel"/>
    <w:tmpl w:val="F156F2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38AD160C"/>
    <w:multiLevelType w:val="hybridMultilevel"/>
    <w:tmpl w:val="36B055D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3EDE0B92"/>
    <w:multiLevelType w:val="hybridMultilevel"/>
    <w:tmpl w:val="3998048A"/>
    <w:lvl w:ilvl="0" w:tplc="D7182AE8">
      <w:start w:val="1"/>
      <w:numFmt w:val="bullet"/>
      <w:lvlText w:val=""/>
      <w:lvlJc w:val="left"/>
      <w:pPr>
        <w:tabs>
          <w:tab w:val="num" w:pos="360"/>
        </w:tabs>
        <w:ind w:left="360" w:hanging="360"/>
      </w:pPr>
      <w:rPr>
        <w:rFonts w:ascii="Symbol" w:hAnsi="Symbol" w:hint="default"/>
      </w:rPr>
    </w:lvl>
    <w:lvl w:ilvl="1" w:tplc="4DFC4526">
      <w:start w:val="1"/>
      <w:numFmt w:val="bullet"/>
      <w:lvlText w:val="o"/>
      <w:lvlJc w:val="left"/>
      <w:pPr>
        <w:tabs>
          <w:tab w:val="num" w:pos="1440"/>
        </w:tabs>
        <w:ind w:left="1440" w:hanging="360"/>
      </w:pPr>
      <w:rPr>
        <w:rFonts w:ascii="Courier New" w:hAnsi="Courier New" w:cs="Courier New" w:hint="default"/>
      </w:rPr>
    </w:lvl>
    <w:lvl w:ilvl="2" w:tplc="4C7CA822" w:tentative="1">
      <w:start w:val="1"/>
      <w:numFmt w:val="bullet"/>
      <w:lvlText w:val=""/>
      <w:lvlJc w:val="left"/>
      <w:pPr>
        <w:tabs>
          <w:tab w:val="num" w:pos="2160"/>
        </w:tabs>
        <w:ind w:left="2160" w:hanging="360"/>
      </w:pPr>
      <w:rPr>
        <w:rFonts w:ascii="Wingdings" w:hAnsi="Wingdings" w:hint="default"/>
      </w:rPr>
    </w:lvl>
    <w:lvl w:ilvl="3" w:tplc="B2BEAC2E" w:tentative="1">
      <w:start w:val="1"/>
      <w:numFmt w:val="bullet"/>
      <w:lvlText w:val=""/>
      <w:lvlJc w:val="left"/>
      <w:pPr>
        <w:tabs>
          <w:tab w:val="num" w:pos="2880"/>
        </w:tabs>
        <w:ind w:left="2880" w:hanging="360"/>
      </w:pPr>
      <w:rPr>
        <w:rFonts w:ascii="Symbol" w:hAnsi="Symbol" w:hint="default"/>
      </w:rPr>
    </w:lvl>
    <w:lvl w:ilvl="4" w:tplc="E842EFF4" w:tentative="1">
      <w:start w:val="1"/>
      <w:numFmt w:val="bullet"/>
      <w:lvlText w:val="o"/>
      <w:lvlJc w:val="left"/>
      <w:pPr>
        <w:tabs>
          <w:tab w:val="num" w:pos="3600"/>
        </w:tabs>
        <w:ind w:left="3600" w:hanging="360"/>
      </w:pPr>
      <w:rPr>
        <w:rFonts w:ascii="Courier New" w:hAnsi="Courier New" w:cs="Courier New" w:hint="default"/>
      </w:rPr>
    </w:lvl>
    <w:lvl w:ilvl="5" w:tplc="F3801686" w:tentative="1">
      <w:start w:val="1"/>
      <w:numFmt w:val="bullet"/>
      <w:lvlText w:val=""/>
      <w:lvlJc w:val="left"/>
      <w:pPr>
        <w:tabs>
          <w:tab w:val="num" w:pos="4320"/>
        </w:tabs>
        <w:ind w:left="4320" w:hanging="360"/>
      </w:pPr>
      <w:rPr>
        <w:rFonts w:ascii="Wingdings" w:hAnsi="Wingdings" w:hint="default"/>
      </w:rPr>
    </w:lvl>
    <w:lvl w:ilvl="6" w:tplc="5BC87484" w:tentative="1">
      <w:start w:val="1"/>
      <w:numFmt w:val="bullet"/>
      <w:lvlText w:val=""/>
      <w:lvlJc w:val="left"/>
      <w:pPr>
        <w:tabs>
          <w:tab w:val="num" w:pos="5040"/>
        </w:tabs>
        <w:ind w:left="5040" w:hanging="360"/>
      </w:pPr>
      <w:rPr>
        <w:rFonts w:ascii="Symbol" w:hAnsi="Symbol" w:hint="default"/>
      </w:rPr>
    </w:lvl>
    <w:lvl w:ilvl="7" w:tplc="5C64BEFA" w:tentative="1">
      <w:start w:val="1"/>
      <w:numFmt w:val="bullet"/>
      <w:lvlText w:val="o"/>
      <w:lvlJc w:val="left"/>
      <w:pPr>
        <w:tabs>
          <w:tab w:val="num" w:pos="5760"/>
        </w:tabs>
        <w:ind w:left="5760" w:hanging="360"/>
      </w:pPr>
      <w:rPr>
        <w:rFonts w:ascii="Courier New" w:hAnsi="Courier New" w:cs="Courier New" w:hint="default"/>
      </w:rPr>
    </w:lvl>
    <w:lvl w:ilvl="8" w:tplc="2F7AC6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412AA"/>
    <w:multiLevelType w:val="hybridMultilevel"/>
    <w:tmpl w:val="71A4092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62A7102"/>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15:restartNumberingAfterBreak="0">
    <w:nsid w:val="4E2514A1"/>
    <w:multiLevelType w:val="hybridMultilevel"/>
    <w:tmpl w:val="427282A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BC3850"/>
    <w:multiLevelType w:val="hybridMultilevel"/>
    <w:tmpl w:val="4E684F0A"/>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4F0C4BEB"/>
    <w:multiLevelType w:val="hybridMultilevel"/>
    <w:tmpl w:val="699E55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4C97C17"/>
    <w:multiLevelType w:val="hybridMultilevel"/>
    <w:tmpl w:val="AD0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97F68"/>
    <w:multiLevelType w:val="hybridMultilevel"/>
    <w:tmpl w:val="23221010"/>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59E72FE8"/>
    <w:multiLevelType w:val="hybridMultilevel"/>
    <w:tmpl w:val="3C607D5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F5123D"/>
    <w:multiLevelType w:val="hybridMultilevel"/>
    <w:tmpl w:val="A42CA1DE"/>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BF7CF7"/>
    <w:multiLevelType w:val="hybridMultilevel"/>
    <w:tmpl w:val="A74807C2"/>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15:restartNumberingAfterBreak="0">
    <w:nsid w:val="62A92BB5"/>
    <w:multiLevelType w:val="hybridMultilevel"/>
    <w:tmpl w:val="FD4A8DDE"/>
    <w:lvl w:ilvl="0" w:tplc="0BE6CC04">
      <w:start w:val="1"/>
      <w:numFmt w:val="bullet"/>
      <w:lvlText w:val="•"/>
      <w:lvlJc w:val="left"/>
      <w:pPr>
        <w:tabs>
          <w:tab w:val="num" w:pos="720"/>
        </w:tabs>
        <w:ind w:left="720" w:hanging="360"/>
      </w:pPr>
      <w:rPr>
        <w:rFonts w:ascii="Arial" w:hAnsi="Arial" w:hint="default"/>
      </w:rPr>
    </w:lvl>
    <w:lvl w:ilvl="1" w:tplc="5ECC1496">
      <w:start w:val="181"/>
      <w:numFmt w:val="bullet"/>
      <w:lvlText w:val="•"/>
      <w:lvlJc w:val="left"/>
      <w:pPr>
        <w:tabs>
          <w:tab w:val="num" w:pos="1440"/>
        </w:tabs>
        <w:ind w:left="1440" w:hanging="360"/>
      </w:pPr>
      <w:rPr>
        <w:rFonts w:ascii="Arial" w:hAnsi="Arial" w:hint="default"/>
      </w:rPr>
    </w:lvl>
    <w:lvl w:ilvl="2" w:tplc="0EE241CA" w:tentative="1">
      <w:start w:val="1"/>
      <w:numFmt w:val="bullet"/>
      <w:lvlText w:val="•"/>
      <w:lvlJc w:val="left"/>
      <w:pPr>
        <w:tabs>
          <w:tab w:val="num" w:pos="2160"/>
        </w:tabs>
        <w:ind w:left="2160" w:hanging="360"/>
      </w:pPr>
      <w:rPr>
        <w:rFonts w:ascii="Arial" w:hAnsi="Arial" w:hint="default"/>
      </w:rPr>
    </w:lvl>
    <w:lvl w:ilvl="3" w:tplc="47201272" w:tentative="1">
      <w:start w:val="1"/>
      <w:numFmt w:val="bullet"/>
      <w:lvlText w:val="•"/>
      <w:lvlJc w:val="left"/>
      <w:pPr>
        <w:tabs>
          <w:tab w:val="num" w:pos="2880"/>
        </w:tabs>
        <w:ind w:left="2880" w:hanging="360"/>
      </w:pPr>
      <w:rPr>
        <w:rFonts w:ascii="Arial" w:hAnsi="Arial" w:hint="default"/>
      </w:rPr>
    </w:lvl>
    <w:lvl w:ilvl="4" w:tplc="DD5E0A8C" w:tentative="1">
      <w:start w:val="1"/>
      <w:numFmt w:val="bullet"/>
      <w:lvlText w:val="•"/>
      <w:lvlJc w:val="left"/>
      <w:pPr>
        <w:tabs>
          <w:tab w:val="num" w:pos="3600"/>
        </w:tabs>
        <w:ind w:left="3600" w:hanging="360"/>
      </w:pPr>
      <w:rPr>
        <w:rFonts w:ascii="Arial" w:hAnsi="Arial" w:hint="default"/>
      </w:rPr>
    </w:lvl>
    <w:lvl w:ilvl="5" w:tplc="EDB8584C" w:tentative="1">
      <w:start w:val="1"/>
      <w:numFmt w:val="bullet"/>
      <w:lvlText w:val="•"/>
      <w:lvlJc w:val="left"/>
      <w:pPr>
        <w:tabs>
          <w:tab w:val="num" w:pos="4320"/>
        </w:tabs>
        <w:ind w:left="4320" w:hanging="360"/>
      </w:pPr>
      <w:rPr>
        <w:rFonts w:ascii="Arial" w:hAnsi="Arial" w:hint="default"/>
      </w:rPr>
    </w:lvl>
    <w:lvl w:ilvl="6" w:tplc="D8049864" w:tentative="1">
      <w:start w:val="1"/>
      <w:numFmt w:val="bullet"/>
      <w:lvlText w:val="•"/>
      <w:lvlJc w:val="left"/>
      <w:pPr>
        <w:tabs>
          <w:tab w:val="num" w:pos="5040"/>
        </w:tabs>
        <w:ind w:left="5040" w:hanging="360"/>
      </w:pPr>
      <w:rPr>
        <w:rFonts w:ascii="Arial" w:hAnsi="Arial" w:hint="default"/>
      </w:rPr>
    </w:lvl>
    <w:lvl w:ilvl="7" w:tplc="E24AE6FC" w:tentative="1">
      <w:start w:val="1"/>
      <w:numFmt w:val="bullet"/>
      <w:lvlText w:val="•"/>
      <w:lvlJc w:val="left"/>
      <w:pPr>
        <w:tabs>
          <w:tab w:val="num" w:pos="5760"/>
        </w:tabs>
        <w:ind w:left="5760" w:hanging="360"/>
      </w:pPr>
      <w:rPr>
        <w:rFonts w:ascii="Arial" w:hAnsi="Arial" w:hint="default"/>
      </w:rPr>
    </w:lvl>
    <w:lvl w:ilvl="8" w:tplc="D5605C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4F0E7E"/>
    <w:multiLevelType w:val="hybridMultilevel"/>
    <w:tmpl w:val="560A35B4"/>
    <w:lvl w:ilvl="0" w:tplc="42B22A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252803"/>
    <w:multiLevelType w:val="hybridMultilevel"/>
    <w:tmpl w:val="C920863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D715E90"/>
    <w:multiLevelType w:val="hybridMultilevel"/>
    <w:tmpl w:val="1A462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DB75945"/>
    <w:multiLevelType w:val="hybridMultilevel"/>
    <w:tmpl w:val="D54A2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CC4C5A"/>
    <w:multiLevelType w:val="hybridMultilevel"/>
    <w:tmpl w:val="1E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32A1A"/>
    <w:multiLevelType w:val="hybridMultilevel"/>
    <w:tmpl w:val="9E80FF40"/>
    <w:lvl w:ilvl="0" w:tplc="2DDC97E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9575FFB"/>
    <w:multiLevelType w:val="hybridMultilevel"/>
    <w:tmpl w:val="CB3AFB88"/>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50432"/>
    <w:multiLevelType w:val="hybridMultilevel"/>
    <w:tmpl w:val="7E7A88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7D700CD7"/>
    <w:multiLevelType w:val="hybridMultilevel"/>
    <w:tmpl w:val="8FA88838"/>
    <w:lvl w:ilvl="0" w:tplc="A1A4AC8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0"/>
  </w:num>
  <w:num w:numId="4">
    <w:abstractNumId w:val="38"/>
  </w:num>
  <w:num w:numId="5">
    <w:abstractNumId w:val="10"/>
  </w:num>
  <w:num w:numId="6">
    <w:abstractNumId w:val="1"/>
  </w:num>
  <w:num w:numId="7">
    <w:abstractNumId w:val="31"/>
  </w:num>
  <w:num w:numId="8">
    <w:abstractNumId w:val="24"/>
  </w:num>
  <w:num w:numId="9">
    <w:abstractNumId w:val="11"/>
  </w:num>
  <w:num w:numId="10">
    <w:abstractNumId w:val="13"/>
  </w:num>
  <w:num w:numId="11">
    <w:abstractNumId w:val="12"/>
  </w:num>
  <w:num w:numId="12">
    <w:abstractNumId w:val="33"/>
  </w:num>
  <w:num w:numId="13">
    <w:abstractNumId w:val="0"/>
  </w:num>
  <w:num w:numId="14">
    <w:abstractNumId w:val="2"/>
  </w:num>
  <w:num w:numId="15">
    <w:abstractNumId w:val="16"/>
  </w:num>
  <w:num w:numId="16">
    <w:abstractNumId w:val="28"/>
  </w:num>
  <w:num w:numId="17">
    <w:abstractNumId w:val="19"/>
  </w:num>
  <w:num w:numId="18">
    <w:abstractNumId w:val="3"/>
  </w:num>
  <w:num w:numId="19">
    <w:abstractNumId w:val="32"/>
  </w:num>
  <w:num w:numId="20">
    <w:abstractNumId w:val="21"/>
  </w:num>
  <w:num w:numId="21">
    <w:abstractNumId w:val="27"/>
  </w:num>
  <w:num w:numId="22">
    <w:abstractNumId w:val="18"/>
  </w:num>
  <w:num w:numId="23">
    <w:abstractNumId w:val="15"/>
  </w:num>
  <w:num w:numId="24">
    <w:abstractNumId w:val="39"/>
  </w:num>
  <w:num w:numId="25">
    <w:abstractNumId w:val="20"/>
  </w:num>
  <w:num w:numId="26">
    <w:abstractNumId w:val="37"/>
  </w:num>
  <w:num w:numId="27">
    <w:abstractNumId w:val="5"/>
  </w:num>
  <w:num w:numId="28">
    <w:abstractNumId w:val="34"/>
  </w:num>
  <w:num w:numId="29">
    <w:abstractNumId w:val="4"/>
  </w:num>
  <w:num w:numId="30">
    <w:abstractNumId w:val="25"/>
  </w:num>
  <w:num w:numId="31">
    <w:abstractNumId w:val="26"/>
  </w:num>
  <w:num w:numId="32">
    <w:abstractNumId w:val="22"/>
  </w:num>
  <w:num w:numId="33">
    <w:abstractNumId w:val="23"/>
  </w:num>
  <w:num w:numId="34">
    <w:abstractNumId w:val="35"/>
  </w:num>
  <w:num w:numId="35">
    <w:abstractNumId w:val="40"/>
  </w:num>
  <w:num w:numId="36">
    <w:abstractNumId w:val="6"/>
  </w:num>
  <w:num w:numId="37">
    <w:abstractNumId w:val="29"/>
  </w:num>
  <w:num w:numId="38">
    <w:abstractNumId w:val="8"/>
  </w:num>
  <w:num w:numId="39">
    <w:abstractNumId w:val="17"/>
  </w:num>
  <w:num w:numId="40">
    <w:abstractNumId w:val="3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BC540D-0F57-47CF-9FBB-CE37DF1230FB"/>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uilding a European Health Union: Reinforcing the EU\u8217?s resilience for cross-border health threats "/>
    <w:docVar w:name="LW_TYPE.DOC.CP" w:val="COMMUNICATION FROM THE COMMISSION TO THE EUROPEAN PARLIAMENT, THE COUNCIL, THE EUROPEAN ECONOMIC AND SOCIAL COMMITTEE AND THE COMMITTEE OF THE REGIONS"/>
    <w:docVar w:name="LW_TYPE.DOC.CP.USERTEXT" w:val="&lt;EMPTY&gt;"/>
  </w:docVars>
  <w:rsids>
    <w:rsidRoot w:val="00677F2D"/>
    <w:rsid w:val="00677F2D"/>
    <w:rsid w:val="00824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D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0">
    <w:name w:val="Grid Table 4 - Accent 51"/>
    <w:basedOn w:val="TableNormal"/>
    <w:next w:val="GridTable4-Accent51"/>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2546">
      <w:bodyDiv w:val="1"/>
      <w:marLeft w:val="0"/>
      <w:marRight w:val="0"/>
      <w:marTop w:val="0"/>
      <w:marBottom w:val="0"/>
      <w:divBdr>
        <w:top w:val="none" w:sz="0" w:space="0" w:color="auto"/>
        <w:left w:val="none" w:sz="0" w:space="0" w:color="auto"/>
        <w:bottom w:val="none" w:sz="0" w:space="0" w:color="auto"/>
        <w:right w:val="none" w:sz="0" w:space="0" w:color="auto"/>
      </w:divBdr>
    </w:div>
    <w:div w:id="106706650">
      <w:bodyDiv w:val="1"/>
      <w:marLeft w:val="0"/>
      <w:marRight w:val="0"/>
      <w:marTop w:val="0"/>
      <w:marBottom w:val="0"/>
      <w:divBdr>
        <w:top w:val="none" w:sz="0" w:space="0" w:color="auto"/>
        <w:left w:val="none" w:sz="0" w:space="0" w:color="auto"/>
        <w:bottom w:val="none" w:sz="0" w:space="0" w:color="auto"/>
        <w:right w:val="none" w:sz="0" w:space="0" w:color="auto"/>
      </w:divBdr>
    </w:div>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366175641">
      <w:bodyDiv w:val="1"/>
      <w:marLeft w:val="0"/>
      <w:marRight w:val="0"/>
      <w:marTop w:val="0"/>
      <w:marBottom w:val="0"/>
      <w:divBdr>
        <w:top w:val="none" w:sz="0" w:space="0" w:color="auto"/>
        <w:left w:val="none" w:sz="0" w:space="0" w:color="auto"/>
        <w:bottom w:val="none" w:sz="0" w:space="0" w:color="auto"/>
        <w:right w:val="none" w:sz="0" w:space="0" w:color="auto"/>
      </w:divBdr>
    </w:div>
    <w:div w:id="386688903">
      <w:bodyDiv w:val="1"/>
      <w:marLeft w:val="0"/>
      <w:marRight w:val="0"/>
      <w:marTop w:val="0"/>
      <w:marBottom w:val="0"/>
      <w:divBdr>
        <w:top w:val="none" w:sz="0" w:space="0" w:color="auto"/>
        <w:left w:val="none" w:sz="0" w:space="0" w:color="auto"/>
        <w:bottom w:val="none" w:sz="0" w:space="0" w:color="auto"/>
        <w:right w:val="none" w:sz="0" w:space="0" w:color="auto"/>
      </w:divBdr>
      <w:divsChild>
        <w:div w:id="661399018">
          <w:marLeft w:val="1080"/>
          <w:marRight w:val="0"/>
          <w:marTop w:val="100"/>
          <w:marBottom w:val="360"/>
          <w:divBdr>
            <w:top w:val="none" w:sz="0" w:space="0" w:color="auto"/>
            <w:left w:val="none" w:sz="0" w:space="0" w:color="auto"/>
            <w:bottom w:val="none" w:sz="0" w:space="0" w:color="auto"/>
            <w:right w:val="none" w:sz="0" w:space="0" w:color="auto"/>
          </w:divBdr>
        </w:div>
      </w:divsChild>
    </w:div>
    <w:div w:id="457457160">
      <w:bodyDiv w:val="1"/>
      <w:marLeft w:val="0"/>
      <w:marRight w:val="0"/>
      <w:marTop w:val="0"/>
      <w:marBottom w:val="0"/>
      <w:divBdr>
        <w:top w:val="none" w:sz="0" w:space="0" w:color="auto"/>
        <w:left w:val="none" w:sz="0" w:space="0" w:color="auto"/>
        <w:bottom w:val="none" w:sz="0" w:space="0" w:color="auto"/>
        <w:right w:val="none" w:sz="0" w:space="0" w:color="auto"/>
      </w:divBdr>
    </w:div>
    <w:div w:id="477572542">
      <w:bodyDiv w:val="1"/>
      <w:marLeft w:val="0"/>
      <w:marRight w:val="0"/>
      <w:marTop w:val="0"/>
      <w:marBottom w:val="0"/>
      <w:divBdr>
        <w:top w:val="none" w:sz="0" w:space="0" w:color="auto"/>
        <w:left w:val="none" w:sz="0" w:space="0" w:color="auto"/>
        <w:bottom w:val="none" w:sz="0" w:space="0" w:color="auto"/>
        <w:right w:val="none" w:sz="0" w:space="0" w:color="auto"/>
      </w:divBdr>
      <w:divsChild>
        <w:div w:id="436559392">
          <w:marLeft w:val="1080"/>
          <w:marRight w:val="0"/>
          <w:marTop w:val="120"/>
          <w:marBottom w:val="0"/>
          <w:divBdr>
            <w:top w:val="none" w:sz="0" w:space="0" w:color="auto"/>
            <w:left w:val="none" w:sz="0" w:space="0" w:color="auto"/>
            <w:bottom w:val="none" w:sz="0" w:space="0" w:color="auto"/>
            <w:right w:val="none" w:sz="0" w:space="0" w:color="auto"/>
          </w:divBdr>
        </w:div>
      </w:divsChild>
    </w:div>
    <w:div w:id="647200651">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961418611">
      <w:bodyDiv w:val="1"/>
      <w:marLeft w:val="0"/>
      <w:marRight w:val="0"/>
      <w:marTop w:val="0"/>
      <w:marBottom w:val="0"/>
      <w:divBdr>
        <w:top w:val="none" w:sz="0" w:space="0" w:color="auto"/>
        <w:left w:val="none" w:sz="0" w:space="0" w:color="auto"/>
        <w:bottom w:val="none" w:sz="0" w:space="0" w:color="auto"/>
        <w:right w:val="none" w:sz="0" w:space="0" w:color="auto"/>
      </w:divBdr>
    </w:div>
    <w:div w:id="967393371">
      <w:bodyDiv w:val="1"/>
      <w:marLeft w:val="0"/>
      <w:marRight w:val="0"/>
      <w:marTop w:val="0"/>
      <w:marBottom w:val="0"/>
      <w:divBdr>
        <w:top w:val="none" w:sz="0" w:space="0" w:color="auto"/>
        <w:left w:val="none" w:sz="0" w:space="0" w:color="auto"/>
        <w:bottom w:val="none" w:sz="0" w:space="0" w:color="auto"/>
        <w:right w:val="none" w:sz="0" w:space="0" w:color="auto"/>
      </w:divBdr>
      <w:divsChild>
        <w:div w:id="21102703">
          <w:marLeft w:val="1080"/>
          <w:marRight w:val="0"/>
          <w:marTop w:val="100"/>
          <w:marBottom w:val="360"/>
          <w:divBdr>
            <w:top w:val="none" w:sz="0" w:space="0" w:color="auto"/>
            <w:left w:val="none" w:sz="0" w:space="0" w:color="auto"/>
            <w:bottom w:val="none" w:sz="0" w:space="0" w:color="auto"/>
            <w:right w:val="none" w:sz="0" w:space="0" w:color="auto"/>
          </w:divBdr>
        </w:div>
      </w:divsChild>
    </w:div>
    <w:div w:id="1195463565">
      <w:bodyDiv w:val="1"/>
      <w:marLeft w:val="0"/>
      <w:marRight w:val="0"/>
      <w:marTop w:val="0"/>
      <w:marBottom w:val="0"/>
      <w:divBdr>
        <w:top w:val="none" w:sz="0" w:space="0" w:color="auto"/>
        <w:left w:val="none" w:sz="0" w:space="0" w:color="auto"/>
        <w:bottom w:val="none" w:sz="0" w:space="0" w:color="auto"/>
        <w:right w:val="none" w:sz="0" w:space="0" w:color="auto"/>
      </w:divBdr>
    </w:div>
    <w:div w:id="1205555929">
      <w:bodyDiv w:val="1"/>
      <w:marLeft w:val="0"/>
      <w:marRight w:val="0"/>
      <w:marTop w:val="0"/>
      <w:marBottom w:val="0"/>
      <w:divBdr>
        <w:top w:val="none" w:sz="0" w:space="0" w:color="auto"/>
        <w:left w:val="none" w:sz="0" w:space="0" w:color="auto"/>
        <w:bottom w:val="none" w:sz="0" w:space="0" w:color="auto"/>
        <w:right w:val="none" w:sz="0" w:space="0" w:color="auto"/>
      </w:divBdr>
    </w:div>
    <w:div w:id="1249465901">
      <w:bodyDiv w:val="1"/>
      <w:marLeft w:val="0"/>
      <w:marRight w:val="0"/>
      <w:marTop w:val="0"/>
      <w:marBottom w:val="0"/>
      <w:divBdr>
        <w:top w:val="none" w:sz="0" w:space="0" w:color="auto"/>
        <w:left w:val="none" w:sz="0" w:space="0" w:color="auto"/>
        <w:bottom w:val="none" w:sz="0" w:space="0" w:color="auto"/>
        <w:right w:val="none" w:sz="0" w:space="0" w:color="auto"/>
      </w:divBdr>
    </w:div>
    <w:div w:id="1282496707">
      <w:bodyDiv w:val="1"/>
      <w:marLeft w:val="0"/>
      <w:marRight w:val="0"/>
      <w:marTop w:val="0"/>
      <w:marBottom w:val="0"/>
      <w:divBdr>
        <w:top w:val="none" w:sz="0" w:space="0" w:color="auto"/>
        <w:left w:val="none" w:sz="0" w:space="0" w:color="auto"/>
        <w:bottom w:val="none" w:sz="0" w:space="0" w:color="auto"/>
        <w:right w:val="none" w:sz="0" w:space="0" w:color="auto"/>
      </w:divBdr>
    </w:div>
    <w:div w:id="1480420927">
      <w:bodyDiv w:val="1"/>
      <w:marLeft w:val="0"/>
      <w:marRight w:val="0"/>
      <w:marTop w:val="0"/>
      <w:marBottom w:val="0"/>
      <w:divBdr>
        <w:top w:val="none" w:sz="0" w:space="0" w:color="auto"/>
        <w:left w:val="none" w:sz="0" w:space="0" w:color="auto"/>
        <w:bottom w:val="none" w:sz="0" w:space="0" w:color="auto"/>
        <w:right w:val="none" w:sz="0" w:space="0" w:color="auto"/>
      </w:divBdr>
    </w:div>
    <w:div w:id="1532844141">
      <w:bodyDiv w:val="1"/>
      <w:marLeft w:val="0"/>
      <w:marRight w:val="0"/>
      <w:marTop w:val="0"/>
      <w:marBottom w:val="0"/>
      <w:divBdr>
        <w:top w:val="none" w:sz="0" w:space="0" w:color="auto"/>
        <w:left w:val="none" w:sz="0" w:space="0" w:color="auto"/>
        <w:bottom w:val="none" w:sz="0" w:space="0" w:color="auto"/>
        <w:right w:val="none" w:sz="0" w:space="0" w:color="auto"/>
      </w:divBdr>
      <w:divsChild>
        <w:div w:id="1145778512">
          <w:marLeft w:val="360"/>
          <w:marRight w:val="0"/>
          <w:marTop w:val="0"/>
          <w:marBottom w:val="360"/>
          <w:divBdr>
            <w:top w:val="none" w:sz="0" w:space="0" w:color="auto"/>
            <w:left w:val="none" w:sz="0" w:space="0" w:color="auto"/>
            <w:bottom w:val="none" w:sz="0" w:space="0" w:color="auto"/>
            <w:right w:val="none" w:sz="0" w:space="0" w:color="auto"/>
          </w:divBdr>
        </w:div>
        <w:div w:id="1203790565">
          <w:marLeft w:val="1080"/>
          <w:marRight w:val="0"/>
          <w:marTop w:val="100"/>
          <w:marBottom w:val="360"/>
          <w:divBdr>
            <w:top w:val="none" w:sz="0" w:space="0" w:color="auto"/>
            <w:left w:val="none" w:sz="0" w:space="0" w:color="auto"/>
            <w:bottom w:val="none" w:sz="0" w:space="0" w:color="auto"/>
            <w:right w:val="none" w:sz="0" w:space="0" w:color="auto"/>
          </w:divBdr>
        </w:div>
        <w:div w:id="1963922045">
          <w:marLeft w:val="1080"/>
          <w:marRight w:val="0"/>
          <w:marTop w:val="100"/>
          <w:marBottom w:val="360"/>
          <w:divBdr>
            <w:top w:val="none" w:sz="0" w:space="0" w:color="auto"/>
            <w:left w:val="none" w:sz="0" w:space="0" w:color="auto"/>
            <w:bottom w:val="none" w:sz="0" w:space="0" w:color="auto"/>
            <w:right w:val="none" w:sz="0" w:space="0" w:color="auto"/>
          </w:divBdr>
        </w:div>
      </w:divsChild>
    </w:div>
    <w:div w:id="1596134150">
      <w:bodyDiv w:val="1"/>
      <w:marLeft w:val="0"/>
      <w:marRight w:val="0"/>
      <w:marTop w:val="0"/>
      <w:marBottom w:val="0"/>
      <w:divBdr>
        <w:top w:val="none" w:sz="0" w:space="0" w:color="auto"/>
        <w:left w:val="none" w:sz="0" w:space="0" w:color="auto"/>
        <w:bottom w:val="none" w:sz="0" w:space="0" w:color="auto"/>
        <w:right w:val="none" w:sz="0" w:space="0" w:color="auto"/>
      </w:divBdr>
    </w:div>
    <w:div w:id="1685789188">
      <w:bodyDiv w:val="1"/>
      <w:marLeft w:val="0"/>
      <w:marRight w:val="0"/>
      <w:marTop w:val="0"/>
      <w:marBottom w:val="0"/>
      <w:divBdr>
        <w:top w:val="none" w:sz="0" w:space="0" w:color="auto"/>
        <w:left w:val="none" w:sz="0" w:space="0" w:color="auto"/>
        <w:bottom w:val="none" w:sz="0" w:space="0" w:color="auto"/>
        <w:right w:val="none" w:sz="0" w:space="0" w:color="auto"/>
      </w:divBdr>
    </w:div>
    <w:div w:id="1708289244">
      <w:bodyDiv w:val="1"/>
      <w:marLeft w:val="0"/>
      <w:marRight w:val="0"/>
      <w:marTop w:val="0"/>
      <w:marBottom w:val="0"/>
      <w:divBdr>
        <w:top w:val="none" w:sz="0" w:space="0" w:color="auto"/>
        <w:left w:val="none" w:sz="0" w:space="0" w:color="auto"/>
        <w:bottom w:val="none" w:sz="0" w:space="0" w:color="auto"/>
        <w:right w:val="none" w:sz="0" w:space="0" w:color="auto"/>
      </w:divBdr>
    </w:div>
    <w:div w:id="1827941386">
      <w:bodyDiv w:val="1"/>
      <w:marLeft w:val="0"/>
      <w:marRight w:val="0"/>
      <w:marTop w:val="0"/>
      <w:marBottom w:val="0"/>
      <w:divBdr>
        <w:top w:val="none" w:sz="0" w:space="0" w:color="auto"/>
        <w:left w:val="none" w:sz="0" w:space="0" w:color="auto"/>
        <w:bottom w:val="none" w:sz="0" w:space="0" w:color="auto"/>
        <w:right w:val="none" w:sz="0" w:space="0" w:color="auto"/>
      </w:divBdr>
      <w:divsChild>
        <w:div w:id="1947617738">
          <w:marLeft w:val="1080"/>
          <w:marRight w:val="0"/>
          <w:marTop w:val="120"/>
          <w:marBottom w:val="0"/>
          <w:divBdr>
            <w:top w:val="none" w:sz="0" w:space="0" w:color="auto"/>
            <w:left w:val="none" w:sz="0" w:space="0" w:color="auto"/>
            <w:bottom w:val="none" w:sz="0" w:space="0" w:color="auto"/>
            <w:right w:val="none" w:sz="0" w:space="0" w:color="auto"/>
          </w:divBdr>
        </w:div>
      </w:divsChild>
    </w:div>
    <w:div w:id="1844859830">
      <w:bodyDiv w:val="1"/>
      <w:marLeft w:val="0"/>
      <w:marRight w:val="0"/>
      <w:marTop w:val="0"/>
      <w:marBottom w:val="0"/>
      <w:divBdr>
        <w:top w:val="none" w:sz="0" w:space="0" w:color="auto"/>
        <w:left w:val="none" w:sz="0" w:space="0" w:color="auto"/>
        <w:bottom w:val="none" w:sz="0" w:space="0" w:color="auto"/>
        <w:right w:val="none" w:sz="0" w:space="0" w:color="auto"/>
      </w:divBdr>
    </w:div>
    <w:div w:id="1845167041">
      <w:bodyDiv w:val="1"/>
      <w:marLeft w:val="0"/>
      <w:marRight w:val="0"/>
      <w:marTop w:val="0"/>
      <w:marBottom w:val="0"/>
      <w:divBdr>
        <w:top w:val="none" w:sz="0" w:space="0" w:color="auto"/>
        <w:left w:val="none" w:sz="0" w:space="0" w:color="auto"/>
        <w:bottom w:val="none" w:sz="0" w:space="0" w:color="auto"/>
        <w:right w:val="none" w:sz="0" w:space="0" w:color="auto"/>
      </w:divBdr>
      <w:divsChild>
        <w:div w:id="306935342">
          <w:marLeft w:val="1080"/>
          <w:marRight w:val="0"/>
          <w:marTop w:val="100"/>
          <w:marBottom w:val="360"/>
          <w:divBdr>
            <w:top w:val="none" w:sz="0" w:space="0" w:color="auto"/>
            <w:left w:val="none" w:sz="0" w:space="0" w:color="auto"/>
            <w:bottom w:val="none" w:sz="0" w:space="0" w:color="auto"/>
            <w:right w:val="none" w:sz="0" w:space="0" w:color="auto"/>
          </w:divBdr>
        </w:div>
      </w:divsChild>
    </w:div>
    <w:div w:id="1874615264">
      <w:bodyDiv w:val="1"/>
      <w:marLeft w:val="0"/>
      <w:marRight w:val="0"/>
      <w:marTop w:val="0"/>
      <w:marBottom w:val="0"/>
      <w:divBdr>
        <w:top w:val="none" w:sz="0" w:space="0" w:color="auto"/>
        <w:left w:val="none" w:sz="0" w:space="0" w:color="auto"/>
        <w:bottom w:val="none" w:sz="0" w:space="0" w:color="auto"/>
        <w:right w:val="none" w:sz="0" w:space="0" w:color="auto"/>
      </w:divBdr>
      <w:divsChild>
        <w:div w:id="944650137">
          <w:marLeft w:val="1080"/>
          <w:marRight w:val="0"/>
          <w:marTop w:val="100"/>
          <w:marBottom w:val="360"/>
          <w:divBdr>
            <w:top w:val="none" w:sz="0" w:space="0" w:color="auto"/>
            <w:left w:val="none" w:sz="0" w:space="0" w:color="auto"/>
            <w:bottom w:val="none" w:sz="0" w:space="0" w:color="auto"/>
            <w:right w:val="none" w:sz="0" w:space="0" w:color="auto"/>
          </w:divBdr>
        </w:div>
      </w:divsChild>
    </w:div>
    <w:div w:id="1907493062">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 w:id="1951432189">
      <w:bodyDiv w:val="1"/>
      <w:marLeft w:val="0"/>
      <w:marRight w:val="0"/>
      <w:marTop w:val="0"/>
      <w:marBottom w:val="0"/>
      <w:divBdr>
        <w:top w:val="none" w:sz="0" w:space="0" w:color="auto"/>
        <w:left w:val="none" w:sz="0" w:space="0" w:color="auto"/>
        <w:bottom w:val="none" w:sz="0" w:space="0" w:color="auto"/>
        <w:right w:val="none" w:sz="0" w:space="0" w:color="auto"/>
      </w:divBdr>
    </w:div>
    <w:div w:id="2064018253">
      <w:bodyDiv w:val="1"/>
      <w:marLeft w:val="0"/>
      <w:marRight w:val="0"/>
      <w:marTop w:val="0"/>
      <w:marBottom w:val="0"/>
      <w:divBdr>
        <w:top w:val="none" w:sz="0" w:space="0" w:color="auto"/>
        <w:left w:val="none" w:sz="0" w:space="0" w:color="auto"/>
        <w:bottom w:val="none" w:sz="0" w:space="0" w:color="auto"/>
        <w:right w:val="none" w:sz="0" w:space="0" w:color="auto"/>
      </w:divBdr>
    </w:div>
    <w:div w:id="2113013968">
      <w:bodyDiv w:val="1"/>
      <w:marLeft w:val="0"/>
      <w:marRight w:val="0"/>
      <w:marTop w:val="0"/>
      <w:marBottom w:val="0"/>
      <w:divBdr>
        <w:top w:val="none" w:sz="0" w:space="0" w:color="auto"/>
        <w:left w:val="none" w:sz="0" w:space="0" w:color="auto"/>
        <w:bottom w:val="none" w:sz="0" w:space="0" w:color="auto"/>
        <w:right w:val="none" w:sz="0" w:space="0" w:color="auto"/>
      </w:divBdr>
      <w:divsChild>
        <w:div w:id="1466464815">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commission/priorities/deeper-and-fairer-economic-and-monetary-union/european-pillar-social-rights_e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com/v3/__https:/ipbes.net/pandemics__;!!DOxrgLBm!VShqTB0g9ju7xNNWYDv2D4tCtl4rju_Ktthz7cUQwUdW665_2Vc8rMZbXKODegb9KO6OpCo$" TargetMode="External"/><Relationship Id="rId2" Type="http://schemas.openxmlformats.org/officeDocument/2006/relationships/hyperlink" Target="https://www.weforum.org/agenda/2020/03/coronavirus-global-epidemics-health-pandemic-covid-19/" TargetMode="External"/><Relationship Id="rId1" Type="http://schemas.openxmlformats.org/officeDocument/2006/relationships/hyperlink" Target="https://www.ecdc.europa.eu/en/covid-19/situation-updates" TargetMode="External"/><Relationship Id="rId4" Type="http://schemas.openxmlformats.org/officeDocument/2006/relationships/hyperlink" Target="https://www.ema.europa.eu/en/glossary/scientific-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5D5C9C-BC01-42CA-9DCC-049E9034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8359</Words>
  <Characters>48152</Characters>
  <Application>Microsoft Office Word</Application>
  <DocSecurity>0</DocSecurity>
  <Lines>802</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2020-11-10T11:33:00Z</dcterms:created>
  <dcterms:modified xsi:type="dcterms:W3CDTF">2020-11-11T09:09:00Z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