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02658CC0-18C3-4F93-A5CF-072076D8EDF9" style="width:450.35pt;height:347.75pt">
            <v:imagedata r:id="rId12" o:title=""/>
          </v:shape>
        </w:pict>
      </w:r>
    </w:p>
    <w:bookmarkEnd w:id="0"/>
    <w:p>
      <w:pPr>
        <w:spacing w:line="240" w:lineRule="auto"/>
        <w:rPr>
          <w:noProof/>
          <w:lang w:val="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tabs>
          <w:tab w:val="center" w:pos="4680"/>
          <w:tab w:val="left" w:pos="7010"/>
        </w:tabs>
        <w:spacing w:before="240" w:after="480" w:line="240" w:lineRule="auto"/>
        <w:jc w:val="center"/>
        <w:rPr>
          <w:rFonts w:ascii="Times New Roman Bold" w:hAnsi="Times New Roman Bold" w:cs="Times New Roman"/>
          <w:b/>
          <w:bCs/>
          <w:smallCaps/>
          <w:noProof/>
          <w:sz w:val="32"/>
          <w:szCs w:val="32"/>
        </w:rPr>
      </w:pPr>
      <w:bookmarkStart w:id="1" w:name="_GoBack"/>
      <w:bookmarkEnd w:id="1"/>
      <w:r>
        <w:rPr>
          <w:rFonts w:ascii="Times New Roman Bold" w:hAnsi="Times New Roman Bold"/>
          <w:b/>
          <w:bCs/>
          <w:smallCaps/>
          <w:noProof/>
          <w:sz w:val="32"/>
          <w:szCs w:val="32"/>
        </w:rPr>
        <w:lastRenderedPageBreak/>
        <w:t>Нова програма за потребителите</w:t>
      </w:r>
    </w:p>
    <w:p>
      <w:pPr>
        <w:spacing w:after="720" w:line="240" w:lineRule="auto"/>
        <w:jc w:val="center"/>
        <w:rPr>
          <w:rFonts w:ascii="Times New Roman Bold" w:hAnsi="Times New Roman Bold" w:cs="Times New Roman"/>
          <w:b/>
          <w:bCs/>
          <w:smallCaps/>
          <w:noProof/>
          <w:sz w:val="28"/>
          <w:szCs w:val="24"/>
        </w:rPr>
      </w:pPr>
      <w:r>
        <w:rPr>
          <w:rFonts w:ascii="Times New Roman Bold" w:hAnsi="Times New Roman Bold"/>
          <w:b/>
          <w:bCs/>
          <w:smallCaps/>
          <w:noProof/>
          <w:sz w:val="28"/>
          <w:szCs w:val="24"/>
        </w:rPr>
        <w:t>повишаване на издръжливостта на потребителите за постигане на устойчиво възстановяване</w:t>
      </w:r>
    </w:p>
    <w:p>
      <w:pPr>
        <w:numPr>
          <w:ilvl w:val="0"/>
          <w:numId w:val="1"/>
        </w:numPr>
        <w:spacing w:after="240" w:line="240" w:lineRule="auto"/>
        <w:ind w:left="714" w:hanging="357"/>
        <w:jc w:val="both"/>
        <w:rPr>
          <w:rFonts w:ascii="Times New Roman" w:hAnsi="Times New Roman" w:cs="Times New Roman"/>
          <w:b/>
          <w:bCs/>
          <w:smallCaps/>
          <w:noProof/>
          <w:sz w:val="28"/>
          <w:szCs w:val="28"/>
        </w:rPr>
      </w:pPr>
      <w:r>
        <w:rPr>
          <w:rFonts w:ascii="Times New Roman" w:hAnsi="Times New Roman"/>
          <w:b/>
          <w:bCs/>
          <w:smallCaps/>
          <w:noProof/>
          <w:sz w:val="28"/>
          <w:szCs w:val="28"/>
        </w:rPr>
        <w:t>Въведение</w:t>
      </w:r>
    </w:p>
    <w:p>
      <w:pPr>
        <w:spacing w:after="240" w:line="240" w:lineRule="auto"/>
        <w:jc w:val="both"/>
        <w:rPr>
          <w:rFonts w:ascii="Times New Roman" w:hAnsi="Times New Roman" w:cs="Times New Roman"/>
          <w:noProof/>
          <w:sz w:val="24"/>
          <w:szCs w:val="24"/>
        </w:rPr>
      </w:pPr>
      <w:r>
        <w:rPr>
          <w:rFonts w:ascii="Times New Roman" w:hAnsi="Times New Roman"/>
          <w:b/>
          <w:bCs/>
          <w:noProof/>
          <w:sz w:val="24"/>
          <w:szCs w:val="24"/>
        </w:rPr>
        <w:t>Европейските потребители с право очакват да се възползват напълно от единния пазар и да имат възможност да правят по-информиран избор и да играят активна роля в екологичния и цифровия преход, независимо от това кога и къде пребивават в ЕС.</w:t>
      </w:r>
      <w:r>
        <w:rPr>
          <w:rFonts w:ascii="Times New Roman" w:hAnsi="Times New Roman"/>
          <w:noProof/>
          <w:sz w:val="24"/>
          <w:szCs w:val="24"/>
        </w:rPr>
        <w:t xml:space="preserve"> Те очакват да имат свободен достъп до стоки и услуги в целия ЕС и увереност, че правата им като потребители са защитени, независимо от традиционните и нововъзникващите предизвикателства.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В </w:t>
      </w:r>
      <w:r>
        <w:rPr>
          <w:rFonts w:ascii="Times New Roman" w:hAnsi="Times New Roman"/>
          <w:b/>
          <w:bCs/>
          <w:noProof/>
          <w:sz w:val="24"/>
          <w:szCs w:val="24"/>
        </w:rPr>
        <w:t>новата</w:t>
      </w:r>
      <w:r>
        <w:rPr>
          <w:rFonts w:ascii="Times New Roman" w:hAnsi="Times New Roman"/>
          <w:noProof/>
          <w:sz w:val="24"/>
          <w:szCs w:val="24"/>
        </w:rPr>
        <w:t xml:space="preserve"> </w:t>
      </w:r>
      <w:r>
        <w:rPr>
          <w:rFonts w:ascii="Times New Roman" w:hAnsi="Times New Roman"/>
          <w:b/>
          <w:bCs/>
          <w:noProof/>
          <w:sz w:val="24"/>
          <w:szCs w:val="24"/>
        </w:rPr>
        <w:t>програма за потребителите</w:t>
      </w:r>
      <w:r>
        <w:rPr>
          <w:rFonts w:ascii="Times New Roman" w:hAnsi="Times New Roman"/>
          <w:noProof/>
          <w:sz w:val="24"/>
          <w:szCs w:val="24"/>
        </w:rPr>
        <w:t xml:space="preserve"> („програмата“) е представена визия за политиката на ЕС за защита на потребителите от 2020 г. до 2025 г., която се основава на програмата за потребителите от 2012 г. (чието действие изтича през 2020 г.) и на новия търговски механизъм за потребителите от 2018 г.</w:t>
      </w:r>
      <w:r>
        <w:rPr>
          <w:rFonts w:ascii="Times New Roman" w:hAnsi="Times New Roman" w:cs="Times New Roman"/>
          <w:noProof/>
          <w:sz w:val="24"/>
          <w:szCs w:val="24"/>
          <w:vertAlign w:val="superscript"/>
          <w:lang w:val="en-GB"/>
        </w:rPr>
        <w:footnoteReference w:id="2"/>
      </w:r>
      <w:r>
        <w:rPr>
          <w:rFonts w:ascii="Times New Roman" w:hAnsi="Times New Roman"/>
          <w:noProof/>
          <w:sz w:val="24"/>
          <w:szCs w:val="24"/>
        </w:rPr>
        <w:t xml:space="preserve"> С нея също така се цели да се даде отговор на непосредствените нужди на потребителите в условията на продължаващата пандемия от COVID-19 и да се повиши тяхната издръжливост. Пандемията доведе до значителни предизвикателства, които засягат ежедневието на потребителите, по-специално във връзка с наличието и достъпността на продукти и услуги, както и пътуването на територията на ЕС, до и от ЕС.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Програмата обхваща </w:t>
      </w:r>
      <w:r>
        <w:rPr>
          <w:rFonts w:ascii="Times New Roman" w:hAnsi="Times New Roman"/>
          <w:b/>
          <w:bCs/>
          <w:noProof/>
          <w:sz w:val="24"/>
          <w:szCs w:val="24"/>
        </w:rPr>
        <w:t>пет основни приоритетни области</w:t>
      </w:r>
      <w:r>
        <w:rPr>
          <w:rFonts w:ascii="Times New Roman" w:hAnsi="Times New Roman"/>
          <w:noProof/>
          <w:sz w:val="24"/>
          <w:szCs w:val="24"/>
        </w:rPr>
        <w:t xml:space="preserve">: </w:t>
      </w:r>
    </w:p>
    <w:p>
      <w:pPr>
        <w:numPr>
          <w:ilvl w:val="0"/>
          <w:numId w:val="6"/>
        </w:numPr>
        <w:spacing w:after="120" w:line="240" w:lineRule="auto"/>
        <w:ind w:left="714" w:hanging="357"/>
        <w:jc w:val="both"/>
        <w:rPr>
          <w:rFonts w:ascii="Times New Roman" w:hAnsi="Times New Roman" w:cs="Times New Roman"/>
          <w:b/>
          <w:noProof/>
          <w:sz w:val="24"/>
          <w:szCs w:val="24"/>
        </w:rPr>
      </w:pPr>
      <w:r>
        <w:rPr>
          <w:rFonts w:ascii="Times New Roman" w:hAnsi="Times New Roman"/>
          <w:b/>
          <w:noProof/>
          <w:sz w:val="24"/>
          <w:szCs w:val="24"/>
        </w:rPr>
        <w:t>екологичен преход;</w:t>
      </w:r>
    </w:p>
    <w:p>
      <w:pPr>
        <w:numPr>
          <w:ilvl w:val="0"/>
          <w:numId w:val="6"/>
        </w:numPr>
        <w:spacing w:after="120" w:line="240" w:lineRule="auto"/>
        <w:ind w:left="714" w:hanging="357"/>
        <w:jc w:val="both"/>
        <w:rPr>
          <w:rFonts w:ascii="Times New Roman" w:hAnsi="Times New Roman" w:cs="Times New Roman"/>
          <w:b/>
          <w:noProof/>
          <w:sz w:val="24"/>
          <w:szCs w:val="24"/>
        </w:rPr>
      </w:pPr>
      <w:r>
        <w:rPr>
          <w:rFonts w:ascii="Times New Roman" w:hAnsi="Times New Roman"/>
          <w:b/>
          <w:noProof/>
          <w:sz w:val="24"/>
          <w:szCs w:val="24"/>
        </w:rPr>
        <w:t>цифрова трансформация;</w:t>
      </w:r>
    </w:p>
    <w:p>
      <w:pPr>
        <w:numPr>
          <w:ilvl w:val="0"/>
          <w:numId w:val="6"/>
        </w:numPr>
        <w:spacing w:after="120" w:line="240" w:lineRule="auto"/>
        <w:ind w:left="714" w:hanging="357"/>
        <w:jc w:val="both"/>
        <w:rPr>
          <w:rFonts w:ascii="Times New Roman" w:hAnsi="Times New Roman" w:cs="Times New Roman"/>
          <w:b/>
          <w:noProof/>
          <w:sz w:val="24"/>
          <w:szCs w:val="24"/>
        </w:rPr>
      </w:pPr>
      <w:r>
        <w:rPr>
          <w:rFonts w:ascii="Times New Roman" w:hAnsi="Times New Roman"/>
          <w:b/>
          <w:noProof/>
          <w:sz w:val="24"/>
          <w:szCs w:val="24"/>
        </w:rPr>
        <w:t>правна защита и прилагане на правата на потребителите;</w:t>
      </w:r>
    </w:p>
    <w:p>
      <w:pPr>
        <w:numPr>
          <w:ilvl w:val="0"/>
          <w:numId w:val="6"/>
        </w:numPr>
        <w:spacing w:after="120" w:line="240" w:lineRule="auto"/>
        <w:ind w:left="714" w:hanging="357"/>
        <w:jc w:val="both"/>
        <w:rPr>
          <w:rFonts w:ascii="Times New Roman" w:hAnsi="Times New Roman" w:cs="Times New Roman"/>
          <w:b/>
          <w:noProof/>
          <w:sz w:val="24"/>
          <w:szCs w:val="24"/>
        </w:rPr>
      </w:pPr>
      <w:r>
        <w:rPr>
          <w:rFonts w:ascii="Times New Roman" w:hAnsi="Times New Roman"/>
          <w:b/>
          <w:noProof/>
          <w:sz w:val="24"/>
          <w:szCs w:val="24"/>
        </w:rPr>
        <w:t>специфични потребности на определени групи потребители; както и</w:t>
      </w:r>
    </w:p>
    <w:p>
      <w:pPr>
        <w:numPr>
          <w:ilvl w:val="0"/>
          <w:numId w:val="6"/>
        </w:numPr>
        <w:spacing w:after="240" w:line="240" w:lineRule="auto"/>
        <w:ind w:left="714" w:hanging="357"/>
        <w:jc w:val="both"/>
        <w:rPr>
          <w:rFonts w:ascii="Times New Roman" w:hAnsi="Times New Roman" w:cs="Times New Roman"/>
          <w:b/>
          <w:noProof/>
          <w:sz w:val="24"/>
          <w:szCs w:val="24"/>
        </w:rPr>
      </w:pPr>
      <w:r>
        <w:rPr>
          <w:rFonts w:ascii="Times New Roman" w:hAnsi="Times New Roman"/>
          <w:b/>
          <w:noProof/>
          <w:sz w:val="24"/>
          <w:szCs w:val="24"/>
        </w:rPr>
        <w:t xml:space="preserve">международно сътрудничество.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Като гарантира надлежното изпълнение на тези приоритети, програмата ще играе ролята на </w:t>
      </w:r>
      <w:r>
        <w:rPr>
          <w:rFonts w:ascii="Times New Roman" w:hAnsi="Times New Roman"/>
          <w:b/>
          <w:bCs/>
          <w:noProof/>
          <w:sz w:val="24"/>
          <w:szCs w:val="24"/>
        </w:rPr>
        <w:t>ръководство</w:t>
      </w:r>
      <w:r>
        <w:rPr>
          <w:rFonts w:ascii="Times New Roman" w:hAnsi="Times New Roman"/>
          <w:noProof/>
          <w:sz w:val="24"/>
          <w:szCs w:val="24"/>
        </w:rPr>
        <w:t xml:space="preserve"> за изпълнението на програмата за единния пазар съгласно </w:t>
      </w:r>
      <w:r>
        <w:rPr>
          <w:rFonts w:ascii="Times New Roman" w:hAnsi="Times New Roman"/>
          <w:b/>
          <w:bCs/>
          <w:noProof/>
          <w:sz w:val="24"/>
          <w:szCs w:val="24"/>
        </w:rPr>
        <w:t>новата Многогодишна финансова рамка (МФР)</w:t>
      </w:r>
      <w:r>
        <w:rPr>
          <w:rFonts w:ascii="Times New Roman" w:hAnsi="Times New Roman"/>
          <w:noProof/>
          <w:sz w:val="24"/>
          <w:szCs w:val="24"/>
        </w:rPr>
        <w:t>. Целта на програмата е чрез насърчаване на мерки за по-екологосъобразен, по-цифровизиран и по-справедлив единен пазар да бъде повишено доверието сред потребителите, чиито разходи генерират 54 % от БВП на ЕС</w:t>
      </w:r>
      <w:r>
        <w:rPr>
          <w:rFonts w:ascii="Times New Roman" w:hAnsi="Times New Roman" w:cs="Times New Roman"/>
          <w:noProof/>
          <w:sz w:val="24"/>
          <w:szCs w:val="24"/>
          <w:vertAlign w:val="superscript"/>
          <w:lang w:val="en-GB"/>
        </w:rPr>
        <w:footnoteReference w:id="3"/>
      </w:r>
      <w:r>
        <w:rPr>
          <w:rFonts w:ascii="Times New Roman" w:hAnsi="Times New Roman"/>
          <w:noProof/>
          <w:sz w:val="24"/>
          <w:szCs w:val="24"/>
        </w:rPr>
        <w:t>, и по този начин икономическото възстановяване да бъде стимулирано от страна на търсенето.</w:t>
      </w:r>
      <w:r>
        <w:rPr>
          <w:noProof/>
        </w:rPr>
        <w:t xml:space="preserve"> </w:t>
      </w:r>
      <w:r>
        <w:rPr>
          <w:rFonts w:ascii="Times New Roman" w:hAnsi="Times New Roman"/>
          <w:noProof/>
          <w:sz w:val="24"/>
          <w:szCs w:val="24"/>
        </w:rPr>
        <w:t>В този контекст е необходимо да се гарантира ефективна защита на интересите на потребителите, като същевременно се подпомагат и предприятията, особено малките и средните предприятия</w:t>
      </w:r>
      <w:r>
        <w:rPr>
          <w:rFonts w:ascii="Times New Roman" w:hAnsi="Times New Roman" w:cs="Times New Roman"/>
          <w:noProof/>
          <w:sz w:val="24"/>
          <w:szCs w:val="24"/>
          <w:vertAlign w:val="superscript"/>
          <w:lang w:val="en-GB"/>
        </w:rPr>
        <w:footnoteReference w:id="4"/>
      </w:r>
      <w:r>
        <w:rPr>
          <w:rFonts w:ascii="Times New Roman" w:hAnsi="Times New Roman"/>
          <w:noProof/>
          <w:sz w:val="24"/>
          <w:szCs w:val="24"/>
        </w:rPr>
        <w:t>.</w:t>
      </w:r>
    </w:p>
    <w:p>
      <w:pPr>
        <w:jc w:val="both"/>
        <w:rPr>
          <w:rFonts w:ascii="Times New Roman" w:hAnsi="Times New Roman" w:cs="Times New Roman"/>
          <w:noProof/>
          <w:spacing w:val="-2"/>
          <w:sz w:val="24"/>
          <w:szCs w:val="24"/>
        </w:rPr>
      </w:pPr>
      <w:r>
        <w:rPr>
          <w:rFonts w:ascii="Times New Roman" w:hAnsi="Times New Roman"/>
          <w:noProof/>
          <w:spacing w:val="-2"/>
          <w:sz w:val="24"/>
          <w:szCs w:val="24"/>
        </w:rPr>
        <w:t xml:space="preserve">В програмата се приема </w:t>
      </w:r>
      <w:r>
        <w:rPr>
          <w:rFonts w:ascii="Times New Roman" w:hAnsi="Times New Roman"/>
          <w:b/>
          <w:bCs/>
          <w:noProof/>
          <w:spacing w:val="-2"/>
          <w:sz w:val="24"/>
          <w:szCs w:val="24"/>
        </w:rPr>
        <w:t>цялостен подход, обхващащ различни политики на Съюза</w:t>
      </w:r>
      <w:r>
        <w:rPr>
          <w:rFonts w:ascii="Times New Roman" w:hAnsi="Times New Roman"/>
          <w:noProof/>
          <w:spacing w:val="-2"/>
          <w:sz w:val="24"/>
          <w:szCs w:val="24"/>
        </w:rPr>
        <w:t>, които са от особено значение за потребителите. Тя отразява необходимостта при формулирането и изпълнението на други политики и дейности да бъдат отчетени изискванията за защита на потребителите</w:t>
      </w:r>
      <w:r>
        <w:rPr>
          <w:rStyle w:val="FootnoteReference"/>
          <w:rFonts w:ascii="Times New Roman" w:hAnsi="Times New Roman" w:cs="Times New Roman"/>
          <w:noProof/>
          <w:spacing w:val="-2"/>
          <w:sz w:val="24"/>
          <w:szCs w:val="24"/>
          <w:lang w:val="en-GB"/>
        </w:rPr>
        <w:footnoteReference w:id="5"/>
      </w:r>
      <w:r>
        <w:rPr>
          <w:rFonts w:ascii="Times New Roman" w:hAnsi="Times New Roman"/>
          <w:noProof/>
          <w:spacing w:val="-2"/>
          <w:sz w:val="24"/>
          <w:szCs w:val="24"/>
        </w:rPr>
        <w:t>. Програмата допълва други инициативи на ЕС, като например Европейския зелен пакт</w:t>
      </w:r>
      <w:r>
        <w:rPr>
          <w:rFonts w:ascii="Times New Roman" w:hAnsi="Times New Roman" w:cs="Times New Roman"/>
          <w:noProof/>
          <w:spacing w:val="-2"/>
          <w:sz w:val="24"/>
          <w:szCs w:val="24"/>
          <w:vertAlign w:val="superscript"/>
          <w:lang w:val="en-GB"/>
        </w:rPr>
        <w:footnoteReference w:id="6"/>
      </w:r>
      <w:r>
        <w:rPr>
          <w:rFonts w:ascii="Times New Roman" w:hAnsi="Times New Roman"/>
          <w:noProof/>
          <w:spacing w:val="-2"/>
          <w:sz w:val="24"/>
          <w:szCs w:val="24"/>
        </w:rPr>
        <w:t>, плана за действие за кръгова икономика</w:t>
      </w:r>
      <w:r>
        <w:rPr>
          <w:rFonts w:ascii="Times New Roman" w:hAnsi="Times New Roman" w:cs="Times New Roman"/>
          <w:noProof/>
          <w:spacing w:val="-2"/>
          <w:sz w:val="24"/>
          <w:szCs w:val="24"/>
          <w:vertAlign w:val="superscript"/>
          <w:lang w:val="en-GB"/>
        </w:rPr>
        <w:footnoteReference w:id="7"/>
      </w:r>
      <w:r>
        <w:rPr>
          <w:rFonts w:ascii="Times New Roman" w:hAnsi="Times New Roman"/>
          <w:noProof/>
          <w:spacing w:val="-2"/>
          <w:sz w:val="24"/>
          <w:szCs w:val="24"/>
        </w:rPr>
        <w:t xml:space="preserve"> и съобщението относно изграждането на цифровото бъдеще на Европа</w:t>
      </w:r>
      <w:r>
        <w:rPr>
          <w:rFonts w:ascii="Times New Roman" w:hAnsi="Times New Roman" w:cs="Times New Roman"/>
          <w:noProof/>
          <w:spacing w:val="-2"/>
          <w:sz w:val="24"/>
          <w:szCs w:val="24"/>
          <w:vertAlign w:val="superscript"/>
          <w:lang w:val="en-GB"/>
        </w:rPr>
        <w:footnoteReference w:id="8"/>
      </w:r>
      <w:r>
        <w:rPr>
          <w:rFonts w:ascii="Times New Roman" w:hAnsi="Times New Roman"/>
          <w:noProof/>
          <w:spacing w:val="-2"/>
          <w:sz w:val="24"/>
          <w:szCs w:val="24"/>
        </w:rPr>
        <w:t>. Тя също така подкрепя съответните международни рамки, като например Програмата на ООН до 2030 г. за устойчиво развитие и Конвенцията на ООН за правата на хората с увреждания.</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За да се отговори ефективно на всички тези приоритети е необходимо тясно сътрудничество между </w:t>
      </w:r>
      <w:r>
        <w:rPr>
          <w:rFonts w:ascii="Times New Roman" w:hAnsi="Times New Roman"/>
          <w:b/>
          <w:noProof/>
          <w:sz w:val="24"/>
          <w:szCs w:val="24"/>
        </w:rPr>
        <w:t>ЕС и неговите държави членки</w:t>
      </w:r>
      <w:r>
        <w:rPr>
          <w:rFonts w:ascii="Times New Roman" w:hAnsi="Times New Roman"/>
          <w:noProof/>
          <w:sz w:val="24"/>
          <w:szCs w:val="24"/>
        </w:rPr>
        <w:t xml:space="preserve"> и подходящо транспониране, изпълнение и прилагане на разработваната в продължение на дълги години стабилна рамка за защита на потребителите. </w:t>
      </w:r>
      <w:r>
        <w:rPr>
          <w:rFonts w:ascii="Times New Roman" w:hAnsi="Times New Roman"/>
          <w:noProof/>
          <w:sz w:val="24"/>
        </w:rPr>
        <w:t xml:space="preserve">Поради тази причина програмата предлага </w:t>
      </w:r>
      <w:r>
        <w:rPr>
          <w:rFonts w:ascii="Times New Roman" w:hAnsi="Times New Roman"/>
          <w:b/>
          <w:bCs/>
          <w:noProof/>
          <w:sz w:val="24"/>
        </w:rPr>
        <w:t>приоритетите и най-важните действия</w:t>
      </w:r>
      <w:r>
        <w:rPr>
          <w:rFonts w:ascii="Times New Roman" w:hAnsi="Times New Roman"/>
          <w:noProof/>
          <w:sz w:val="24"/>
        </w:rPr>
        <w:t>, които трябва да бъдат изпълнявани едновременно на европейско и на национално равнище</w:t>
      </w:r>
      <w:r>
        <w:rPr>
          <w:rStyle w:val="FootnoteReference"/>
          <w:rFonts w:ascii="Times New Roman" w:hAnsi="Times New Roman" w:cs="Times New Roman"/>
          <w:noProof/>
          <w:sz w:val="24"/>
          <w:szCs w:val="24"/>
          <w:lang w:val="en-GB"/>
        </w:rPr>
        <w:footnoteReference w:id="9"/>
      </w:r>
      <w:r>
        <w:rPr>
          <w:rFonts w:ascii="Times New Roman" w:hAnsi="Times New Roman"/>
          <w:noProof/>
          <w:sz w:val="24"/>
        </w:rPr>
        <w:t>.</w:t>
      </w:r>
      <w:r>
        <w:rPr>
          <w:rFonts w:ascii="Times New Roman" w:hAnsi="Times New Roman"/>
          <w:noProof/>
          <w:sz w:val="24"/>
          <w:szCs w:val="24"/>
        </w:rPr>
        <w:t xml:space="preserve"> </w:t>
      </w:r>
    </w:p>
    <w:p>
      <w:pPr>
        <w:kinsoku w:val="0"/>
        <w:overflowPunct w:val="0"/>
        <w:spacing w:after="48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szCs w:val="24"/>
        </w:rPr>
        <w:t xml:space="preserve">Програмата е продукт на интензивна подготовка и обсъждания със заинтересовани страни. </w:t>
      </w:r>
      <w:r>
        <w:rPr>
          <w:rFonts w:ascii="Times New Roman" w:hAnsi="Times New Roman"/>
          <w:b/>
          <w:noProof/>
          <w:sz w:val="24"/>
          <w:szCs w:val="24"/>
        </w:rPr>
        <w:t xml:space="preserve">Открита обществена консултация </w:t>
      </w:r>
      <w:r>
        <w:rPr>
          <w:rFonts w:ascii="Times New Roman" w:hAnsi="Times New Roman"/>
          <w:noProof/>
          <w:sz w:val="24"/>
          <w:szCs w:val="24"/>
        </w:rPr>
        <w:t>показа обща подкрепа за нейните основни приоритети, включително необходимостта да се отговори на пандемията от COVID-19</w:t>
      </w:r>
      <w:r>
        <w:rPr>
          <w:rFonts w:ascii="Times New Roman" w:hAnsi="Times New Roman" w:cs="Times New Roman"/>
          <w:noProof/>
          <w:sz w:val="24"/>
          <w:szCs w:val="24"/>
          <w:vertAlign w:val="superscript"/>
        </w:rPr>
        <w:footnoteReference w:id="10"/>
      </w:r>
      <w:r>
        <w:rPr>
          <w:rFonts w:ascii="Times New Roman" w:hAnsi="Times New Roman"/>
          <w:noProof/>
          <w:sz w:val="24"/>
          <w:szCs w:val="24"/>
        </w:rPr>
        <w:t xml:space="preserve">. Цялостният подход беше приветстван като ключов движещ фактор за устойчиво, екологично възстановяване и за едно справедливо, ориентирано към цифровизацията общество. Ефективното правоприлагане и правна защита, както и подкрепата за потребители със специфични потребности, са разгледани като важни междусекторни въпроси. </w:t>
      </w:r>
    </w:p>
    <w:p>
      <w:pPr>
        <w:numPr>
          <w:ilvl w:val="0"/>
          <w:numId w:val="1"/>
        </w:numPr>
        <w:spacing w:after="240" w:line="240" w:lineRule="auto"/>
        <w:ind w:left="714" w:hanging="357"/>
        <w:jc w:val="both"/>
        <w:rPr>
          <w:rFonts w:ascii="Times New Roman" w:hAnsi="Times New Roman" w:cs="Times New Roman"/>
          <w:b/>
          <w:bCs/>
          <w:noProof/>
          <w:sz w:val="24"/>
          <w:szCs w:val="24"/>
        </w:rPr>
      </w:pPr>
      <w:r>
        <w:rPr>
          <w:rFonts w:ascii="Times New Roman Bold" w:hAnsi="Times New Roman Bold"/>
          <w:b/>
          <w:bCs/>
          <w:smallCaps/>
          <w:noProof/>
          <w:sz w:val="28"/>
          <w:szCs w:val="28"/>
        </w:rPr>
        <w:t xml:space="preserve">Потребителите в условията на пандемията от COVID-19 </w:t>
      </w:r>
    </w:p>
    <w:p>
      <w:pPr>
        <w:pBdr>
          <w:top w:val="single" w:sz="4" w:space="1" w:color="auto"/>
          <w:left w:val="single" w:sz="4" w:space="4" w:color="auto"/>
          <w:bottom w:val="single" w:sz="4" w:space="7" w:color="auto"/>
          <w:right w:val="single" w:sz="4" w:space="4" w:color="auto"/>
        </w:pBdr>
        <w:spacing w:after="240" w:line="240" w:lineRule="auto"/>
        <w:jc w:val="both"/>
        <w:rPr>
          <w:rFonts w:ascii="Times New Roman" w:hAnsi="Times New Roman" w:cs="Times New Roman"/>
          <w:i/>
          <w:iCs/>
          <w:noProof/>
          <w:sz w:val="24"/>
          <w:szCs w:val="24"/>
        </w:rPr>
      </w:pPr>
      <w:r>
        <w:rPr>
          <w:rFonts w:ascii="Times New Roman" w:hAnsi="Times New Roman"/>
          <w:bCs/>
          <w:i/>
          <w:iCs/>
          <w:noProof/>
          <w:sz w:val="24"/>
          <w:szCs w:val="24"/>
        </w:rPr>
        <w:t>Пример: Онлайн измамите на потребители</w:t>
      </w:r>
      <w:r>
        <w:rPr>
          <w:rFonts w:ascii="Times New Roman" w:hAnsi="Times New Roman"/>
          <w:i/>
          <w:iCs/>
          <w:noProof/>
          <w:sz w:val="24"/>
          <w:szCs w:val="24"/>
        </w:rPr>
        <w:t xml:space="preserve"> значително се увеличиха по време на кризата. Измамниците си играят със страховете на потребителите, като продават ненужни, неефективни и потенциално опасни продукти, основавайки се на неверни твърдения,</w:t>
      </w:r>
      <w:r>
        <w:rPr>
          <w:rFonts w:ascii="Times New Roman" w:hAnsi="Times New Roman"/>
          <w:i/>
          <w:noProof/>
          <w:sz w:val="24"/>
          <w:szCs w:val="24"/>
        </w:rPr>
        <w:t xml:space="preserve"> че те са полезни за здравето</w:t>
      </w:r>
      <w:r>
        <w:rPr>
          <w:rFonts w:ascii="Times New Roman" w:hAnsi="Times New Roman"/>
          <w:i/>
          <w:iCs/>
          <w:noProof/>
          <w:sz w:val="24"/>
          <w:szCs w:val="24"/>
        </w:rPr>
        <w:t xml:space="preserve">, например като предлагат на пазара стоки с непотвърдени защитни характеристики или продават маски, които не отговарят на съответните изисквания. </w:t>
      </w:r>
      <w:r>
        <w:rPr>
          <w:rFonts w:ascii="Times New Roman" w:hAnsi="Times New Roman"/>
          <w:i/>
          <w:noProof/>
          <w:sz w:val="24"/>
          <w:szCs w:val="24"/>
        </w:rPr>
        <w:t>Комисията и органите за защита на потребителите са установили връзка с платформи, за да се гарантира, че са премахнати стотици милиони незаконни предложения и реклами. Правата на потребителите и тяхната безопасност трябва да продължат да бъдат защитавани, особено по време на безпрецедентна несигурност и стрес.</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Пандемията от COVID-19 на първо място и преди всичко е </w:t>
      </w:r>
      <w:r>
        <w:rPr>
          <w:rFonts w:ascii="Times New Roman" w:hAnsi="Times New Roman"/>
          <w:b/>
          <w:bCs/>
          <w:noProof/>
          <w:sz w:val="24"/>
          <w:szCs w:val="24"/>
        </w:rPr>
        <w:t>здравна криза.</w:t>
      </w:r>
      <w:r>
        <w:rPr>
          <w:rFonts w:ascii="Times New Roman" w:hAnsi="Times New Roman"/>
          <w:noProof/>
          <w:sz w:val="24"/>
          <w:szCs w:val="24"/>
        </w:rPr>
        <w:t xml:space="preserve"> ЕС и неговите държави членки са предприели решителни координирани действия за борба с пандемията. Важно е всички да разполагат с</w:t>
      </w:r>
      <w:r>
        <w:rPr>
          <w:rFonts w:ascii="Times New Roman" w:hAnsi="Times New Roman"/>
          <w:b/>
          <w:noProof/>
          <w:sz w:val="24"/>
          <w:szCs w:val="24"/>
        </w:rPr>
        <w:t xml:space="preserve"> равен</w:t>
      </w:r>
      <w:r>
        <w:rPr>
          <w:rFonts w:ascii="Times New Roman" w:hAnsi="Times New Roman"/>
          <w:noProof/>
          <w:sz w:val="24"/>
          <w:szCs w:val="24"/>
        </w:rPr>
        <w:t xml:space="preserve"> и навременен </w:t>
      </w:r>
      <w:r>
        <w:rPr>
          <w:rFonts w:ascii="Times New Roman" w:hAnsi="Times New Roman"/>
          <w:b/>
          <w:noProof/>
          <w:sz w:val="24"/>
          <w:szCs w:val="24"/>
        </w:rPr>
        <w:t>достъп до тестове на достъпна цена, предпазни средства, лечение и бъдеща ваксина срещу COVID-19</w:t>
      </w:r>
      <w:r>
        <w:rPr>
          <w:rFonts w:ascii="Times New Roman" w:hAnsi="Times New Roman" w:cs="Times New Roman"/>
          <w:noProof/>
          <w:sz w:val="24"/>
          <w:szCs w:val="24"/>
          <w:vertAlign w:val="superscript"/>
          <w:lang w:val="en-GB"/>
        </w:rPr>
        <w:footnoteReference w:id="11"/>
      </w:r>
      <w:r>
        <w:rPr>
          <w:rFonts w:ascii="Times New Roman" w:hAnsi="Times New Roman"/>
          <w:b/>
          <w:noProof/>
          <w:sz w:val="24"/>
          <w:szCs w:val="24"/>
        </w:rPr>
        <w:t xml:space="preserve">, </w:t>
      </w:r>
      <w:r>
        <w:rPr>
          <w:rFonts w:ascii="Times New Roman" w:hAnsi="Times New Roman"/>
          <w:noProof/>
          <w:sz w:val="24"/>
          <w:szCs w:val="24"/>
        </w:rPr>
        <w:t>както и с цялостната необходима профилактика и здравни грижи</w:t>
      </w:r>
      <w:r>
        <w:rPr>
          <w:rFonts w:ascii="Times New Roman" w:hAnsi="Times New Roman" w:cs="Times New Roman"/>
          <w:noProof/>
          <w:sz w:val="24"/>
          <w:szCs w:val="24"/>
          <w:vertAlign w:val="superscript"/>
          <w:lang w:val="en-GB"/>
        </w:rPr>
        <w:footnoteReference w:id="12"/>
      </w:r>
      <w:r>
        <w:rPr>
          <w:rFonts w:ascii="Times New Roman" w:hAnsi="Times New Roman"/>
          <w:noProof/>
          <w:sz w:val="24"/>
          <w:szCs w:val="24"/>
        </w:rPr>
        <w:t xml:space="preserve">. </w:t>
      </w:r>
      <w:r>
        <w:rPr>
          <w:rFonts w:ascii="Times New Roman" w:hAnsi="Times New Roman"/>
          <w:noProof/>
          <w:sz w:val="24"/>
          <w:szCs w:val="24"/>
          <w:shd w:val="clear" w:color="auto" w:fill="FFFFFF"/>
        </w:rPr>
        <w:t>Наскоро Комисията определи допълнителни конкретни мерки за отговор</w:t>
      </w:r>
      <w:r>
        <w:rPr>
          <w:rStyle w:val="FootnoteReference"/>
          <w:rFonts w:ascii="Times New Roman" w:hAnsi="Times New Roman" w:cs="Times New Roman"/>
          <w:noProof/>
          <w:sz w:val="24"/>
          <w:szCs w:val="24"/>
          <w:shd w:val="clear" w:color="auto" w:fill="FFFFFF"/>
          <w:lang w:val="en-GB"/>
        </w:rPr>
        <w:footnoteReference w:id="13"/>
      </w:r>
      <w:r>
        <w:rPr>
          <w:rFonts w:ascii="Times New Roman" w:hAnsi="Times New Roman"/>
          <w:noProof/>
          <w:sz w:val="24"/>
          <w:szCs w:val="24"/>
          <w:shd w:val="clear" w:color="auto" w:fill="FFFFFF"/>
        </w:rPr>
        <w:t>, които да помогнат да се ограничи разпространението на коронавируса, да се защити животът на хората и да се повиши издръжливостта във всички държави членки</w:t>
      </w:r>
      <w:r>
        <w:rPr>
          <w:rFonts w:ascii="Times New Roman" w:hAnsi="Times New Roman"/>
          <w:noProof/>
          <w:sz w:val="24"/>
          <w:szCs w:val="24"/>
        </w:rPr>
        <w:t xml:space="preserve">. Продуктите и услугите, които са от основно значение по време на кризата, трябва да предоставят на потребителя пълни гаранции по отношение на основните права, медицинската етика, неприкосновеността на личния живот и защитата на данните в съответствие с Общия регламент относно защитата на данните.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Последвалите след началото на кризата дълбоки </w:t>
      </w:r>
      <w:r>
        <w:rPr>
          <w:rFonts w:ascii="Times New Roman" w:hAnsi="Times New Roman"/>
          <w:b/>
          <w:bCs/>
          <w:noProof/>
          <w:sz w:val="24"/>
          <w:szCs w:val="24"/>
        </w:rPr>
        <w:t>социални и икономически сътресения</w:t>
      </w:r>
      <w:r>
        <w:rPr>
          <w:rFonts w:ascii="Times New Roman" w:hAnsi="Times New Roman"/>
          <w:noProof/>
          <w:sz w:val="24"/>
          <w:szCs w:val="24"/>
        </w:rPr>
        <w:t xml:space="preserve"> представляват голямо предизвикателство за обществото. ЕС отговори с безпрецедентни усилия за укрепване на възстановяването и издръжливостта, но икономиката продължава да бъде крехка.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Пандемията видимо променя и </w:t>
      </w:r>
      <w:r>
        <w:rPr>
          <w:rFonts w:ascii="Times New Roman" w:hAnsi="Times New Roman"/>
          <w:b/>
          <w:bCs/>
          <w:noProof/>
          <w:sz w:val="24"/>
          <w:szCs w:val="24"/>
        </w:rPr>
        <w:t>моделите на потребление</w:t>
      </w:r>
      <w:r>
        <w:rPr>
          <w:rFonts w:ascii="Times New Roman" w:hAnsi="Times New Roman"/>
          <w:noProof/>
          <w:sz w:val="24"/>
          <w:szCs w:val="24"/>
        </w:rPr>
        <w:t xml:space="preserve"> </w:t>
      </w:r>
      <w:r>
        <w:rPr>
          <w:rFonts w:ascii="Times New Roman" w:hAnsi="Times New Roman"/>
          <w:b/>
          <w:bCs/>
          <w:noProof/>
          <w:sz w:val="24"/>
          <w:szCs w:val="24"/>
        </w:rPr>
        <w:t>и мобилност</w:t>
      </w:r>
      <w:r>
        <w:rPr>
          <w:rFonts w:ascii="Times New Roman" w:hAnsi="Times New Roman"/>
          <w:noProof/>
          <w:sz w:val="24"/>
          <w:szCs w:val="24"/>
        </w:rPr>
        <w:t xml:space="preserve"> на хората.</w:t>
      </w:r>
      <w:r>
        <w:rPr>
          <w:rFonts w:ascii="Times New Roman" w:hAnsi="Times New Roman"/>
          <w:iCs/>
          <w:noProof/>
          <w:sz w:val="24"/>
          <w:szCs w:val="24"/>
        </w:rPr>
        <w:t xml:space="preserve"> Мерките за изолация в домашни условия подчертаха съществената роля в живота на хората на цифровите технологии, даващи възможност да се закупят основни стоки, които иначе не биха били достъпни, и да се осигури достъп до услуги въпреки ограниченията.</w:t>
      </w:r>
      <w:r>
        <w:rPr>
          <w:rFonts w:ascii="Times New Roman" w:hAnsi="Times New Roman"/>
          <w:noProof/>
          <w:sz w:val="24"/>
          <w:szCs w:val="24"/>
        </w:rPr>
        <w:t xml:space="preserve"> Според наблюдаваните тенденции по-често се купува на местно равнище, по-малко са предварителните резервации на пътувания</w:t>
      </w:r>
      <w:r>
        <w:rPr>
          <w:rFonts w:ascii="Times New Roman" w:hAnsi="Times New Roman"/>
          <w:noProof/>
          <w:sz w:val="24"/>
          <w:szCs w:val="24"/>
          <w:shd w:val="clear" w:color="auto" w:fill="FFFFFF"/>
        </w:rPr>
        <w:t>, но също все по-често се използват онлайн услуги</w:t>
      </w:r>
      <w:r>
        <w:rPr>
          <w:rFonts w:ascii="Times New Roman" w:hAnsi="Times New Roman"/>
          <w:noProof/>
          <w:sz w:val="24"/>
          <w:szCs w:val="24"/>
        </w:rPr>
        <w:t>.</w:t>
      </w:r>
      <w:r>
        <w:rPr>
          <w:rFonts w:ascii="Times New Roman" w:hAnsi="Times New Roman"/>
          <w:noProof/>
          <w:sz w:val="24"/>
          <w:szCs w:val="24"/>
          <w:shd w:val="clear" w:color="auto" w:fill="FFFFFF"/>
        </w:rPr>
        <w:t xml:space="preserve"> Някои промени</w:t>
      </w:r>
      <w:r>
        <w:rPr>
          <w:rFonts w:ascii="Times New Roman" w:hAnsi="Times New Roman"/>
          <w:noProof/>
          <w:sz w:val="24"/>
          <w:szCs w:val="24"/>
        </w:rPr>
        <w:t>, свързани със здравната обстановка</w:t>
      </w:r>
      <w:r>
        <w:rPr>
          <w:rFonts w:ascii="Times New Roman" w:hAnsi="Times New Roman"/>
          <w:noProof/>
          <w:sz w:val="24"/>
          <w:szCs w:val="24"/>
          <w:shd w:val="clear" w:color="auto" w:fill="FFFFFF"/>
        </w:rPr>
        <w:t>, могат да бъдат временни (напр. по-рядкото използване на градски транспорт), докато други, особено свързаните с цифровата трансформация (напр. увеличаването на онлайн покупките на храна или достъпът до повече онлайн услуги за стрийминг у дома, включително за културни и спортни събития), могат да станат по-структурни</w:t>
      </w:r>
      <w:r>
        <w:rPr>
          <w:rStyle w:val="FootnoteReference"/>
          <w:rFonts w:ascii="Times New Roman" w:hAnsi="Times New Roman" w:cs="Times New Roman"/>
          <w:noProof/>
          <w:sz w:val="24"/>
          <w:szCs w:val="24"/>
          <w:shd w:val="clear" w:color="auto" w:fill="FFFFFF"/>
        </w:rPr>
        <w:footnoteReference w:id="14"/>
      </w:r>
      <w:r>
        <w:rPr>
          <w:rFonts w:ascii="Times New Roman" w:hAnsi="Times New Roman"/>
          <w:noProof/>
          <w:sz w:val="24"/>
          <w:szCs w:val="24"/>
          <w:shd w:val="clear" w:color="auto" w:fill="FFFFFF"/>
        </w:rPr>
        <w:t>.</w:t>
      </w:r>
      <w:r>
        <w:rPr>
          <w:rFonts w:ascii="Times New Roman" w:hAnsi="Times New Roman"/>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Кризата засегна много области от живота на потребителите и подчерта критичното </w:t>
      </w:r>
      <w:r>
        <w:rPr>
          <w:rFonts w:ascii="Times New Roman" w:hAnsi="Times New Roman"/>
          <w:b/>
          <w:bCs/>
          <w:noProof/>
          <w:sz w:val="24"/>
          <w:szCs w:val="24"/>
        </w:rPr>
        <w:t>значение на високото равнище на тяхната защита</w:t>
      </w:r>
      <w:r>
        <w:rPr>
          <w:rFonts w:ascii="Times New Roman" w:hAnsi="Times New Roman"/>
          <w:noProof/>
          <w:sz w:val="24"/>
          <w:szCs w:val="24"/>
        </w:rPr>
        <w:t xml:space="preserve"> и на тясното сътрудничество между органите в ЕС. В същото време тя разкри </w:t>
      </w:r>
      <w:r>
        <w:rPr>
          <w:rFonts w:ascii="Times New Roman" w:hAnsi="Times New Roman"/>
          <w:b/>
          <w:bCs/>
          <w:noProof/>
          <w:sz w:val="24"/>
          <w:szCs w:val="24"/>
        </w:rPr>
        <w:t>някои пропуски</w:t>
      </w:r>
      <w:r>
        <w:rPr>
          <w:rFonts w:ascii="Times New Roman" w:hAnsi="Times New Roman"/>
          <w:noProof/>
          <w:sz w:val="24"/>
          <w:szCs w:val="24"/>
        </w:rPr>
        <w:t xml:space="preserve"> в рамката на ЕС за защита на потребителите. </w:t>
      </w:r>
    </w:p>
    <w:p>
      <w:pPr>
        <w:spacing w:after="240" w:line="240" w:lineRule="auto"/>
        <w:jc w:val="both"/>
        <w:rPr>
          <w:rFonts w:ascii="Times New Roman" w:hAnsi="Times New Roman" w:cs="Times New Roman"/>
          <w:i/>
          <w:iCs/>
          <w:noProof/>
          <w:sz w:val="24"/>
          <w:szCs w:val="24"/>
        </w:rPr>
      </w:pPr>
      <w:r>
        <w:rPr>
          <w:rFonts w:ascii="Times New Roman" w:hAnsi="Times New Roman"/>
          <w:noProof/>
          <w:sz w:val="24"/>
          <w:szCs w:val="24"/>
        </w:rPr>
        <w:t xml:space="preserve">Потребителите в ЕС с право очакват </w:t>
      </w:r>
      <w:r>
        <w:rPr>
          <w:rFonts w:ascii="Times New Roman" w:hAnsi="Times New Roman"/>
          <w:b/>
          <w:noProof/>
          <w:sz w:val="24"/>
          <w:szCs w:val="24"/>
        </w:rPr>
        <w:t>транспортните компании и туроператорите</w:t>
      </w:r>
      <w:r>
        <w:rPr>
          <w:rFonts w:ascii="Times New Roman" w:hAnsi="Times New Roman"/>
          <w:noProof/>
          <w:sz w:val="24"/>
          <w:szCs w:val="24"/>
        </w:rPr>
        <w:t xml:space="preserve"> да зачитат тяхното право на пълно възстановяване на предварителните плащания. При упражняването на това право обаче потребителите са изправени пред значителни трудности поради проблемите с ликвидността на сектора и с почти преустановения превоз на пътници по време на пандемията. В отговор на това Комисията и държавите членки са взели мерки, за да гарантират защитата на правата на потребителите, като насърчават и практически решения в пълно съответствие с приложимите правила</w:t>
      </w:r>
      <w:r>
        <w:rPr>
          <w:rFonts w:ascii="Times New Roman" w:hAnsi="Times New Roman" w:cs="Times New Roman"/>
          <w:noProof/>
          <w:sz w:val="24"/>
          <w:szCs w:val="24"/>
          <w:vertAlign w:val="superscript"/>
          <w:lang w:val="en-GB" w:eastAsia="en-GB"/>
        </w:rPr>
        <w:footnoteReference w:id="15"/>
      </w:r>
      <w:r>
        <w:rPr>
          <w:rFonts w:ascii="Times New Roman" w:hAnsi="Times New Roman"/>
          <w:noProof/>
          <w:sz w:val="24"/>
          <w:szCs w:val="24"/>
        </w:rPr>
        <w:t>. Опитът от пандемията и от предишни събития, като например фалита на дружеството „Томас Кук“ през 2019 г., изисква по-задълбочен анализ на това дали настоящата регулаторна рамка за пакетните туристически пътувания, включително по отношение на защитата при несъстоятелност, е напълно в състояние да изпълни задачата за осигуряване на надеждна и всеобхватна защита на потребителите по всяко време, като се имат предвид и развитията в областта на правата на пътниците</w:t>
      </w:r>
      <w:r>
        <w:rPr>
          <w:rFonts w:ascii="Times New Roman" w:hAnsi="Times New Roman" w:cs="Times New Roman"/>
          <w:noProof/>
          <w:sz w:val="24"/>
          <w:szCs w:val="24"/>
          <w:vertAlign w:val="superscript"/>
          <w:lang w:val="en-GB"/>
        </w:rPr>
        <w:footnoteReference w:id="16"/>
      </w:r>
      <w:r>
        <w:rPr>
          <w:rFonts w:ascii="Times New Roman" w:hAnsi="Times New Roman"/>
          <w:noProof/>
          <w:sz w:val="24"/>
          <w:szCs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Друга проблемна област, която излезе на преден план по време на пандемията, е увеличаването на </w:t>
      </w:r>
      <w:r>
        <w:rPr>
          <w:rFonts w:ascii="Times New Roman" w:hAnsi="Times New Roman"/>
          <w:b/>
          <w:noProof/>
          <w:sz w:val="24"/>
          <w:szCs w:val="24"/>
        </w:rPr>
        <w:t>измамите на потребители, заблуждаващите маркетингови техники и измамата при онлайн пазаруване</w:t>
      </w:r>
      <w:r>
        <w:rPr>
          <w:rFonts w:ascii="Times New Roman" w:hAnsi="Times New Roman"/>
          <w:noProof/>
          <w:sz w:val="24"/>
          <w:szCs w:val="24"/>
        </w:rPr>
        <w:t>, на които са станали и продължават да стават жертва голям брой потребители</w:t>
      </w:r>
      <w:r>
        <w:rPr>
          <w:rFonts w:ascii="Times New Roman" w:hAnsi="Times New Roman" w:cs="Times New Roman"/>
          <w:noProof/>
          <w:sz w:val="24"/>
          <w:szCs w:val="24"/>
          <w:vertAlign w:val="superscript"/>
          <w:lang w:val="en-GB"/>
        </w:rPr>
        <w:footnoteReference w:id="17"/>
      </w:r>
      <w:r>
        <w:rPr>
          <w:rFonts w:ascii="Times New Roman" w:hAnsi="Times New Roman"/>
          <w:noProof/>
          <w:sz w:val="24"/>
          <w:szCs w:val="24"/>
        </w:rPr>
        <w:t>. Борбата с такива нелоялни търговски практики изисква тясно сътрудничество между Комисията и националните правоприлагащи органи. Отчитайки централната им роля при улесняването на онлайн търговията, Комисията също така засили контактите си с големи онлайн платформи, които предприемат ефективни мерки за предотвратяване и реагиране на съответното незаконно съдържание</w:t>
      </w:r>
      <w:r>
        <w:rPr>
          <w:rFonts w:ascii="Times New Roman" w:hAnsi="Times New Roman" w:cs="Times New Roman"/>
          <w:noProof/>
          <w:sz w:val="24"/>
          <w:szCs w:val="24"/>
          <w:vertAlign w:val="superscript"/>
          <w:lang w:val="en-GB"/>
        </w:rPr>
        <w:footnoteReference w:id="18"/>
      </w:r>
      <w:r>
        <w:rPr>
          <w:rFonts w:ascii="Times New Roman" w:hAnsi="Times New Roman"/>
          <w:noProof/>
          <w:sz w:val="24"/>
          <w:szCs w:val="24"/>
        </w:rPr>
        <w:t xml:space="preserve">. За да се подобри издръжливостта по отношение на практиките за масови вреди, които представляват заплаха за обществения интерес, компетентните органи следва да поддържат сътрудничеството с ключови заинтересовани страни като платформи, търговски асоциации, рекламодатели и потребителски организации. В същото време е необходимо онлайн измамите внимателно да бъдат наблюдавани и допълнително да се увеличи сътрудничеството с други имащи отношение към въпроса мрежи, включително правоприлагащи органи, регистри на домейни и Международната мрежа за защита на потребителите и за правоприлагане (ICPEN). </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Променящите се модели на потребление поставят нови предизвикателства. </w:t>
      </w:r>
      <w:r>
        <w:rPr>
          <w:rFonts w:ascii="Times New Roman" w:hAnsi="Times New Roman"/>
          <w:noProof/>
          <w:sz w:val="24"/>
        </w:rPr>
        <w:t xml:space="preserve">Те доведоха до увеличаване на </w:t>
      </w:r>
      <w:r>
        <w:rPr>
          <w:rFonts w:ascii="Times New Roman" w:hAnsi="Times New Roman"/>
          <w:b/>
          <w:noProof/>
          <w:sz w:val="24"/>
        </w:rPr>
        <w:t>отпадъците</w:t>
      </w:r>
      <w:r>
        <w:rPr>
          <w:rFonts w:ascii="Times New Roman" w:hAnsi="Times New Roman"/>
          <w:noProof/>
          <w:sz w:val="24"/>
        </w:rPr>
        <w:t xml:space="preserve"> на потребителите от </w:t>
      </w:r>
      <w:r>
        <w:rPr>
          <w:rFonts w:ascii="Times New Roman" w:hAnsi="Times New Roman"/>
          <w:b/>
          <w:noProof/>
          <w:sz w:val="24"/>
        </w:rPr>
        <w:t>опаковки за еднократна употреба</w:t>
      </w:r>
      <w:r>
        <w:rPr>
          <w:rFonts w:ascii="Times New Roman" w:hAnsi="Times New Roman"/>
          <w:noProof/>
          <w:sz w:val="24"/>
        </w:rPr>
        <w:t xml:space="preserve"> и пластмасови лични предпазни средства, във връзка с което през април 2020 г. Комисията незабавно изготви първите ответни мерки на политиката</w:t>
      </w:r>
      <w:r>
        <w:rPr>
          <w:rFonts w:ascii="Times New Roman" w:eastAsia="Times New Roman" w:hAnsi="Times New Roman" w:cs="Times New Roman"/>
          <w:noProof/>
          <w:sz w:val="24"/>
          <w:szCs w:val="24"/>
          <w:vertAlign w:val="superscript"/>
          <w:lang w:val="en-GB"/>
        </w:rPr>
        <w:footnoteReference w:id="19"/>
      </w:r>
      <w:r>
        <w:rPr>
          <w:rFonts w:ascii="Times New Roman" w:hAnsi="Times New Roman"/>
          <w:noProof/>
          <w:sz w:val="24"/>
        </w:rPr>
        <w:t>.</w:t>
      </w:r>
      <w:r>
        <w:rPr>
          <w:rFonts w:ascii="Times New Roman" w:hAnsi="Times New Roman"/>
          <w:noProof/>
          <w:sz w:val="24"/>
          <w:szCs w:val="24"/>
        </w:rPr>
        <w:t xml:space="preserve"> Пандемията разкри също така риска от изоставане за определени категории потребители, по-специално тези, които не притежават средства или умения да участват активно на един бързо променящ се пазар, особено онлайн. Това налага дори още </w:t>
      </w:r>
      <w:r>
        <w:rPr>
          <w:rFonts w:ascii="Times New Roman" w:hAnsi="Times New Roman"/>
          <w:b/>
          <w:bCs/>
          <w:noProof/>
          <w:sz w:val="24"/>
          <w:szCs w:val="24"/>
        </w:rPr>
        <w:t>по-голямо съсредоточаване върху инициативи за подпомагане на интеграцията, приобщаването, повишаването на осведомеността и образованието на потребителите.</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Ще бъде важно да се разбере по какъв начин поведението на потребителите се пригажда в дългосрочен план вследствие на пандемията и да се разработи необходимото </w:t>
      </w:r>
      <w:r>
        <w:rPr>
          <w:rFonts w:ascii="Times New Roman" w:hAnsi="Times New Roman"/>
          <w:b/>
          <w:bCs/>
          <w:noProof/>
          <w:sz w:val="24"/>
          <w:szCs w:val="24"/>
        </w:rPr>
        <w:t>прогнозиране</w:t>
      </w:r>
      <w:r>
        <w:rPr>
          <w:rFonts w:ascii="Times New Roman" w:hAnsi="Times New Roman" w:cs="Times New Roman"/>
          <w:noProof/>
          <w:sz w:val="24"/>
          <w:szCs w:val="24"/>
          <w:vertAlign w:val="superscript"/>
          <w:lang w:val="en-GB"/>
        </w:rPr>
        <w:footnoteReference w:id="20"/>
      </w:r>
      <w:r>
        <w:rPr>
          <w:rFonts w:ascii="Times New Roman" w:hAnsi="Times New Roman"/>
          <w:bCs/>
          <w:noProof/>
          <w:sz w:val="24"/>
          <w:szCs w:val="24"/>
        </w:rPr>
        <w:t>,</w:t>
      </w:r>
      <w:r>
        <w:rPr>
          <w:rFonts w:ascii="Times New Roman" w:hAnsi="Times New Roman"/>
          <w:b/>
          <w:bCs/>
          <w:noProof/>
          <w:sz w:val="24"/>
          <w:szCs w:val="24"/>
        </w:rPr>
        <w:t xml:space="preserve"> за да се предоставя информация за бъдещите действия на политиката</w:t>
      </w:r>
      <w:r>
        <w:rPr>
          <w:rFonts w:ascii="Times New Roman" w:hAnsi="Times New Roman"/>
          <w:bCs/>
          <w:noProof/>
          <w:sz w:val="24"/>
          <w:szCs w:val="24"/>
        </w:rPr>
        <w:t xml:space="preserve"> и да се вземат предвид данните и фактологичният материал от изследването на поведението на потребителите, когато се оценява издръжливостта на ЕС на бъдещи сътресения.</w:t>
      </w:r>
    </w:p>
    <w:p>
      <w:pPr>
        <w:numPr>
          <w:ilvl w:val="3"/>
          <w:numId w:val="4"/>
        </w:numPr>
        <w:pBdr>
          <w:top w:val="single" w:sz="4" w:space="1" w:color="auto"/>
          <w:left w:val="single" w:sz="4" w:space="4" w:color="auto"/>
          <w:bottom w:val="single" w:sz="4" w:space="6" w:color="auto"/>
          <w:right w:val="single" w:sz="4" w:space="4" w:color="auto"/>
        </w:pBdr>
        <w:spacing w:after="240" w:line="240" w:lineRule="auto"/>
        <w:ind w:left="709" w:hanging="357"/>
        <w:jc w:val="both"/>
        <w:rPr>
          <w:rFonts w:ascii="Times New Roman" w:hAnsi="Times New Roman" w:cs="Times New Roman"/>
          <w:noProof/>
          <w:sz w:val="24"/>
          <w:szCs w:val="24"/>
        </w:rPr>
      </w:pPr>
      <w:r>
        <w:rPr>
          <w:rFonts w:ascii="Times New Roman" w:hAnsi="Times New Roman"/>
          <w:b/>
          <w:bCs/>
          <w:noProof/>
          <w:sz w:val="24"/>
          <w:szCs w:val="24"/>
        </w:rPr>
        <w:t xml:space="preserve">Действие 1: </w:t>
      </w:r>
      <w:r>
        <w:rPr>
          <w:rFonts w:ascii="Times New Roman" w:hAnsi="Times New Roman"/>
          <w:noProof/>
          <w:sz w:val="24"/>
        </w:rPr>
        <w:t xml:space="preserve">До 2022 г. Комисията планира да анализира </w:t>
      </w:r>
      <w:r>
        <w:rPr>
          <w:rFonts w:ascii="Times New Roman" w:hAnsi="Times New Roman"/>
          <w:b/>
          <w:bCs/>
          <w:noProof/>
          <w:sz w:val="24"/>
        </w:rPr>
        <w:t>степента, в която Директивата за пакетните туристически пътувания все още е подходяща</w:t>
      </w:r>
      <w:r>
        <w:rPr>
          <w:rFonts w:ascii="Times New Roman" w:hAnsi="Times New Roman"/>
          <w:noProof/>
          <w:sz w:val="24"/>
        </w:rPr>
        <w:t xml:space="preserve"> с оглед на настоящата криза, като се основава на доклада от 2021 г. относно нейното прилагане.</w:t>
      </w:r>
    </w:p>
    <w:p>
      <w:pPr>
        <w:numPr>
          <w:ilvl w:val="3"/>
          <w:numId w:val="4"/>
        </w:numPr>
        <w:pBdr>
          <w:top w:val="single" w:sz="4" w:space="1" w:color="auto"/>
          <w:left w:val="single" w:sz="4" w:space="4" w:color="auto"/>
          <w:bottom w:val="single" w:sz="4" w:space="6" w:color="auto"/>
          <w:right w:val="single" w:sz="4" w:space="4" w:color="auto"/>
        </w:pBdr>
        <w:spacing w:after="240" w:line="240" w:lineRule="auto"/>
        <w:ind w:left="709" w:hanging="357"/>
        <w:jc w:val="both"/>
        <w:rPr>
          <w:rFonts w:ascii="Times New Roman" w:hAnsi="Times New Roman" w:cs="Times New Roman"/>
          <w:noProof/>
          <w:sz w:val="24"/>
          <w:szCs w:val="24"/>
        </w:rPr>
      </w:pPr>
      <w:r>
        <w:rPr>
          <w:rFonts w:ascii="Times New Roman" w:hAnsi="Times New Roman"/>
          <w:b/>
          <w:bCs/>
          <w:noProof/>
          <w:sz w:val="24"/>
          <w:szCs w:val="24"/>
        </w:rPr>
        <w:t>Действие 2:</w:t>
      </w:r>
      <w:r>
        <w:rPr>
          <w:rFonts w:ascii="Times New Roman" w:hAnsi="Times New Roman"/>
          <w:noProof/>
          <w:sz w:val="24"/>
          <w:szCs w:val="24"/>
        </w:rPr>
        <w:t xml:space="preserve"> До 2022 г. Комисията планира да се ангажира с прогнозиране, изследвайки </w:t>
      </w:r>
      <w:r>
        <w:rPr>
          <w:rFonts w:ascii="Times New Roman" w:hAnsi="Times New Roman"/>
          <w:b/>
          <w:bCs/>
          <w:noProof/>
          <w:sz w:val="24"/>
          <w:szCs w:val="24"/>
        </w:rPr>
        <w:t>дългосрочното въздействие на COVID-19</w:t>
      </w:r>
      <w:r>
        <w:rPr>
          <w:rFonts w:ascii="Times New Roman" w:hAnsi="Times New Roman"/>
          <w:noProof/>
          <w:sz w:val="24"/>
          <w:szCs w:val="24"/>
        </w:rPr>
        <w:t xml:space="preserve"> върху моделите на потребление на хората в ЕС като основа за бъдещите инициативи на политиката.</w:t>
      </w:r>
    </w:p>
    <w:p>
      <w:pPr>
        <w:numPr>
          <w:ilvl w:val="3"/>
          <w:numId w:val="4"/>
        </w:numPr>
        <w:pBdr>
          <w:top w:val="single" w:sz="4" w:space="1" w:color="auto"/>
          <w:left w:val="single" w:sz="4" w:space="4" w:color="auto"/>
          <w:bottom w:val="single" w:sz="4" w:space="6" w:color="auto"/>
          <w:right w:val="single" w:sz="4" w:space="4" w:color="auto"/>
        </w:pBdr>
        <w:spacing w:after="240" w:line="240" w:lineRule="auto"/>
        <w:ind w:left="709" w:hanging="357"/>
        <w:jc w:val="both"/>
        <w:rPr>
          <w:rFonts w:ascii="Times New Roman" w:hAnsi="Times New Roman" w:cs="Times New Roman"/>
          <w:noProof/>
          <w:sz w:val="24"/>
          <w:szCs w:val="24"/>
        </w:rPr>
      </w:pPr>
      <w:r>
        <w:rPr>
          <w:rFonts w:ascii="Times New Roman" w:hAnsi="Times New Roman"/>
          <w:b/>
          <w:noProof/>
          <w:sz w:val="24"/>
          <w:szCs w:val="24"/>
        </w:rPr>
        <w:t>Действие 3:</w:t>
      </w:r>
      <w:r>
        <w:rPr>
          <w:rFonts w:ascii="Times New Roman" w:hAnsi="Times New Roman"/>
          <w:noProof/>
          <w:sz w:val="24"/>
          <w:szCs w:val="24"/>
        </w:rPr>
        <w:t xml:space="preserve"> Комисията ще подкрепи и улесни сътрудничеството между мрежата за сътрудничество в областта на защитата на потребителите и други мрежи и заинтересовани страни за борба със </w:t>
      </w:r>
      <w:r>
        <w:rPr>
          <w:rFonts w:ascii="Times New Roman" w:hAnsi="Times New Roman"/>
          <w:b/>
          <w:bCs/>
          <w:noProof/>
          <w:sz w:val="24"/>
          <w:szCs w:val="24"/>
        </w:rPr>
        <w:t>заблуждаващите практики, нелоялните пазарни практики и измамите, засягащи потребителите</w:t>
      </w:r>
      <w:r>
        <w:rPr>
          <w:rFonts w:ascii="Times New Roman" w:hAnsi="Times New Roman" w:cs="Times New Roman"/>
          <w:noProof/>
          <w:sz w:val="24"/>
          <w:szCs w:val="24"/>
          <w:vertAlign w:val="superscript"/>
        </w:rPr>
        <w:footnoteReference w:id="21"/>
      </w:r>
      <w:r>
        <w:rPr>
          <w:rFonts w:ascii="Times New Roman" w:hAnsi="Times New Roman"/>
          <w:noProof/>
          <w:sz w:val="24"/>
          <w:szCs w:val="24"/>
        </w:rPr>
        <w:t>.</w:t>
      </w:r>
    </w:p>
    <w:p>
      <w:pPr>
        <w:keepNext/>
        <w:numPr>
          <w:ilvl w:val="0"/>
          <w:numId w:val="1"/>
        </w:numPr>
        <w:spacing w:after="240" w:line="240" w:lineRule="auto"/>
        <w:ind w:left="714" w:hanging="357"/>
        <w:jc w:val="both"/>
        <w:rPr>
          <w:rFonts w:ascii="Times New Roman Bold" w:hAnsi="Times New Roman Bold" w:cs="Times New Roman"/>
          <w:b/>
          <w:bCs/>
          <w:smallCaps/>
          <w:noProof/>
          <w:sz w:val="28"/>
          <w:szCs w:val="28"/>
        </w:rPr>
      </w:pPr>
      <w:r>
        <w:rPr>
          <w:rFonts w:ascii="Times New Roman Bold" w:hAnsi="Times New Roman Bold"/>
          <w:b/>
          <w:bCs/>
          <w:smallCaps/>
          <w:noProof/>
          <w:sz w:val="28"/>
          <w:szCs w:val="28"/>
        </w:rPr>
        <w:t xml:space="preserve">Основни приоритетни области </w:t>
      </w:r>
    </w:p>
    <w:p>
      <w:pPr>
        <w:keepNext/>
        <w:numPr>
          <w:ilvl w:val="1"/>
          <w:numId w:val="1"/>
        </w:numPr>
        <w:spacing w:after="240" w:line="240" w:lineRule="auto"/>
        <w:contextualSpacing/>
        <w:jc w:val="both"/>
        <w:rPr>
          <w:rFonts w:ascii="Times New Roman" w:hAnsi="Times New Roman" w:cs="Times New Roman"/>
          <w:b/>
          <w:bCs/>
          <w:noProof/>
          <w:sz w:val="24"/>
          <w:szCs w:val="24"/>
        </w:rPr>
      </w:pPr>
      <w:r>
        <w:rPr>
          <w:rFonts w:ascii="Times New Roman" w:hAnsi="Times New Roman"/>
          <w:b/>
          <w:bCs/>
          <w:noProof/>
          <w:sz w:val="24"/>
          <w:szCs w:val="24"/>
        </w:rPr>
        <w:t xml:space="preserve"> Екологичен преход </w:t>
      </w:r>
    </w:p>
    <w:p>
      <w:pPr>
        <w:keepNext/>
        <w:spacing w:after="240" w:line="240" w:lineRule="auto"/>
        <w:contextualSpacing/>
        <w:jc w:val="both"/>
        <w:rPr>
          <w:rFonts w:ascii="Times New Roman" w:hAnsi="Times New Roman" w:cs="Times New Roman"/>
          <w:b/>
          <w:bCs/>
          <w:noProof/>
          <w:sz w:val="24"/>
          <w:szCs w:val="24"/>
          <w:lang w:val="en-GB"/>
        </w:rPr>
      </w:pPr>
    </w:p>
    <w:p>
      <w:pPr>
        <w:pBdr>
          <w:top w:val="single" w:sz="4" w:space="1" w:color="auto"/>
          <w:left w:val="single" w:sz="4" w:space="4" w:color="auto"/>
          <w:bottom w:val="single" w:sz="4" w:space="6" w:color="auto"/>
          <w:right w:val="single" w:sz="4" w:space="4" w:color="auto"/>
        </w:pBdr>
        <w:spacing w:before="240" w:after="240" w:line="240" w:lineRule="auto"/>
        <w:jc w:val="both"/>
        <w:rPr>
          <w:rFonts w:ascii="Times New Roman" w:hAnsi="Times New Roman" w:cs="Times New Roman"/>
          <w:i/>
          <w:iCs/>
          <w:noProof/>
          <w:sz w:val="24"/>
          <w:szCs w:val="24"/>
        </w:rPr>
      </w:pPr>
      <w:r>
        <w:rPr>
          <w:rFonts w:ascii="Times New Roman" w:hAnsi="Times New Roman"/>
          <w:i/>
          <w:iCs/>
          <w:noProof/>
          <w:sz w:val="24"/>
          <w:szCs w:val="24"/>
        </w:rPr>
        <w:t>Пример: Отрицателните въздействия върху околната среда и преждевременното излизане от употреба на продукти</w:t>
      </w:r>
      <w:r>
        <w:rPr>
          <w:rStyle w:val="FootnoteReference"/>
          <w:rFonts w:ascii="Times New Roman" w:hAnsi="Times New Roman" w:cs="Times New Roman"/>
          <w:i/>
          <w:iCs/>
          <w:noProof/>
          <w:sz w:val="24"/>
          <w:szCs w:val="24"/>
          <w:lang w:val="en-GB"/>
        </w:rPr>
        <w:footnoteReference w:id="22"/>
      </w:r>
      <w:r>
        <w:rPr>
          <w:rFonts w:ascii="Times New Roman" w:hAnsi="Times New Roman"/>
          <w:i/>
          <w:iCs/>
          <w:noProof/>
          <w:sz w:val="24"/>
          <w:szCs w:val="24"/>
        </w:rPr>
        <w:t xml:space="preserve"> будят все по-голяма загриженост у потребителите в ЕС, които често се оплакват, че поръчаните от тях стоки не са дълготрайни и се произвеждат при условия, които вредят на околната среда; 85 % биха приветствали получаването на повече информация относно дълготрайността на дадена стока, когато решават дали да направят покупка. Проучванията показват, че когато потребителите получат такава информация, продажбите на най-дълготрайните варианти могат почти да се утроят; потребителите са готови дори да платят повече за стоки, които са по-дълготрайни</w:t>
      </w:r>
      <w:r>
        <w:rPr>
          <w:rFonts w:ascii="Times New Roman" w:hAnsi="Times New Roman" w:cs="Times New Roman"/>
          <w:i/>
          <w:iCs/>
          <w:noProof/>
          <w:sz w:val="24"/>
          <w:szCs w:val="24"/>
          <w:vertAlign w:val="superscript"/>
          <w:lang w:val="en-GB"/>
        </w:rPr>
        <w:footnoteReference w:id="23"/>
      </w:r>
      <w:r>
        <w:rPr>
          <w:rFonts w:ascii="Times New Roman" w:hAnsi="Times New Roman"/>
          <w:i/>
          <w:iCs/>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Потребителите в цяла Европа проявяват нарастващ </w:t>
      </w:r>
      <w:r>
        <w:rPr>
          <w:rFonts w:ascii="Times New Roman" w:hAnsi="Times New Roman"/>
          <w:b/>
          <w:bCs/>
          <w:noProof/>
          <w:sz w:val="24"/>
          <w:szCs w:val="24"/>
        </w:rPr>
        <w:t>интерес към личния принос</w:t>
      </w:r>
      <w:r>
        <w:rPr>
          <w:rFonts w:ascii="Times New Roman" w:hAnsi="Times New Roman"/>
          <w:noProof/>
          <w:sz w:val="24"/>
          <w:szCs w:val="24"/>
        </w:rPr>
        <w:t xml:space="preserve"> за постигането на неутралност по отношение на климата, опазването на природните ресурси и биологичното разнообразие, както и намаляването на замърсяването на водата, въздуха и почвата</w:t>
      </w:r>
      <w:r>
        <w:rPr>
          <w:rFonts w:ascii="Times New Roman" w:hAnsi="Times New Roman" w:cs="Times New Roman"/>
          <w:noProof/>
          <w:sz w:val="24"/>
          <w:szCs w:val="24"/>
          <w:vertAlign w:val="superscript"/>
          <w:lang w:val="en-GB"/>
        </w:rPr>
        <w:footnoteReference w:id="24"/>
      </w:r>
      <w:r>
        <w:rPr>
          <w:rFonts w:ascii="Times New Roman" w:hAnsi="Times New Roman"/>
          <w:noProof/>
          <w:sz w:val="24"/>
          <w:szCs w:val="24"/>
        </w:rPr>
        <w:t>. Предизвикателството е в отключването на този потенциал чрез мерки, които предоставят нужните права, подпомагат и позволяват на всеки потребител, независимо от финансовото му състояние, да играе активна роля в екологичния преход, без да му се налага специфичен начин на живот и без социална дискриминация. Достъпът до устойчиви продукти не следва да зависи от равнището на доходите или местоживеенето, а следва да бъде на разположение на всички.</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В Европейския зелен пакт се определя цялостна стратегия за превръщане на ЕС в справедливо и проспериращо общество, с неутрална по отношение на климата, чиста и кръгова икономика, с ефективно използване на ресурсите, при която икономическият растеж не зависи от използването на ресурсите и където отрицателните въздействия върху природния капитал и биологичното разнообразие са намалени. Това изисква дълбока и бърза промяна в нашите навици и поведение, за да бъде </w:t>
      </w:r>
      <w:r>
        <w:rPr>
          <w:rFonts w:ascii="Times New Roman" w:hAnsi="Times New Roman"/>
          <w:b/>
          <w:bCs/>
          <w:noProof/>
          <w:sz w:val="24"/>
          <w:szCs w:val="24"/>
        </w:rPr>
        <w:t>намален отпечатъкът ни върху околната среда</w:t>
      </w:r>
      <w:r>
        <w:rPr>
          <w:rFonts w:ascii="Times New Roman" w:hAnsi="Times New Roman"/>
          <w:noProof/>
          <w:sz w:val="24"/>
          <w:szCs w:val="24"/>
        </w:rPr>
        <w:t xml:space="preserve"> във всички области — от жилищата и храната до мобилността и отдиха</w:t>
      </w:r>
      <w:r>
        <w:rPr>
          <w:rStyle w:val="FootnoteReference"/>
          <w:rFonts w:ascii="Times New Roman" w:hAnsi="Times New Roman" w:cs="Times New Roman"/>
          <w:noProof/>
          <w:sz w:val="24"/>
          <w:szCs w:val="24"/>
          <w:lang w:val="en-GB"/>
        </w:rPr>
        <w:footnoteReference w:id="25"/>
      </w:r>
      <w:r>
        <w:rPr>
          <w:rFonts w:ascii="Times New Roman" w:hAnsi="Times New Roman"/>
          <w:noProof/>
          <w:sz w:val="24"/>
          <w:szCs w:val="24"/>
        </w:rPr>
        <w:t xml:space="preserve">. </w:t>
      </w:r>
    </w:p>
    <w:p>
      <w:pPr>
        <w:spacing w:after="240" w:line="240" w:lineRule="auto"/>
        <w:jc w:val="both"/>
        <w:rPr>
          <w:rFonts w:ascii="Times New Roman" w:hAnsi="Times New Roman" w:cs="Times New Roman"/>
          <w:b/>
          <w:bCs/>
          <w:noProof/>
          <w:sz w:val="24"/>
          <w:szCs w:val="24"/>
        </w:rPr>
      </w:pPr>
      <w:r>
        <w:rPr>
          <w:rFonts w:ascii="Times New Roman" w:hAnsi="Times New Roman"/>
          <w:noProof/>
          <w:sz w:val="24"/>
          <w:szCs w:val="24"/>
        </w:rPr>
        <w:t xml:space="preserve">Вече са в ход </w:t>
      </w:r>
      <w:r>
        <w:rPr>
          <w:rFonts w:ascii="Times New Roman" w:hAnsi="Times New Roman"/>
          <w:b/>
          <w:bCs/>
          <w:noProof/>
          <w:sz w:val="24"/>
          <w:szCs w:val="24"/>
        </w:rPr>
        <w:t>редица инициативи,</w:t>
      </w:r>
      <w:r>
        <w:rPr>
          <w:rFonts w:ascii="Times New Roman" w:hAnsi="Times New Roman"/>
          <w:noProof/>
          <w:sz w:val="24"/>
          <w:szCs w:val="24"/>
        </w:rPr>
        <w:t xml:space="preserve"> чиято цел е да се </w:t>
      </w:r>
      <w:r>
        <w:rPr>
          <w:rFonts w:ascii="Times New Roman" w:hAnsi="Times New Roman"/>
          <w:b/>
          <w:bCs/>
          <w:noProof/>
          <w:sz w:val="24"/>
          <w:szCs w:val="24"/>
        </w:rPr>
        <w:t>гарантира, че</w:t>
      </w:r>
      <w:r>
        <w:rPr>
          <w:rFonts w:ascii="Times New Roman" w:hAnsi="Times New Roman"/>
          <w:noProof/>
          <w:sz w:val="24"/>
          <w:szCs w:val="24"/>
        </w:rPr>
        <w:t xml:space="preserve"> продаваните на потребителите в ЕС </w:t>
      </w:r>
      <w:r>
        <w:rPr>
          <w:rFonts w:ascii="Times New Roman" w:hAnsi="Times New Roman"/>
          <w:b/>
          <w:bCs/>
          <w:noProof/>
          <w:sz w:val="24"/>
          <w:szCs w:val="24"/>
        </w:rPr>
        <w:t>продукти</w:t>
      </w:r>
      <w:r>
        <w:rPr>
          <w:rFonts w:ascii="Times New Roman" w:hAnsi="Times New Roman"/>
          <w:noProof/>
          <w:sz w:val="24"/>
          <w:szCs w:val="24"/>
        </w:rPr>
        <w:t xml:space="preserve"> — както стоки, така и услуги — </w:t>
      </w:r>
      <w:r>
        <w:rPr>
          <w:rFonts w:ascii="Times New Roman" w:hAnsi="Times New Roman"/>
          <w:b/>
          <w:bCs/>
          <w:noProof/>
          <w:sz w:val="24"/>
          <w:szCs w:val="24"/>
        </w:rPr>
        <w:t>са пригодни за посочените по-горе цели</w:t>
      </w:r>
      <w:r>
        <w:rPr>
          <w:rFonts w:ascii="Times New Roman" w:hAnsi="Times New Roman"/>
          <w:noProof/>
          <w:sz w:val="24"/>
          <w:szCs w:val="24"/>
        </w:rPr>
        <w:t>.</w:t>
      </w:r>
      <w:r>
        <w:rPr>
          <w:rFonts w:ascii="Times New Roman" w:hAnsi="Times New Roman"/>
          <w:b/>
          <w:bCs/>
          <w:noProof/>
          <w:sz w:val="24"/>
          <w:szCs w:val="24"/>
        </w:rPr>
        <w:t xml:space="preserve"> </w:t>
      </w:r>
      <w:r>
        <w:rPr>
          <w:rFonts w:ascii="Times New Roman" w:hAnsi="Times New Roman"/>
          <w:bCs/>
          <w:noProof/>
          <w:sz w:val="24"/>
          <w:szCs w:val="24"/>
        </w:rPr>
        <w:t>Те включват:</w:t>
      </w:r>
    </w:p>
    <w:p>
      <w:pPr>
        <w:pStyle w:val="ListParagraph"/>
        <w:numPr>
          <w:ilvl w:val="0"/>
          <w:numId w:val="7"/>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стратегията „</w:t>
      </w:r>
      <w:r>
        <w:rPr>
          <w:rFonts w:ascii="Times New Roman" w:hAnsi="Times New Roman"/>
          <w:b/>
          <w:noProof/>
          <w:sz w:val="24"/>
          <w:szCs w:val="24"/>
        </w:rPr>
        <w:t>От фермата до трапезата</w:t>
      </w:r>
      <w:r>
        <w:rPr>
          <w:rFonts w:ascii="Times New Roman" w:hAnsi="Times New Roman"/>
          <w:noProof/>
          <w:sz w:val="24"/>
          <w:szCs w:val="24"/>
        </w:rPr>
        <w:t>“</w:t>
      </w:r>
      <w:r>
        <w:rPr>
          <w:rFonts w:ascii="Times New Roman" w:hAnsi="Times New Roman" w:cs="Times New Roman"/>
          <w:noProof/>
          <w:vertAlign w:val="superscript"/>
          <w:lang w:val="en-GB"/>
        </w:rPr>
        <w:footnoteReference w:id="26"/>
      </w:r>
      <w:r>
        <w:rPr>
          <w:rFonts w:ascii="Times New Roman" w:hAnsi="Times New Roman"/>
          <w:noProof/>
          <w:sz w:val="24"/>
          <w:szCs w:val="24"/>
        </w:rPr>
        <w:t xml:space="preserve"> и Стратегията на ЕС за </w:t>
      </w:r>
      <w:r>
        <w:rPr>
          <w:rFonts w:ascii="Times New Roman" w:hAnsi="Times New Roman"/>
          <w:b/>
          <w:noProof/>
          <w:sz w:val="24"/>
          <w:szCs w:val="24"/>
        </w:rPr>
        <w:t>биологичното разнообразие</w:t>
      </w:r>
      <w:r>
        <w:rPr>
          <w:rFonts w:ascii="Times New Roman" w:hAnsi="Times New Roman" w:cs="Times New Roman"/>
          <w:noProof/>
          <w:vertAlign w:val="superscript"/>
          <w:lang w:val="en-GB"/>
        </w:rPr>
        <w:footnoteReference w:id="27"/>
      </w:r>
      <w:r>
        <w:rPr>
          <w:rFonts w:ascii="Times New Roman" w:hAnsi="Times New Roman"/>
          <w:noProof/>
          <w:sz w:val="24"/>
          <w:szCs w:val="24"/>
        </w:rPr>
        <w:t>,</w:t>
      </w:r>
      <w:r>
        <w:rPr>
          <w:rFonts w:ascii="Times New Roman" w:hAnsi="Times New Roman"/>
          <w:noProof/>
        </w:rPr>
        <w:t xml:space="preserve"> </w:t>
      </w:r>
      <w:r>
        <w:rPr>
          <w:rFonts w:ascii="Times New Roman" w:hAnsi="Times New Roman"/>
          <w:noProof/>
          <w:sz w:val="24"/>
          <w:szCs w:val="24"/>
        </w:rPr>
        <w:t>в които се обявяват ключови действия</w:t>
      </w:r>
      <w:r>
        <w:rPr>
          <w:rStyle w:val="FootnoteReference"/>
          <w:rFonts w:ascii="Times New Roman" w:hAnsi="Times New Roman" w:cs="Times New Roman"/>
          <w:noProof/>
          <w:sz w:val="24"/>
          <w:szCs w:val="24"/>
          <w:lang w:val="en-GB"/>
        </w:rPr>
        <w:footnoteReference w:id="28"/>
      </w:r>
      <w:r>
        <w:rPr>
          <w:rFonts w:ascii="Times New Roman" w:hAnsi="Times New Roman"/>
          <w:noProof/>
          <w:sz w:val="24"/>
          <w:szCs w:val="24"/>
        </w:rPr>
        <w:t xml:space="preserve"> и инициативи, целящи да се намали отпечатъкът на продоволствените системи на ЕС върху околната среда и върху климата и да се даде възможност на потребителите да правят информиран избор на здравословни и устойчиви храни</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xml:space="preserve">; </w:t>
      </w:r>
    </w:p>
    <w:p>
      <w:pPr>
        <w:pStyle w:val="ListParagraph"/>
        <w:numPr>
          <w:ilvl w:val="0"/>
          <w:numId w:val="7"/>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публикуваната наскоро пътна карта за 2021 г. „</w:t>
      </w:r>
      <w:r>
        <w:rPr>
          <w:rFonts w:ascii="Times New Roman" w:hAnsi="Times New Roman"/>
          <w:b/>
          <w:bCs/>
          <w:noProof/>
          <w:sz w:val="24"/>
          <w:szCs w:val="24"/>
        </w:rPr>
        <w:t>План за действие за нулево замърсяване</w:t>
      </w:r>
      <w:r>
        <w:rPr>
          <w:rFonts w:ascii="Times New Roman" w:hAnsi="Times New Roman"/>
          <w:noProof/>
          <w:sz w:val="24"/>
          <w:szCs w:val="24"/>
        </w:rPr>
        <w:t>“</w:t>
      </w:r>
      <w:r>
        <w:rPr>
          <w:rFonts w:ascii="Times New Roman" w:hAnsi="Times New Roman" w:cs="Times New Roman"/>
          <w:noProof/>
          <w:vertAlign w:val="superscript"/>
          <w:lang w:val="en-GB"/>
        </w:rPr>
        <w:footnoteReference w:id="30"/>
      </w:r>
      <w:r>
        <w:rPr>
          <w:rFonts w:ascii="Times New Roman" w:hAnsi="Times New Roman"/>
          <w:noProof/>
        </w:rPr>
        <w:t>,</w:t>
      </w:r>
      <w:r>
        <w:rPr>
          <w:rFonts w:ascii="Times New Roman" w:hAnsi="Times New Roman"/>
          <w:noProof/>
          <w:sz w:val="24"/>
          <w:szCs w:val="24"/>
        </w:rPr>
        <w:t xml:space="preserve"> в която потребителските продукти се определят като важна област за действие и се разглеждат начините, по които да бъдат стимулирани</w:t>
      </w:r>
      <w:r>
        <w:rPr>
          <w:rFonts w:ascii="Times New Roman" w:hAnsi="Times New Roman" w:cs="Times New Roman"/>
          <w:noProof/>
          <w:vertAlign w:val="superscript"/>
          <w:lang w:val="en-GB"/>
        </w:rPr>
        <w:footnoteReference w:id="31"/>
      </w:r>
      <w:r>
        <w:rPr>
          <w:rFonts w:ascii="Times New Roman" w:hAnsi="Times New Roman"/>
          <w:noProof/>
          <w:sz w:val="24"/>
          <w:szCs w:val="24"/>
        </w:rPr>
        <w:t xml:space="preserve"> потребителите, за да избират по-чисти алтернативи; </w:t>
      </w:r>
    </w:p>
    <w:p>
      <w:pPr>
        <w:pStyle w:val="ListParagraph"/>
        <w:numPr>
          <w:ilvl w:val="0"/>
          <w:numId w:val="7"/>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b/>
          <w:noProof/>
          <w:sz w:val="24"/>
          <w:szCs w:val="24"/>
        </w:rPr>
        <w:t>Стратегията за устойчивост в областта на химикалите</w:t>
      </w:r>
      <w:r>
        <w:rPr>
          <w:rFonts w:ascii="Times New Roman" w:hAnsi="Times New Roman" w:cs="Times New Roman"/>
          <w:noProof/>
          <w:vertAlign w:val="superscript"/>
          <w:lang w:val="en-GB"/>
        </w:rPr>
        <w:footnoteReference w:id="32"/>
      </w:r>
      <w:r>
        <w:rPr>
          <w:rFonts w:ascii="Times New Roman" w:hAnsi="Times New Roman"/>
          <w:noProof/>
          <w:sz w:val="24"/>
          <w:szCs w:val="24"/>
        </w:rPr>
        <w:t xml:space="preserve">, в която се обявяват и действия, насочени към увеличаване на наличната за потребителите информация относно химикалите, която ги защитава от най-вредните вещества и насърчава безопасните и устойчиви химикали още при проектирането; </w:t>
      </w:r>
    </w:p>
    <w:p>
      <w:pPr>
        <w:pStyle w:val="ListParagraph"/>
        <w:numPr>
          <w:ilvl w:val="0"/>
          <w:numId w:val="7"/>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предстоящата </w:t>
      </w:r>
      <w:r>
        <w:rPr>
          <w:rFonts w:ascii="Times New Roman" w:hAnsi="Times New Roman"/>
          <w:b/>
          <w:noProof/>
          <w:sz w:val="24"/>
          <w:szCs w:val="24"/>
        </w:rPr>
        <w:t xml:space="preserve">обновена стратегия за устойчиво финансиране, </w:t>
      </w:r>
      <w:r>
        <w:rPr>
          <w:rFonts w:ascii="Times New Roman" w:hAnsi="Times New Roman"/>
          <w:noProof/>
          <w:sz w:val="24"/>
          <w:szCs w:val="24"/>
        </w:rPr>
        <w:t>която се основава на Плана за действие от 2018 г.</w:t>
      </w:r>
      <w:r>
        <w:rPr>
          <w:rFonts w:ascii="Times New Roman" w:hAnsi="Times New Roman" w:cs="Times New Roman"/>
          <w:noProof/>
          <w:vertAlign w:val="superscript"/>
        </w:rPr>
        <w:footnoteReference w:id="33"/>
      </w:r>
      <w:r>
        <w:rPr>
          <w:rFonts w:ascii="Times New Roman" w:hAnsi="Times New Roman"/>
          <w:noProof/>
          <w:sz w:val="24"/>
          <w:szCs w:val="24"/>
        </w:rPr>
        <w:t>, ще се стреми да предложи на потребителите нови възможности да окажат положително въздействие върху устойчивостта, като им предоставя достоверна, пълна и надеждна информация относно финансовите продукти, в които инвестират; както и</w:t>
      </w:r>
    </w:p>
    <w:p>
      <w:pPr>
        <w:pStyle w:val="ListParagraph"/>
        <w:numPr>
          <w:ilvl w:val="0"/>
          <w:numId w:val="7"/>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w:t>
      </w:r>
      <w:r>
        <w:rPr>
          <w:rFonts w:ascii="Times New Roman" w:hAnsi="Times New Roman"/>
          <w:b/>
          <w:noProof/>
          <w:sz w:val="24"/>
          <w:szCs w:val="24"/>
        </w:rPr>
        <w:t>Вълната на саниране</w:t>
      </w:r>
      <w:r>
        <w:rPr>
          <w:rFonts w:ascii="Times New Roman" w:hAnsi="Times New Roman"/>
          <w:noProof/>
          <w:sz w:val="24"/>
          <w:szCs w:val="24"/>
        </w:rPr>
        <w:t>“</w:t>
      </w:r>
      <w:r>
        <w:rPr>
          <w:rStyle w:val="FootnoteReference"/>
          <w:rFonts w:ascii="Times New Roman" w:hAnsi="Times New Roman" w:cs="Times New Roman"/>
          <w:noProof/>
          <w:sz w:val="24"/>
          <w:szCs w:val="24"/>
          <w:lang w:val="en-GB"/>
        </w:rPr>
        <w:footnoteReference w:id="34"/>
      </w:r>
      <w:r>
        <w:rPr>
          <w:rFonts w:ascii="Times New Roman" w:hAnsi="Times New Roman"/>
          <w:noProof/>
          <w:sz w:val="24"/>
          <w:szCs w:val="24"/>
        </w:rPr>
        <w:t xml:space="preserve"> представлява стратегия, целяща домовете на потребителите да станат пригодни за едно по-екологосъобразно и цифрово общество, включително усъвършенстван инструментариум за информация за потребителите.</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Освен това в новия План за действие за кръгова икономика се определят редица конкретни инициативи</w:t>
      </w:r>
      <w:r>
        <w:rPr>
          <w:rFonts w:ascii="Times New Roman" w:hAnsi="Times New Roman" w:cs="Times New Roman"/>
          <w:noProof/>
          <w:sz w:val="24"/>
          <w:szCs w:val="24"/>
          <w:vertAlign w:val="superscript"/>
          <w:lang w:val="en-GB"/>
        </w:rPr>
        <w:footnoteReference w:id="35"/>
      </w:r>
      <w:r>
        <w:rPr>
          <w:rFonts w:ascii="Times New Roman" w:hAnsi="Times New Roman"/>
          <w:noProof/>
          <w:sz w:val="24"/>
          <w:szCs w:val="24"/>
        </w:rPr>
        <w:t xml:space="preserve"> за </w:t>
      </w:r>
      <w:r>
        <w:rPr>
          <w:rFonts w:ascii="Times New Roman" w:hAnsi="Times New Roman"/>
          <w:b/>
          <w:noProof/>
          <w:sz w:val="24"/>
          <w:szCs w:val="24"/>
        </w:rPr>
        <w:t>борба с преждевременното излизане от употреба на продуктите и насърчаване на дълготрайността</w:t>
      </w:r>
      <w:r>
        <w:rPr>
          <w:rFonts w:ascii="Times New Roman" w:hAnsi="Times New Roman"/>
          <w:noProof/>
          <w:sz w:val="24"/>
          <w:szCs w:val="24"/>
        </w:rPr>
        <w:t>, пригодността за рециклиране, възможността за ремонт и достъпността</w:t>
      </w:r>
      <w:r>
        <w:rPr>
          <w:rStyle w:val="FootnoteReference"/>
          <w:rFonts w:ascii="Times New Roman" w:hAnsi="Times New Roman" w:cs="Times New Roman"/>
          <w:noProof/>
          <w:sz w:val="24"/>
          <w:szCs w:val="24"/>
          <w:lang w:val="en-GB"/>
        </w:rPr>
        <w:footnoteReference w:id="36"/>
      </w:r>
      <w:r>
        <w:rPr>
          <w:rFonts w:ascii="Times New Roman" w:hAnsi="Times New Roman"/>
          <w:noProof/>
          <w:sz w:val="24"/>
          <w:szCs w:val="24"/>
        </w:rPr>
        <w:t xml:space="preserve"> на продуктите, както и за подкрепа на дейности на предприятията. По-специално инициативата за устойчиви продукти</w:t>
      </w:r>
      <w:r>
        <w:rPr>
          <w:rFonts w:ascii="Times New Roman" w:hAnsi="Times New Roman" w:cs="Times New Roman"/>
          <w:noProof/>
          <w:vertAlign w:val="superscript"/>
          <w:lang w:val="en-GB"/>
        </w:rPr>
        <w:footnoteReference w:id="37"/>
      </w:r>
      <w:r>
        <w:rPr>
          <w:rFonts w:ascii="Times New Roman" w:hAnsi="Times New Roman"/>
          <w:noProof/>
          <w:sz w:val="24"/>
          <w:szCs w:val="24"/>
        </w:rPr>
        <w:t xml:space="preserve"> ще се стреми да превърне устойчивите продукти в норма чрез установяване на принципи за устойчивост на продуктите и преразглеждане на Директивата за екодизайна</w:t>
      </w:r>
      <w:r>
        <w:rPr>
          <w:rFonts w:ascii="Times New Roman" w:hAnsi="Times New Roman" w:cs="Times New Roman"/>
          <w:noProof/>
          <w:vertAlign w:val="superscript"/>
          <w:lang w:val="en-GB"/>
        </w:rPr>
        <w:footnoteReference w:id="38"/>
      </w:r>
      <w:r>
        <w:rPr>
          <w:rFonts w:ascii="Times New Roman" w:hAnsi="Times New Roman"/>
          <w:noProof/>
          <w:sz w:val="24"/>
          <w:szCs w:val="24"/>
        </w:rPr>
        <w:t>, разширяване на нейния обхват отвъд свързаните с енергетиката продукти и постигане на кръговост. Ще са необходими допълнителни регулаторни и нерегулаторни мерки, които се отнасят до конкретни групи продукти и услуги, като ИКТ, електроника или текстилни изделия и опаковки. Например:</w:t>
      </w:r>
    </w:p>
    <w:p>
      <w:pPr>
        <w:pStyle w:val="ListParagraph"/>
        <w:numPr>
          <w:ilvl w:val="0"/>
          <w:numId w:val="8"/>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b/>
          <w:noProof/>
          <w:sz w:val="24"/>
          <w:szCs w:val="24"/>
        </w:rPr>
        <w:t>Инициативата за кръгова електроника</w:t>
      </w:r>
      <w:r>
        <w:rPr>
          <w:rFonts w:ascii="Times New Roman" w:hAnsi="Times New Roman" w:cs="Times New Roman"/>
          <w:noProof/>
          <w:vertAlign w:val="superscript"/>
          <w:lang w:val="en-GB"/>
        </w:rPr>
        <w:footnoteReference w:id="39"/>
      </w:r>
      <w:r>
        <w:rPr>
          <w:rFonts w:ascii="Times New Roman" w:hAnsi="Times New Roman"/>
          <w:noProof/>
          <w:sz w:val="24"/>
          <w:szCs w:val="24"/>
        </w:rPr>
        <w:t xml:space="preserve"> цели да се гарантира, че електронните устройства са проектирани с оглед на дълготрайността, поддръжката, ремонта, разглобяването, демонтажа, повторното използване и рециклирането, както и че потребителите имат „право на извършване на ремонт“, включително актуализации на софтуера.</w:t>
      </w:r>
    </w:p>
    <w:p>
      <w:pPr>
        <w:pStyle w:val="ListParagraph"/>
        <w:numPr>
          <w:ilvl w:val="0"/>
          <w:numId w:val="8"/>
        </w:numPr>
        <w:spacing w:after="240" w:line="240" w:lineRule="auto"/>
        <w:ind w:left="714" w:hanging="357"/>
        <w:contextualSpacing w:val="0"/>
        <w:jc w:val="both"/>
        <w:rPr>
          <w:rFonts w:ascii="Times New Roman" w:hAnsi="Times New Roman"/>
          <w:noProof/>
          <w:sz w:val="24"/>
        </w:rPr>
      </w:pPr>
      <w:r>
        <w:rPr>
          <w:rFonts w:ascii="Times New Roman" w:hAnsi="Times New Roman"/>
          <w:noProof/>
          <w:sz w:val="24"/>
          <w:szCs w:val="24"/>
        </w:rPr>
        <w:t xml:space="preserve">Инициативата относно </w:t>
      </w:r>
      <w:r>
        <w:rPr>
          <w:rFonts w:ascii="Times New Roman" w:hAnsi="Times New Roman"/>
          <w:b/>
          <w:noProof/>
          <w:sz w:val="24"/>
          <w:szCs w:val="24"/>
        </w:rPr>
        <w:t>общо зарядно устройство</w:t>
      </w:r>
      <w:r>
        <w:rPr>
          <w:rFonts w:ascii="Times New Roman" w:hAnsi="Times New Roman"/>
          <w:noProof/>
          <w:sz w:val="24"/>
          <w:szCs w:val="24"/>
        </w:rPr>
        <w:t xml:space="preserve"> за мобилни телефони и други преносими устройства</w:t>
      </w:r>
      <w:r>
        <w:rPr>
          <w:rFonts w:ascii="Times New Roman" w:hAnsi="Times New Roman" w:cs="Times New Roman"/>
          <w:noProof/>
          <w:vertAlign w:val="superscript"/>
          <w:lang w:val="en-GB"/>
        </w:rPr>
        <w:footnoteReference w:id="40"/>
      </w:r>
      <w:r>
        <w:rPr>
          <w:rFonts w:ascii="Times New Roman" w:hAnsi="Times New Roman"/>
          <w:noProof/>
          <w:sz w:val="24"/>
          <w:szCs w:val="24"/>
        </w:rPr>
        <w:t xml:space="preserve"> цели да се увеличи удобството на потребителите и да се намалят използваните материали и отпадъците от електрическо и електронно оборудване, свързани с производството и с унищожаването на този конкретен вид изделие, което се използва ежедневно от преобладаващата част от потребителите. </w:t>
      </w:r>
    </w:p>
    <w:p>
      <w:pPr>
        <w:pStyle w:val="ListParagraph"/>
        <w:numPr>
          <w:ilvl w:val="0"/>
          <w:numId w:val="8"/>
        </w:numPr>
        <w:spacing w:after="240" w:line="240" w:lineRule="auto"/>
        <w:ind w:left="714" w:hanging="357"/>
        <w:contextualSpacing w:val="0"/>
        <w:jc w:val="both"/>
        <w:rPr>
          <w:rFonts w:ascii="Times New Roman" w:hAnsi="Times New Roman" w:cs="Times New Roman"/>
          <w:noProof/>
        </w:rPr>
      </w:pPr>
      <w:r>
        <w:rPr>
          <w:rFonts w:ascii="Times New Roman" w:hAnsi="Times New Roman"/>
          <w:noProof/>
          <w:sz w:val="24"/>
          <w:szCs w:val="24"/>
        </w:rPr>
        <w:t xml:space="preserve">Предстоящата </w:t>
      </w:r>
      <w:r>
        <w:rPr>
          <w:rFonts w:ascii="Times New Roman" w:hAnsi="Times New Roman"/>
          <w:b/>
          <w:noProof/>
          <w:sz w:val="24"/>
          <w:szCs w:val="24"/>
        </w:rPr>
        <w:t>стратегия на ЕС относно текстилните изделия</w:t>
      </w:r>
      <w:r>
        <w:rPr>
          <w:rFonts w:ascii="Times New Roman" w:hAnsi="Times New Roman"/>
          <w:noProof/>
          <w:sz w:val="24"/>
          <w:szCs w:val="24"/>
        </w:rPr>
        <w:t xml:space="preserve"> ще се стреми да даде възможност на потребителите да избират издръжливи текстилни изделия и да имат лесен достъп до услуги за повторно използване и ремонт.</w:t>
      </w:r>
    </w:p>
    <w:p>
      <w:pPr>
        <w:pStyle w:val="Default"/>
        <w:numPr>
          <w:ilvl w:val="0"/>
          <w:numId w:val="8"/>
        </w:numPr>
        <w:spacing w:after="240"/>
        <w:ind w:left="714" w:hanging="357"/>
        <w:jc w:val="both"/>
        <w:rPr>
          <w:rFonts w:ascii="Times New Roman" w:hAnsi="Times New Roman" w:cs="Times New Roman"/>
          <w:noProof/>
          <w:color w:val="auto"/>
        </w:rPr>
      </w:pPr>
      <w:r>
        <w:rPr>
          <w:rFonts w:ascii="Times New Roman" w:hAnsi="Times New Roman"/>
          <w:noProof/>
          <w:color w:val="auto"/>
        </w:rPr>
        <w:t xml:space="preserve">Преразглеждането на </w:t>
      </w:r>
      <w:r>
        <w:rPr>
          <w:rFonts w:ascii="Times New Roman" w:hAnsi="Times New Roman"/>
          <w:b/>
          <w:noProof/>
          <w:color w:val="auto"/>
        </w:rPr>
        <w:t>Директивата относно опаковките и отпадъците от опаковки</w:t>
      </w:r>
      <w:r>
        <w:rPr>
          <w:rFonts w:ascii="Times New Roman" w:hAnsi="Times New Roman"/>
          <w:noProof/>
          <w:color w:val="auto"/>
        </w:rPr>
        <w:t xml:space="preserve"> има за цел всички опаковки да станат повторно използваеми и рециклируеми по икономически изгоден начин и да бъде преодоляно свръхопаковането.</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Тези инициативи ще насърчат по-доброто запазване на стойността, отдаването на приоритет на по-безопасните и по-дълготрайни продукти и възможно най-дългото запазване на материалите в икономическия цикъл (връщане, намаление, ремонт, повторно използване и рециклиране)</w:t>
      </w:r>
      <w:r>
        <w:rPr>
          <w:rStyle w:val="FootnoteReference"/>
          <w:rFonts w:ascii="Times New Roman" w:hAnsi="Times New Roman" w:cs="Times New Roman"/>
          <w:noProof/>
          <w:sz w:val="24"/>
          <w:szCs w:val="24"/>
          <w:lang w:val="en-GB"/>
        </w:rPr>
        <w:footnoteReference w:id="41"/>
      </w:r>
      <w:r>
        <w:rPr>
          <w:rFonts w:ascii="Times New Roman" w:hAnsi="Times New Roman"/>
          <w:noProof/>
          <w:sz w:val="24"/>
          <w:szCs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За да се даде възможност за оптимално от социална гледна точка внедряване на нови продукти услуги, както и на нови подходи за потребление, потребителите се нуждаят от </w:t>
      </w:r>
      <w:r>
        <w:rPr>
          <w:rFonts w:ascii="Times New Roman" w:hAnsi="Times New Roman"/>
          <w:b/>
          <w:bCs/>
          <w:noProof/>
          <w:sz w:val="24"/>
          <w:szCs w:val="24"/>
        </w:rPr>
        <w:t>по-добра и по-надеждна информация относно аспектите, свързани с устойчивостта на продуктите и услугите, като същевременно се избягва претоварването с информация.</w:t>
      </w:r>
      <w:r>
        <w:rPr>
          <w:rFonts w:ascii="Times New Roman" w:hAnsi="Times New Roman"/>
          <w:noProof/>
          <w:sz w:val="24"/>
          <w:szCs w:val="24"/>
        </w:rPr>
        <w:t xml:space="preserve"> Анкетираните по време на обществената консултация лица</w:t>
      </w:r>
      <w:r>
        <w:rPr>
          <w:rStyle w:val="FootnoteReference"/>
          <w:rFonts w:ascii="Times New Roman" w:hAnsi="Times New Roman" w:cs="Times New Roman"/>
          <w:noProof/>
          <w:sz w:val="24"/>
          <w:szCs w:val="24"/>
          <w:lang w:val="en-GB"/>
        </w:rPr>
        <w:footnoteReference w:id="42"/>
      </w:r>
      <w:r>
        <w:rPr>
          <w:rFonts w:ascii="Times New Roman" w:hAnsi="Times New Roman"/>
          <w:noProof/>
          <w:sz w:val="24"/>
          <w:szCs w:val="24"/>
        </w:rPr>
        <w:t xml:space="preserve"> посочиха липсата на такава информация и опасенията си относно надеждността на твърденията за екологосъобразност и информацията относно продуктите като важни пречки за използването в по-голяма степен на избора на устойчиви форми на потребление. Предвижда се с предстоящата инициатива относно предоставянето на възможност на потребителите за екологичен преход да се обърне внимание на достъпа на потребителите до информация относно екологичните характеристики на продуктите, включително тяхната дълготрайност, възможността за ремонт или възможността за модернизиране, както и на въпроса за надеждността и съпоставимостта на такава информация. В нея ще се определят общи изисквания, които биха допълнили съдържащите се в секторното законодателство по-целенасочени правила, напр. относно конкретни продукти или продуктови групи.</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По-добрата информация относно наличието на резервни части и ремонтни услуги може допълнително да подпомогне дълготрайността на продуктите. </w:t>
      </w:r>
      <w:r>
        <w:rPr>
          <w:rFonts w:ascii="Times New Roman" w:hAnsi="Times New Roman"/>
          <w:noProof/>
          <w:sz w:val="24"/>
        </w:rPr>
        <w:t xml:space="preserve">Предстоящата инициатива за по-голямо участие на потребителите в екологичния преход, инициативата за политика за устойчиви продукти и, когато е уместно, специфични за сектора инициативи ще бъдат от съществено значение, за да се даде на потребителите </w:t>
      </w:r>
      <w:r>
        <w:rPr>
          <w:rFonts w:ascii="Times New Roman" w:hAnsi="Times New Roman"/>
          <w:b/>
          <w:bCs/>
          <w:noProof/>
          <w:sz w:val="24"/>
        </w:rPr>
        <w:t>ефективно право на извършване на ремонт.</w:t>
      </w:r>
      <w:r>
        <w:rPr>
          <w:rFonts w:ascii="Times New Roman" w:hAnsi="Times New Roman"/>
          <w:noProof/>
          <w:sz w:val="24"/>
          <w:szCs w:val="24"/>
        </w:rPr>
        <w:t xml:space="preserve"> Освен това бъдещото преразглеждане на Директивата относно продажбата на стоки</w:t>
      </w:r>
      <w:r>
        <w:rPr>
          <w:rFonts w:ascii="Times New Roman" w:hAnsi="Times New Roman" w:cs="Times New Roman"/>
          <w:noProof/>
          <w:sz w:val="24"/>
          <w:szCs w:val="24"/>
          <w:vertAlign w:val="superscript"/>
        </w:rPr>
        <w:footnoteReference w:id="43"/>
      </w:r>
      <w:r>
        <w:rPr>
          <w:rFonts w:ascii="Times New Roman" w:hAnsi="Times New Roman"/>
          <w:noProof/>
          <w:sz w:val="24"/>
          <w:szCs w:val="24"/>
        </w:rPr>
        <w:t xml:space="preserve"> би предоставило възможност да се прецени какво повече може да се направи, за да се подпомогне ремонтът и да се насърчат по-устойчивите продукти на кръговата икономика. Ще бъдат разгледани различни варианти по отношение на средствата за защита на потребителите, като например да се отдава предпочитание на ремонта пред замяната, да се удължи минималният срок за отговорност за нови или употребявани стоки, подновяване на срока за отговорност след ремонта. </w:t>
      </w:r>
    </w:p>
    <w:p>
      <w:pPr>
        <w:spacing w:after="240" w:line="240" w:lineRule="auto"/>
        <w:jc w:val="both"/>
        <w:rPr>
          <w:rFonts w:ascii="Times New Roman" w:hAnsi="Times New Roman"/>
          <w:noProof/>
          <w:sz w:val="24"/>
        </w:rPr>
      </w:pPr>
      <w:r>
        <w:rPr>
          <w:rFonts w:ascii="Times New Roman" w:hAnsi="Times New Roman"/>
          <w:noProof/>
          <w:sz w:val="24"/>
          <w:szCs w:val="24"/>
        </w:rPr>
        <w:t xml:space="preserve">Тези усилия могат да бъдат допълнени чрез насърчаване на </w:t>
      </w:r>
      <w:r>
        <w:rPr>
          <w:rFonts w:ascii="Times New Roman" w:hAnsi="Times New Roman"/>
          <w:b/>
          <w:bCs/>
          <w:noProof/>
          <w:sz w:val="24"/>
          <w:szCs w:val="24"/>
        </w:rPr>
        <w:t>нови концепции за потребление</w:t>
      </w:r>
      <w:r>
        <w:rPr>
          <w:rFonts w:ascii="Times New Roman" w:hAnsi="Times New Roman"/>
          <w:noProof/>
          <w:sz w:val="24"/>
          <w:szCs w:val="24"/>
        </w:rPr>
        <w:t xml:space="preserve"> и поведение, като например икономиката на споделянето, нови търговски модели, позволяващи на потребителите да купят услуга, а не стока, или чрез оказване на подкрепа за ремонт чрез действия на организации на общността и социалната икономика (напр. кафенета за ремонт) и за пазари за употребявани стоки.</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Предоставянето на потребителите на по-добра и по-надеждна информация често означава </w:t>
      </w:r>
      <w:r>
        <w:rPr>
          <w:rFonts w:ascii="Times New Roman" w:hAnsi="Times New Roman"/>
          <w:b/>
          <w:noProof/>
          <w:sz w:val="24"/>
          <w:szCs w:val="24"/>
        </w:rPr>
        <w:t>подобряване на съществуващите инструменти.</w:t>
      </w:r>
      <w:r>
        <w:rPr>
          <w:rFonts w:ascii="Times New Roman" w:hAnsi="Times New Roman"/>
          <w:noProof/>
          <w:sz w:val="24"/>
          <w:szCs w:val="24"/>
        </w:rPr>
        <w:t xml:space="preserve"> Осъвременените етикети, които предоставят информация за продуктите и уредите, обхванати от Директивата за екодизайна и нормативната уредба в областта на енергийното етикетиране, ще спомогнат за повишаване на осведомеността и управление на очакванията за енергийните характеристики на продуктите, което ще допринесе за целта на ЕС за енергийна ефективност. Освен това навлизането на екомаркировката на ЕС</w:t>
      </w:r>
      <w:r>
        <w:rPr>
          <w:rStyle w:val="FootnoteReference"/>
          <w:rFonts w:ascii="Times New Roman" w:hAnsi="Times New Roman" w:cs="Times New Roman"/>
          <w:noProof/>
          <w:sz w:val="24"/>
          <w:szCs w:val="24"/>
          <w:lang w:val="en-GB"/>
        </w:rPr>
        <w:footnoteReference w:id="44"/>
      </w:r>
      <w:r>
        <w:rPr>
          <w:rFonts w:ascii="Times New Roman" w:hAnsi="Times New Roman"/>
          <w:noProof/>
          <w:sz w:val="24"/>
          <w:szCs w:val="24"/>
        </w:rPr>
        <w:t xml:space="preserve"> и осведомеността за нея може да се насърчи чрез комуникационни действия и партньорства със съответните заинтересовани страни, включително търговците на дребно, като се цели популяризиране на екомаркировката на ЕС и на електронните пазари. Екомаркировката на ЕС ще обхване също финансовите продукти за непрофесионални клиенти в съответствие с Плана за действие за устойчиво финансиране от 2018 г.</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 xml:space="preserve">, който позволява на потребителите да разчитат на вярна и надеждна маркировка, когато инвестират в екологосъобразни финансови продукти. </w:t>
      </w:r>
    </w:p>
    <w:p>
      <w:pPr>
        <w:spacing w:after="240" w:line="240" w:lineRule="auto"/>
        <w:jc w:val="both"/>
        <w:rPr>
          <w:rFonts w:ascii="Times New Roman" w:hAnsi="Times New Roman" w:cs="Times New Roman"/>
          <w:noProof/>
          <w:spacing w:val="-2"/>
          <w:sz w:val="24"/>
          <w:szCs w:val="24"/>
        </w:rPr>
      </w:pPr>
      <w:r>
        <w:rPr>
          <w:rFonts w:ascii="Times New Roman" w:hAnsi="Times New Roman"/>
          <w:noProof/>
          <w:spacing w:val="-2"/>
          <w:sz w:val="24"/>
          <w:szCs w:val="24"/>
        </w:rPr>
        <w:t>Освен това потребителите трябва да бъдат по-добре защитени срещу информация, която е невярна или е представена по объркващ или подвеждащ начин, за да създаде погрешна представа, че даден продукт или предприятие са по-екологосъобразни („</w:t>
      </w:r>
      <w:r>
        <w:rPr>
          <w:rFonts w:ascii="Times New Roman" w:hAnsi="Times New Roman"/>
          <w:b/>
          <w:noProof/>
          <w:spacing w:val="-2"/>
          <w:sz w:val="24"/>
          <w:szCs w:val="24"/>
        </w:rPr>
        <w:t>greenwashing</w:t>
      </w:r>
      <w:r>
        <w:rPr>
          <w:rFonts w:ascii="Times New Roman" w:hAnsi="Times New Roman"/>
          <w:noProof/>
          <w:spacing w:val="-2"/>
          <w:sz w:val="24"/>
          <w:szCs w:val="24"/>
        </w:rPr>
        <w:t>“). Действия във връзка с това се разработват и в областта на финансирането за устойчиво развитие</w:t>
      </w:r>
      <w:r>
        <w:rPr>
          <w:rStyle w:val="FootnoteReference"/>
          <w:rFonts w:ascii="Times New Roman" w:hAnsi="Times New Roman" w:cs="Times New Roman"/>
          <w:noProof/>
          <w:spacing w:val="-2"/>
          <w:sz w:val="24"/>
          <w:szCs w:val="24"/>
          <w:lang w:val="en-GB"/>
        </w:rPr>
        <w:footnoteReference w:id="46"/>
      </w:r>
      <w:r>
        <w:rPr>
          <w:rFonts w:ascii="Times New Roman" w:hAnsi="Times New Roman"/>
          <w:noProof/>
          <w:spacing w:val="-2"/>
          <w:sz w:val="24"/>
          <w:szCs w:val="24"/>
        </w:rPr>
        <w:t xml:space="preserve">. </w:t>
      </w:r>
      <w:r>
        <w:rPr>
          <w:rFonts w:ascii="Times New Roman" w:hAnsi="Times New Roman"/>
          <w:noProof/>
          <w:spacing w:val="-2"/>
          <w:sz w:val="24"/>
        </w:rPr>
        <w:t>Освен това Комисията ще предложи дружествата да обосновават твърденията си за екологосъобразност, като използват методите за определяне на продуктовия и организационния отпечатък върху околната среда, за да предоставят на потребителите надеждна информация във връзка с околната среда.</w:t>
      </w:r>
      <w:r>
        <w:rPr>
          <w:rFonts w:ascii="Times New Roman" w:hAnsi="Times New Roman"/>
          <w:noProof/>
          <w:spacing w:val="-2"/>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Комисията ще проучи начините за създаване на уредба за етикетиране във връзка с устойчивостта — в синхрон с други инициативи в тази област — която да обхваща хранителните, климатичните, екологичните и социалните аспекти на </w:t>
      </w:r>
      <w:r>
        <w:rPr>
          <w:rFonts w:ascii="Times New Roman" w:hAnsi="Times New Roman"/>
          <w:b/>
          <w:noProof/>
          <w:sz w:val="24"/>
          <w:szCs w:val="24"/>
        </w:rPr>
        <w:t>хранителните продукти</w:t>
      </w:r>
      <w:r>
        <w:rPr>
          <w:rFonts w:ascii="Times New Roman" w:hAnsi="Times New Roman"/>
          <w:noProof/>
          <w:sz w:val="24"/>
          <w:szCs w:val="24"/>
        </w:rPr>
        <w:t xml:space="preserve">. </w:t>
      </w:r>
    </w:p>
    <w:p>
      <w:pPr>
        <w:spacing w:after="240" w:line="240" w:lineRule="auto"/>
        <w:jc w:val="both"/>
        <w:rPr>
          <w:rFonts w:ascii="Times New Roman" w:hAnsi="Times New Roman" w:cs="Times New Roman"/>
          <w:i/>
          <w:iCs/>
          <w:noProof/>
          <w:sz w:val="24"/>
          <w:szCs w:val="24"/>
        </w:rPr>
      </w:pPr>
      <w:r>
        <w:rPr>
          <w:rFonts w:ascii="Times New Roman" w:hAnsi="Times New Roman"/>
          <w:b/>
          <w:bCs/>
          <w:noProof/>
          <w:sz w:val="24"/>
          <w:szCs w:val="24"/>
        </w:rPr>
        <w:t>Изборът на потребителите на енергия ще бъде ключов за определяне на новите цели в областта на климата за 2030 г. и неутралността по отношение на климата до 2050 г.</w:t>
      </w:r>
      <w:r>
        <w:rPr>
          <w:rFonts w:ascii="Times New Roman" w:hAnsi="Times New Roman"/>
          <w:noProof/>
          <w:sz w:val="24"/>
          <w:szCs w:val="24"/>
        </w:rPr>
        <w:t xml:space="preserve"> Новите правила, които влизат в сила на 1 януари 2021 г.</w:t>
      </w:r>
      <w:r>
        <w:rPr>
          <w:rStyle w:val="FootnoteReference"/>
          <w:rFonts w:ascii="Times New Roman" w:hAnsi="Times New Roman" w:cs="Times New Roman"/>
          <w:noProof/>
          <w:sz w:val="24"/>
          <w:szCs w:val="24"/>
          <w:lang w:val="en-IE"/>
        </w:rPr>
        <w:footnoteReference w:id="47"/>
      </w:r>
      <w:r>
        <w:rPr>
          <w:rFonts w:ascii="Times New Roman" w:hAnsi="Times New Roman"/>
          <w:noProof/>
          <w:sz w:val="24"/>
          <w:szCs w:val="24"/>
        </w:rPr>
        <w:t xml:space="preserve">, ще подобрят информацията за потребителите чрез сметките за електроенергия и </w:t>
      </w:r>
      <w:r>
        <w:rPr>
          <w:rFonts w:ascii="Times New Roman" w:hAnsi="Times New Roman"/>
          <w:bCs/>
          <w:noProof/>
          <w:sz w:val="24"/>
          <w:szCs w:val="24"/>
        </w:rPr>
        <w:t>независими инструменти за сравняване на цените, както и чрез улесняване на избирането на потребители производители и енергийни общности.</w:t>
      </w:r>
      <w:r>
        <w:rPr>
          <w:rFonts w:ascii="Times New Roman" w:hAnsi="Times New Roman"/>
          <w:b/>
          <w:bCs/>
          <w:noProof/>
          <w:sz w:val="24"/>
          <w:szCs w:val="24"/>
        </w:rPr>
        <w:t xml:space="preserve"> </w:t>
      </w:r>
      <w:r>
        <w:rPr>
          <w:rFonts w:ascii="Times New Roman" w:hAnsi="Times New Roman"/>
          <w:noProof/>
          <w:sz w:val="24"/>
          <w:szCs w:val="24"/>
        </w:rPr>
        <w:t xml:space="preserve">Комисията ще предложи разпоредби, за да бъде възможно други енергоносители да предоставят на потребителите на газ и централно отопление подобни права. </w:t>
      </w:r>
    </w:p>
    <w:p>
      <w:pPr>
        <w:spacing w:after="240" w:line="240" w:lineRule="auto"/>
        <w:jc w:val="both"/>
        <w:rPr>
          <w:rFonts w:ascii="Times New Roman" w:hAnsi="Times New Roman" w:cs="Times New Roman"/>
          <w:noProof/>
          <w:sz w:val="24"/>
          <w:szCs w:val="24"/>
        </w:rPr>
      </w:pPr>
      <w:r>
        <w:rPr>
          <w:rFonts w:ascii="Times New Roman" w:hAnsi="Times New Roman"/>
          <w:b/>
          <w:bCs/>
          <w:noProof/>
          <w:sz w:val="24"/>
          <w:szCs w:val="24"/>
        </w:rPr>
        <w:t xml:space="preserve">Цифровата трансформация предлага също и други нови възможности за предоставяне на по-целенасочена и разбираема информация. </w:t>
      </w:r>
      <w:r>
        <w:rPr>
          <w:rFonts w:ascii="Times New Roman" w:hAnsi="Times New Roman"/>
          <w:noProof/>
          <w:sz w:val="24"/>
          <w:szCs w:val="24"/>
        </w:rPr>
        <w:t>Разработването на цифрови паспорти на продуктите съгласно Инициативата за устойчиви продукти</w:t>
      </w:r>
      <w:r>
        <w:rPr>
          <w:rFonts w:ascii="Times New Roman" w:hAnsi="Times New Roman" w:cs="Times New Roman"/>
          <w:noProof/>
          <w:sz w:val="24"/>
          <w:szCs w:val="24"/>
          <w:vertAlign w:val="superscript"/>
          <w:lang w:val="en-GB"/>
        </w:rPr>
        <w:footnoteReference w:id="48"/>
      </w:r>
      <w:r>
        <w:rPr>
          <w:rFonts w:ascii="Times New Roman" w:hAnsi="Times New Roman"/>
          <w:noProof/>
          <w:sz w:val="24"/>
          <w:szCs w:val="24"/>
        </w:rPr>
        <w:t xml:space="preserve"> ще има за цел да спомогне за информирането на потребителите за екологичните и свързаните с кръговата икономика аспекти на продуктите. В по-широк смисъл цифровата информация може да даде възможност на потребителите да проверяват надеждността на информацията, да правят сравнения между продуктите, но също така да ги информира по-цялостно за тяхното въздействие върху върху околната среда, например техния въглероден отпечатък. Действия и ресурси, включително от Инструмента за техническа подкрепа за изграждане на капацитет</w:t>
      </w:r>
      <w:r>
        <w:rPr>
          <w:rFonts w:ascii="Times New Roman" w:hAnsi="Times New Roman" w:cs="Times New Roman"/>
          <w:noProof/>
          <w:sz w:val="24"/>
          <w:szCs w:val="24"/>
          <w:vertAlign w:val="superscript"/>
          <w:lang w:val="en-GB"/>
        </w:rPr>
        <w:footnoteReference w:id="49"/>
      </w:r>
      <w:r>
        <w:rPr>
          <w:rFonts w:ascii="Times New Roman" w:hAnsi="Times New Roman"/>
          <w:noProof/>
          <w:sz w:val="24"/>
          <w:szCs w:val="24"/>
        </w:rPr>
        <w:t xml:space="preserve"> съгласно следващата МФР</w:t>
      </w:r>
      <w:r>
        <w:rPr>
          <w:rFonts w:ascii="Segoe UI" w:hAnsi="Segoe UI"/>
          <w:noProof/>
          <w:color w:val="444444"/>
          <w:sz w:val="21"/>
          <w:szCs w:val="21"/>
          <w:shd w:val="clear" w:color="auto" w:fill="FFFFFF"/>
        </w:rPr>
        <w:t xml:space="preserve">, </w:t>
      </w:r>
      <w:r>
        <w:rPr>
          <w:rFonts w:ascii="Times New Roman" w:hAnsi="Times New Roman"/>
          <w:noProof/>
          <w:sz w:val="24"/>
          <w:szCs w:val="24"/>
        </w:rPr>
        <w:t>следва да се използват за подпомагане на инициативите, които насърчават и задействат ясна, неутрална по отношение на климата култура на устойчиво потребление и поведение. Това трябва да става по достъпен, иновативен и привлекателен начин, напр. чрез приложения за смартфони и уебсайтове</w:t>
      </w:r>
      <w:r>
        <w:rPr>
          <w:rFonts w:ascii="Times New Roman" w:hAnsi="Times New Roman" w:cs="Times New Roman"/>
          <w:noProof/>
          <w:sz w:val="24"/>
          <w:szCs w:val="24"/>
          <w:vertAlign w:val="superscript"/>
          <w:lang w:val="en-GB"/>
        </w:rPr>
        <w:footnoteReference w:id="50"/>
      </w:r>
      <w:r>
        <w:rPr>
          <w:rFonts w:ascii="Times New Roman" w:hAnsi="Times New Roman"/>
          <w:noProof/>
          <w:sz w:val="24"/>
          <w:szCs w:val="24"/>
        </w:rPr>
        <w:t>, като се използват съществуващите инструменти</w:t>
      </w:r>
      <w:r>
        <w:rPr>
          <w:rFonts w:ascii="Times New Roman" w:hAnsi="Times New Roman" w:cs="Times New Roman"/>
          <w:noProof/>
          <w:sz w:val="24"/>
          <w:szCs w:val="24"/>
          <w:vertAlign w:val="superscript"/>
          <w:lang w:val="en-GB"/>
        </w:rPr>
        <w:footnoteReference w:id="51"/>
      </w:r>
      <w:r>
        <w:rPr>
          <w:rFonts w:ascii="Times New Roman" w:hAnsi="Times New Roman"/>
          <w:noProof/>
          <w:sz w:val="24"/>
          <w:szCs w:val="24"/>
        </w:rPr>
        <w:t>.</w:t>
      </w:r>
    </w:p>
    <w:p>
      <w:pPr>
        <w:spacing w:after="240" w:line="240" w:lineRule="auto"/>
        <w:jc w:val="both"/>
        <w:rPr>
          <w:rFonts w:ascii="Times New Roman" w:hAnsi="Times New Roman" w:cs="Times New Roman"/>
          <w:noProof/>
          <w:sz w:val="24"/>
          <w:szCs w:val="24"/>
        </w:rPr>
      </w:pPr>
      <w:r>
        <w:rPr>
          <w:rFonts w:ascii="Times New Roman" w:hAnsi="Times New Roman"/>
          <w:b/>
          <w:bCs/>
          <w:noProof/>
          <w:sz w:val="24"/>
          <w:szCs w:val="24"/>
        </w:rPr>
        <w:t>Предприятията</w:t>
      </w:r>
      <w:r>
        <w:rPr>
          <w:rFonts w:ascii="Times New Roman" w:hAnsi="Times New Roman"/>
          <w:noProof/>
          <w:sz w:val="24"/>
          <w:szCs w:val="24"/>
        </w:rPr>
        <w:t xml:space="preserve">, включително МСП, биха могли да играят важна роля в търсенето на по-екологосъобразно потребление. Интегрирането на целите за устойчивост в корпоративните стратегии и вземането на решения може да доведе до възможност за достъп до по-устойчиви продукти. Примерите за добри практики варират от мониторинг на въздействията върху околната среда и природния капитал, зависимостите и рисковете по цялата верига за създаване на стойност, включването на информация за околната среда в оповестяването на информация на потребителите до вземането под внимание на потребителските интереси в решенията на корпоративния съвет. През 2021 г. Комисията планира да представи законодателна инициатива относно </w:t>
      </w:r>
      <w:r>
        <w:rPr>
          <w:rFonts w:ascii="Times New Roman" w:hAnsi="Times New Roman"/>
          <w:b/>
          <w:bCs/>
          <w:noProof/>
          <w:sz w:val="24"/>
          <w:szCs w:val="24"/>
        </w:rPr>
        <w:t>устойчивото корпоративно управление</w:t>
      </w:r>
      <w:r>
        <w:rPr>
          <w:rFonts w:ascii="Times New Roman" w:hAnsi="Times New Roman"/>
          <w:noProof/>
          <w:sz w:val="24"/>
          <w:szCs w:val="24"/>
        </w:rPr>
        <w:t xml:space="preserve"> с цел насърчаване на дългосрочно устойчиво и отговорно корпоративно поведение</w:t>
      </w:r>
      <w:r>
        <w:rPr>
          <w:rFonts w:ascii="Times New Roman" w:hAnsi="Times New Roman" w:cs="Times New Roman"/>
          <w:noProof/>
          <w:sz w:val="24"/>
          <w:szCs w:val="24"/>
          <w:vertAlign w:val="superscript"/>
          <w:lang w:val="en-GB"/>
        </w:rPr>
        <w:footnoteReference w:id="52"/>
      </w:r>
      <w:r>
        <w:rPr>
          <w:rFonts w:ascii="Times New Roman" w:hAnsi="Times New Roman"/>
          <w:noProof/>
          <w:sz w:val="24"/>
          <w:szCs w:val="24"/>
        </w:rPr>
        <w:t xml:space="preserve">. За да стимулира повече доброволни корпоративни действия, Комисията планира да работи с икономически оператори, за да насърчи </w:t>
      </w:r>
      <w:r>
        <w:rPr>
          <w:rFonts w:ascii="Times New Roman" w:hAnsi="Times New Roman"/>
          <w:b/>
          <w:bCs/>
          <w:noProof/>
          <w:sz w:val="24"/>
          <w:szCs w:val="24"/>
        </w:rPr>
        <w:t>доброволно поети от тях ангажименти</w:t>
      </w:r>
      <w:r>
        <w:rPr>
          <w:rFonts w:ascii="Times New Roman" w:hAnsi="Times New Roman"/>
          <w:noProof/>
          <w:sz w:val="24"/>
          <w:szCs w:val="24"/>
        </w:rPr>
        <w:t xml:space="preserve"> да уведомяват потребителите за отпечатъка на дружеството върху околната среда, да подобряват своята устойчивост и да намаляват въздействието върху околната среда. Тези ангажименти ще бъдат разработени в синхрон с предстоящия Европейски пакт за климата. Те ще се основават на съществуващите методологии, инструменти и приложимо законодателство</w:t>
      </w:r>
      <w:r>
        <w:rPr>
          <w:rFonts w:ascii="Times New Roman" w:hAnsi="Times New Roman" w:cs="Times New Roman"/>
          <w:noProof/>
          <w:sz w:val="24"/>
          <w:szCs w:val="24"/>
          <w:vertAlign w:val="superscript"/>
          <w:lang w:val="en-GB"/>
        </w:rPr>
        <w:footnoteReference w:id="53"/>
      </w:r>
      <w:r>
        <w:rPr>
          <w:rFonts w:ascii="Times New Roman" w:hAnsi="Times New Roman"/>
          <w:noProof/>
          <w:sz w:val="24"/>
          <w:szCs w:val="24"/>
        </w:rPr>
        <w:t xml:space="preserve">. С течение на времето въз основа на все по-разнородна ангажираност, тези ангажименти биха могли да привлекат участници от широк кръг сектори. </w:t>
      </w:r>
    </w:p>
    <w:p>
      <w:pPr>
        <w:numPr>
          <w:ilvl w:val="0"/>
          <w:numId w:val="12"/>
        </w:numPr>
        <w:pBdr>
          <w:top w:val="single" w:sz="4" w:space="1" w:color="auto"/>
          <w:left w:val="single" w:sz="4" w:space="4" w:color="auto"/>
          <w:bottom w:val="single" w:sz="4" w:space="6" w:color="auto"/>
          <w:right w:val="single" w:sz="4" w:space="4" w:color="auto"/>
        </w:pBdr>
        <w:spacing w:after="240" w:line="240" w:lineRule="auto"/>
        <w:contextualSpacing/>
        <w:jc w:val="both"/>
        <w:rPr>
          <w:rFonts w:ascii="Times New Roman" w:hAnsi="Times New Roman" w:cs="Times New Roman"/>
          <w:b/>
          <w:bCs/>
          <w:noProof/>
          <w:sz w:val="24"/>
          <w:szCs w:val="24"/>
        </w:rPr>
      </w:pPr>
      <w:r>
        <w:rPr>
          <w:rFonts w:ascii="Times New Roman" w:hAnsi="Times New Roman"/>
          <w:b/>
          <w:bCs/>
          <w:noProof/>
          <w:sz w:val="24"/>
          <w:szCs w:val="24"/>
        </w:rPr>
        <w:t xml:space="preserve">Действие 4: </w:t>
      </w:r>
      <w:r>
        <w:rPr>
          <w:rFonts w:ascii="Times New Roman" w:hAnsi="Times New Roman"/>
          <w:noProof/>
          <w:sz w:val="24"/>
          <w:szCs w:val="24"/>
        </w:rPr>
        <w:t>През 2021 г. Комисията планира да представи законодателно</w:t>
      </w:r>
      <w:r>
        <w:rPr>
          <w:rFonts w:ascii="Times New Roman" w:hAnsi="Times New Roman"/>
          <w:b/>
          <w:noProof/>
          <w:sz w:val="24"/>
          <w:szCs w:val="24"/>
        </w:rPr>
        <w:t xml:space="preserve"> предложение за предоставяне на повече възможности на</w:t>
      </w:r>
      <w:r>
        <w:rPr>
          <w:rFonts w:ascii="Times New Roman" w:hAnsi="Times New Roman"/>
          <w:noProof/>
          <w:sz w:val="24"/>
          <w:szCs w:val="24"/>
        </w:rPr>
        <w:t xml:space="preserve"> </w:t>
      </w:r>
      <w:r>
        <w:rPr>
          <w:rFonts w:ascii="Times New Roman" w:hAnsi="Times New Roman"/>
          <w:b/>
          <w:noProof/>
          <w:sz w:val="24"/>
          <w:szCs w:val="24"/>
        </w:rPr>
        <w:t>потребителите във връзка с екологичния преход</w:t>
      </w:r>
      <w:r>
        <w:rPr>
          <w:rFonts w:ascii="Times New Roman" w:hAnsi="Times New Roman"/>
          <w:noProof/>
          <w:sz w:val="24"/>
          <w:szCs w:val="24"/>
        </w:rPr>
        <w:t xml:space="preserve"> с по-добра информация относно устойчивостта на продуктите и по-добрата защита срещу определени практики, като например заблуждаващите твърдения за екологосъобразност и преждевременното излизане от употреба на продукти, както и законодателно </w:t>
      </w:r>
      <w:r>
        <w:rPr>
          <w:rFonts w:ascii="Times New Roman" w:hAnsi="Times New Roman"/>
          <w:b/>
          <w:noProof/>
          <w:sz w:val="24"/>
          <w:szCs w:val="24"/>
        </w:rPr>
        <w:t>предложение относно обосноваването на твърденията за екологосъобразност</w:t>
      </w:r>
      <w:r>
        <w:rPr>
          <w:rFonts w:ascii="Times New Roman" w:hAnsi="Times New Roman"/>
          <w:noProof/>
          <w:sz w:val="24"/>
          <w:szCs w:val="24"/>
        </w:rPr>
        <w:t xml:space="preserve"> въз основа на методите за определяне на отпечатъка върху околната среда.</w:t>
      </w:r>
    </w:p>
    <w:p>
      <w:pPr>
        <w:pBdr>
          <w:top w:val="single" w:sz="4" w:space="1" w:color="auto"/>
          <w:left w:val="single" w:sz="4" w:space="4" w:color="auto"/>
          <w:bottom w:val="single" w:sz="4" w:space="6" w:color="auto"/>
          <w:right w:val="single" w:sz="4" w:space="4" w:color="auto"/>
        </w:pBdr>
        <w:spacing w:after="240" w:line="240" w:lineRule="auto"/>
        <w:ind w:left="360"/>
        <w:contextualSpacing/>
        <w:jc w:val="both"/>
        <w:rPr>
          <w:rFonts w:ascii="Times New Roman" w:hAnsi="Times New Roman" w:cs="Times New Roman"/>
          <w:b/>
          <w:bCs/>
          <w:noProof/>
          <w:sz w:val="24"/>
          <w:szCs w:val="24"/>
        </w:rPr>
      </w:pPr>
    </w:p>
    <w:p>
      <w:pPr>
        <w:numPr>
          <w:ilvl w:val="0"/>
          <w:numId w:val="12"/>
        </w:numPr>
        <w:pBdr>
          <w:top w:val="single" w:sz="4" w:space="1" w:color="auto"/>
          <w:left w:val="single" w:sz="4" w:space="4" w:color="auto"/>
          <w:bottom w:val="single" w:sz="4" w:space="6" w:color="auto"/>
          <w:right w:val="single" w:sz="4" w:space="4" w:color="auto"/>
        </w:pBdr>
        <w:spacing w:after="240" w:line="240" w:lineRule="auto"/>
        <w:contextualSpacing/>
        <w:jc w:val="both"/>
        <w:rPr>
          <w:rFonts w:ascii="Times New Roman" w:hAnsi="Times New Roman" w:cs="Times New Roman"/>
          <w:b/>
          <w:bCs/>
          <w:noProof/>
          <w:sz w:val="24"/>
          <w:szCs w:val="24"/>
        </w:rPr>
      </w:pPr>
      <w:r>
        <w:rPr>
          <w:rFonts w:ascii="Times New Roman" w:hAnsi="Times New Roman"/>
          <w:b/>
          <w:bCs/>
          <w:noProof/>
          <w:sz w:val="24"/>
          <w:szCs w:val="24"/>
        </w:rPr>
        <w:t>Действие 5: Като започва още през тази година</w:t>
      </w:r>
      <w:r>
        <w:rPr>
          <w:rFonts w:ascii="Times New Roman" w:hAnsi="Times New Roman"/>
          <w:noProof/>
          <w:sz w:val="24"/>
          <w:szCs w:val="24"/>
        </w:rPr>
        <w:t xml:space="preserve">, Комисията планира да работи заедно с икономически оператори, за да насърчи </w:t>
      </w:r>
      <w:r>
        <w:rPr>
          <w:rFonts w:ascii="Times New Roman" w:hAnsi="Times New Roman"/>
          <w:b/>
          <w:bCs/>
          <w:noProof/>
          <w:sz w:val="24"/>
          <w:szCs w:val="24"/>
        </w:rPr>
        <w:t xml:space="preserve">доброволно поетите </w:t>
      </w:r>
      <w:r>
        <w:rPr>
          <w:rFonts w:ascii="Times New Roman" w:hAnsi="Times New Roman"/>
          <w:noProof/>
          <w:sz w:val="24"/>
          <w:szCs w:val="24"/>
        </w:rPr>
        <w:t xml:space="preserve">от тях </w:t>
      </w:r>
      <w:r>
        <w:rPr>
          <w:rFonts w:ascii="Times New Roman" w:hAnsi="Times New Roman"/>
          <w:b/>
          <w:bCs/>
          <w:noProof/>
          <w:sz w:val="24"/>
          <w:szCs w:val="24"/>
        </w:rPr>
        <w:t>ангажименти</w:t>
      </w:r>
      <w:r>
        <w:rPr>
          <w:rFonts w:ascii="Times New Roman" w:hAnsi="Times New Roman"/>
          <w:noProof/>
          <w:sz w:val="24"/>
          <w:szCs w:val="24"/>
        </w:rPr>
        <w:t xml:space="preserve"> за действия в подкрепа на устойчиво потребление, надхвърлящо законовите изисквания.</w:t>
      </w:r>
    </w:p>
    <w:p>
      <w:pPr>
        <w:pBdr>
          <w:top w:val="single" w:sz="4" w:space="1" w:color="auto"/>
          <w:left w:val="single" w:sz="4" w:space="4" w:color="auto"/>
          <w:bottom w:val="single" w:sz="4" w:space="6" w:color="auto"/>
          <w:right w:val="single" w:sz="4" w:space="4" w:color="auto"/>
        </w:pBdr>
        <w:spacing w:after="240" w:line="240" w:lineRule="auto"/>
        <w:ind w:left="360"/>
        <w:contextualSpacing/>
        <w:jc w:val="both"/>
        <w:rPr>
          <w:rFonts w:ascii="Times New Roman" w:hAnsi="Times New Roman" w:cs="Times New Roman"/>
          <w:b/>
          <w:bCs/>
          <w:noProof/>
          <w:sz w:val="24"/>
          <w:szCs w:val="24"/>
        </w:rPr>
      </w:pPr>
    </w:p>
    <w:p>
      <w:pPr>
        <w:numPr>
          <w:ilvl w:val="0"/>
          <w:numId w:val="12"/>
        </w:numPr>
        <w:pBdr>
          <w:top w:val="single" w:sz="4" w:space="1" w:color="auto"/>
          <w:left w:val="single" w:sz="4" w:space="4" w:color="auto"/>
          <w:bottom w:val="single" w:sz="4" w:space="6" w:color="auto"/>
          <w:right w:val="single" w:sz="4" w:space="4" w:color="auto"/>
        </w:pBdr>
        <w:spacing w:after="240" w:line="240" w:lineRule="auto"/>
        <w:contextualSpacing/>
        <w:jc w:val="both"/>
        <w:rPr>
          <w:rFonts w:ascii="Times New Roman" w:hAnsi="Times New Roman" w:cs="Times New Roman"/>
          <w:b/>
          <w:bCs/>
          <w:noProof/>
          <w:sz w:val="24"/>
          <w:szCs w:val="24"/>
        </w:rPr>
      </w:pPr>
      <w:r>
        <w:rPr>
          <w:rFonts w:ascii="Times New Roman" w:hAnsi="Times New Roman"/>
          <w:b/>
          <w:bCs/>
          <w:noProof/>
          <w:sz w:val="24"/>
          <w:szCs w:val="24"/>
        </w:rPr>
        <w:t xml:space="preserve">Действие 6: </w:t>
      </w:r>
      <w:r>
        <w:rPr>
          <w:rFonts w:ascii="Times New Roman" w:hAnsi="Times New Roman"/>
          <w:noProof/>
          <w:sz w:val="24"/>
          <w:szCs w:val="24"/>
        </w:rPr>
        <w:t xml:space="preserve">От 2022 г. Комисията ще направи оценка, в контекста на преразглеждането на Директивата относно продажбата на стоки, как </w:t>
      </w:r>
      <w:r>
        <w:rPr>
          <w:rFonts w:ascii="Times New Roman" w:hAnsi="Times New Roman"/>
          <w:b/>
          <w:bCs/>
          <w:noProof/>
          <w:sz w:val="24"/>
          <w:szCs w:val="24"/>
        </w:rPr>
        <w:t>допълнително да се подпомогне ремонтирането и да се насърчат по-устойчивите продукти на кръговата икономика.</w:t>
      </w:r>
      <w:r>
        <w:rPr>
          <w:rFonts w:ascii="Times New Roman" w:hAnsi="Times New Roman"/>
          <w:noProof/>
          <w:sz w:val="24"/>
          <w:szCs w:val="24"/>
          <w:u w:val="single"/>
        </w:rPr>
        <w:t xml:space="preserve"> </w:t>
      </w:r>
    </w:p>
    <w:p>
      <w:pPr>
        <w:spacing w:after="240" w:line="240" w:lineRule="auto"/>
        <w:ind w:left="720"/>
        <w:contextualSpacing/>
        <w:jc w:val="both"/>
        <w:rPr>
          <w:rFonts w:ascii="Times New Roman" w:hAnsi="Times New Roman" w:cs="Times New Roman"/>
          <w:b/>
          <w:bCs/>
          <w:noProof/>
          <w:sz w:val="24"/>
          <w:szCs w:val="24"/>
        </w:rPr>
      </w:pPr>
    </w:p>
    <w:p>
      <w:pPr>
        <w:spacing w:after="240" w:line="240" w:lineRule="auto"/>
        <w:ind w:left="720"/>
        <w:contextualSpacing/>
        <w:jc w:val="both"/>
        <w:rPr>
          <w:rFonts w:ascii="Times New Roman" w:hAnsi="Times New Roman" w:cs="Times New Roman"/>
          <w:b/>
          <w:bCs/>
          <w:noProof/>
          <w:sz w:val="24"/>
          <w:szCs w:val="24"/>
        </w:rPr>
      </w:pPr>
    </w:p>
    <w:p>
      <w:pPr>
        <w:numPr>
          <w:ilvl w:val="1"/>
          <w:numId w:val="1"/>
        </w:numPr>
        <w:spacing w:after="24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 Цифрова трансформация</w:t>
      </w:r>
    </w:p>
    <w:p>
      <w:pPr>
        <w:pBdr>
          <w:top w:val="single" w:sz="4" w:space="1" w:color="auto"/>
          <w:left w:val="single" w:sz="4" w:space="0" w:color="auto"/>
          <w:bottom w:val="single" w:sz="4" w:space="6" w:color="auto"/>
          <w:right w:val="single" w:sz="4" w:space="4" w:color="auto"/>
        </w:pBdr>
        <w:spacing w:after="240" w:line="240" w:lineRule="auto"/>
        <w:jc w:val="both"/>
        <w:rPr>
          <w:rFonts w:ascii="Times New Roman" w:hAnsi="Times New Roman" w:cs="Times New Roman"/>
          <w:i/>
          <w:iCs/>
          <w:noProof/>
          <w:sz w:val="24"/>
          <w:szCs w:val="24"/>
        </w:rPr>
      </w:pPr>
      <w:r>
        <w:rPr>
          <w:rFonts w:ascii="Times New Roman" w:hAnsi="Times New Roman"/>
          <w:i/>
          <w:iCs/>
          <w:noProof/>
          <w:sz w:val="24"/>
          <w:szCs w:val="24"/>
        </w:rPr>
        <w:t>Пример: Между 2014 г. и 2019 г. делът на интернет потребителите в ЕС, които са закупили или поръчали стоки или услуги за лично ползване онлайн, е нараснал от 63 % на 71 %; в пет държави членки</w:t>
      </w:r>
      <w:r>
        <w:rPr>
          <w:rFonts w:ascii="Times New Roman" w:hAnsi="Times New Roman" w:cs="Times New Roman"/>
          <w:i/>
          <w:iCs/>
          <w:noProof/>
          <w:sz w:val="24"/>
          <w:szCs w:val="24"/>
          <w:vertAlign w:val="superscript"/>
          <w:lang w:val="en-GB"/>
        </w:rPr>
        <w:footnoteReference w:id="54"/>
      </w:r>
      <w:r>
        <w:rPr>
          <w:rFonts w:ascii="Times New Roman" w:hAnsi="Times New Roman"/>
          <w:i/>
          <w:iCs/>
          <w:noProof/>
          <w:sz w:val="24"/>
          <w:szCs w:val="24"/>
        </w:rPr>
        <w:t xml:space="preserve"> тези цифри надхвърлят 80 %</w:t>
      </w:r>
      <w:r>
        <w:rPr>
          <w:rFonts w:ascii="Times New Roman" w:hAnsi="Times New Roman" w:cs="Times New Roman"/>
          <w:i/>
          <w:iCs/>
          <w:noProof/>
          <w:sz w:val="24"/>
          <w:szCs w:val="24"/>
          <w:vertAlign w:val="superscript"/>
          <w:lang w:val="en-GB"/>
        </w:rPr>
        <w:footnoteReference w:id="55"/>
      </w:r>
      <w:r>
        <w:rPr>
          <w:rFonts w:ascii="Times New Roman" w:hAnsi="Times New Roman"/>
          <w:i/>
          <w:iCs/>
          <w:noProof/>
          <w:sz w:val="24"/>
          <w:szCs w:val="24"/>
        </w:rPr>
        <w:t xml:space="preserve">. Онлайн защитата на потребителите следва да бъде съпоставима с тази, която получават офлайн. </w:t>
      </w:r>
      <w:r>
        <w:rPr>
          <w:rFonts w:ascii="Times New Roman" w:hAnsi="Times New Roman"/>
          <w:i/>
          <w:noProof/>
          <w:sz w:val="24"/>
          <w:szCs w:val="24"/>
        </w:rPr>
        <w:t>Правилата следва да бъдат пригодени към свързаната среда, за да се гарантира, че интелигентните домашни устройства например не пораждат рискове, свързани с киберсигурността, а онлайн предложенията за кредит предоставят необходимата информация, която се чете ясно и е достъпна на смартфон.</w:t>
      </w:r>
    </w:p>
    <w:p>
      <w:pPr>
        <w:spacing w:after="240" w:line="240" w:lineRule="auto"/>
        <w:jc w:val="both"/>
        <w:rPr>
          <w:rFonts w:ascii="Times New Roman" w:hAnsi="Times New Roman" w:cs="Times New Roman"/>
          <w:noProof/>
          <w:sz w:val="24"/>
          <w:szCs w:val="24"/>
        </w:rPr>
      </w:pPr>
      <w:r>
        <w:rPr>
          <w:rFonts w:ascii="Times New Roman" w:hAnsi="Times New Roman"/>
          <w:b/>
          <w:bCs/>
          <w:noProof/>
          <w:sz w:val="24"/>
          <w:szCs w:val="24"/>
        </w:rPr>
        <w:t>Цифровата трансформация променя из основи живота на потребителите</w:t>
      </w:r>
      <w:r>
        <w:rPr>
          <w:rFonts w:ascii="Times New Roman" w:hAnsi="Times New Roman"/>
          <w:noProof/>
          <w:sz w:val="24"/>
          <w:szCs w:val="24"/>
        </w:rPr>
        <w:t>, като им предоставя повече възможности и по-широк избор както на стоки, така и на услуги. В същото време тя може да ги затрудни да направят информиран избор и да защитят своите интереси. Събирането на базови данни и тяхната обработка, съчетано с анализ на поведението на потребителите и техните когнитивни нагласи, могат да бъдат използвани, за да се повлияе върху потребителите да вземат решения, които е възможно да противоречат на техния интерес. Това може да ограничи ефективността на настоящите правила, предназначени да защитават потребителите в цифровата среда срещу, наред с другото, нелоялните търговски практики. Директивата относно по-доброто прилагане и модернизирането на законодателството за защита на потребителите</w:t>
      </w:r>
      <w:r>
        <w:rPr>
          <w:rFonts w:ascii="Times New Roman" w:hAnsi="Times New Roman" w:cs="Times New Roman"/>
          <w:noProof/>
          <w:sz w:val="24"/>
          <w:szCs w:val="24"/>
          <w:vertAlign w:val="superscript"/>
        </w:rPr>
        <w:footnoteReference w:id="56"/>
      </w:r>
      <w:r>
        <w:rPr>
          <w:rFonts w:ascii="Times New Roman" w:hAnsi="Times New Roman"/>
          <w:noProof/>
          <w:sz w:val="24"/>
          <w:szCs w:val="24"/>
        </w:rPr>
        <w:t xml:space="preserve"> и Директивата за цифровото съдържание</w:t>
      </w:r>
      <w:r>
        <w:rPr>
          <w:rFonts w:ascii="Times New Roman" w:hAnsi="Times New Roman" w:cs="Times New Roman"/>
          <w:noProof/>
          <w:sz w:val="24"/>
          <w:szCs w:val="24"/>
          <w:vertAlign w:val="superscript"/>
        </w:rPr>
        <w:footnoteReference w:id="57"/>
      </w:r>
      <w:r>
        <w:rPr>
          <w:rFonts w:ascii="Times New Roman" w:hAnsi="Times New Roman"/>
          <w:noProof/>
          <w:sz w:val="24"/>
          <w:szCs w:val="24"/>
        </w:rPr>
        <w:t xml:space="preserve"> са важни стъпки към преодоляване на някои от тези предизвикателства. Предвид бързия темп на технологичния прогрес и неговото въздействие върху опита на потребителите са необходими допълнителни действия.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Трябва да се обърне внимание на търговските практики, които пренебрегват правото на потребителите да направят информиран избор, злоупотребяват с поведенческите им нагласи или изкривяват процеса на вземане на решения. Тези практики включват използването на „тъмни“ модели</w:t>
      </w:r>
      <w:r>
        <w:rPr>
          <w:rFonts w:ascii="Times New Roman" w:hAnsi="Times New Roman" w:cs="Times New Roman"/>
          <w:noProof/>
          <w:sz w:val="24"/>
          <w:szCs w:val="24"/>
          <w:vertAlign w:val="superscript"/>
          <w:lang w:val="en-GB"/>
        </w:rPr>
        <w:footnoteReference w:id="58"/>
      </w:r>
      <w:r>
        <w:rPr>
          <w:rFonts w:ascii="Times New Roman" w:hAnsi="Times New Roman"/>
          <w:noProof/>
          <w:sz w:val="24"/>
          <w:szCs w:val="24"/>
        </w:rPr>
        <w:t xml:space="preserve">, някои практики за персонализиране, които често се основават на профилиране, скрита реклама, измама, невярна или подвеждаща информация и манипулирани потребителски отзиви. По отношение на тези практики са необходими допълнителни насоки относно приложимостта на инструментите на законодателството за защита на потребителите, като например </w:t>
      </w:r>
      <w:r>
        <w:rPr>
          <w:rFonts w:ascii="Times New Roman" w:hAnsi="Times New Roman"/>
          <w:b/>
          <w:noProof/>
          <w:sz w:val="24"/>
          <w:szCs w:val="24"/>
        </w:rPr>
        <w:t>Директивата за нелоялните търговски практики</w:t>
      </w:r>
      <w:r>
        <w:rPr>
          <w:rFonts w:ascii="Times New Roman" w:hAnsi="Times New Roman"/>
          <w:noProof/>
          <w:sz w:val="24"/>
          <w:szCs w:val="24"/>
        </w:rPr>
        <w:t xml:space="preserve"> и </w:t>
      </w:r>
      <w:r>
        <w:rPr>
          <w:rFonts w:ascii="Times New Roman" w:hAnsi="Times New Roman"/>
          <w:b/>
          <w:noProof/>
          <w:sz w:val="24"/>
          <w:szCs w:val="24"/>
        </w:rPr>
        <w:t>Директивата относно защитата на правата на потребителите.</w:t>
      </w:r>
      <w:r>
        <w:rPr>
          <w:rFonts w:ascii="Times New Roman" w:hAnsi="Times New Roman"/>
          <w:noProof/>
          <w:sz w:val="24"/>
          <w:szCs w:val="24"/>
        </w:rPr>
        <w:t xml:space="preserve"> В крайна сметка </w:t>
      </w:r>
      <w:r>
        <w:rPr>
          <w:rFonts w:ascii="Times New Roman" w:hAnsi="Times New Roman"/>
          <w:b/>
          <w:bCs/>
          <w:noProof/>
          <w:sz w:val="24"/>
          <w:szCs w:val="24"/>
        </w:rPr>
        <w:t>равнището на защита и справедливост</w:t>
      </w:r>
      <w:r>
        <w:rPr>
          <w:rFonts w:ascii="Times New Roman" w:hAnsi="Times New Roman"/>
          <w:noProof/>
          <w:sz w:val="24"/>
          <w:szCs w:val="24"/>
        </w:rPr>
        <w:t xml:space="preserve">, което имат потребителите </w:t>
      </w:r>
      <w:r>
        <w:rPr>
          <w:rFonts w:ascii="Times New Roman" w:hAnsi="Times New Roman"/>
          <w:b/>
          <w:bCs/>
          <w:noProof/>
          <w:sz w:val="24"/>
          <w:szCs w:val="24"/>
        </w:rPr>
        <w:t>онлайн</w:t>
      </w:r>
      <w:r>
        <w:rPr>
          <w:rFonts w:ascii="Times New Roman" w:hAnsi="Times New Roman"/>
          <w:noProof/>
          <w:sz w:val="24"/>
          <w:szCs w:val="24"/>
        </w:rPr>
        <w:t xml:space="preserve">, следва да бъде </w:t>
      </w:r>
      <w:r>
        <w:rPr>
          <w:rFonts w:ascii="Times New Roman" w:hAnsi="Times New Roman"/>
          <w:b/>
          <w:bCs/>
          <w:noProof/>
          <w:sz w:val="24"/>
          <w:szCs w:val="24"/>
        </w:rPr>
        <w:t>сравнимо с това, от което се ползват офлайн.</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За да се гарантира, че потребителите извличат цялостна полза от значителния потенциал на цифровата трансформация, техните интереси следва да бъдат взети предвид при разработването или адаптирането на </w:t>
      </w:r>
      <w:r>
        <w:rPr>
          <w:rFonts w:ascii="Times New Roman" w:hAnsi="Times New Roman"/>
          <w:b/>
          <w:bCs/>
          <w:noProof/>
          <w:sz w:val="24"/>
          <w:szCs w:val="24"/>
        </w:rPr>
        <w:t>правилата, регулиращи цифровата икономика</w:t>
      </w:r>
      <w:r>
        <w:rPr>
          <w:rFonts w:ascii="Times New Roman" w:hAnsi="Times New Roman"/>
          <w:noProof/>
          <w:sz w:val="24"/>
          <w:szCs w:val="24"/>
        </w:rPr>
        <w:t>. Тези действия имат двояка цел: да се създаде по-безопасно цифрово пространство за потребителите, където техните права са защитени, и да се осигурят еднакви условия на конкуренция, позволяващи чрез иновациите да бъдат предоставени по-нови и по-добри услуги за всички европейци.</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На първо място, предстоящото предложение на Комисията за нов </w:t>
      </w:r>
      <w:r>
        <w:rPr>
          <w:rFonts w:ascii="Times New Roman" w:hAnsi="Times New Roman"/>
          <w:b/>
          <w:bCs/>
          <w:noProof/>
          <w:sz w:val="24"/>
          <w:szCs w:val="24"/>
        </w:rPr>
        <w:t>законодателен акт за цифровите услуги (DSA)</w:t>
      </w:r>
      <w:r>
        <w:rPr>
          <w:rFonts w:ascii="Times New Roman" w:hAnsi="Times New Roman"/>
          <w:noProof/>
          <w:sz w:val="24"/>
          <w:szCs w:val="24"/>
        </w:rPr>
        <w:t xml:space="preserve"> ще има за цел да се определят нови и по-големи отговорности, както и да се засили отчетността на онлайн посредниците и платформите. С DSA ще се гарантира, че на онлайн платформите потребителите са ефективно защитени срещу незаконни продукти, съдържание и дейности така, както са защитени и офлайн.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На второ място, за да се разрешат проблемите, възникващи във връзка с цифрови пазари, склонни към пазарна неефективност, като например способността на определени цифрови платформи да действат като пазачи на информационния вход, Комисията планира да представи също </w:t>
      </w:r>
      <w:r>
        <w:rPr>
          <w:rFonts w:ascii="Times New Roman" w:hAnsi="Times New Roman"/>
          <w:b/>
          <w:noProof/>
          <w:sz w:val="24"/>
          <w:szCs w:val="24"/>
        </w:rPr>
        <w:t>законодателен акт за цифровите пазари.</w:t>
      </w:r>
      <w:r>
        <w:rPr>
          <w:rFonts w:ascii="Times New Roman" w:hAnsi="Times New Roman"/>
          <w:noProof/>
          <w:sz w:val="24"/>
          <w:szCs w:val="24"/>
        </w:rPr>
        <w:t xml:space="preserve"> Той ще съчетае предварителното регулиране на цифровите платформи, имащи характеристиките на структури за контрол на достъпа до пазара, с динамична рамка за проучване на пазара, така че да се изследват цифровите пазари, склонни към пазарна неефективност. Потребителите ще бъдат крайните бенецифиери на по-честни и по-оспорвани цифрови пазари, включително по-ниски цени, по-добри и по-нови услуги, и по-голям избор.</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Макар че </w:t>
      </w:r>
      <w:r>
        <w:rPr>
          <w:rFonts w:ascii="Times New Roman" w:hAnsi="Times New Roman"/>
          <w:b/>
          <w:bCs/>
          <w:noProof/>
          <w:sz w:val="24"/>
          <w:szCs w:val="24"/>
        </w:rPr>
        <w:t>изкуственият интелект (ИИ)</w:t>
      </w:r>
      <w:r>
        <w:rPr>
          <w:rFonts w:ascii="Times New Roman" w:hAnsi="Times New Roman"/>
          <w:noProof/>
          <w:sz w:val="24"/>
          <w:szCs w:val="24"/>
        </w:rPr>
        <w:t xml:space="preserve"> може да се използва за много добри дела, някои от начините за неговата употреба могат на нарушат правата на потребителите и да им причинят вреди</w:t>
      </w:r>
      <w:r>
        <w:rPr>
          <w:rFonts w:ascii="Times New Roman" w:hAnsi="Times New Roman" w:cs="Times New Roman"/>
          <w:noProof/>
          <w:sz w:val="24"/>
          <w:szCs w:val="24"/>
          <w:vertAlign w:val="superscript"/>
          <w:lang w:val="en-GB"/>
        </w:rPr>
        <w:footnoteReference w:id="59"/>
      </w:r>
      <w:r>
        <w:rPr>
          <w:rFonts w:ascii="Times New Roman" w:hAnsi="Times New Roman"/>
          <w:noProof/>
          <w:sz w:val="24"/>
          <w:szCs w:val="24"/>
        </w:rPr>
        <w:t>. След изготвянето на Бялата книга за изкуствения интелект</w:t>
      </w:r>
      <w:r>
        <w:rPr>
          <w:rFonts w:ascii="Times New Roman" w:hAnsi="Times New Roman" w:cs="Times New Roman"/>
          <w:noProof/>
          <w:sz w:val="24"/>
          <w:szCs w:val="24"/>
          <w:vertAlign w:val="superscript"/>
          <w:lang w:val="en-GB"/>
        </w:rPr>
        <w:footnoteReference w:id="60"/>
      </w:r>
      <w:r>
        <w:rPr>
          <w:rFonts w:ascii="Times New Roman" w:hAnsi="Times New Roman"/>
          <w:noProof/>
          <w:sz w:val="24"/>
          <w:szCs w:val="24"/>
        </w:rPr>
        <w:t xml:space="preserve"> и придружаващия я доклад относно отговорността и безопасността на новите технологии</w:t>
      </w:r>
      <w:r>
        <w:rPr>
          <w:rFonts w:ascii="Times New Roman" w:hAnsi="Times New Roman" w:cs="Times New Roman"/>
          <w:noProof/>
          <w:sz w:val="24"/>
          <w:szCs w:val="24"/>
          <w:vertAlign w:val="superscript"/>
          <w:lang w:val="en-GB"/>
        </w:rPr>
        <w:footnoteReference w:id="61"/>
      </w:r>
      <w:r>
        <w:rPr>
          <w:rFonts w:ascii="Times New Roman" w:hAnsi="Times New Roman"/>
          <w:noProof/>
          <w:sz w:val="24"/>
          <w:szCs w:val="24"/>
        </w:rPr>
        <w:t xml:space="preserve"> Комисията работи върху:</w:t>
      </w:r>
    </w:p>
    <w:p>
      <w:pPr>
        <w:pStyle w:val="ListParagraph"/>
        <w:numPr>
          <w:ilvl w:val="0"/>
          <w:numId w:val="9"/>
        </w:numPr>
        <w:spacing w:after="240" w:line="240" w:lineRule="auto"/>
        <w:jc w:val="both"/>
        <w:rPr>
          <w:rFonts w:ascii="Times New Roman" w:hAnsi="Times New Roman" w:cs="Times New Roman"/>
          <w:noProof/>
          <w:sz w:val="24"/>
          <w:szCs w:val="24"/>
        </w:rPr>
      </w:pPr>
      <w:r>
        <w:rPr>
          <w:rFonts w:ascii="Times New Roman" w:hAnsi="Times New Roman"/>
          <w:noProof/>
          <w:sz w:val="24"/>
          <w:szCs w:val="24"/>
        </w:rPr>
        <w:t>предложение</w:t>
      </w:r>
      <w:r>
        <w:rPr>
          <w:rFonts w:ascii="Times New Roman" w:hAnsi="Times New Roman" w:cs="Times New Roman"/>
          <w:noProof/>
          <w:vertAlign w:val="superscript"/>
          <w:lang w:val="en-GB"/>
        </w:rPr>
        <w:footnoteReference w:id="62"/>
      </w:r>
      <w:r>
        <w:rPr>
          <w:rFonts w:ascii="Times New Roman" w:hAnsi="Times New Roman"/>
          <w:noProof/>
          <w:sz w:val="24"/>
          <w:szCs w:val="24"/>
        </w:rPr>
        <w:t xml:space="preserve"> за гарантиране на високо равнище на защита на интереса на потребителите и защитата на основните права, и изграждане на свой ред на необходимото доверие за използване на ИИ от обществото;</w:t>
      </w:r>
    </w:p>
    <w:p>
      <w:pPr>
        <w:pStyle w:val="ListParagraph"/>
        <w:numPr>
          <w:ilvl w:val="0"/>
          <w:numId w:val="9"/>
        </w:num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що се отнася до гражданската отговорност — мерки, които да гарантират, че пострадалите от вреди, причинени от приложения на ИИ, на практика имат същото равнище на защита като пострадалите от вреди, причинени от други продукти или услуги.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С напредъка на новите технологии и глобализацията на производството и търговията на дребно, включително чрез онлайн канали, се повдига въпросът дали съществуващите правила за безопасност на продуктите са достатъчни за справяне с текущото развитие и адекватната защита на потребителите. Понастоящем Комисията работи по редица инициативи относно безопасността на новите технологии, като например:</w:t>
      </w:r>
    </w:p>
    <w:p>
      <w:pPr>
        <w:pStyle w:val="ListParagraph"/>
        <w:numPr>
          <w:ilvl w:val="0"/>
          <w:numId w:val="10"/>
        </w:numPr>
        <w:spacing w:after="240" w:line="240" w:lineRule="auto"/>
        <w:jc w:val="both"/>
        <w:rPr>
          <w:rFonts w:ascii="Times New Roman" w:hAnsi="Times New Roman" w:cs="Times New Roman"/>
          <w:noProof/>
          <w:sz w:val="24"/>
          <w:szCs w:val="24"/>
        </w:rPr>
      </w:pPr>
      <w:r>
        <w:rPr>
          <w:rFonts w:ascii="Times New Roman" w:hAnsi="Times New Roman"/>
          <w:noProof/>
          <w:sz w:val="24"/>
          <w:szCs w:val="24"/>
        </w:rPr>
        <w:t>преразглеждане на Директивата относно машините</w:t>
      </w:r>
      <w:r>
        <w:rPr>
          <w:rFonts w:ascii="Times New Roman" w:hAnsi="Times New Roman" w:cs="Times New Roman"/>
          <w:noProof/>
          <w:vertAlign w:val="superscript"/>
          <w:lang w:val="en-GB"/>
        </w:rPr>
        <w:footnoteReference w:id="63"/>
      </w:r>
      <w:r>
        <w:rPr>
          <w:rFonts w:ascii="Times New Roman" w:hAnsi="Times New Roman"/>
          <w:noProof/>
          <w:sz w:val="24"/>
          <w:szCs w:val="24"/>
        </w:rPr>
        <w:t>;</w:t>
      </w:r>
    </w:p>
    <w:p>
      <w:pPr>
        <w:pStyle w:val="ListParagraph"/>
        <w:numPr>
          <w:ilvl w:val="0"/>
          <w:numId w:val="10"/>
        </w:numPr>
        <w:spacing w:after="240" w:line="240" w:lineRule="auto"/>
        <w:jc w:val="both"/>
        <w:rPr>
          <w:rFonts w:ascii="Times New Roman" w:hAnsi="Times New Roman" w:cs="Times New Roman"/>
          <w:noProof/>
          <w:sz w:val="24"/>
          <w:szCs w:val="24"/>
        </w:rPr>
      </w:pPr>
      <w:r>
        <w:rPr>
          <w:rFonts w:ascii="Times New Roman" w:hAnsi="Times New Roman"/>
          <w:noProof/>
          <w:sz w:val="24"/>
          <w:szCs w:val="24"/>
        </w:rPr>
        <w:t>приемането на делегирани актове съгласно Директивата за радиосъоръженията</w:t>
      </w:r>
      <w:r>
        <w:rPr>
          <w:rFonts w:ascii="Times New Roman" w:hAnsi="Times New Roman" w:cs="Times New Roman"/>
          <w:noProof/>
          <w:vertAlign w:val="superscript"/>
          <w:lang w:val="en-GB"/>
        </w:rPr>
        <w:footnoteReference w:id="64"/>
      </w:r>
      <w:r>
        <w:rPr>
          <w:rFonts w:ascii="Times New Roman" w:hAnsi="Times New Roman"/>
          <w:noProof/>
          <w:sz w:val="24"/>
          <w:szCs w:val="24"/>
        </w:rPr>
        <w:t xml:space="preserve">; както и </w:t>
      </w:r>
    </w:p>
    <w:p>
      <w:pPr>
        <w:pStyle w:val="ListParagraph"/>
        <w:numPr>
          <w:ilvl w:val="0"/>
          <w:numId w:val="10"/>
        </w:numPr>
        <w:spacing w:after="240" w:line="240" w:lineRule="auto"/>
        <w:jc w:val="both"/>
        <w:rPr>
          <w:rFonts w:ascii="Times New Roman" w:hAnsi="Times New Roman" w:cs="Times New Roman"/>
          <w:noProof/>
          <w:sz w:val="24"/>
          <w:szCs w:val="24"/>
        </w:rPr>
      </w:pPr>
      <w:r>
        <w:rPr>
          <w:rFonts w:ascii="Times New Roman" w:hAnsi="Times New Roman"/>
          <w:noProof/>
          <w:sz w:val="24"/>
          <w:szCs w:val="24"/>
        </w:rPr>
        <w:t>преразглеждането на Директивата относно общата безопасност на продуктите</w:t>
      </w:r>
      <w:r>
        <w:rPr>
          <w:rFonts w:ascii="Times New Roman" w:hAnsi="Times New Roman" w:cs="Times New Roman"/>
          <w:noProof/>
          <w:vertAlign w:val="superscript"/>
          <w:lang w:val="en-GB"/>
        </w:rPr>
        <w:footnoteReference w:id="65"/>
      </w:r>
      <w:r>
        <w:rPr>
          <w:rFonts w:ascii="Times New Roman" w:hAnsi="Times New Roman"/>
          <w:noProof/>
          <w:sz w:val="24"/>
          <w:szCs w:val="24"/>
        </w:rPr>
        <w:t>.</w:t>
      </w:r>
    </w:p>
    <w:p>
      <w:pPr>
        <w:spacing w:after="240" w:line="240" w:lineRule="auto"/>
        <w:jc w:val="both"/>
        <w:rPr>
          <w:rFonts w:ascii="Times New Roman" w:hAnsi="Times New Roman" w:cs="Times New Roman"/>
          <w:noProof/>
          <w:sz w:val="24"/>
          <w:szCs w:val="24"/>
        </w:rPr>
      </w:pPr>
      <w:r>
        <w:rPr>
          <w:rFonts w:ascii="Times New Roman" w:hAnsi="Times New Roman"/>
          <w:b/>
          <w:bCs/>
          <w:noProof/>
          <w:sz w:val="24"/>
          <w:szCs w:val="24"/>
        </w:rPr>
        <w:t>Директивата относно общата безопасност на продуктите</w:t>
      </w:r>
      <w:r>
        <w:rPr>
          <w:rFonts w:ascii="Times New Roman" w:hAnsi="Times New Roman"/>
          <w:noProof/>
          <w:sz w:val="24"/>
          <w:szCs w:val="24"/>
        </w:rPr>
        <w:t>, в която се предоставя правната рамка за безопасността на нехранителните потребителски продукти</w:t>
      </w:r>
      <w:r>
        <w:rPr>
          <w:noProof/>
          <w:vertAlign w:val="superscript"/>
          <w:lang w:val="en-GB"/>
        </w:rPr>
        <w:footnoteReference w:id="66"/>
      </w:r>
      <w:r>
        <w:rPr>
          <w:rFonts w:ascii="Times New Roman" w:hAnsi="Times New Roman"/>
          <w:noProof/>
          <w:sz w:val="24"/>
          <w:szCs w:val="24"/>
        </w:rPr>
        <w:t>, произтича от период, когато управляваните от ИИ продукти и свързани устройства бяха рядкост, което вече не е така. Подобни развития правят спорно настоящото определение на продуктите и носят нови рискове или променят начина, по който съществуващите рискове биха могли да се проявят, което следва да бъде отразено и взето надлежно предвид. Ръстът на онлайн продажбите поставя и нови предизвикателства, тъй като органите невинаги разполагат с достатъчно ефективни инструменти за онлайн наблюдение на пазара. Освен това електронната търговия позволява на потребителите да купуват директно от оператори, разположени извън ЕС, което затруднява проверката на безопасността на продуктите, навлизащи на единния пазар. Предстоящото предложение за преразглеждане на Директивата относно общата безопасност на продуктите, което е предвидено за 2021 г., следва да предостави надежден отговор на увеличаващите се предизвикателства.</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Освен това всеобщо признатата </w:t>
      </w:r>
      <w:r>
        <w:rPr>
          <w:rFonts w:ascii="Times New Roman" w:hAnsi="Times New Roman"/>
          <w:b/>
          <w:bCs/>
          <w:noProof/>
          <w:sz w:val="24"/>
          <w:szCs w:val="24"/>
        </w:rPr>
        <w:t>публична електронна идентификация</w:t>
      </w:r>
      <w:r>
        <w:rPr>
          <w:rFonts w:ascii="Times New Roman" w:hAnsi="Times New Roman"/>
          <w:noProof/>
          <w:sz w:val="24"/>
          <w:szCs w:val="24"/>
        </w:rPr>
        <w:t xml:space="preserve"> — която се основава на избора на потребителите, тяхното съгласие и гаранцията, че неприкосновеността на личния живот се зачита изцяло в съответствие с Общия регламент относно защитата на данните (ОРЗД) — може да даде на потребителите възможност да управляват достъпа до техните данни и използването им по напълно контролиран и сигурен начин. Понастоящем Комисията преразглежда такава система, като отчита интереса и защитата на потребителите</w:t>
      </w:r>
      <w:r>
        <w:rPr>
          <w:rFonts w:ascii="Times New Roman" w:hAnsi="Times New Roman" w:cs="Times New Roman"/>
          <w:noProof/>
          <w:sz w:val="24"/>
          <w:szCs w:val="24"/>
          <w:vertAlign w:val="superscript"/>
          <w:lang w:val="en-GB"/>
        </w:rPr>
        <w:footnoteReference w:id="67"/>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iCs/>
          <w:noProof/>
          <w:sz w:val="24"/>
          <w:szCs w:val="24"/>
        </w:rPr>
        <w:t xml:space="preserve">За да се справи с необоснованото </w:t>
      </w:r>
      <w:r>
        <w:rPr>
          <w:rFonts w:ascii="Times New Roman" w:hAnsi="Times New Roman"/>
          <w:b/>
          <w:iCs/>
          <w:noProof/>
          <w:sz w:val="24"/>
          <w:szCs w:val="24"/>
        </w:rPr>
        <w:t>блокиране на географски принцип</w:t>
      </w:r>
      <w:r>
        <w:rPr>
          <w:rFonts w:ascii="Times New Roman" w:hAnsi="Times New Roman"/>
          <w:iCs/>
          <w:noProof/>
          <w:sz w:val="24"/>
          <w:szCs w:val="24"/>
        </w:rPr>
        <w:t>, което води до дискриминация между потребителите в ЕС с цел сегментиране на пазара съгласно националните граници, понастоящем Комисията извършва първия краткосрочен преглед на Регламента относно блокирането на географски принцип</w:t>
      </w:r>
      <w:r>
        <w:rPr>
          <w:rStyle w:val="FootnoteReference"/>
          <w:rFonts w:ascii="Times New Roman" w:hAnsi="Times New Roman" w:cs="Times New Roman"/>
          <w:noProof/>
          <w:sz w:val="24"/>
          <w:szCs w:val="24"/>
        </w:rPr>
        <w:footnoteReference w:id="68"/>
      </w:r>
      <w:r>
        <w:rPr>
          <w:rFonts w:ascii="Times New Roman" w:hAnsi="Times New Roman"/>
          <w:iCs/>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b/>
          <w:bCs/>
          <w:noProof/>
          <w:sz w:val="24"/>
          <w:szCs w:val="24"/>
        </w:rPr>
        <w:t>Европейската стратегия за данните</w:t>
      </w:r>
      <w:r>
        <w:rPr>
          <w:rFonts w:ascii="Times New Roman" w:hAnsi="Times New Roman" w:cs="Times New Roman"/>
          <w:noProof/>
          <w:sz w:val="24"/>
          <w:szCs w:val="24"/>
          <w:vertAlign w:val="superscript"/>
          <w:lang w:val="en-GB"/>
        </w:rPr>
        <w:footnoteReference w:id="69"/>
      </w:r>
      <w:r>
        <w:rPr>
          <w:rFonts w:ascii="Times New Roman" w:hAnsi="Times New Roman"/>
          <w:noProof/>
          <w:sz w:val="24"/>
          <w:szCs w:val="24"/>
        </w:rPr>
        <w:t xml:space="preserve"> има за цел да улесни ефективното право на лицата за </w:t>
      </w:r>
      <w:r>
        <w:rPr>
          <w:rFonts w:ascii="Times New Roman" w:hAnsi="Times New Roman"/>
          <w:b/>
          <w:bCs/>
          <w:noProof/>
          <w:sz w:val="24"/>
          <w:szCs w:val="24"/>
        </w:rPr>
        <w:t>преносимост на данните</w:t>
      </w:r>
      <w:r>
        <w:rPr>
          <w:rFonts w:ascii="Times New Roman" w:hAnsi="Times New Roman"/>
          <w:noProof/>
          <w:sz w:val="24"/>
          <w:szCs w:val="24"/>
        </w:rPr>
        <w:t xml:space="preserve"> съгласно ОРЗД. Това право има видим потенциал да постави хората в центъра на основаната на данни икономика, като им даде възможност да сменят доставчиците на услуги, да комбинират услуги, да използват други иновативни услуги и да избират услугите, които предлагат най-голяма защита на данните. Стратегията ще стимулира и създаването на истински единен пазар за данни и създаването на </w:t>
      </w:r>
      <w:r>
        <w:rPr>
          <w:rFonts w:ascii="Times New Roman" w:hAnsi="Times New Roman"/>
          <w:b/>
          <w:bCs/>
          <w:noProof/>
          <w:sz w:val="24"/>
          <w:szCs w:val="24"/>
        </w:rPr>
        <w:t>общи европейски пространства на данни.</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Освен това цифровият преход</w:t>
      </w:r>
      <w:r>
        <w:rPr>
          <w:rFonts w:ascii="Times New Roman" w:hAnsi="Times New Roman" w:cs="Times New Roman"/>
          <w:noProof/>
          <w:sz w:val="24"/>
          <w:szCs w:val="24"/>
          <w:vertAlign w:val="superscript"/>
          <w:lang w:val="en-GB"/>
        </w:rPr>
        <w:footnoteReference w:id="70"/>
      </w:r>
      <w:r>
        <w:rPr>
          <w:rFonts w:ascii="Times New Roman" w:hAnsi="Times New Roman"/>
          <w:noProof/>
          <w:sz w:val="24"/>
          <w:szCs w:val="24"/>
        </w:rPr>
        <w:t xml:space="preserve"> радикално преобрази </w:t>
      </w:r>
      <w:r>
        <w:rPr>
          <w:rFonts w:ascii="Times New Roman" w:hAnsi="Times New Roman"/>
          <w:b/>
          <w:bCs/>
          <w:noProof/>
          <w:sz w:val="24"/>
          <w:szCs w:val="24"/>
        </w:rPr>
        <w:t>сектора на финансовите услуги за непрофесионални клиенти</w:t>
      </w:r>
      <w:r>
        <w:rPr>
          <w:rFonts w:ascii="Times New Roman" w:hAnsi="Times New Roman"/>
          <w:noProof/>
          <w:sz w:val="24"/>
          <w:szCs w:val="24"/>
        </w:rPr>
        <w:t xml:space="preserve"> с навлизането на нови тенденции и решения и разнообразяването на предлаганите финансови продукти и услуги.</w:t>
      </w:r>
      <w:r>
        <w:rPr>
          <w:rFonts w:ascii="Times New Roman" w:hAnsi="Times New Roman"/>
          <w:noProof/>
          <w:sz w:val="24"/>
        </w:rPr>
        <w:t xml:space="preserve"> </w:t>
      </w:r>
      <w:r>
        <w:rPr>
          <w:rFonts w:ascii="Times New Roman" w:hAnsi="Times New Roman"/>
          <w:noProof/>
          <w:sz w:val="24"/>
          <w:szCs w:val="24"/>
        </w:rPr>
        <w:t>Нетрадиционни доставчици на такива услуги — като например дружества в областта на финансовите технологии и заемодатели за кредитиране между физически лица — са се присъединили към традиционните доставчици, които сами използват все по-често и канали за онлайн продажби. Нови продукти, като например краткосрочни високолихвени заеми, които се сключват за кратък период, но могат да доведат до значителни разходи за кредитополучателя, са все по-продавани на пазара и се продават в цифрова среда. Нови технологии, като например решения за незабавни плащания, могат да донесат осезаеми ползи за потребителите, но могат да изискват специфични мерки за защита на потребителите</w:t>
      </w:r>
      <w:r>
        <w:rPr>
          <w:rFonts w:ascii="Times New Roman" w:hAnsi="Times New Roman" w:cs="Times New Roman"/>
          <w:noProof/>
          <w:sz w:val="24"/>
          <w:szCs w:val="24"/>
          <w:vertAlign w:val="superscript"/>
          <w:lang w:val="en-IE"/>
        </w:rPr>
        <w:footnoteReference w:id="71"/>
      </w:r>
      <w:r>
        <w:rPr>
          <w:rFonts w:ascii="Times New Roman" w:hAnsi="Times New Roman"/>
          <w:noProof/>
          <w:sz w:val="24"/>
          <w:szCs w:val="24"/>
        </w:rPr>
        <w:t>. Наскоро Комисията обяви инициативи, които ще подобрят защитата на потребителите при плащания. Тези въпроси ще бъдат разгледани в рамката на наскоро приетата Стратегия на ЕС за плащанията на дребно</w:t>
      </w:r>
      <w:r>
        <w:rPr>
          <w:rStyle w:val="FootnoteReference"/>
          <w:rFonts w:ascii="Times New Roman" w:hAnsi="Times New Roman" w:cs="Times New Roman"/>
          <w:noProof/>
          <w:sz w:val="24"/>
          <w:szCs w:val="24"/>
        </w:rPr>
        <w:footnoteReference w:id="72"/>
      </w:r>
      <w:r>
        <w:rPr>
          <w:rFonts w:ascii="Times New Roman" w:hAnsi="Times New Roman"/>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Използването на алтернативни категории данни в комбинация с автоматизирано вземане на решения за кредитно оценяване повдига въпроси относно това кои данни следва да се използват за оценка на кредитоспособността на потребителите, и подчертава рисковете от дискриминация от решения, основани на непрозрачни алгоритми — вид риск, който е вероятно да бъде разгледан и чрез посочения по-горе правен акт относно изискванията за изкуствен интелект. Освен това съществуващото законодателство, като например </w:t>
      </w:r>
      <w:r>
        <w:rPr>
          <w:rFonts w:ascii="Times New Roman" w:hAnsi="Times New Roman"/>
          <w:b/>
          <w:bCs/>
          <w:noProof/>
          <w:sz w:val="24"/>
          <w:szCs w:val="24"/>
        </w:rPr>
        <w:t>Директивата за потребителските кредити</w:t>
      </w:r>
      <w:r>
        <w:rPr>
          <w:rFonts w:ascii="Times New Roman" w:hAnsi="Times New Roman"/>
          <w:noProof/>
          <w:sz w:val="24"/>
          <w:szCs w:val="24"/>
        </w:rPr>
        <w:t xml:space="preserve">, </w:t>
      </w:r>
      <w:r>
        <w:rPr>
          <w:rFonts w:ascii="Times New Roman" w:hAnsi="Times New Roman"/>
          <w:b/>
          <w:bCs/>
          <w:noProof/>
          <w:sz w:val="24"/>
          <w:szCs w:val="24"/>
        </w:rPr>
        <w:t>Директивата за ипотечните кредити, Директивата относно платежните сметки</w:t>
      </w:r>
      <w:r>
        <w:rPr>
          <w:rFonts w:ascii="Times New Roman" w:hAnsi="Times New Roman"/>
          <w:noProof/>
          <w:sz w:val="24"/>
          <w:szCs w:val="24"/>
        </w:rPr>
        <w:t xml:space="preserve"> и </w:t>
      </w:r>
      <w:r>
        <w:rPr>
          <w:rFonts w:ascii="Times New Roman" w:hAnsi="Times New Roman"/>
          <w:b/>
          <w:bCs/>
          <w:noProof/>
          <w:sz w:val="24"/>
          <w:szCs w:val="24"/>
        </w:rPr>
        <w:t>Директивата за дистанционната търговия на финансови услуги</w:t>
      </w:r>
      <w:r>
        <w:rPr>
          <w:rFonts w:ascii="Times New Roman" w:hAnsi="Times New Roman"/>
          <w:noProof/>
          <w:sz w:val="24"/>
        </w:rPr>
        <w:t xml:space="preserve">, </w:t>
      </w:r>
      <w:r>
        <w:rPr>
          <w:rFonts w:ascii="Times New Roman" w:hAnsi="Times New Roman"/>
          <w:noProof/>
          <w:sz w:val="24"/>
          <w:szCs w:val="24"/>
        </w:rPr>
        <w:t xml:space="preserve">следва да бъде преразгледано, за да отрази растящото използване на цифрови средства и за да бъдат преодолени посочените по-горе предизвикателства. Това следва да даде възможност на потребителите да разбират продуктите и да сравняват и приемат онлайн предложения, като по този начин бъдат стимулирани иновациите и потребителското доверие.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Целта на новия </w:t>
      </w:r>
      <w:r>
        <w:rPr>
          <w:rFonts w:ascii="Times New Roman" w:hAnsi="Times New Roman"/>
          <w:b/>
          <w:noProof/>
          <w:sz w:val="24"/>
          <w:szCs w:val="24"/>
        </w:rPr>
        <w:t>пакет</w:t>
      </w:r>
      <w:r>
        <w:rPr>
          <w:rFonts w:ascii="Times New Roman" w:hAnsi="Times New Roman"/>
          <w:noProof/>
          <w:sz w:val="24"/>
          <w:szCs w:val="24"/>
        </w:rPr>
        <w:t xml:space="preserve"> на Комисията </w:t>
      </w:r>
      <w:r>
        <w:rPr>
          <w:rFonts w:ascii="Times New Roman" w:hAnsi="Times New Roman"/>
          <w:b/>
          <w:noProof/>
          <w:sz w:val="24"/>
          <w:szCs w:val="24"/>
        </w:rPr>
        <w:t>за цифровизиране на финансовите услуги</w:t>
      </w:r>
      <w:r>
        <w:rPr>
          <w:rFonts w:ascii="Times New Roman" w:hAnsi="Times New Roman"/>
          <w:noProof/>
          <w:sz w:val="24"/>
          <w:szCs w:val="24"/>
        </w:rPr>
        <w:t>, включително стратегиите за цифровизиране на финансовите услуги и плащания на дребно, както и законодателните предложения относно криптоактивите и цифровата оперативна издръжливост за финансовия сектор, е да се гарантира, че потребителите и предприятията се възползват от иновациите, като същевременно са защитени. Отразяването на протичащите тенденции в цифровата трансформация също ще бъде част от стратегията за непрофесионалните инвеститори, която следва да обхваща интересите на отделните инвеститори и е предвидена за първата половина на 2022 г.</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Освен това цифровата трансформация може да доведе и до нови предизвикателства, например когато цифровите решения не са проектирани да бъдат </w:t>
      </w:r>
      <w:r>
        <w:rPr>
          <w:rFonts w:ascii="Times New Roman" w:hAnsi="Times New Roman"/>
          <w:b/>
          <w:noProof/>
          <w:sz w:val="24"/>
          <w:szCs w:val="24"/>
        </w:rPr>
        <w:t>достъпни и за лица с увреждания</w:t>
      </w:r>
      <w:r>
        <w:rPr>
          <w:rFonts w:ascii="Times New Roman" w:hAnsi="Times New Roman"/>
          <w:noProof/>
          <w:sz w:val="24"/>
          <w:szCs w:val="24"/>
        </w:rPr>
        <w:t>. Комисията подкрепя държавите членки в транспонирането на Европейския акт за достъпността</w:t>
      </w:r>
      <w:r>
        <w:rPr>
          <w:rStyle w:val="FootnoteReference"/>
          <w:rFonts w:ascii="Times New Roman" w:hAnsi="Times New Roman" w:cs="Times New Roman"/>
          <w:noProof/>
          <w:sz w:val="24"/>
          <w:szCs w:val="24"/>
          <w:lang w:val="en-GB"/>
        </w:rPr>
        <w:footnoteReference w:id="73"/>
      </w:r>
      <w:r>
        <w:rPr>
          <w:rFonts w:ascii="Times New Roman" w:hAnsi="Times New Roman"/>
          <w:noProof/>
          <w:sz w:val="24"/>
          <w:szCs w:val="24"/>
        </w:rPr>
        <w:t xml:space="preserve">. Приложението му до 2025 г. ще спомогне за премахване на предизвикателствата пред цифровизацията за лицата с увреждания и ще увеличи наличието на достъпни продукти и услуги за тях.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И накрая, цифровата трансформация изисква потребителите да притежават надеждна цифрова грамотност и компетентности, които следва да бъдат насърчавани чрез образованието и обучението в перспективата за учене през целия живот, както е подчертано от </w:t>
      </w:r>
      <w:r>
        <w:rPr>
          <w:rFonts w:ascii="Times New Roman" w:hAnsi="Times New Roman"/>
          <w:b/>
          <w:bCs/>
          <w:noProof/>
          <w:sz w:val="24"/>
          <w:szCs w:val="24"/>
        </w:rPr>
        <w:t>Плана за действие в областта на цифровото образование за 2021—2027 г.</w:t>
      </w:r>
      <w:r>
        <w:rPr>
          <w:rStyle w:val="FootnoteReference"/>
          <w:rFonts w:ascii="Times New Roman" w:hAnsi="Times New Roman" w:cs="Times New Roman"/>
          <w:b/>
          <w:bCs/>
          <w:noProof/>
          <w:sz w:val="24"/>
          <w:szCs w:val="24"/>
          <w:lang w:val="en-GB"/>
        </w:rPr>
        <w:footnoteReference w:id="74"/>
      </w:r>
      <w:r>
        <w:rPr>
          <w:rFonts w:ascii="Times New Roman" w:hAnsi="Times New Roman"/>
          <w:b/>
          <w:bCs/>
          <w:noProof/>
          <w:sz w:val="24"/>
          <w:szCs w:val="24"/>
        </w:rPr>
        <w:t xml:space="preserve"> </w:t>
      </w:r>
      <w:r>
        <w:rPr>
          <w:rFonts w:ascii="Times New Roman" w:hAnsi="Times New Roman"/>
          <w:noProof/>
          <w:sz w:val="24"/>
          <w:szCs w:val="24"/>
        </w:rPr>
        <w:t>и неговите стратегически приоритети.</w:t>
      </w:r>
    </w:p>
    <w:p>
      <w:pPr>
        <w:numPr>
          <w:ilvl w:val="0"/>
          <w:numId w:val="13"/>
        </w:numPr>
        <w:pBdr>
          <w:top w:val="single" w:sz="4" w:space="1" w:color="auto"/>
          <w:left w:val="single" w:sz="4" w:space="4" w:color="auto"/>
          <w:bottom w:val="single" w:sz="4" w:space="6" w:color="auto"/>
          <w:right w:val="single" w:sz="4" w:space="4" w:color="auto"/>
        </w:pBdr>
        <w:spacing w:after="240" w:line="240" w:lineRule="auto"/>
        <w:jc w:val="both"/>
        <w:rPr>
          <w:rFonts w:ascii="Times New Roman" w:hAnsi="Times New Roman" w:cs="Times New Roman"/>
          <w:noProof/>
          <w:sz w:val="24"/>
          <w:szCs w:val="24"/>
        </w:rPr>
      </w:pPr>
      <w:r>
        <w:rPr>
          <w:rFonts w:ascii="Times New Roman" w:hAnsi="Times New Roman"/>
          <w:b/>
          <w:bCs/>
          <w:noProof/>
          <w:sz w:val="24"/>
          <w:szCs w:val="24"/>
        </w:rPr>
        <w:t>Действие 7</w:t>
      </w:r>
      <w:r>
        <w:rPr>
          <w:rFonts w:ascii="Times New Roman" w:hAnsi="Times New Roman"/>
          <w:noProof/>
          <w:sz w:val="24"/>
          <w:szCs w:val="24"/>
        </w:rPr>
        <w:t xml:space="preserve">: До 2022 г., след като актуализира своите </w:t>
      </w:r>
      <w:r>
        <w:rPr>
          <w:rFonts w:ascii="Times New Roman" w:hAnsi="Times New Roman"/>
          <w:b/>
          <w:bCs/>
          <w:noProof/>
          <w:sz w:val="24"/>
          <w:szCs w:val="24"/>
        </w:rPr>
        <w:t>насоки относно</w:t>
      </w:r>
      <w:r>
        <w:rPr>
          <w:rFonts w:ascii="Times New Roman" w:hAnsi="Times New Roman"/>
          <w:noProof/>
          <w:sz w:val="24"/>
          <w:szCs w:val="24"/>
        </w:rPr>
        <w:t xml:space="preserve"> </w:t>
      </w:r>
      <w:r>
        <w:rPr>
          <w:rFonts w:ascii="Times New Roman" w:hAnsi="Times New Roman"/>
          <w:b/>
          <w:bCs/>
          <w:noProof/>
          <w:sz w:val="24"/>
          <w:szCs w:val="24"/>
        </w:rPr>
        <w:t>Директивата за нелоялните търговски практики и Директивата относно защитата на правата на потребителите</w:t>
      </w:r>
      <w:r>
        <w:rPr>
          <w:rFonts w:ascii="Times New Roman" w:hAnsi="Times New Roman"/>
          <w:noProof/>
          <w:sz w:val="24"/>
          <w:szCs w:val="24"/>
        </w:rPr>
        <w:t xml:space="preserve">, Комисията планира да </w:t>
      </w:r>
      <w:r>
        <w:rPr>
          <w:rFonts w:ascii="Times New Roman" w:hAnsi="Times New Roman"/>
          <w:b/>
          <w:bCs/>
          <w:noProof/>
          <w:sz w:val="24"/>
          <w:szCs w:val="24"/>
        </w:rPr>
        <w:t>анализира</w:t>
      </w:r>
      <w:r>
        <w:rPr>
          <w:rFonts w:ascii="Times New Roman" w:hAnsi="Times New Roman"/>
          <w:noProof/>
          <w:sz w:val="24"/>
          <w:szCs w:val="24"/>
        </w:rPr>
        <w:t xml:space="preserve"> дали са необходими допълнителни законодателни, или други действия в средносрочен план, за да се гарантира еднаква справедливост както онлайн, така и офлайн.</w:t>
      </w:r>
    </w:p>
    <w:p>
      <w:pPr>
        <w:numPr>
          <w:ilvl w:val="0"/>
          <w:numId w:val="13"/>
        </w:numPr>
        <w:pBdr>
          <w:top w:val="single" w:sz="4" w:space="1" w:color="auto"/>
          <w:left w:val="single" w:sz="4" w:space="4" w:color="auto"/>
          <w:bottom w:val="single" w:sz="4" w:space="6" w:color="auto"/>
          <w:right w:val="single" w:sz="4" w:space="4" w:color="auto"/>
        </w:pBdr>
        <w:spacing w:after="240" w:line="240" w:lineRule="auto"/>
        <w:jc w:val="both"/>
        <w:rPr>
          <w:rFonts w:ascii="Times New Roman" w:hAnsi="Times New Roman" w:cs="Times New Roman"/>
          <w:noProof/>
          <w:sz w:val="24"/>
          <w:szCs w:val="24"/>
        </w:rPr>
      </w:pPr>
      <w:r>
        <w:rPr>
          <w:rFonts w:ascii="Times New Roman" w:hAnsi="Times New Roman"/>
          <w:b/>
          <w:bCs/>
          <w:noProof/>
          <w:sz w:val="24"/>
          <w:szCs w:val="24"/>
        </w:rPr>
        <w:t>Действие 8</w:t>
      </w:r>
      <w:r>
        <w:rPr>
          <w:rFonts w:ascii="Times New Roman" w:hAnsi="Times New Roman"/>
          <w:noProof/>
          <w:sz w:val="24"/>
          <w:szCs w:val="24"/>
        </w:rPr>
        <w:t xml:space="preserve">: През 2021 г., както е обявено в Бялата книга за ИИ, Комисията предвижда да отправи предложение за </w:t>
      </w:r>
      <w:r>
        <w:rPr>
          <w:rFonts w:ascii="Times New Roman" w:hAnsi="Times New Roman"/>
          <w:b/>
          <w:bCs/>
          <w:noProof/>
          <w:sz w:val="24"/>
          <w:szCs w:val="24"/>
        </w:rPr>
        <w:t>хоризонтален правен акт за определяне на изискванията за ИИ.</w:t>
      </w:r>
    </w:p>
    <w:p>
      <w:pPr>
        <w:numPr>
          <w:ilvl w:val="0"/>
          <w:numId w:val="13"/>
        </w:numPr>
        <w:pBdr>
          <w:top w:val="single" w:sz="4" w:space="1" w:color="auto"/>
          <w:left w:val="single" w:sz="4" w:space="4" w:color="auto"/>
          <w:bottom w:val="single" w:sz="4" w:space="6" w:color="auto"/>
          <w:right w:val="single" w:sz="4" w:space="4" w:color="auto"/>
        </w:pBdr>
        <w:spacing w:after="240" w:line="240" w:lineRule="auto"/>
        <w:jc w:val="both"/>
        <w:rPr>
          <w:rFonts w:ascii="Times New Roman" w:hAnsi="Times New Roman" w:cs="Times New Roman"/>
          <w:noProof/>
          <w:sz w:val="24"/>
          <w:szCs w:val="24"/>
        </w:rPr>
      </w:pPr>
      <w:r>
        <w:rPr>
          <w:rFonts w:ascii="Times New Roman" w:hAnsi="Times New Roman"/>
          <w:b/>
          <w:bCs/>
          <w:noProof/>
          <w:sz w:val="24"/>
          <w:szCs w:val="24"/>
        </w:rPr>
        <w:t>Действие 9</w:t>
      </w:r>
      <w:r>
        <w:rPr>
          <w:rFonts w:ascii="Times New Roman" w:hAnsi="Times New Roman"/>
          <w:noProof/>
          <w:sz w:val="24"/>
          <w:szCs w:val="24"/>
        </w:rPr>
        <w:t>: През 2021 г. Комисията планира да изготви предложение за преразглеждане на</w:t>
      </w:r>
      <w:r>
        <w:rPr>
          <w:rFonts w:ascii="Times New Roman" w:hAnsi="Times New Roman"/>
          <w:b/>
          <w:bCs/>
          <w:noProof/>
          <w:sz w:val="24"/>
          <w:szCs w:val="24"/>
        </w:rPr>
        <w:t xml:space="preserve"> Директивата относно общата безопасност на продуктите</w:t>
      </w:r>
      <w:r>
        <w:rPr>
          <w:rFonts w:ascii="Times New Roman" w:hAnsi="Times New Roman"/>
          <w:noProof/>
          <w:sz w:val="24"/>
          <w:szCs w:val="24"/>
        </w:rPr>
        <w:t xml:space="preserve"> с цел справяне с новите предизвикателства за безопасността на продукти, закупени чрез нови технологии и онлайн продажби. Освен това през 2021 г. Комисията възнамерява да подготви и предложение за преразглеждане на </w:t>
      </w:r>
      <w:r>
        <w:rPr>
          <w:rFonts w:ascii="Times New Roman" w:hAnsi="Times New Roman"/>
          <w:b/>
          <w:bCs/>
          <w:noProof/>
          <w:sz w:val="24"/>
          <w:szCs w:val="24"/>
        </w:rPr>
        <w:t>Директивата относно машините</w:t>
      </w:r>
      <w:r>
        <w:rPr>
          <w:rFonts w:ascii="Times New Roman" w:hAnsi="Times New Roman"/>
          <w:noProof/>
          <w:sz w:val="24"/>
          <w:szCs w:val="24"/>
        </w:rPr>
        <w:t xml:space="preserve">. </w:t>
      </w:r>
    </w:p>
    <w:p>
      <w:pPr>
        <w:numPr>
          <w:ilvl w:val="0"/>
          <w:numId w:val="13"/>
        </w:numPr>
        <w:pBdr>
          <w:top w:val="single" w:sz="4" w:space="1" w:color="auto"/>
          <w:left w:val="single" w:sz="4" w:space="4" w:color="auto"/>
          <w:bottom w:val="single" w:sz="4" w:space="6" w:color="auto"/>
          <w:right w:val="single" w:sz="4" w:space="4" w:color="auto"/>
        </w:pBdr>
        <w:spacing w:after="360" w:line="240" w:lineRule="auto"/>
        <w:jc w:val="both"/>
        <w:rPr>
          <w:rFonts w:ascii="Times New Roman" w:hAnsi="Times New Roman" w:cs="Times New Roman"/>
          <w:noProof/>
          <w:sz w:val="24"/>
          <w:szCs w:val="24"/>
        </w:rPr>
      </w:pPr>
      <w:r>
        <w:rPr>
          <w:rFonts w:ascii="Times New Roman" w:hAnsi="Times New Roman"/>
          <w:b/>
          <w:bCs/>
          <w:noProof/>
          <w:sz w:val="24"/>
          <w:szCs w:val="24"/>
        </w:rPr>
        <w:t>Действие 10:</w:t>
      </w:r>
      <w:r>
        <w:rPr>
          <w:rFonts w:ascii="Times New Roman" w:hAnsi="Times New Roman"/>
          <w:noProof/>
          <w:sz w:val="24"/>
          <w:szCs w:val="24"/>
        </w:rPr>
        <w:t xml:space="preserve"> През 2021 г. Комисията планира да изготви предложения за преразглеждането на </w:t>
      </w:r>
      <w:r>
        <w:rPr>
          <w:rFonts w:ascii="Times New Roman" w:hAnsi="Times New Roman"/>
          <w:b/>
          <w:noProof/>
          <w:sz w:val="24"/>
          <w:szCs w:val="24"/>
        </w:rPr>
        <w:t>Директивата за потребителските кредити</w:t>
      </w:r>
      <w:r>
        <w:rPr>
          <w:rFonts w:ascii="Times New Roman" w:hAnsi="Times New Roman"/>
          <w:noProof/>
          <w:sz w:val="24"/>
          <w:szCs w:val="24"/>
        </w:rPr>
        <w:t xml:space="preserve"> и </w:t>
      </w:r>
      <w:r>
        <w:rPr>
          <w:rFonts w:ascii="Times New Roman" w:hAnsi="Times New Roman"/>
          <w:b/>
          <w:noProof/>
          <w:sz w:val="24"/>
          <w:szCs w:val="24"/>
        </w:rPr>
        <w:t>Директивата за дистанционна търговия на финансови услуги</w:t>
      </w:r>
      <w:r>
        <w:rPr>
          <w:rFonts w:ascii="Times New Roman" w:hAnsi="Times New Roman"/>
          <w:noProof/>
          <w:sz w:val="24"/>
          <w:szCs w:val="24"/>
        </w:rPr>
        <w:t xml:space="preserve"> с цел засилване на защитата на потребителите в контекста на цифровизацията на финансовите услуги за непрофесионални клиенти.</w:t>
      </w:r>
    </w:p>
    <w:p>
      <w:pPr>
        <w:keepNext/>
        <w:numPr>
          <w:ilvl w:val="1"/>
          <w:numId w:val="1"/>
        </w:numPr>
        <w:spacing w:before="100" w:beforeAutospacing="1" w:after="240" w:line="240" w:lineRule="auto"/>
        <w:ind w:left="714" w:hanging="357"/>
        <w:jc w:val="both"/>
        <w:rPr>
          <w:rFonts w:ascii="Times New Roman" w:hAnsi="Times New Roman" w:cs="Times New Roman"/>
          <w:b/>
          <w:bCs/>
          <w:noProof/>
          <w:sz w:val="24"/>
          <w:szCs w:val="24"/>
        </w:rPr>
      </w:pPr>
      <w:r>
        <w:rPr>
          <w:rFonts w:ascii="Times New Roman" w:hAnsi="Times New Roman"/>
          <w:b/>
          <w:bCs/>
          <w:noProof/>
          <w:sz w:val="24"/>
          <w:szCs w:val="24"/>
        </w:rPr>
        <w:t xml:space="preserve"> Ефективно прилагане и защита</w:t>
      </w:r>
    </w:p>
    <w:p>
      <w:pPr>
        <w:pBdr>
          <w:top w:val="single" w:sz="4" w:space="1" w:color="auto"/>
          <w:left w:val="single" w:sz="4" w:space="4" w:color="auto"/>
          <w:bottom w:val="single" w:sz="4" w:space="6" w:color="auto"/>
          <w:right w:val="single" w:sz="4" w:space="4" w:color="auto"/>
        </w:pBdr>
        <w:spacing w:after="240" w:line="240" w:lineRule="auto"/>
        <w:jc w:val="both"/>
        <w:rPr>
          <w:rFonts w:ascii="Times New Roman" w:hAnsi="Times New Roman" w:cs="Times New Roman"/>
          <w:i/>
          <w:iCs/>
          <w:noProof/>
          <w:sz w:val="24"/>
          <w:szCs w:val="24"/>
        </w:rPr>
      </w:pPr>
      <w:r>
        <w:rPr>
          <w:rFonts w:ascii="Times New Roman" w:hAnsi="Times New Roman"/>
          <w:i/>
          <w:iCs/>
          <w:noProof/>
          <w:sz w:val="24"/>
          <w:szCs w:val="24"/>
        </w:rPr>
        <w:t xml:space="preserve">Пример: Предстоящата Директива относно представителните искове позволява на потребителите да обединят сили. С оглед на бъдещите дела определените за тази цел квалифицирани органи могат по-лесно да завеждат дела пред съдилищата или административните органи във връзка с колективните интереси на потребителите, включително в трансгранични ситуации. Това ще улесни търсенето от страна на потребителите на съвместна защита при дела, които са подобни, например за манипулирането на тестове на емисиите на отработени газове за някои дизелови автомобили.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Точно както предприятията имат право да продават продукти и да предлагат услуги на всички потребителите на единния пазар, така и </w:t>
      </w:r>
      <w:r>
        <w:rPr>
          <w:rFonts w:ascii="Times New Roman" w:hAnsi="Times New Roman"/>
          <w:b/>
          <w:noProof/>
          <w:sz w:val="24"/>
          <w:szCs w:val="24"/>
        </w:rPr>
        <w:t>потребителите</w:t>
      </w:r>
      <w:r>
        <w:rPr>
          <w:rFonts w:ascii="Times New Roman" w:hAnsi="Times New Roman"/>
          <w:noProof/>
          <w:sz w:val="24"/>
          <w:szCs w:val="24"/>
        </w:rPr>
        <w:t xml:space="preserve"> </w:t>
      </w:r>
      <w:r>
        <w:rPr>
          <w:rFonts w:ascii="Times New Roman" w:hAnsi="Times New Roman"/>
          <w:b/>
          <w:noProof/>
          <w:sz w:val="24"/>
          <w:szCs w:val="24"/>
        </w:rPr>
        <w:t>следва да са в състояние да упражняват ефективно правата си</w:t>
      </w:r>
      <w:r>
        <w:rPr>
          <w:rFonts w:ascii="Times New Roman" w:hAnsi="Times New Roman"/>
          <w:noProof/>
          <w:sz w:val="24"/>
          <w:szCs w:val="24"/>
        </w:rPr>
        <w:t xml:space="preserve"> спрямо тези предприятия, където и да се намират в ЕС. На практика обаче скринингът на уебсайтовете от страна на правоприлагащите органи показа, че правата на потребителите често пъти не се зачитат. Между 2007 г. и 2019 г. за средно 60 % от проверените уебсайтове беше установено, че не се спазват основните правила за потребителите, поради което се налага да бъдат предприети корекции</w:t>
      </w:r>
      <w:r>
        <w:rPr>
          <w:rFonts w:ascii="Times New Roman" w:hAnsi="Times New Roman" w:cs="Times New Roman"/>
          <w:noProof/>
          <w:sz w:val="24"/>
          <w:szCs w:val="24"/>
          <w:vertAlign w:val="superscript"/>
          <w:lang w:val="en-GB"/>
        </w:rPr>
        <w:footnoteReference w:id="75"/>
      </w:r>
      <w:r>
        <w:rPr>
          <w:rFonts w:ascii="Times New Roman" w:hAnsi="Times New Roman"/>
          <w:noProof/>
          <w:sz w:val="24"/>
          <w:szCs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Прилагането на правата за потребителите преди всичко е </w:t>
      </w:r>
      <w:r>
        <w:rPr>
          <w:rFonts w:ascii="Times New Roman" w:hAnsi="Times New Roman"/>
          <w:b/>
          <w:bCs/>
          <w:noProof/>
          <w:sz w:val="24"/>
          <w:szCs w:val="24"/>
        </w:rPr>
        <w:t>отговорност на националните органи</w:t>
      </w:r>
      <w:r>
        <w:rPr>
          <w:rFonts w:ascii="Times New Roman" w:hAnsi="Times New Roman"/>
          <w:noProof/>
          <w:sz w:val="24"/>
          <w:szCs w:val="24"/>
        </w:rPr>
        <w:t xml:space="preserve">, но ЕС играе важна </w:t>
      </w:r>
      <w:r>
        <w:rPr>
          <w:rFonts w:ascii="Times New Roman" w:hAnsi="Times New Roman"/>
          <w:b/>
          <w:bCs/>
          <w:noProof/>
          <w:sz w:val="24"/>
          <w:szCs w:val="24"/>
        </w:rPr>
        <w:t>координираща и поддържаща роля.</w:t>
      </w:r>
      <w:r>
        <w:rPr>
          <w:rFonts w:ascii="Times New Roman" w:hAnsi="Times New Roman"/>
          <w:noProof/>
          <w:sz w:val="24"/>
          <w:szCs w:val="24"/>
        </w:rPr>
        <w:t xml:space="preserve"> Новият </w:t>
      </w:r>
      <w:r>
        <w:rPr>
          <w:rFonts w:ascii="Times New Roman" w:hAnsi="Times New Roman"/>
          <w:b/>
          <w:bCs/>
          <w:noProof/>
          <w:sz w:val="24"/>
          <w:szCs w:val="24"/>
        </w:rPr>
        <w:t>Регламент за сътрудничество в областта на защитата на потребителите (СОЗП)</w:t>
      </w:r>
      <w:r>
        <w:rPr>
          <w:rFonts w:ascii="Times New Roman" w:hAnsi="Times New Roman" w:cs="Times New Roman"/>
          <w:bCs/>
          <w:noProof/>
          <w:sz w:val="24"/>
          <w:szCs w:val="24"/>
          <w:vertAlign w:val="superscript"/>
          <w:lang w:val="en-GB"/>
        </w:rPr>
        <w:footnoteReference w:id="76"/>
      </w:r>
      <w:r>
        <w:rPr>
          <w:rFonts w:ascii="Times New Roman" w:hAnsi="Times New Roman"/>
          <w:noProof/>
          <w:sz w:val="24"/>
          <w:szCs w:val="24"/>
        </w:rPr>
        <w:t xml:space="preserve">, който влезе в сила през януари 2020 г., предоставя по-стабилна база за съвместни действия на ЕС. С него се укрепват онлайн капацитетът на правоприлагащите органи, механизмите за сътрудничество и системата за събиране на данни за справяне със значителни нарушения на законодателството на ЕС за защита на потребителите, осигурява се равномерно равнище на защита на потребителите и се предлага „обслужване на едно гише“ за предприятията. Комисията няма да се поколебае да използва правомощията си съгласно Регламента, </w:t>
      </w:r>
      <w:r>
        <w:rPr>
          <w:rFonts w:ascii="Times New Roman" w:hAnsi="Times New Roman"/>
          <w:b/>
          <w:bCs/>
          <w:noProof/>
          <w:sz w:val="24"/>
          <w:szCs w:val="24"/>
        </w:rPr>
        <w:t>за да започне</w:t>
      </w:r>
      <w:r>
        <w:rPr>
          <w:rFonts w:ascii="Times New Roman" w:hAnsi="Times New Roman"/>
          <w:noProof/>
          <w:sz w:val="24"/>
          <w:szCs w:val="24"/>
        </w:rPr>
        <w:t xml:space="preserve">, когато е необходимо, </w:t>
      </w:r>
      <w:r>
        <w:rPr>
          <w:rFonts w:ascii="Times New Roman" w:hAnsi="Times New Roman"/>
          <w:b/>
          <w:bCs/>
          <w:noProof/>
          <w:sz w:val="24"/>
          <w:szCs w:val="24"/>
        </w:rPr>
        <w:t>действия по координирано прилагане</w:t>
      </w:r>
      <w:r>
        <w:rPr>
          <w:rFonts w:ascii="Times New Roman" w:hAnsi="Times New Roman"/>
          <w:noProof/>
          <w:sz w:val="24"/>
          <w:szCs w:val="24"/>
        </w:rPr>
        <w:t xml:space="preserve"> относно въпроси с общоевропейско значение.</w:t>
      </w:r>
      <w:r>
        <w:rPr>
          <w:rFonts w:ascii="Times New Roman" w:hAnsi="Times New Roman"/>
          <w:noProof/>
          <w:sz w:val="24"/>
          <w:szCs w:val="24"/>
          <w:vertAlign w:val="superscript"/>
        </w:rPr>
        <w:t xml:space="preserve"> </w:t>
      </w:r>
      <w:r>
        <w:rPr>
          <w:rFonts w:ascii="Times New Roman" w:hAnsi="Times New Roman"/>
          <w:noProof/>
          <w:sz w:val="24"/>
          <w:szCs w:val="24"/>
        </w:rPr>
        <w:t xml:space="preserve">В съответствие със стратегическите приоритети на настоящата програма работата ще бъде съсредоточена върху справянето с: </w:t>
      </w:r>
    </w:p>
    <w:p>
      <w:pPr>
        <w:pStyle w:val="ListParagraph"/>
        <w:numPr>
          <w:ilvl w:val="0"/>
          <w:numId w:val="11"/>
        </w:numPr>
        <w:spacing w:after="240" w:line="240" w:lineRule="auto"/>
        <w:ind w:left="777" w:hanging="357"/>
        <w:contextualSpacing w:val="0"/>
        <w:jc w:val="both"/>
        <w:rPr>
          <w:rFonts w:ascii="Times New Roman" w:hAnsi="Times New Roman" w:cs="Times New Roman"/>
          <w:noProof/>
          <w:sz w:val="24"/>
          <w:szCs w:val="24"/>
        </w:rPr>
      </w:pPr>
      <w:r>
        <w:rPr>
          <w:rFonts w:ascii="Times New Roman" w:hAnsi="Times New Roman"/>
          <w:noProof/>
          <w:sz w:val="24"/>
          <w:szCs w:val="24"/>
        </w:rPr>
        <w:t>въздействието на COVID-19 върху правата на потребителите (т.е. измами, въпроси, свързани с пътувания и възползване от финансова уязвимост, които са съществували преди пандемията, но са се изострили</w:t>
      </w:r>
      <w:r>
        <w:rPr>
          <w:rStyle w:val="FootnoteReference"/>
          <w:rFonts w:ascii="Times New Roman" w:hAnsi="Times New Roman" w:cs="Times New Roman"/>
          <w:noProof/>
          <w:sz w:val="24"/>
          <w:szCs w:val="24"/>
          <w:lang w:val="en-GB"/>
        </w:rPr>
        <w:footnoteReference w:id="77"/>
      </w:r>
      <w:r>
        <w:rPr>
          <w:rFonts w:ascii="Times New Roman" w:hAnsi="Times New Roman"/>
          <w:noProof/>
          <w:sz w:val="24"/>
          <w:szCs w:val="24"/>
        </w:rPr>
        <w:t>) и</w:t>
      </w:r>
    </w:p>
    <w:p>
      <w:pPr>
        <w:pStyle w:val="ListParagraph"/>
        <w:numPr>
          <w:ilvl w:val="0"/>
          <w:numId w:val="11"/>
        </w:num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заблуждаващи твърдения за екологосъобразност и нелоялни търговски практики във връзка с техники за онлайн влияние и персонализиране.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Съгласно регламента до януари 2023 г. Комисията трябва да извърши </w:t>
      </w:r>
      <w:r>
        <w:rPr>
          <w:rFonts w:ascii="Times New Roman" w:hAnsi="Times New Roman"/>
          <w:b/>
          <w:bCs/>
          <w:noProof/>
          <w:sz w:val="24"/>
          <w:szCs w:val="24"/>
        </w:rPr>
        <w:t>оценка</w:t>
      </w:r>
      <w:r>
        <w:rPr>
          <w:rFonts w:ascii="Times New Roman" w:hAnsi="Times New Roman"/>
          <w:noProof/>
          <w:sz w:val="24"/>
          <w:szCs w:val="24"/>
        </w:rPr>
        <w:t xml:space="preserve"> на ефективността на новите правила.</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Освен това ЕС наскоро преразгледа своята законодателна рамка за защита на потребителите. Новата </w:t>
      </w:r>
      <w:r>
        <w:rPr>
          <w:rFonts w:ascii="Times New Roman" w:hAnsi="Times New Roman"/>
          <w:b/>
          <w:bCs/>
          <w:noProof/>
          <w:sz w:val="24"/>
          <w:szCs w:val="24"/>
        </w:rPr>
        <w:t>Директива относно по-доброто прилагане и модернизирането на законодателството за защита на потребителите</w:t>
      </w:r>
      <w:r>
        <w:rPr>
          <w:rFonts w:ascii="Times New Roman" w:hAnsi="Times New Roman" w:cs="Times New Roman"/>
          <w:noProof/>
          <w:sz w:val="24"/>
          <w:szCs w:val="24"/>
          <w:vertAlign w:val="superscript"/>
          <w:lang w:val="en-GB"/>
        </w:rPr>
        <w:footnoteReference w:id="78"/>
      </w:r>
      <w:r>
        <w:rPr>
          <w:rFonts w:ascii="Times New Roman" w:hAnsi="Times New Roman"/>
          <w:noProof/>
          <w:sz w:val="24"/>
          <w:szCs w:val="24"/>
        </w:rPr>
        <w:t xml:space="preserve"> </w:t>
      </w:r>
      <w:r>
        <w:rPr>
          <w:rFonts w:ascii="Times New Roman" w:hAnsi="Times New Roman"/>
          <w:bCs/>
          <w:noProof/>
          <w:sz w:val="24"/>
          <w:szCs w:val="24"/>
        </w:rPr>
        <w:t xml:space="preserve">и предстоящата </w:t>
      </w:r>
      <w:r>
        <w:rPr>
          <w:rFonts w:ascii="Times New Roman" w:hAnsi="Times New Roman"/>
          <w:b/>
          <w:bCs/>
          <w:noProof/>
          <w:sz w:val="24"/>
          <w:szCs w:val="24"/>
        </w:rPr>
        <w:t>Директива относно представителните искове</w:t>
      </w:r>
      <w:r>
        <w:rPr>
          <w:rFonts w:ascii="Times New Roman" w:hAnsi="Times New Roman" w:cs="Times New Roman"/>
          <w:bCs/>
          <w:noProof/>
          <w:sz w:val="24"/>
          <w:szCs w:val="24"/>
          <w:vertAlign w:val="superscript"/>
          <w:lang w:val="en-GB"/>
        </w:rPr>
        <w:footnoteReference w:id="79"/>
      </w:r>
      <w:r>
        <w:rPr>
          <w:rFonts w:ascii="Times New Roman" w:hAnsi="Times New Roman"/>
          <w:noProof/>
          <w:sz w:val="24"/>
          <w:szCs w:val="24"/>
        </w:rPr>
        <w:t xml:space="preserve"> ще укрепят значително правата на потребителите, по-специално чрез предоставяне на повече справедливост в областта на цифровите технологии, по-строги санкции и ефективен механизъм за колективна защита.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За да се осигури еднакво прилагане в целия ЕС и да се помогне на органите да се справят по-добре с произтичащите от цифровата трансформация трудности, с </w:t>
      </w:r>
      <w:r>
        <w:rPr>
          <w:rFonts w:ascii="Times New Roman" w:hAnsi="Times New Roman"/>
          <w:b/>
          <w:bCs/>
          <w:noProof/>
          <w:sz w:val="24"/>
          <w:szCs w:val="24"/>
        </w:rPr>
        <w:t>програмата за единния пазар съгласно новата МФР</w:t>
      </w:r>
      <w:r>
        <w:rPr>
          <w:rFonts w:ascii="Times New Roman" w:hAnsi="Times New Roman"/>
          <w:noProof/>
          <w:sz w:val="24"/>
          <w:szCs w:val="24"/>
        </w:rPr>
        <w:t xml:space="preserve"> ще бъде даден приоритет на финансирането на дейностите на националните органи за изграждане на капацитет. Комисията планира да финансира проект за въвеждане на „</w:t>
      </w:r>
      <w:r>
        <w:rPr>
          <w:rFonts w:ascii="Times New Roman" w:hAnsi="Times New Roman"/>
          <w:b/>
          <w:noProof/>
          <w:sz w:val="24"/>
          <w:szCs w:val="24"/>
        </w:rPr>
        <w:t>EU e-Lab</w:t>
      </w:r>
      <w:r>
        <w:rPr>
          <w:rFonts w:ascii="Times New Roman" w:hAnsi="Times New Roman"/>
          <w:noProof/>
          <w:sz w:val="24"/>
          <w:szCs w:val="24"/>
        </w:rPr>
        <w:t>“ като платформа, която ще предоставя общ набор от инструменти, които органите могат да използват, за да провеждат онлайн разследвания и да наблюдават продавани онлайн опасни продукти чрез внедряване на усъвършенствани ИТ решения, използване на ИИ, техники за извличане на данни и уеброботи (webcrawlers). Освен това тя ще се стреми да укрепи капацитета на потенциалните бъдещи квалифицирани органи съгласно предстоящата Директива относно представителните искове и на националните потребителски организации като органи, определени да докладват сигнали съгласно Регламента за СОЗП. Улесняването на индивидуалната защита ще продължи да бъде приоритет с продължаване на финансирането от страна на ЕС и модернизацията на европейските потребителски центрове, алтернативното разрешаване на спорове и средствата за онлайн разрешаване на спорове. За изграждания в националните органи административен капацитет е възможна също и специална техническа подкрепа чрез Инструмента за техническа подкрепа</w:t>
      </w:r>
      <w:r>
        <w:rPr>
          <w:rStyle w:val="FootnoteReference"/>
          <w:rFonts w:ascii="Times New Roman" w:hAnsi="Times New Roman" w:cs="Times New Roman"/>
          <w:noProof/>
          <w:sz w:val="24"/>
          <w:szCs w:val="24"/>
          <w:lang w:val="en-GB"/>
        </w:rPr>
        <w:footnoteReference w:id="80"/>
      </w:r>
      <w:r>
        <w:rPr>
          <w:rFonts w:ascii="Times New Roman" w:hAnsi="Times New Roman"/>
          <w:noProof/>
          <w:sz w:val="24"/>
          <w:szCs w:val="24"/>
        </w:rPr>
        <w:t>.</w:t>
      </w:r>
    </w:p>
    <w:p>
      <w:pPr>
        <w:numPr>
          <w:ilvl w:val="0"/>
          <w:numId w:val="15"/>
        </w:numPr>
        <w:pBdr>
          <w:top w:val="single" w:sz="4" w:space="1" w:color="auto"/>
          <w:left w:val="single" w:sz="4" w:space="0" w:color="auto"/>
          <w:bottom w:val="single" w:sz="4" w:space="1" w:color="auto"/>
          <w:right w:val="single" w:sz="4" w:space="4" w:color="auto"/>
        </w:pBdr>
        <w:spacing w:after="240" w:line="240" w:lineRule="auto"/>
        <w:contextualSpacing/>
        <w:jc w:val="both"/>
        <w:rPr>
          <w:rFonts w:ascii="Times New Roman" w:hAnsi="Times New Roman"/>
          <w:noProof/>
          <w:sz w:val="24"/>
        </w:rPr>
      </w:pPr>
      <w:r>
        <w:rPr>
          <w:rFonts w:ascii="Times New Roman" w:hAnsi="Times New Roman"/>
          <w:b/>
          <w:bCs/>
          <w:noProof/>
          <w:sz w:val="24"/>
          <w:szCs w:val="24"/>
        </w:rPr>
        <w:t xml:space="preserve">Действие 11: </w:t>
      </w:r>
      <w:r>
        <w:rPr>
          <w:rFonts w:ascii="Times New Roman" w:hAnsi="Times New Roman"/>
          <w:noProof/>
          <w:sz w:val="24"/>
          <w:szCs w:val="24"/>
        </w:rPr>
        <w:t xml:space="preserve">Комисията ще </w:t>
      </w:r>
      <w:r>
        <w:rPr>
          <w:rFonts w:ascii="Times New Roman" w:hAnsi="Times New Roman"/>
          <w:b/>
          <w:bCs/>
          <w:noProof/>
          <w:sz w:val="24"/>
          <w:szCs w:val="24"/>
        </w:rPr>
        <w:t>подпомага</w:t>
      </w:r>
      <w:r>
        <w:rPr>
          <w:rFonts w:ascii="Times New Roman" w:hAnsi="Times New Roman"/>
          <w:noProof/>
          <w:sz w:val="24"/>
          <w:szCs w:val="24"/>
        </w:rPr>
        <w:t xml:space="preserve"> </w:t>
      </w:r>
      <w:r>
        <w:rPr>
          <w:rFonts w:ascii="Times New Roman" w:hAnsi="Times New Roman"/>
          <w:b/>
          <w:bCs/>
          <w:noProof/>
          <w:sz w:val="24"/>
          <w:szCs w:val="24"/>
        </w:rPr>
        <w:t>държавите членки</w:t>
      </w:r>
      <w:r>
        <w:rPr>
          <w:rFonts w:ascii="Times New Roman" w:hAnsi="Times New Roman"/>
          <w:noProof/>
          <w:sz w:val="24"/>
          <w:szCs w:val="24"/>
        </w:rPr>
        <w:t xml:space="preserve"> при </w:t>
      </w:r>
      <w:r>
        <w:rPr>
          <w:rFonts w:ascii="Times New Roman" w:hAnsi="Times New Roman"/>
          <w:b/>
          <w:bCs/>
          <w:noProof/>
          <w:sz w:val="24"/>
          <w:szCs w:val="24"/>
        </w:rPr>
        <w:t>своевременното и ефективно транспониране, изпълнение и прилагане</w:t>
      </w:r>
      <w:r>
        <w:rPr>
          <w:rFonts w:ascii="Times New Roman" w:hAnsi="Times New Roman"/>
          <w:noProof/>
          <w:sz w:val="24"/>
          <w:szCs w:val="24"/>
        </w:rPr>
        <w:t xml:space="preserve"> на Директивата относно по-доброто прилагане и модернизирането на законодателството за защита на потребителите, която ще влезе в сила през май 2022 г., и във връзка с бъдещата Директива относно представителните искове, след като бъде официално приета и влезе в сила.</w:t>
      </w:r>
    </w:p>
    <w:p>
      <w:pPr>
        <w:pBdr>
          <w:top w:val="single" w:sz="4" w:space="1" w:color="auto"/>
          <w:left w:val="single" w:sz="4" w:space="0" w:color="auto"/>
          <w:bottom w:val="single" w:sz="4" w:space="1" w:color="auto"/>
          <w:right w:val="single" w:sz="4" w:space="4" w:color="auto"/>
        </w:pBdr>
        <w:spacing w:after="240" w:line="240" w:lineRule="auto"/>
        <w:ind w:left="-420"/>
        <w:contextualSpacing/>
        <w:jc w:val="both"/>
        <w:rPr>
          <w:rFonts w:ascii="Times New Roman" w:hAnsi="Times New Roman" w:cs="Times New Roman"/>
          <w:noProof/>
          <w:sz w:val="24"/>
          <w:szCs w:val="24"/>
        </w:rPr>
      </w:pPr>
    </w:p>
    <w:p>
      <w:pPr>
        <w:numPr>
          <w:ilvl w:val="0"/>
          <w:numId w:val="15"/>
        </w:numPr>
        <w:pBdr>
          <w:top w:val="single" w:sz="4" w:space="1" w:color="auto"/>
          <w:left w:val="single" w:sz="4" w:space="0" w:color="auto"/>
          <w:bottom w:val="single" w:sz="4" w:space="1" w:color="auto"/>
          <w:right w:val="single" w:sz="4" w:space="4" w:color="auto"/>
        </w:pBdr>
        <w:spacing w:after="240" w:line="240" w:lineRule="auto"/>
        <w:contextualSpacing/>
        <w:jc w:val="both"/>
        <w:rPr>
          <w:rFonts w:ascii="Times New Roman" w:hAnsi="Times New Roman"/>
          <w:noProof/>
          <w:sz w:val="24"/>
        </w:rPr>
      </w:pPr>
      <w:r>
        <w:rPr>
          <w:rFonts w:ascii="Times New Roman" w:hAnsi="Times New Roman"/>
          <w:b/>
          <w:bCs/>
          <w:noProof/>
          <w:sz w:val="24"/>
          <w:szCs w:val="24"/>
        </w:rPr>
        <w:t>Действие 12</w:t>
      </w:r>
      <w:r>
        <w:rPr>
          <w:rFonts w:ascii="Times New Roman" w:hAnsi="Times New Roman"/>
          <w:noProof/>
          <w:sz w:val="24"/>
          <w:szCs w:val="24"/>
        </w:rPr>
        <w:t xml:space="preserve">: През 2022 г. и на всеки две години след това Комисията, заедно с националните органи, ще представят </w:t>
      </w:r>
      <w:r>
        <w:rPr>
          <w:rFonts w:ascii="Times New Roman" w:hAnsi="Times New Roman"/>
          <w:b/>
          <w:bCs/>
          <w:noProof/>
          <w:sz w:val="24"/>
          <w:szCs w:val="24"/>
        </w:rPr>
        <w:t>общи приоритети за прилагането</w:t>
      </w:r>
      <w:r>
        <w:rPr>
          <w:rFonts w:ascii="Times New Roman" w:hAnsi="Times New Roman"/>
          <w:noProof/>
          <w:sz w:val="24"/>
          <w:szCs w:val="24"/>
        </w:rPr>
        <w:t xml:space="preserve"> на мрежата за СОЗП за справяне с установените в различни сектори проблеми, свързани със спазването.</w:t>
      </w:r>
    </w:p>
    <w:p>
      <w:pPr>
        <w:pBdr>
          <w:top w:val="single" w:sz="4" w:space="1" w:color="auto"/>
          <w:left w:val="single" w:sz="4" w:space="0" w:color="auto"/>
          <w:bottom w:val="single" w:sz="4" w:space="1" w:color="auto"/>
          <w:right w:val="single" w:sz="4" w:space="4" w:color="auto"/>
        </w:pBdr>
        <w:spacing w:after="240" w:line="240" w:lineRule="auto"/>
        <w:ind w:left="-420"/>
        <w:contextualSpacing/>
        <w:jc w:val="both"/>
        <w:rPr>
          <w:rFonts w:ascii="Times New Roman" w:hAnsi="Times New Roman" w:cs="Times New Roman"/>
          <w:noProof/>
          <w:sz w:val="24"/>
          <w:szCs w:val="24"/>
        </w:rPr>
      </w:pPr>
    </w:p>
    <w:p>
      <w:pPr>
        <w:numPr>
          <w:ilvl w:val="0"/>
          <w:numId w:val="15"/>
        </w:numPr>
        <w:pBdr>
          <w:top w:val="single" w:sz="4" w:space="1" w:color="auto"/>
          <w:left w:val="single" w:sz="4" w:space="0" w:color="auto"/>
          <w:bottom w:val="single" w:sz="4" w:space="1" w:color="auto"/>
          <w:right w:val="single" w:sz="4" w:space="4" w:color="auto"/>
        </w:pBdr>
        <w:spacing w:after="240" w:line="240" w:lineRule="auto"/>
        <w:contextualSpacing/>
        <w:jc w:val="both"/>
        <w:rPr>
          <w:rFonts w:ascii="Times New Roman" w:hAnsi="Times New Roman" w:cs="Times New Roman"/>
          <w:noProof/>
          <w:sz w:val="24"/>
          <w:szCs w:val="24"/>
        </w:rPr>
      </w:pPr>
      <w:r>
        <w:rPr>
          <w:rFonts w:ascii="Times New Roman" w:hAnsi="Times New Roman"/>
          <w:b/>
          <w:bCs/>
          <w:noProof/>
          <w:sz w:val="24"/>
          <w:szCs w:val="24"/>
        </w:rPr>
        <w:t>Действие 13</w:t>
      </w:r>
      <w:r>
        <w:rPr>
          <w:rFonts w:ascii="Times New Roman" w:hAnsi="Times New Roman"/>
          <w:noProof/>
          <w:sz w:val="24"/>
          <w:szCs w:val="24"/>
        </w:rPr>
        <w:t xml:space="preserve">: До 2022 г., </w:t>
      </w:r>
      <w:r>
        <w:rPr>
          <w:rFonts w:ascii="Times New Roman" w:hAnsi="Times New Roman"/>
          <w:noProof/>
          <w:color w:val="000000"/>
          <w:sz w:val="24"/>
          <w:szCs w:val="24"/>
        </w:rPr>
        <w:t>като следва принципите на Европейската рамка за оперативна съвместимост</w:t>
      </w:r>
      <w:r>
        <w:rPr>
          <w:rStyle w:val="FootnoteReference"/>
          <w:rFonts w:ascii="Times New Roman" w:hAnsi="Times New Roman" w:cs="Times New Roman"/>
          <w:noProof/>
          <w:color w:val="000000"/>
          <w:sz w:val="24"/>
          <w:szCs w:val="24"/>
          <w:lang w:val="en-IE"/>
        </w:rPr>
        <w:footnoteReference w:id="81"/>
      </w:r>
      <w:r>
        <w:rPr>
          <w:rFonts w:ascii="Times New Roman" w:hAnsi="Times New Roman"/>
          <w:noProof/>
          <w:sz w:val="24"/>
          <w:szCs w:val="24"/>
        </w:rPr>
        <w:t xml:space="preserve">, Комисията ще въведе набор от </w:t>
      </w:r>
      <w:r>
        <w:rPr>
          <w:rFonts w:ascii="Times New Roman" w:hAnsi="Times New Roman"/>
          <w:b/>
          <w:noProof/>
          <w:sz w:val="24"/>
          <w:szCs w:val="24"/>
        </w:rPr>
        <w:t>иновативни електронни инструменти</w:t>
      </w:r>
      <w:r>
        <w:rPr>
          <w:rFonts w:ascii="Times New Roman" w:hAnsi="Times New Roman"/>
          <w:noProof/>
          <w:sz w:val="24"/>
          <w:szCs w:val="24"/>
        </w:rPr>
        <w:t xml:space="preserve"> за укрепване на капацитета на националните органи за справяне с незаконни онлайн търговски практики и установяване на опасни продукти.</w:t>
      </w:r>
    </w:p>
    <w:p>
      <w:pPr>
        <w:pBdr>
          <w:top w:val="single" w:sz="4" w:space="1" w:color="auto"/>
          <w:left w:val="single" w:sz="4" w:space="0" w:color="auto"/>
          <w:bottom w:val="single" w:sz="4" w:space="1" w:color="auto"/>
          <w:right w:val="single" w:sz="4" w:space="4" w:color="auto"/>
        </w:pBdr>
        <w:spacing w:after="240" w:line="240" w:lineRule="auto"/>
        <w:ind w:left="-420"/>
        <w:contextualSpacing/>
        <w:jc w:val="both"/>
        <w:rPr>
          <w:rFonts w:ascii="Times New Roman" w:hAnsi="Times New Roman"/>
          <w:noProof/>
          <w:sz w:val="24"/>
        </w:rPr>
      </w:pPr>
    </w:p>
    <w:p>
      <w:pPr>
        <w:numPr>
          <w:ilvl w:val="0"/>
          <w:numId w:val="16"/>
        </w:numPr>
        <w:pBdr>
          <w:top w:val="single" w:sz="4" w:space="1" w:color="auto"/>
          <w:left w:val="single" w:sz="4" w:space="0" w:color="auto"/>
          <w:bottom w:val="single" w:sz="4" w:space="1" w:color="auto"/>
          <w:right w:val="single" w:sz="4" w:space="4" w:color="auto"/>
        </w:pBdr>
        <w:spacing w:after="240" w:line="240" w:lineRule="auto"/>
        <w:contextualSpacing/>
        <w:jc w:val="both"/>
        <w:rPr>
          <w:rFonts w:ascii="Times New Roman" w:hAnsi="Times New Roman"/>
          <w:noProof/>
          <w:sz w:val="24"/>
        </w:rPr>
      </w:pPr>
      <w:r>
        <w:rPr>
          <w:rFonts w:ascii="Times New Roman" w:hAnsi="Times New Roman"/>
          <w:b/>
          <w:bCs/>
          <w:noProof/>
          <w:sz w:val="24"/>
          <w:szCs w:val="24"/>
        </w:rPr>
        <w:t>Действие 14:</w:t>
      </w:r>
      <w:r>
        <w:rPr>
          <w:rFonts w:ascii="Times New Roman" w:hAnsi="Times New Roman"/>
          <w:noProof/>
          <w:sz w:val="24"/>
          <w:szCs w:val="24"/>
        </w:rPr>
        <w:t xml:space="preserve"> До 2023 г. Комисията </w:t>
      </w:r>
      <w:r>
        <w:rPr>
          <w:rFonts w:ascii="Times New Roman" w:hAnsi="Times New Roman"/>
          <w:b/>
          <w:noProof/>
          <w:sz w:val="24"/>
          <w:szCs w:val="24"/>
        </w:rPr>
        <w:t>ще оцени</w:t>
      </w:r>
      <w:r>
        <w:rPr>
          <w:rFonts w:ascii="Times New Roman" w:hAnsi="Times New Roman"/>
          <w:noProof/>
          <w:sz w:val="24"/>
          <w:szCs w:val="24"/>
        </w:rPr>
        <w:t xml:space="preserve"> </w:t>
      </w:r>
      <w:r>
        <w:rPr>
          <w:rFonts w:ascii="Times New Roman" w:hAnsi="Times New Roman"/>
          <w:b/>
          <w:noProof/>
          <w:sz w:val="24"/>
          <w:szCs w:val="24"/>
        </w:rPr>
        <w:t>прилагането на Регламента за СОЗП</w:t>
      </w:r>
      <w:r>
        <w:rPr>
          <w:rFonts w:ascii="Times New Roman" w:hAnsi="Times New Roman"/>
          <w:noProof/>
          <w:sz w:val="24"/>
          <w:szCs w:val="24"/>
        </w:rPr>
        <w:t>, по-специално за да направи оценка на ефективността на прилагането при справяне с общоевропейски практики, които противоречат на законодателството за защита на потребителите.</w:t>
      </w:r>
    </w:p>
    <w:p>
      <w:pPr>
        <w:spacing w:after="0" w:line="240" w:lineRule="auto"/>
        <w:jc w:val="both"/>
        <w:rPr>
          <w:rFonts w:ascii="Times New Roman" w:hAnsi="Times New Roman" w:cs="Times New Roman"/>
          <w:noProof/>
          <w:sz w:val="24"/>
          <w:szCs w:val="24"/>
        </w:rPr>
      </w:pPr>
    </w:p>
    <w:p>
      <w:pPr>
        <w:numPr>
          <w:ilvl w:val="1"/>
          <w:numId w:val="1"/>
        </w:numPr>
        <w:spacing w:after="240" w:line="240" w:lineRule="auto"/>
        <w:jc w:val="both"/>
        <w:rPr>
          <w:rFonts w:ascii="Times New Roman" w:hAnsi="Times New Roman" w:cs="Times New Roman"/>
          <w:b/>
          <w:noProof/>
          <w:sz w:val="24"/>
          <w:szCs w:val="24"/>
        </w:rPr>
      </w:pPr>
      <w:r>
        <w:rPr>
          <w:rFonts w:ascii="Times New Roman" w:hAnsi="Times New Roman"/>
          <w:b/>
          <w:noProof/>
          <w:sz w:val="24"/>
          <w:szCs w:val="24"/>
        </w:rPr>
        <w:t xml:space="preserve"> Посрещане на специфични потребности на потребителите </w:t>
      </w:r>
    </w:p>
    <w:p>
      <w:pPr>
        <w:pBdr>
          <w:top w:val="single" w:sz="4" w:space="1" w:color="auto"/>
          <w:left w:val="single" w:sz="4" w:space="4" w:color="auto"/>
          <w:bottom w:val="single" w:sz="4" w:space="6"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Пример: През 2018 г. 10 % от домакинствата в ЕС са имали просрочени задължения по ипотека, наем, битови сметки или плащания по заеми, при което са били изложени на риск от свръхзадлъжнялост. Настоящата пандемия изостря положението на много задлъжнели потребители. </w:t>
      </w:r>
      <w:r>
        <w:rPr>
          <w:rFonts w:ascii="Times New Roman" w:hAnsi="Times New Roman"/>
          <w:i/>
          <w:iCs/>
          <w:noProof/>
          <w:sz w:val="24"/>
          <w:szCs w:val="24"/>
        </w:rPr>
        <w:t>Комисията работи с държавите членки и заинтересованите страни за установяване и насърчаване на най-добри практики за подпомагане на потребителите в затруднение</w:t>
      </w:r>
      <w:r>
        <w:rPr>
          <w:rFonts w:ascii="Times New Roman" w:hAnsi="Times New Roman" w:cs="Times New Roman"/>
          <w:noProof/>
          <w:sz w:val="24"/>
          <w:szCs w:val="24"/>
          <w:vertAlign w:val="superscript"/>
          <w:lang w:val="en-GB"/>
        </w:rPr>
        <w:footnoteReference w:id="82"/>
      </w:r>
      <w:r>
        <w:rPr>
          <w:rFonts w:ascii="Times New Roman" w:hAnsi="Times New Roman"/>
          <w:i/>
          <w:noProof/>
          <w:sz w:val="24"/>
          <w:szCs w:val="24"/>
        </w:rPr>
        <w:t>, включително по-добър достъп до дълговото консултиране. Проучвания показват, че всяко евро, похарчено за консултации относно задлъжнялостта, може да спести повече от две евра под формата на социални помощи.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Инструментите на политиката за потребителите защитават всички потребители в отношенията им с професионални търговци. Предполага се, че потребителите обикновено са по-слабата страна в дадена сделка и поради това тяхното здраве, безопасност и икономически интереси изискват защита. Определени групи потребители обаче могат да бъдат особено уязвими в определени ситуации и се нуждаят от специфични гаранции. </w:t>
      </w:r>
      <w:r>
        <w:rPr>
          <w:rFonts w:ascii="Times New Roman" w:hAnsi="Times New Roman"/>
          <w:b/>
          <w:bCs/>
          <w:noProof/>
          <w:sz w:val="24"/>
          <w:szCs w:val="24"/>
        </w:rPr>
        <w:t>Уязвимостта на потребителите</w:t>
      </w:r>
      <w:r>
        <w:rPr>
          <w:rFonts w:ascii="Times New Roman" w:hAnsi="Times New Roman"/>
          <w:noProof/>
          <w:sz w:val="24"/>
          <w:szCs w:val="24"/>
        </w:rPr>
        <w:t xml:space="preserve"> може да бъде обусловена от социалното положение или специфичните характеристики на отделни потребители или групи потребители, като например тяхната възраст, пол, здраве, цифрова грамотност, математическа грамотност или финансово състояние</w:t>
      </w:r>
      <w:r>
        <w:rPr>
          <w:rFonts w:ascii="Times New Roman" w:hAnsi="Times New Roman" w:cs="Times New Roman"/>
          <w:noProof/>
          <w:sz w:val="24"/>
          <w:szCs w:val="24"/>
          <w:vertAlign w:val="superscript"/>
          <w:lang w:val="en-GB"/>
        </w:rPr>
        <w:footnoteReference w:id="83"/>
      </w:r>
      <w:r>
        <w:rPr>
          <w:rFonts w:ascii="Times New Roman" w:hAnsi="Times New Roman"/>
          <w:noProof/>
          <w:sz w:val="24"/>
          <w:szCs w:val="24"/>
        </w:rPr>
        <w:t xml:space="preserve">. Липсата на достъпност може да постави възрастните лица или лицата с увреждания в ситуации на изключване или да ограничи тяхното взаимодействие. Тези форми на уязвимост може и да са били влошени в резултат на настоящата пандемия, но те съществуват независимо от нея.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Особено обезпокоително понастоящем е повишаването на </w:t>
      </w:r>
      <w:r>
        <w:rPr>
          <w:rFonts w:ascii="Times New Roman" w:hAnsi="Times New Roman"/>
          <w:b/>
          <w:bCs/>
          <w:noProof/>
          <w:sz w:val="24"/>
          <w:szCs w:val="24"/>
        </w:rPr>
        <w:t>финансовата уязвимост</w:t>
      </w:r>
      <w:r>
        <w:rPr>
          <w:rFonts w:ascii="Times New Roman" w:hAnsi="Times New Roman"/>
          <w:noProof/>
          <w:sz w:val="24"/>
          <w:szCs w:val="24"/>
        </w:rPr>
        <w:t xml:space="preserve"> на много домакинства в ЕС. Неотдавнашно проучване в 21 държави членки показа, че от началото на кризата с COVID-19 с финансови затруднения</w:t>
      </w:r>
      <w:r>
        <w:rPr>
          <w:rFonts w:ascii="Times New Roman" w:hAnsi="Times New Roman" w:cs="Times New Roman"/>
          <w:noProof/>
          <w:sz w:val="24"/>
          <w:szCs w:val="24"/>
          <w:vertAlign w:val="superscript"/>
          <w:lang w:val="en-GB"/>
        </w:rPr>
        <w:footnoteReference w:id="84"/>
      </w:r>
      <w:r>
        <w:rPr>
          <w:rFonts w:ascii="Times New Roman" w:hAnsi="Times New Roman"/>
          <w:noProof/>
          <w:sz w:val="24"/>
          <w:szCs w:val="24"/>
        </w:rPr>
        <w:t xml:space="preserve">, които могат да доведат до свръхзадлъжнялост, са се сблъсквали 6 от 10 потребители. </w:t>
      </w:r>
      <w:r>
        <w:rPr>
          <w:rFonts w:ascii="Times New Roman" w:hAnsi="Times New Roman"/>
          <w:b/>
          <w:noProof/>
          <w:sz w:val="24"/>
          <w:szCs w:val="24"/>
        </w:rPr>
        <w:t xml:space="preserve">Дълговото консултиране </w:t>
      </w:r>
      <w:r>
        <w:rPr>
          <w:rFonts w:ascii="Times New Roman" w:hAnsi="Times New Roman"/>
          <w:noProof/>
          <w:sz w:val="24"/>
          <w:szCs w:val="24"/>
        </w:rPr>
        <w:t>се доказа като ефективен начин за подпомагане на връщането на свръхзадлъжнелите потребители към финансова устойчивост при същевременно гарантиране погасяването на дължимото към кредиторите. Комисията събира най-добрите практики в държавите членки, разглежда техния потенциал за възпроизвеждане и установява потребностите и възможностите за финансиране съгласно новата МФР. През юни 2020 г. Комисията публикува и актуализиран Европейски кодекс за добри практики при предоставяне на микрокредити</w:t>
      </w:r>
      <w:r>
        <w:rPr>
          <w:rFonts w:ascii="Times New Roman" w:hAnsi="Times New Roman" w:cs="Times New Roman"/>
          <w:noProof/>
          <w:sz w:val="24"/>
          <w:szCs w:val="24"/>
          <w:vertAlign w:val="superscript"/>
          <w:lang w:val="en-GB"/>
        </w:rPr>
        <w:footnoteReference w:id="85"/>
      </w:r>
      <w:r>
        <w:rPr>
          <w:rFonts w:ascii="Times New Roman" w:hAnsi="Times New Roman"/>
          <w:noProof/>
          <w:sz w:val="24"/>
          <w:szCs w:val="24"/>
        </w:rPr>
        <w:t>. Преразглеждането на Директивата за потребителските кредити</w:t>
      </w:r>
      <w:r>
        <w:rPr>
          <w:rFonts w:ascii="Times New Roman" w:hAnsi="Times New Roman" w:cs="Times New Roman"/>
          <w:noProof/>
          <w:sz w:val="24"/>
          <w:szCs w:val="24"/>
          <w:vertAlign w:val="superscript"/>
          <w:lang w:val="en-GB"/>
        </w:rPr>
        <w:footnoteReference w:id="86"/>
      </w:r>
      <w:r>
        <w:rPr>
          <w:rFonts w:ascii="Times New Roman" w:hAnsi="Times New Roman"/>
          <w:b/>
          <w:bCs/>
          <w:noProof/>
          <w:sz w:val="24"/>
          <w:szCs w:val="24"/>
        </w:rPr>
        <w:t xml:space="preserve"> </w:t>
      </w:r>
      <w:r>
        <w:rPr>
          <w:rFonts w:ascii="Times New Roman" w:hAnsi="Times New Roman"/>
          <w:bCs/>
          <w:noProof/>
          <w:sz w:val="24"/>
          <w:szCs w:val="24"/>
        </w:rPr>
        <w:t xml:space="preserve">ще включва оценка на начина, по който могат да бъдат подобрени правилата, гарантиращи че кредитът е обвързан с цялостна оценка на </w:t>
      </w:r>
      <w:r>
        <w:rPr>
          <w:rFonts w:ascii="Times New Roman" w:hAnsi="Times New Roman"/>
          <w:noProof/>
          <w:sz w:val="24"/>
          <w:szCs w:val="24"/>
        </w:rPr>
        <w:t xml:space="preserve">кредитоспособността на потребителя. При подписването на договори за кредит потребителите следва също да получат цялата необходима и подходяща преддоговорна информация и съвет, така че да могат да направят информиран избор.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hAnsi="Times New Roman" w:cs="Times New Roman"/>
          <w:noProof/>
          <w:sz w:val="24"/>
          <w:szCs w:val="24"/>
        </w:rPr>
      </w:pPr>
      <w:r>
        <w:rPr>
          <w:rFonts w:ascii="Times New Roman" w:hAnsi="Times New Roman"/>
          <w:noProof/>
          <w:sz w:val="24"/>
          <w:szCs w:val="24"/>
        </w:rPr>
        <w:t>Тези мерки са ключови за съобразяване на потребностите от финансиране на потребителите с тяхната способност да изплащат задълженията си, като по този начин намаляват риска от неизпълнение на задължението за плащане и свръхзадлъжнялост. Независимо от това понякога потребителите могат да не бъдат в състояние да изплатят дългове си при техния падеж. Възможно е съответно да се наложи да се оценят най-подходящите средства за справяне със свръхзадлъжнялост на потребители, включително опрощаването на задълженията</w:t>
      </w:r>
      <w:r>
        <w:rPr>
          <w:rFonts w:ascii="Times New Roman" w:hAnsi="Times New Roman" w:cs="Times New Roman"/>
          <w:noProof/>
          <w:sz w:val="24"/>
          <w:szCs w:val="24"/>
          <w:vertAlign w:val="superscript"/>
          <w:lang w:val="en-GB"/>
        </w:rPr>
        <w:footnoteReference w:id="87"/>
      </w:r>
      <w:r>
        <w:rPr>
          <w:rFonts w:ascii="Times New Roman" w:hAnsi="Times New Roman"/>
          <w:noProof/>
          <w:sz w:val="24"/>
          <w:szCs w:val="24"/>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Както се подчертава от Европейската мрежа за социална политика, достъпността е от решаващо значение за осигуряване на достъп до продукти и услуги за </w:t>
      </w:r>
      <w:r>
        <w:rPr>
          <w:rFonts w:ascii="Times New Roman" w:hAnsi="Times New Roman"/>
          <w:b/>
          <w:bCs/>
          <w:noProof/>
          <w:sz w:val="24"/>
          <w:szCs w:val="24"/>
        </w:rPr>
        <w:t>потребители с ниски доходи</w:t>
      </w:r>
      <w:r>
        <w:rPr>
          <w:rFonts w:ascii="Times New Roman" w:hAnsi="Times New Roman" w:cs="Times New Roman"/>
          <w:noProof/>
          <w:sz w:val="24"/>
          <w:szCs w:val="24"/>
          <w:vertAlign w:val="superscript"/>
          <w:lang w:val="en-GB"/>
        </w:rPr>
        <w:footnoteReference w:id="88"/>
      </w:r>
      <w:r>
        <w:rPr>
          <w:rFonts w:ascii="Times New Roman" w:hAnsi="Times New Roman"/>
          <w:noProof/>
          <w:sz w:val="24"/>
          <w:szCs w:val="24"/>
        </w:rPr>
        <w:t>. Някои държави членки успоредно с мерките за защита на потребителите използват и мерките за социална закрила, които са насочени към лицата с ниски доходи. Препоръката на Комисията относно енергийната бедност</w:t>
      </w:r>
      <w:r>
        <w:rPr>
          <w:rFonts w:ascii="Times New Roman" w:hAnsi="Times New Roman" w:cs="Times New Roman"/>
          <w:noProof/>
          <w:sz w:val="24"/>
          <w:szCs w:val="24"/>
          <w:vertAlign w:val="superscript"/>
          <w:lang w:val="en-GB"/>
        </w:rPr>
        <w:footnoteReference w:id="89"/>
      </w:r>
      <w:r>
        <w:rPr>
          <w:rFonts w:ascii="Times New Roman" w:hAnsi="Times New Roman"/>
          <w:noProof/>
          <w:sz w:val="24"/>
          <w:szCs w:val="24"/>
        </w:rPr>
        <w:t xml:space="preserve"> предоставя на държавите членки насоки относно начините за справяне с енергийната бедност, с цел да се увеличат възможностите на уязвимите по отношение на енергията потребители.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hAnsi="Times New Roman" w:cs="Times New Roman"/>
          <w:noProof/>
          <w:sz w:val="24"/>
          <w:szCs w:val="24"/>
        </w:rPr>
      </w:pPr>
      <w:r>
        <w:rPr>
          <w:rFonts w:ascii="Times New Roman" w:hAnsi="Times New Roman"/>
          <w:b/>
          <w:noProof/>
          <w:sz w:val="24"/>
          <w:szCs w:val="24"/>
        </w:rPr>
        <w:t>Възрастните лица и лицата с увреждания</w:t>
      </w:r>
      <w:r>
        <w:rPr>
          <w:rFonts w:ascii="Times New Roman" w:hAnsi="Times New Roman"/>
          <w:noProof/>
          <w:sz w:val="24"/>
          <w:szCs w:val="24"/>
        </w:rPr>
        <w:t xml:space="preserve"> имат специфични потребности, свързани с потреблението. Важно е да се гарантира, че е има ясна, лесна за ползване и достъпна информация както онлайн, така и офлайн, в съответствие с изискванията на ЕС за достъпност на продукти и услуги</w:t>
      </w:r>
      <w:r>
        <w:rPr>
          <w:rFonts w:ascii="Times New Roman" w:hAnsi="Times New Roman" w:cs="Times New Roman"/>
          <w:noProof/>
          <w:sz w:val="24"/>
          <w:szCs w:val="24"/>
          <w:vertAlign w:val="superscript"/>
          <w:lang w:val="en-GB"/>
        </w:rPr>
        <w:footnoteReference w:id="90"/>
      </w:r>
      <w:r>
        <w:rPr>
          <w:rFonts w:ascii="Times New Roman" w:hAnsi="Times New Roman"/>
          <w:noProof/>
          <w:sz w:val="24"/>
          <w:szCs w:val="24"/>
        </w:rPr>
        <w:t xml:space="preserve">. Възрастните потребители и потребителите с увреждания се нуждаят също от достъпни продукти и помощни технологии, които са съвместими с основните технологии. Справедливият и недискриминационен подход към цифровата трансформация следва да отговаря на нуждите на възрастните потребители, потребителите с увреждания и по-общо „хората, неизползващи мрежата“, които може да са по-малко запознати или по-притеснени, когато използват цифрови инструменти, и които по-лесно могат да станат жертва на измами. Опитът на някои държави членки показва, че </w:t>
      </w:r>
      <w:r>
        <w:rPr>
          <w:rFonts w:ascii="Times New Roman" w:hAnsi="Times New Roman"/>
          <w:b/>
          <w:bCs/>
          <w:noProof/>
          <w:sz w:val="24"/>
          <w:szCs w:val="24"/>
        </w:rPr>
        <w:t>местните инициативи</w:t>
      </w:r>
      <w:r>
        <w:rPr>
          <w:rFonts w:ascii="Times New Roman" w:hAnsi="Times New Roman"/>
          <w:noProof/>
          <w:sz w:val="24"/>
          <w:szCs w:val="24"/>
        </w:rPr>
        <w:t>, които предоставят съвет на потребителите в селските райони или градските квартали</w:t>
      </w:r>
      <w:r>
        <w:rPr>
          <w:rFonts w:ascii="Times New Roman" w:hAnsi="Times New Roman" w:cs="Times New Roman"/>
          <w:noProof/>
          <w:sz w:val="24"/>
          <w:szCs w:val="24"/>
          <w:vertAlign w:val="superscript"/>
          <w:lang w:val="en-GB"/>
        </w:rPr>
        <w:footnoteReference w:id="91"/>
      </w:r>
      <w:r>
        <w:rPr>
          <w:rFonts w:ascii="Times New Roman" w:hAnsi="Times New Roman"/>
          <w:noProof/>
          <w:sz w:val="24"/>
          <w:szCs w:val="24"/>
        </w:rPr>
        <w:t>, са сред най-ефективните. Организациите на социалната икономика са в особено добра позиция да отговорят на тези потребности благодарение на близостта си до местните и селските общности. Подобни инициативи могат да бъдат насърчавани чрез общо действие на равнището на ЕС съгласно бъдещата МФР.</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hAnsi="Times New Roman" w:cs="Times New Roman"/>
          <w:noProof/>
          <w:sz w:val="24"/>
          <w:szCs w:val="24"/>
        </w:rPr>
      </w:pPr>
      <w:r>
        <w:rPr>
          <w:rFonts w:ascii="Times New Roman" w:hAnsi="Times New Roman"/>
          <w:b/>
          <w:bCs/>
          <w:noProof/>
          <w:sz w:val="24"/>
          <w:szCs w:val="24"/>
        </w:rPr>
        <w:t>Децата и ненавършилите пълнолетие лица</w:t>
      </w:r>
      <w:r>
        <w:rPr>
          <w:rFonts w:ascii="Times New Roman" w:hAnsi="Times New Roman"/>
          <w:noProof/>
          <w:sz w:val="24"/>
          <w:szCs w:val="24"/>
        </w:rPr>
        <w:t xml:space="preserve"> са особено изложени на подвеждащи или агресивни търговски практики онлайн. Важно е повече да се инвестира в </w:t>
      </w:r>
      <w:r>
        <w:rPr>
          <w:rFonts w:ascii="Times New Roman" w:hAnsi="Times New Roman"/>
          <w:b/>
          <w:noProof/>
          <w:sz w:val="24"/>
          <w:szCs w:val="24"/>
        </w:rPr>
        <w:t>образованието на потребителите през целия живот и повишаването на осведомеността,</w:t>
      </w:r>
      <w:r>
        <w:rPr>
          <w:rFonts w:ascii="Times New Roman" w:hAnsi="Times New Roman"/>
          <w:noProof/>
          <w:sz w:val="24"/>
          <w:szCs w:val="24"/>
        </w:rPr>
        <w:t xml:space="preserve"> за хора на всички етапи от техния живот, още от училище. Това следва да включва насърчаването на финансовата грамотност като важно умение за предоставяне на възможност на потребителите да вземат добри решения за личните си финанси</w:t>
      </w:r>
      <w:r>
        <w:rPr>
          <w:rFonts w:ascii="Times New Roman" w:hAnsi="Times New Roman" w:cs="Times New Roman"/>
          <w:noProof/>
          <w:sz w:val="24"/>
          <w:szCs w:val="24"/>
          <w:vertAlign w:val="superscript"/>
          <w:lang w:val="en-IE"/>
        </w:rPr>
        <w:footnoteReference w:id="92"/>
      </w:r>
      <w:r>
        <w:rPr>
          <w:rFonts w:ascii="Times New Roman" w:hAnsi="Times New Roman"/>
          <w:noProof/>
          <w:sz w:val="24"/>
          <w:szCs w:val="24"/>
        </w:rPr>
        <w:t xml:space="preserve">. По-добрата координация на действията между основните участници на национално и европейско ниво, които обхващат въпроси като достъп до онлайн образователни материали и изграждане на капацитет, би могла да спомогне за постигане на полезни взаимодействия, постоянни иновации, адаптиране и възприемане на нови онлайн и педагогически подходи, включително чрез създаване на онлайн платформи и други инструменти.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hAnsi="Times New Roman" w:cs="Times New Roman"/>
          <w:noProof/>
          <w:sz w:val="24"/>
          <w:szCs w:val="24"/>
        </w:rPr>
      </w:pPr>
      <w:r>
        <w:rPr>
          <w:rFonts w:ascii="Times New Roman" w:hAnsi="Times New Roman"/>
          <w:noProof/>
          <w:sz w:val="24"/>
          <w:szCs w:val="24"/>
        </w:rPr>
        <w:t>Децата също са особено изложени на свързани с продукти рискове</w:t>
      </w:r>
      <w:r>
        <w:rPr>
          <w:rFonts w:ascii="Times New Roman" w:hAnsi="Times New Roman"/>
          <w:noProof/>
          <w:sz w:val="24"/>
          <w:szCs w:val="24"/>
          <w:vertAlign w:val="superscript"/>
          <w:lang w:val="en-GB"/>
        </w:rPr>
        <w:footnoteReference w:id="93"/>
      </w:r>
      <w:r>
        <w:rPr>
          <w:rFonts w:ascii="Times New Roman" w:hAnsi="Times New Roman"/>
          <w:noProof/>
          <w:sz w:val="24"/>
          <w:szCs w:val="24"/>
        </w:rPr>
        <w:t xml:space="preserve">. 32 % от всички продукти, обявени за опасни в портала за безопасност/системата RAPEX през 2019 г., са играчки или продукти за деца. Освен преразглеждането на Директивата относно общата безопасност на продуктите и укрепването на общата рамка Комисията ще разработи </w:t>
      </w:r>
      <w:r>
        <w:rPr>
          <w:rFonts w:ascii="Times New Roman" w:hAnsi="Times New Roman"/>
          <w:b/>
          <w:noProof/>
          <w:sz w:val="24"/>
          <w:szCs w:val="24"/>
        </w:rPr>
        <w:t>актуализирани изисквания за безопасност във връзка със стандартите за продуктите за деца.</w:t>
      </w:r>
      <w:r>
        <w:rPr>
          <w:rFonts w:ascii="Times New Roman" w:hAnsi="Times New Roman"/>
          <w:noProof/>
          <w:sz w:val="24"/>
          <w:szCs w:val="24"/>
        </w:rPr>
        <w:t xml:space="preserve"> Освен това Комисията възнамерява да подкрепи изпитването и тестването на детските продукти</w:t>
      </w:r>
      <w:r>
        <w:rPr>
          <w:rFonts w:ascii="Times New Roman" w:hAnsi="Times New Roman" w:cs="Times New Roman"/>
          <w:noProof/>
          <w:sz w:val="24"/>
          <w:szCs w:val="24"/>
          <w:vertAlign w:val="superscript"/>
          <w:lang w:val="en-GB"/>
        </w:rPr>
        <w:footnoteReference w:id="94"/>
      </w:r>
      <w:r>
        <w:rPr>
          <w:rFonts w:ascii="Times New Roman" w:hAnsi="Times New Roman"/>
          <w:noProof/>
          <w:sz w:val="24"/>
          <w:szCs w:val="24"/>
        </w:rPr>
        <w:t xml:space="preserve"> чрез координирани дейности по наблюдение на пазара от страна на държавите членки</w:t>
      </w:r>
      <w:r>
        <w:rPr>
          <w:rFonts w:ascii="Times New Roman" w:hAnsi="Times New Roman" w:cs="Times New Roman"/>
          <w:noProof/>
          <w:sz w:val="24"/>
          <w:szCs w:val="24"/>
          <w:vertAlign w:val="superscript"/>
          <w:lang w:val="en-GB"/>
        </w:rPr>
        <w:footnoteReference w:id="95"/>
      </w:r>
      <w:r>
        <w:rPr>
          <w:rFonts w:ascii="Times New Roman" w:hAnsi="Times New Roman"/>
          <w:noProof/>
          <w:sz w:val="24"/>
          <w:szCs w:val="24"/>
        </w:rPr>
        <w:t xml:space="preserve">. С цел да насърчи най-добрите търговски практики в тази област, при изданието на наградата на ЕС за безопасност на продуктите за 2021 г., Комисията ще включи също така защитата на безопасността на децата и на други уязвими групи. </w:t>
      </w:r>
    </w:p>
    <w:p>
      <w:pPr>
        <w:spacing w:after="240" w:line="240" w:lineRule="auto"/>
        <w:jc w:val="both"/>
        <w:rPr>
          <w:noProof/>
        </w:rPr>
      </w:pPr>
      <w:r>
        <w:rPr>
          <w:rFonts w:ascii="Times New Roman" w:hAnsi="Times New Roman"/>
          <w:noProof/>
          <w:sz w:val="24"/>
          <w:szCs w:val="24"/>
        </w:rPr>
        <w:t>Директива 2004/113/ЕО</w:t>
      </w:r>
      <w:r>
        <w:rPr>
          <w:rFonts w:ascii="Times New Roman" w:hAnsi="Times New Roman" w:cs="Times New Roman"/>
          <w:noProof/>
          <w:sz w:val="24"/>
          <w:szCs w:val="24"/>
          <w:vertAlign w:val="superscript"/>
          <w:lang w:val="en-GB"/>
        </w:rPr>
        <w:footnoteReference w:id="96"/>
      </w:r>
      <w:r>
        <w:rPr>
          <w:rFonts w:ascii="Times New Roman" w:hAnsi="Times New Roman"/>
          <w:noProof/>
          <w:sz w:val="24"/>
          <w:szCs w:val="24"/>
        </w:rPr>
        <w:t xml:space="preserve"> гарантира </w:t>
      </w:r>
      <w:r>
        <w:rPr>
          <w:rFonts w:ascii="Times New Roman" w:hAnsi="Times New Roman"/>
          <w:b/>
          <w:noProof/>
          <w:sz w:val="24"/>
          <w:szCs w:val="24"/>
        </w:rPr>
        <w:t>равното третиране</w:t>
      </w:r>
      <w:r>
        <w:rPr>
          <w:rFonts w:ascii="Times New Roman" w:hAnsi="Times New Roman"/>
          <w:noProof/>
          <w:sz w:val="24"/>
          <w:szCs w:val="24"/>
        </w:rPr>
        <w:t xml:space="preserve"> на мъжете и жените по отношение на достъпа до стоки и услуги и предоставянето на стоки и услуги. Това гарантира например защита срещу отказ за достъп до кредитни услуги за бременни жени на основание очаквана потенциална загуба на доходи и изключване на самотните майки от определени финансови услуги на основание на предполагаем по-висок риск от неизпълнение.</w:t>
      </w:r>
      <w:r>
        <w:rPr>
          <w:noProof/>
        </w:rPr>
        <w:t xml:space="preserve"> </w:t>
      </w:r>
      <w:r>
        <w:rPr>
          <w:rFonts w:ascii="Times New Roman" w:hAnsi="Times New Roman"/>
          <w:noProof/>
          <w:sz w:val="24"/>
          <w:szCs w:val="24"/>
        </w:rPr>
        <w:t>Освен това с Директива 2000/43/ЕО</w:t>
      </w:r>
      <w:r>
        <w:rPr>
          <w:rStyle w:val="FootnoteReference"/>
          <w:rFonts w:ascii="Times New Roman" w:hAnsi="Times New Roman" w:cs="Times New Roman"/>
          <w:noProof/>
          <w:sz w:val="24"/>
          <w:szCs w:val="24"/>
        </w:rPr>
        <w:footnoteReference w:id="97"/>
      </w:r>
      <w:r>
        <w:rPr>
          <w:rFonts w:ascii="Times New Roman" w:hAnsi="Times New Roman"/>
          <w:noProof/>
          <w:sz w:val="24"/>
          <w:szCs w:val="24"/>
        </w:rPr>
        <w:t xml:space="preserve"> се определя рамка за борба срещу дискриминацията въз основа на расов признак или етнически произход с оглед прилагането на принципа на равното третиране в държавите членки.</w:t>
      </w:r>
      <w:r>
        <w:rPr>
          <w:noProof/>
        </w:rPr>
        <w:t xml:space="preserve"> </w:t>
      </w:r>
    </w:p>
    <w:p>
      <w:pPr>
        <w:spacing w:after="240" w:line="240" w:lineRule="auto"/>
        <w:jc w:val="both"/>
        <w:rPr>
          <w:rFonts w:ascii="Times New Roman" w:hAnsi="Times New Roman" w:cs="Times New Roman"/>
          <w:noProof/>
          <w:sz w:val="24"/>
          <w:szCs w:val="24"/>
        </w:rPr>
      </w:pPr>
      <w:r>
        <w:rPr>
          <w:rFonts w:ascii="Times New Roman" w:hAnsi="Times New Roman"/>
          <w:b/>
          <w:noProof/>
          <w:sz w:val="24"/>
          <w:szCs w:val="24"/>
        </w:rPr>
        <w:t>Рискът от дискриминация</w:t>
      </w:r>
      <w:r>
        <w:rPr>
          <w:rFonts w:ascii="Times New Roman" w:hAnsi="Times New Roman"/>
          <w:noProof/>
          <w:sz w:val="24"/>
          <w:szCs w:val="24"/>
        </w:rPr>
        <w:t xml:space="preserve"> понякога се засилва от </w:t>
      </w:r>
      <w:r>
        <w:rPr>
          <w:rFonts w:ascii="Times New Roman" w:hAnsi="Times New Roman"/>
          <w:b/>
          <w:noProof/>
          <w:sz w:val="24"/>
          <w:szCs w:val="24"/>
        </w:rPr>
        <w:t>алгоритми</w:t>
      </w:r>
      <w:r>
        <w:rPr>
          <w:rFonts w:ascii="Times New Roman" w:hAnsi="Times New Roman"/>
          <w:noProof/>
          <w:sz w:val="24"/>
          <w:szCs w:val="24"/>
        </w:rPr>
        <w:t xml:space="preserve">, които се използват от определени доставчици на стоки и услуги и </w:t>
      </w:r>
      <w:r>
        <w:rPr>
          <w:rFonts w:ascii="Times New Roman" w:hAnsi="Times New Roman"/>
          <w:b/>
          <w:noProof/>
          <w:sz w:val="24"/>
          <w:szCs w:val="24"/>
        </w:rPr>
        <w:t>могат да бъдат формулирани с определени нагласи</w:t>
      </w:r>
      <w:r>
        <w:rPr>
          <w:rFonts w:ascii="Times New Roman" w:hAnsi="Times New Roman"/>
          <w:noProof/>
          <w:sz w:val="24"/>
          <w:szCs w:val="24"/>
        </w:rPr>
        <w:t>, често произтичащи от съществуващи културни или социални очаквания. Като се има предвид, че това може да доведе до дискриминация сред потребителите като цяло, тя често засяга определени групи повече от останалите, и по-специално хора от малцинствен етнически или расов произход</w:t>
      </w:r>
      <w:r>
        <w:rPr>
          <w:rStyle w:val="FootnoteReference"/>
          <w:rFonts w:ascii="Times New Roman" w:hAnsi="Times New Roman" w:cs="Times New Roman"/>
          <w:noProof/>
          <w:sz w:val="24"/>
          <w:szCs w:val="24"/>
        </w:rPr>
        <w:footnoteReference w:id="98"/>
      </w:r>
      <w:r>
        <w:rPr>
          <w:rFonts w:ascii="Times New Roman" w:hAnsi="Times New Roman"/>
          <w:noProof/>
          <w:sz w:val="24"/>
          <w:szCs w:val="24"/>
        </w:rPr>
        <w:t>. Предстоящото предложение за хоризонтална законодателна рамка относно изкуствения интелект ще има по-специално за цел да разгледа как да се ограничи вграждането на рисковете от предубеждения и дискриминация в алгоритмични системи.</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И накрая, доказателствата от поведенческата икономика</w:t>
      </w:r>
      <w:r>
        <w:rPr>
          <w:rFonts w:ascii="Times New Roman" w:hAnsi="Times New Roman" w:cs="Times New Roman"/>
          <w:noProof/>
          <w:sz w:val="24"/>
          <w:szCs w:val="24"/>
          <w:vertAlign w:val="superscript"/>
          <w:lang w:val="en-GB"/>
        </w:rPr>
        <w:footnoteReference w:id="99"/>
      </w:r>
      <w:r>
        <w:rPr>
          <w:rFonts w:ascii="Times New Roman" w:hAnsi="Times New Roman"/>
          <w:noProof/>
          <w:sz w:val="24"/>
          <w:szCs w:val="24"/>
        </w:rPr>
        <w:t xml:space="preserve"> показват, че поведението на потребителите, особено онлайн, често бива засегнато от когнитивни нагласи, които могат да бъдат използвани от търговците за търговски цели. Такива </w:t>
      </w:r>
      <w:r>
        <w:rPr>
          <w:rFonts w:ascii="Times New Roman" w:hAnsi="Times New Roman"/>
          <w:b/>
          <w:noProof/>
          <w:sz w:val="24"/>
          <w:szCs w:val="24"/>
        </w:rPr>
        <w:t>нови форми на рискове</w:t>
      </w:r>
      <w:r>
        <w:rPr>
          <w:rFonts w:ascii="Times New Roman" w:hAnsi="Times New Roman"/>
          <w:noProof/>
          <w:sz w:val="24"/>
          <w:szCs w:val="24"/>
        </w:rPr>
        <w:t xml:space="preserve"> могат </w:t>
      </w:r>
      <w:r>
        <w:rPr>
          <w:rFonts w:ascii="Times New Roman" w:hAnsi="Times New Roman"/>
          <w:b/>
          <w:noProof/>
          <w:sz w:val="24"/>
          <w:szCs w:val="24"/>
        </w:rPr>
        <w:t>да засегнат на практика всички потребители.</w:t>
      </w:r>
      <w:r>
        <w:rPr>
          <w:rFonts w:ascii="Times New Roman" w:hAnsi="Times New Roman"/>
          <w:noProof/>
          <w:sz w:val="24"/>
          <w:szCs w:val="24"/>
        </w:rPr>
        <w:t xml:space="preserve"> Задълженията за прозрачност със сигурност са важни за справяне с информационната асиметрия (както е посочено и по-горе в контекста на цифровата трансформация), но е необходима допълнителна оценка, за да се определи необходимостта от допълнителни мерки за справяне с тази динамична форма на уязвимост.</w:t>
      </w:r>
    </w:p>
    <w:p>
      <w:pPr>
        <w:numPr>
          <w:ilvl w:val="0"/>
          <w:numId w:val="17"/>
        </w:num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hAnsi="Times New Roman" w:cs="Times New Roman"/>
          <w:noProof/>
          <w:sz w:val="24"/>
          <w:szCs w:val="24"/>
        </w:rPr>
      </w:pPr>
      <w:r>
        <w:rPr>
          <w:rFonts w:ascii="Times New Roman" w:hAnsi="Times New Roman"/>
          <w:b/>
          <w:noProof/>
          <w:sz w:val="24"/>
          <w:szCs w:val="24"/>
        </w:rPr>
        <w:t>Действие 15:</w:t>
      </w:r>
      <w:r>
        <w:rPr>
          <w:rFonts w:ascii="Times New Roman" w:hAnsi="Times New Roman"/>
          <w:noProof/>
          <w:sz w:val="24"/>
          <w:szCs w:val="24"/>
        </w:rPr>
        <w:t xml:space="preserve"> От 2021 г. Комисията планира да увеличи финансирането за действия за </w:t>
      </w:r>
      <w:r>
        <w:rPr>
          <w:rFonts w:ascii="Times New Roman" w:hAnsi="Times New Roman"/>
          <w:b/>
          <w:bCs/>
          <w:noProof/>
          <w:sz w:val="24"/>
          <w:szCs w:val="24"/>
        </w:rPr>
        <w:t>повишаване на достъпността и качеството на услугите за дългово консултиране</w:t>
      </w:r>
      <w:r>
        <w:rPr>
          <w:rFonts w:ascii="Times New Roman" w:hAnsi="Times New Roman"/>
          <w:noProof/>
          <w:sz w:val="24"/>
          <w:szCs w:val="24"/>
        </w:rPr>
        <w:t xml:space="preserve"> в държавите членки. </w:t>
      </w:r>
    </w:p>
    <w:p>
      <w:pPr>
        <w:numPr>
          <w:ilvl w:val="0"/>
          <w:numId w:val="17"/>
        </w:num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hAnsi="Times New Roman" w:cs="Times New Roman"/>
          <w:noProof/>
          <w:sz w:val="24"/>
          <w:szCs w:val="24"/>
        </w:rPr>
      </w:pPr>
      <w:r>
        <w:rPr>
          <w:rFonts w:ascii="Times New Roman" w:hAnsi="Times New Roman"/>
          <w:b/>
          <w:noProof/>
          <w:sz w:val="24"/>
          <w:szCs w:val="24"/>
        </w:rPr>
        <w:t>Действие 16</w:t>
      </w:r>
      <w:r>
        <w:rPr>
          <w:rFonts w:ascii="Times New Roman" w:hAnsi="Times New Roman"/>
          <w:noProof/>
          <w:sz w:val="24"/>
          <w:szCs w:val="24"/>
        </w:rPr>
        <w:t xml:space="preserve">: Считано от 2021 г. Комисията възнамерява да подкрепи инициативи за предоставяне на </w:t>
      </w:r>
      <w:r>
        <w:rPr>
          <w:rFonts w:ascii="Times New Roman" w:hAnsi="Times New Roman"/>
          <w:b/>
          <w:bCs/>
          <w:noProof/>
          <w:sz w:val="24"/>
          <w:szCs w:val="24"/>
        </w:rPr>
        <w:t>консултации на местно равнище на потребители</w:t>
      </w:r>
      <w:r>
        <w:rPr>
          <w:rFonts w:ascii="Times New Roman" w:hAnsi="Times New Roman"/>
          <w:noProof/>
          <w:sz w:val="24"/>
          <w:szCs w:val="24"/>
        </w:rPr>
        <w:t>, които поради структурни или лични причини нямат достъп до подкрепа и информация, предоставяни онлайн или в централни информационни служби.</w:t>
      </w:r>
    </w:p>
    <w:p>
      <w:pPr>
        <w:numPr>
          <w:ilvl w:val="0"/>
          <w:numId w:val="17"/>
        </w:num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hAnsi="Times New Roman" w:cs="Times New Roman"/>
          <w:noProof/>
          <w:sz w:val="24"/>
          <w:szCs w:val="24"/>
        </w:rPr>
      </w:pPr>
      <w:r>
        <w:rPr>
          <w:rFonts w:ascii="Times New Roman" w:hAnsi="Times New Roman"/>
          <w:b/>
          <w:noProof/>
          <w:sz w:val="24"/>
          <w:szCs w:val="24"/>
        </w:rPr>
        <w:t>Действие 17</w:t>
      </w:r>
      <w:r>
        <w:rPr>
          <w:rFonts w:ascii="Times New Roman" w:hAnsi="Times New Roman"/>
          <w:noProof/>
          <w:sz w:val="24"/>
          <w:szCs w:val="24"/>
        </w:rPr>
        <w:t xml:space="preserve">: През 2021 г. Комисията предвижда да изготви </w:t>
      </w:r>
      <w:r>
        <w:rPr>
          <w:rFonts w:ascii="Times New Roman" w:hAnsi="Times New Roman"/>
          <w:b/>
          <w:noProof/>
          <w:sz w:val="24"/>
          <w:szCs w:val="24"/>
        </w:rPr>
        <w:t>решение на Комисията относно изискванията за безопасност</w:t>
      </w:r>
      <w:r>
        <w:rPr>
          <w:rFonts w:ascii="Times New Roman" w:hAnsi="Times New Roman"/>
          <w:noProof/>
          <w:sz w:val="24"/>
          <w:szCs w:val="24"/>
        </w:rPr>
        <w:t xml:space="preserve">, на които трябва да отговарят стандартите за </w:t>
      </w:r>
      <w:r>
        <w:rPr>
          <w:rFonts w:ascii="Times New Roman" w:hAnsi="Times New Roman"/>
          <w:b/>
          <w:noProof/>
          <w:sz w:val="24"/>
          <w:szCs w:val="24"/>
        </w:rPr>
        <w:t>продукти за деца</w:t>
      </w:r>
      <w:r>
        <w:rPr>
          <w:rFonts w:ascii="Times New Roman" w:hAnsi="Times New Roman"/>
          <w:noProof/>
          <w:sz w:val="24"/>
          <w:szCs w:val="24"/>
        </w:rPr>
        <w:t xml:space="preserve">, в допълнение към укрепването на рамката за безопасност на продуктите чрез предложение за преразглеждане на Директивата относно общата безопасност на продуктите. </w:t>
      </w:r>
    </w:p>
    <w:p>
      <w:pPr>
        <w:numPr>
          <w:ilvl w:val="0"/>
          <w:numId w:val="18"/>
        </w:num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hAnsi="Times New Roman" w:cs="Times New Roman"/>
          <w:noProof/>
          <w:sz w:val="24"/>
          <w:szCs w:val="24"/>
        </w:rPr>
      </w:pPr>
      <w:r>
        <w:rPr>
          <w:rFonts w:ascii="Times New Roman" w:hAnsi="Times New Roman"/>
          <w:b/>
          <w:noProof/>
          <w:sz w:val="24"/>
          <w:szCs w:val="24"/>
        </w:rPr>
        <w:t>Действие 18</w:t>
      </w:r>
      <w:r>
        <w:rPr>
          <w:rFonts w:ascii="Times New Roman" w:hAnsi="Times New Roman"/>
          <w:noProof/>
          <w:sz w:val="24"/>
          <w:szCs w:val="24"/>
        </w:rPr>
        <w:t xml:space="preserve">: До 2023 г. Комисията ще разработи </w:t>
      </w:r>
      <w:r>
        <w:rPr>
          <w:rFonts w:ascii="Times New Roman" w:hAnsi="Times New Roman"/>
          <w:b/>
          <w:noProof/>
          <w:sz w:val="24"/>
          <w:szCs w:val="24"/>
        </w:rPr>
        <w:t>стратегически подход за подобряване на осведомеността и образованието на потребителите</w:t>
      </w:r>
      <w:r>
        <w:rPr>
          <w:rFonts w:ascii="Times New Roman" w:hAnsi="Times New Roman"/>
          <w:noProof/>
          <w:sz w:val="24"/>
          <w:szCs w:val="24"/>
        </w:rPr>
        <w:t xml:space="preserve">, като се обърне внимание и на потребностите на различни групи, въз основа, наред с другото, на принципите на равнопоставеност и недопускане на дискриминация. </w:t>
      </w:r>
    </w:p>
    <w:p>
      <w:pPr>
        <w:spacing w:after="0" w:line="240" w:lineRule="auto"/>
        <w:jc w:val="both"/>
        <w:rPr>
          <w:rFonts w:ascii="Times New Roman" w:hAnsi="Times New Roman" w:cs="Times New Roman"/>
          <w:noProof/>
          <w:sz w:val="20"/>
          <w:szCs w:val="24"/>
        </w:rPr>
      </w:pPr>
    </w:p>
    <w:p>
      <w:pPr>
        <w:keepNext/>
        <w:numPr>
          <w:ilvl w:val="1"/>
          <w:numId w:val="1"/>
        </w:numPr>
        <w:spacing w:after="240" w:line="240" w:lineRule="auto"/>
        <w:ind w:left="714" w:hanging="357"/>
        <w:jc w:val="both"/>
        <w:rPr>
          <w:rFonts w:ascii="Times New Roman" w:hAnsi="Times New Roman" w:cs="Times New Roman"/>
          <w:b/>
          <w:noProof/>
          <w:sz w:val="24"/>
          <w:szCs w:val="24"/>
        </w:rPr>
      </w:pPr>
      <w:r>
        <w:rPr>
          <w:rFonts w:ascii="Times New Roman" w:hAnsi="Times New Roman"/>
          <w:b/>
          <w:noProof/>
          <w:sz w:val="24"/>
          <w:szCs w:val="24"/>
        </w:rPr>
        <w:t xml:space="preserve"> Защита на потребителите в глобален контекст </w:t>
      </w:r>
    </w:p>
    <w:p>
      <w:pPr>
        <w:pBdr>
          <w:top w:val="single" w:sz="4" w:space="1" w:color="auto"/>
          <w:left w:val="single" w:sz="4" w:space="4" w:color="auto"/>
          <w:bottom w:val="single" w:sz="4" w:space="6" w:color="auto"/>
          <w:right w:val="single" w:sz="4" w:space="4" w:color="auto"/>
        </w:pBdr>
        <w:spacing w:after="240" w:line="240" w:lineRule="auto"/>
        <w:jc w:val="both"/>
        <w:rPr>
          <w:rFonts w:ascii="Times New Roman" w:hAnsi="Times New Roman" w:cs="Times New Roman"/>
          <w:noProof/>
          <w:sz w:val="24"/>
          <w:szCs w:val="24"/>
        </w:rPr>
      </w:pPr>
      <w:r>
        <w:rPr>
          <w:rFonts w:ascii="Times New Roman" w:hAnsi="Times New Roman"/>
          <w:i/>
          <w:noProof/>
          <w:sz w:val="24"/>
          <w:szCs w:val="24"/>
        </w:rPr>
        <w:t>Пример: С подема на електронната търговия сътрудничеството с международните партньори, и по-специално с Китай, стана дори още по-важно. Делът на покупките от продавачи извън ЕС се увеличи от 17 % през 2014 г. до 27 % през 2019 г.</w:t>
      </w:r>
      <w:r>
        <w:rPr>
          <w:rFonts w:ascii="Times New Roman" w:hAnsi="Times New Roman" w:cs="Times New Roman"/>
          <w:i/>
          <w:noProof/>
          <w:sz w:val="24"/>
          <w:szCs w:val="24"/>
          <w:vertAlign w:val="superscript"/>
          <w:lang w:val="en-GB"/>
        </w:rPr>
        <w:footnoteReference w:id="100"/>
      </w:r>
      <w:r>
        <w:rPr>
          <w:rFonts w:ascii="Times New Roman" w:hAnsi="Times New Roman"/>
          <w:i/>
          <w:noProof/>
          <w:sz w:val="24"/>
          <w:szCs w:val="24"/>
        </w:rPr>
        <w:t xml:space="preserve"> Засилването на сътрудничеството с Китай в областта на безопасността на продуктите чрез план за действие със специфичен акцент върху продаваните онлайн продукти може да помогне за намаляване на броя на опасните продукти, продавани директно на потребителите в ЕС.</w:t>
      </w:r>
    </w:p>
    <w:p>
      <w:pPr>
        <w:spacing w:before="120"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Веригите за производство и за създаване на стойност са все </w:t>
      </w:r>
      <w:r>
        <w:rPr>
          <w:rFonts w:ascii="Times New Roman" w:hAnsi="Times New Roman"/>
          <w:b/>
          <w:bCs/>
          <w:noProof/>
          <w:sz w:val="24"/>
          <w:szCs w:val="24"/>
        </w:rPr>
        <w:t>по-глобални и взаимосвързани.</w:t>
      </w:r>
      <w:r>
        <w:rPr>
          <w:rFonts w:ascii="Times New Roman" w:hAnsi="Times New Roman"/>
          <w:noProof/>
          <w:sz w:val="24"/>
          <w:szCs w:val="24"/>
        </w:rPr>
        <w:t xml:space="preserve"> Веригите за разпространение и търговия на дребно се обуславят от бързия растеж на онлайн търговията и основаната на платформи икономика. В резултат на това силно застъпеното международно сътрудничество между органите и всички участници във веригата на доставки е важно, за да се осигури ефективна защита на потребителите. В същото време за ЕС е важно да проектира в международен план своето високо равнище на защита на потребителите като европейска ценност и модел.</w:t>
      </w:r>
    </w:p>
    <w:p>
      <w:pPr>
        <w:spacing w:before="120"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Осигуряването на безопасността на вноса и защитата на потребителите в ЕС от нелоялни търговски практики, използвани от оператори извън ЕС, изисква засилени действия на местно равнище чрез по-мощни инструменти за наблюдение на пазара и по-тясно сътрудничество с органите в </w:t>
      </w:r>
      <w:r>
        <w:rPr>
          <w:rFonts w:ascii="Times New Roman" w:hAnsi="Times New Roman"/>
          <w:b/>
          <w:noProof/>
          <w:sz w:val="24"/>
          <w:szCs w:val="24"/>
        </w:rPr>
        <w:t>държавите партньори на ЕС</w:t>
      </w:r>
      <w:r>
        <w:rPr>
          <w:rFonts w:ascii="Times New Roman" w:hAnsi="Times New Roman"/>
          <w:noProof/>
          <w:sz w:val="24"/>
          <w:szCs w:val="24"/>
        </w:rPr>
        <w:t xml:space="preserve">. Голям брой опасни продукти, открити в ЕС, идват от трети държави. През 2019 г. например 64 % от подадените сигнали в портала за безопасност/RAPEX се отнасят до продукти, произведени извън ЕИП, често пъти в Китай. От 2006 г. насам Комисията участва в сътрудничество в областта на безопасността на продуктите чрез системата RAPEX-Китай и това е спомогнало за намаляване на броя на опасните продукти, макар като цяло стойностите да остават високи. </w:t>
      </w:r>
    </w:p>
    <w:p>
      <w:pPr>
        <w:spacing w:before="120"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Сътрудничеството и обменът на данни относно опасни продукти с </w:t>
      </w:r>
      <w:r>
        <w:rPr>
          <w:rFonts w:ascii="Times New Roman" w:hAnsi="Times New Roman"/>
          <w:b/>
          <w:bCs/>
          <w:noProof/>
          <w:sz w:val="24"/>
          <w:szCs w:val="24"/>
        </w:rPr>
        <w:t>държави с подобни пазари</w:t>
      </w:r>
      <w:r>
        <w:rPr>
          <w:rFonts w:ascii="Times New Roman" w:hAnsi="Times New Roman"/>
          <w:noProof/>
          <w:sz w:val="24"/>
          <w:szCs w:val="24"/>
        </w:rPr>
        <w:t xml:space="preserve"> биха могли да бъдат друг начин за гарантиране на безопасността на потребителите в ЕС. Така държавите членки биха могли да насочват по-добре своите дейности и да се справят с нови и възникващи рискове. За да помогне в това усилие, Комисията е изградила механизми за редовен обмен на информация с</w:t>
      </w:r>
      <w:r>
        <w:rPr>
          <w:rFonts w:ascii="Times New Roman" w:hAnsi="Times New Roman"/>
          <w:b/>
          <w:noProof/>
          <w:sz w:val="24"/>
          <w:szCs w:val="24"/>
        </w:rPr>
        <w:t xml:space="preserve"> Канада </w:t>
      </w:r>
      <w:r>
        <w:rPr>
          <w:rFonts w:ascii="Times New Roman" w:hAnsi="Times New Roman"/>
          <w:noProof/>
          <w:sz w:val="24"/>
          <w:szCs w:val="24"/>
        </w:rPr>
        <w:t xml:space="preserve">относно опасните продукти. Тя също така се позовава на важния потенциал на търговската политика и обсъжда включването в изготвянето в момента търговски споразумения (например с </w:t>
      </w:r>
      <w:r>
        <w:rPr>
          <w:rFonts w:ascii="Times New Roman" w:hAnsi="Times New Roman"/>
          <w:b/>
          <w:noProof/>
          <w:sz w:val="24"/>
          <w:szCs w:val="24"/>
        </w:rPr>
        <w:t>Австралия, Нова Зеландия</w:t>
      </w:r>
      <w:r>
        <w:rPr>
          <w:rFonts w:ascii="Times New Roman" w:hAnsi="Times New Roman"/>
          <w:noProof/>
          <w:sz w:val="24"/>
          <w:szCs w:val="24"/>
        </w:rPr>
        <w:t xml:space="preserve"> и </w:t>
      </w:r>
      <w:r>
        <w:rPr>
          <w:rFonts w:ascii="Times New Roman" w:hAnsi="Times New Roman"/>
          <w:b/>
          <w:noProof/>
          <w:sz w:val="24"/>
          <w:szCs w:val="24"/>
        </w:rPr>
        <w:t>Чили</w:t>
      </w:r>
      <w:r>
        <w:rPr>
          <w:rFonts w:ascii="Times New Roman" w:hAnsi="Times New Roman"/>
          <w:noProof/>
          <w:sz w:val="24"/>
          <w:szCs w:val="24"/>
        </w:rPr>
        <w:t>) на подобен обмен относно безопасността и съответствието на нехранителните продукти и свързаното с тях наблюдение на пазара.</w:t>
      </w:r>
    </w:p>
    <w:p>
      <w:pPr>
        <w:spacing w:before="120"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Също толкова важно е да се потърси и тясно сътрудничество с държавите в рамките на </w:t>
      </w:r>
      <w:r>
        <w:rPr>
          <w:rFonts w:ascii="Times New Roman" w:hAnsi="Times New Roman"/>
          <w:b/>
          <w:noProof/>
          <w:sz w:val="24"/>
          <w:szCs w:val="24"/>
        </w:rPr>
        <w:t>Европейския инструмент за съседство</w:t>
      </w:r>
      <w:r>
        <w:rPr>
          <w:rFonts w:ascii="Times New Roman" w:hAnsi="Times New Roman"/>
          <w:noProof/>
          <w:sz w:val="24"/>
          <w:szCs w:val="24"/>
        </w:rPr>
        <w:t xml:space="preserve"> и </w:t>
      </w:r>
      <w:r>
        <w:rPr>
          <w:rFonts w:ascii="Times New Roman" w:hAnsi="Times New Roman"/>
          <w:b/>
          <w:noProof/>
          <w:sz w:val="24"/>
          <w:szCs w:val="24"/>
        </w:rPr>
        <w:t>Западните Балкани</w:t>
      </w:r>
      <w:r>
        <w:rPr>
          <w:rFonts w:ascii="Times New Roman" w:hAnsi="Times New Roman"/>
          <w:noProof/>
          <w:sz w:val="24"/>
          <w:szCs w:val="24"/>
        </w:rPr>
        <w:t xml:space="preserve">. Последните са особено важни поради географската им близост и процеса на привеждане в съответствие с </w:t>
      </w:r>
      <w:r>
        <w:rPr>
          <w:rFonts w:ascii="Times New Roman" w:hAnsi="Times New Roman"/>
          <w:i/>
          <w:noProof/>
          <w:sz w:val="24"/>
          <w:szCs w:val="24"/>
        </w:rPr>
        <w:t>достиженията</w:t>
      </w:r>
      <w:r>
        <w:rPr>
          <w:rFonts w:ascii="Times New Roman" w:hAnsi="Times New Roman"/>
          <w:noProof/>
          <w:sz w:val="24"/>
          <w:szCs w:val="24"/>
        </w:rPr>
        <w:t xml:space="preserve"> на правото на ЕС в областта на защитата и безопасността на потребителите. </w:t>
      </w:r>
    </w:p>
    <w:p>
      <w:pPr>
        <w:spacing w:before="120"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Високите стандарти на ЕС за защита на потребителите могат да послужат като пример за </w:t>
      </w:r>
      <w:r>
        <w:rPr>
          <w:rFonts w:ascii="Times New Roman" w:hAnsi="Times New Roman"/>
          <w:b/>
          <w:noProof/>
          <w:sz w:val="24"/>
          <w:szCs w:val="24"/>
        </w:rPr>
        <w:t xml:space="preserve">други държави с по-малко напреднали структури </w:t>
      </w:r>
      <w:r>
        <w:rPr>
          <w:rFonts w:ascii="Times New Roman" w:hAnsi="Times New Roman"/>
          <w:noProof/>
          <w:sz w:val="24"/>
          <w:szCs w:val="24"/>
        </w:rPr>
        <w:t xml:space="preserve">за защита на потребителите и трябва да бъдат насърчавани при определяне на международния дневен ред. Например някои държави извън ЕС са проявили силен интерес към приемането на система, подобна на портала за безопасност/RAPEX на ЕС. В тази връзка Комисията предоставя регулаторна подкрепа и участва в дейности за изграждане на капацитет. </w:t>
      </w:r>
    </w:p>
    <w:p>
      <w:pPr>
        <w:spacing w:before="120" w:after="240" w:line="240" w:lineRule="auto"/>
        <w:jc w:val="both"/>
        <w:rPr>
          <w:rFonts w:ascii="Times New Roman" w:hAnsi="Times New Roman" w:cs="Times New Roman"/>
          <w:noProof/>
          <w:sz w:val="24"/>
          <w:szCs w:val="24"/>
        </w:rPr>
      </w:pPr>
      <w:r>
        <w:rPr>
          <w:rFonts w:ascii="Times New Roman" w:hAnsi="Times New Roman"/>
          <w:b/>
          <w:noProof/>
          <w:sz w:val="24"/>
          <w:szCs w:val="24"/>
        </w:rPr>
        <w:t>Многостранното сътрудничество</w:t>
      </w:r>
      <w:r>
        <w:rPr>
          <w:rFonts w:ascii="Times New Roman" w:hAnsi="Times New Roman"/>
          <w:noProof/>
          <w:sz w:val="24"/>
          <w:szCs w:val="24"/>
        </w:rPr>
        <w:t xml:space="preserve"> по потребителските въпроси е от ключово значение за насърчаването на високо равнище на защита и безопасност на международно равнище и за защита на потребителите в световен мащаб. За постигането на тези цели Комисията, в сътрудничество с държавите членки, ще продължи да използва своето влияние в международни организации, като напр. Световната търговска организация (СТО), Конференцията на ООН за търговия и развитие (УНКТАД) или Организацията за икономическо сътрудничество и развитие (ОИСР).</w:t>
      </w:r>
    </w:p>
    <w:p>
      <w:pPr>
        <w:numPr>
          <w:ilvl w:val="0"/>
          <w:numId w:val="5"/>
        </w:numPr>
        <w:pBdr>
          <w:top w:val="single" w:sz="4" w:space="1" w:color="auto"/>
          <w:left w:val="single" w:sz="4" w:space="4" w:color="auto"/>
          <w:bottom w:val="single" w:sz="4" w:space="6" w:color="auto"/>
          <w:right w:val="single" w:sz="4" w:space="4" w:color="auto"/>
        </w:pBdr>
        <w:spacing w:after="240" w:line="240" w:lineRule="auto"/>
        <w:jc w:val="both"/>
        <w:rPr>
          <w:rFonts w:ascii="Times New Roman" w:hAnsi="Times New Roman" w:cs="Times New Roman"/>
          <w:noProof/>
          <w:sz w:val="24"/>
          <w:szCs w:val="24"/>
        </w:rPr>
      </w:pPr>
      <w:r>
        <w:rPr>
          <w:rFonts w:ascii="Times New Roman" w:hAnsi="Times New Roman"/>
          <w:b/>
          <w:noProof/>
          <w:sz w:val="24"/>
          <w:szCs w:val="24"/>
        </w:rPr>
        <w:t>Действие 19</w:t>
      </w:r>
      <w:r>
        <w:rPr>
          <w:noProof/>
        </w:rPr>
        <w:t xml:space="preserve">: </w:t>
      </w:r>
      <w:r>
        <w:rPr>
          <w:rFonts w:ascii="Times New Roman" w:hAnsi="Times New Roman"/>
          <w:noProof/>
          <w:sz w:val="24"/>
          <w:szCs w:val="24"/>
        </w:rPr>
        <w:t xml:space="preserve">През 2021 г. Комисията има за цел да разработи </w:t>
      </w:r>
      <w:r>
        <w:rPr>
          <w:rFonts w:ascii="Times New Roman" w:hAnsi="Times New Roman"/>
          <w:b/>
          <w:noProof/>
          <w:sz w:val="24"/>
          <w:szCs w:val="24"/>
        </w:rPr>
        <w:t>план за действие с Китай</w:t>
      </w:r>
      <w:r>
        <w:rPr>
          <w:rFonts w:ascii="Times New Roman" w:hAnsi="Times New Roman"/>
          <w:noProof/>
          <w:sz w:val="24"/>
          <w:szCs w:val="24"/>
        </w:rPr>
        <w:t xml:space="preserve"> за засилено сътрудничество в областта на безопасността на продуктите за продаваните онлайн продукти.</w:t>
      </w:r>
    </w:p>
    <w:p>
      <w:pPr>
        <w:numPr>
          <w:ilvl w:val="0"/>
          <w:numId w:val="5"/>
        </w:numPr>
        <w:pBdr>
          <w:top w:val="single" w:sz="4" w:space="1" w:color="auto"/>
          <w:left w:val="single" w:sz="4" w:space="4" w:color="auto"/>
          <w:bottom w:val="single" w:sz="4" w:space="6" w:color="auto"/>
          <w:right w:val="single" w:sz="4" w:space="4" w:color="auto"/>
        </w:pBdr>
        <w:spacing w:after="240" w:line="240" w:lineRule="auto"/>
        <w:jc w:val="both"/>
        <w:rPr>
          <w:rFonts w:ascii="Times New Roman" w:hAnsi="Times New Roman" w:cs="Times New Roman"/>
          <w:noProof/>
          <w:sz w:val="24"/>
          <w:szCs w:val="24"/>
        </w:rPr>
      </w:pPr>
      <w:r>
        <w:rPr>
          <w:rFonts w:ascii="Times New Roman" w:hAnsi="Times New Roman"/>
          <w:b/>
          <w:noProof/>
          <w:sz w:val="24"/>
          <w:szCs w:val="24"/>
        </w:rPr>
        <w:t>Действие 20:</w:t>
      </w:r>
      <w:r>
        <w:rPr>
          <w:rFonts w:ascii="Times New Roman" w:hAnsi="Times New Roman"/>
          <w:b/>
          <w:bCs/>
          <w:noProof/>
          <w:sz w:val="24"/>
          <w:szCs w:val="24"/>
        </w:rPr>
        <w:t xml:space="preserve"> </w:t>
      </w:r>
      <w:r>
        <w:rPr>
          <w:rFonts w:ascii="Times New Roman" w:hAnsi="Times New Roman"/>
          <w:noProof/>
          <w:sz w:val="24"/>
          <w:szCs w:val="24"/>
        </w:rPr>
        <w:t xml:space="preserve">Считано от 2021 г., Комисията ще се стреми да разработи регулаторна подкрепа, техническа помощ и изграждане на капацитет за </w:t>
      </w:r>
      <w:r>
        <w:rPr>
          <w:rFonts w:ascii="Times New Roman" w:hAnsi="Times New Roman"/>
          <w:noProof/>
          <w:sz w:val="24"/>
        </w:rPr>
        <w:t>държави — партньори на ЕС</w:t>
      </w:r>
      <w:r>
        <w:rPr>
          <w:rFonts w:ascii="Times New Roman" w:hAnsi="Times New Roman"/>
          <w:noProof/>
          <w:sz w:val="24"/>
          <w:szCs w:val="24"/>
        </w:rPr>
        <w:t xml:space="preserve">, включително в </w:t>
      </w:r>
      <w:r>
        <w:rPr>
          <w:rFonts w:ascii="Times New Roman" w:hAnsi="Times New Roman"/>
          <w:b/>
          <w:noProof/>
          <w:sz w:val="24"/>
          <w:szCs w:val="24"/>
        </w:rPr>
        <w:t>Африка</w:t>
      </w:r>
      <w:r>
        <w:rPr>
          <w:rStyle w:val="FootnoteReference"/>
          <w:rFonts w:ascii="Times New Roman" w:hAnsi="Times New Roman" w:cs="Times New Roman"/>
          <w:noProof/>
          <w:sz w:val="24"/>
          <w:szCs w:val="24"/>
          <w:lang w:val="en-GB"/>
        </w:rPr>
        <w:footnoteReference w:id="101"/>
      </w:r>
      <w:r>
        <w:rPr>
          <w:rFonts w:ascii="Times New Roman" w:hAnsi="Times New Roman"/>
          <w:noProof/>
          <w:sz w:val="24"/>
          <w:szCs w:val="24"/>
        </w:rPr>
        <w:t xml:space="preserve">. </w:t>
      </w:r>
    </w:p>
    <w:p>
      <w:pPr>
        <w:pStyle w:val="ListParagraph"/>
        <w:spacing w:after="0" w:line="240" w:lineRule="auto"/>
        <w:ind w:left="0"/>
        <w:rPr>
          <w:rFonts w:ascii="Times New Roman Bold" w:hAnsi="Times New Roman Bold" w:cs="Times New Roman"/>
          <w:bCs/>
          <w:smallCaps/>
          <w:noProof/>
          <w:sz w:val="26"/>
          <w:szCs w:val="28"/>
        </w:rPr>
      </w:pPr>
    </w:p>
    <w:p>
      <w:pPr>
        <w:numPr>
          <w:ilvl w:val="0"/>
          <w:numId w:val="3"/>
        </w:numPr>
        <w:spacing w:after="240" w:line="240" w:lineRule="auto"/>
        <w:contextualSpacing/>
        <w:rPr>
          <w:rFonts w:ascii="Times New Roman Bold" w:hAnsi="Times New Roman Bold" w:cs="Times New Roman"/>
          <w:b/>
          <w:bCs/>
          <w:smallCaps/>
          <w:noProof/>
          <w:sz w:val="28"/>
          <w:szCs w:val="28"/>
        </w:rPr>
      </w:pPr>
      <w:r>
        <w:rPr>
          <w:rFonts w:ascii="Times New Roman Bold" w:hAnsi="Times New Roman Bold"/>
          <w:b/>
          <w:bCs/>
          <w:smallCaps/>
          <w:noProof/>
          <w:sz w:val="28"/>
          <w:szCs w:val="28"/>
        </w:rPr>
        <w:t>Управление</w:t>
      </w:r>
    </w:p>
    <w:p>
      <w:pPr>
        <w:spacing w:after="240" w:line="240" w:lineRule="auto"/>
        <w:contextualSpacing/>
        <w:rPr>
          <w:rFonts w:ascii="Times New Roman Bold" w:hAnsi="Times New Roman Bold" w:cs="Times New Roman"/>
          <w:bCs/>
          <w:smallCaps/>
          <w:noProof/>
          <w:sz w:val="26"/>
          <w:szCs w:val="28"/>
          <w:lang w:val="en-G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hAnsi="Times New Roman" w:cs="Times New Roman"/>
          <w:noProof/>
          <w:sz w:val="24"/>
          <w:szCs w:val="24"/>
        </w:rPr>
      </w:pPr>
      <w:r>
        <w:rPr>
          <w:rFonts w:ascii="Times New Roman" w:hAnsi="Times New Roman"/>
          <w:noProof/>
          <w:sz w:val="24"/>
          <w:szCs w:val="24"/>
        </w:rPr>
        <w:t>В настоящата програма се излагат предложените от Комисията действия за насърчаване на приоритетите на политиката за защита на потребителите, които могат да бъдат следвани от ЕС и неговите държави членки през следващите пет години и след това. Нейният успех ще зависи от широкото партньорство с участието на всички съответни заинтересовани страни. Тази нова визия на сътрудничество между ЕС и приоритетите на националната политика предполага</w:t>
      </w:r>
      <w:r>
        <w:rPr>
          <w:rFonts w:ascii="Times New Roman" w:hAnsi="Times New Roman"/>
          <w:b/>
          <w:noProof/>
          <w:sz w:val="24"/>
          <w:szCs w:val="24"/>
        </w:rPr>
        <w:t xml:space="preserve"> нова рамка за засилено сътрудничество</w:t>
      </w:r>
      <w:r>
        <w:rPr>
          <w:rFonts w:ascii="Times New Roman" w:hAnsi="Times New Roman"/>
          <w:noProof/>
          <w:sz w:val="24"/>
          <w:szCs w:val="24"/>
        </w:rPr>
        <w:t xml:space="preserve">, която дава възможност да бъдат предприети конкретни действия. Тя трябва да се основава на годишните приоритети, обсъдени по време на годишна </w:t>
      </w:r>
      <w:r>
        <w:rPr>
          <w:rFonts w:ascii="Times New Roman" w:hAnsi="Times New Roman"/>
          <w:b/>
          <w:noProof/>
          <w:sz w:val="24"/>
          <w:szCs w:val="24"/>
        </w:rPr>
        <w:t>среща на върха по въпросите на потребителите</w:t>
      </w:r>
      <w:r>
        <w:rPr>
          <w:rFonts w:ascii="Times New Roman" w:hAnsi="Times New Roman"/>
          <w:noProof/>
          <w:sz w:val="24"/>
          <w:szCs w:val="24"/>
        </w:rPr>
        <w:t>, обединяваща всички заинтересовани страни</w:t>
      </w:r>
      <w:r>
        <w:rPr>
          <w:rFonts w:ascii="Times New Roman" w:hAnsi="Times New Roman" w:cs="Times New Roman"/>
          <w:noProof/>
          <w:sz w:val="24"/>
          <w:szCs w:val="24"/>
          <w:vertAlign w:val="superscript"/>
          <w:lang w:val="en-GB"/>
        </w:rPr>
        <w:footnoteReference w:id="102"/>
      </w:r>
      <w:r>
        <w:rPr>
          <w:rFonts w:ascii="Times New Roman" w:hAnsi="Times New Roman"/>
          <w:noProof/>
          <w:sz w:val="24"/>
          <w:szCs w:val="24"/>
        </w:rPr>
        <w:t xml:space="preserve"> около Световния ден на потребителите</w:t>
      </w:r>
      <w:r>
        <w:rPr>
          <w:rFonts w:ascii="Times New Roman" w:hAnsi="Times New Roman" w:cs="Times New Roman"/>
          <w:noProof/>
          <w:sz w:val="24"/>
          <w:szCs w:val="24"/>
          <w:vertAlign w:val="superscript"/>
          <w:lang w:val="en-GB"/>
        </w:rPr>
        <w:footnoteReference w:id="103"/>
      </w:r>
      <w:r>
        <w:rPr>
          <w:rFonts w:ascii="Times New Roman" w:hAnsi="Times New Roman"/>
          <w:noProof/>
          <w:sz w:val="24"/>
          <w:szCs w:val="24"/>
        </w:rPr>
        <w:t xml:space="preserve">. По време на срещата на върха следва да се направи преглед на постигнатия през предходната година напредък и да се определят приоритетите за следващата година.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hAnsi="Times New Roman" w:cs="Times New Roman"/>
          <w:bCs/>
          <w:noProof/>
          <w:sz w:val="24"/>
          <w:szCs w:val="24"/>
        </w:rPr>
      </w:pPr>
      <w:r>
        <w:rPr>
          <w:rFonts w:ascii="Times New Roman" w:hAnsi="Times New Roman"/>
          <w:noProof/>
          <w:sz w:val="24"/>
          <w:szCs w:val="24"/>
        </w:rPr>
        <w:t xml:space="preserve">Комисията ще се стреми да провежда редовни дискусии с </w:t>
      </w:r>
      <w:r>
        <w:rPr>
          <w:rFonts w:ascii="Times New Roman" w:hAnsi="Times New Roman"/>
          <w:b/>
          <w:noProof/>
          <w:sz w:val="24"/>
          <w:szCs w:val="24"/>
        </w:rPr>
        <w:t>Европейския парламент, Икономическия и социален комитет и Комитета на регионите.</w:t>
      </w:r>
      <w:r>
        <w:rPr>
          <w:rFonts w:ascii="Times New Roman" w:hAnsi="Times New Roman"/>
          <w:noProof/>
          <w:sz w:val="24"/>
          <w:szCs w:val="24"/>
        </w:rPr>
        <w:t xml:space="preserve"> Тя също така ще работи в тясно сътрудничество с държавите членки в контекста на съществуващите мрежи</w:t>
      </w:r>
      <w:r>
        <w:rPr>
          <w:rFonts w:ascii="Times New Roman" w:hAnsi="Times New Roman" w:cs="Times New Roman"/>
          <w:noProof/>
          <w:sz w:val="24"/>
          <w:szCs w:val="24"/>
          <w:vertAlign w:val="superscript"/>
          <w:lang w:val="en-GB"/>
        </w:rPr>
        <w:footnoteReference w:id="104"/>
      </w:r>
      <w:r>
        <w:rPr>
          <w:rFonts w:ascii="Times New Roman" w:hAnsi="Times New Roman"/>
          <w:noProof/>
          <w:sz w:val="24"/>
          <w:szCs w:val="24"/>
        </w:rPr>
        <w:t xml:space="preserve">, работни групи или </w:t>
      </w:r>
      <w:r>
        <w:rPr>
          <w:rFonts w:ascii="Times New Roman" w:hAnsi="Times New Roman"/>
          <w:i/>
          <w:noProof/>
          <w:sz w:val="24"/>
          <w:szCs w:val="24"/>
        </w:rPr>
        <w:t>ad hoc</w:t>
      </w:r>
      <w:r>
        <w:rPr>
          <w:rFonts w:ascii="Times New Roman" w:hAnsi="Times New Roman"/>
          <w:noProof/>
          <w:sz w:val="24"/>
          <w:szCs w:val="24"/>
        </w:rPr>
        <w:t xml:space="preserve"> целеви групи. Във връзка с това Комисията ще работи в тясна връзка с националните органи, за да гарантира тясната координация на действията и оптимизираното използване на съответните налични средства на равнището на ЕС и на национално равнище. Обменът на резултатите от изследователски и научни проекти, както и обменът на данни между държавите членки и Комисията могат да допринесат за солидна доказателствена база от съответни данни.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Тази работа трябва да бъде придружена от тясно и ефективно сътрудничество с </w:t>
      </w:r>
      <w:r>
        <w:rPr>
          <w:rFonts w:ascii="Times New Roman" w:hAnsi="Times New Roman"/>
          <w:b/>
          <w:noProof/>
          <w:sz w:val="24"/>
          <w:szCs w:val="24"/>
        </w:rPr>
        <w:t>ключови заинтересовани страни</w:t>
      </w:r>
      <w:r>
        <w:rPr>
          <w:rFonts w:ascii="Times New Roman" w:hAnsi="Times New Roman"/>
          <w:noProof/>
          <w:sz w:val="24"/>
          <w:szCs w:val="24"/>
        </w:rPr>
        <w:t xml:space="preserve">, включително </w:t>
      </w:r>
      <w:r>
        <w:rPr>
          <w:rFonts w:ascii="Times New Roman" w:hAnsi="Times New Roman"/>
          <w:b/>
          <w:noProof/>
          <w:sz w:val="24"/>
          <w:szCs w:val="24"/>
        </w:rPr>
        <w:t>потребителски организации, промишленост и академични среди</w:t>
      </w:r>
      <w:r>
        <w:rPr>
          <w:rFonts w:ascii="Times New Roman" w:hAnsi="Times New Roman"/>
          <w:noProof/>
          <w:sz w:val="24"/>
          <w:szCs w:val="24"/>
        </w:rPr>
        <w:t xml:space="preserve">. Силните потребителски организации на равнището на Съюза и на национално равнище са важни партньори в планирането на работата съгласно настоящата програма, достигайки до потребителите и подпомагайки ги. Комисията ще създаде </w:t>
      </w:r>
      <w:r>
        <w:rPr>
          <w:rFonts w:ascii="Times New Roman" w:hAnsi="Times New Roman"/>
          <w:b/>
          <w:noProof/>
          <w:sz w:val="24"/>
          <w:szCs w:val="24"/>
        </w:rPr>
        <w:t>нова консултативна група за политиката за защита на потребителите</w:t>
      </w:r>
      <w:r>
        <w:rPr>
          <w:rFonts w:ascii="Times New Roman" w:hAnsi="Times New Roman"/>
          <w:noProof/>
          <w:sz w:val="24"/>
          <w:szCs w:val="24"/>
        </w:rPr>
        <w:t xml:space="preserve">, която ще направи преглед на напредъка и ще разгледа приоритетите през следващата година като принос към дискусиите на срещата на върха на потребителите. Тя следва да обединява всички заинтересовани страни, но и да дава възможност за целеви дискусии, например между потребителски организации и публични органи. </w:t>
      </w:r>
      <w:r>
        <w:rPr>
          <w:rFonts w:ascii="Times New Roman" w:hAnsi="Times New Roman"/>
          <w:noProof/>
          <w:sz w:val="24"/>
        </w:rPr>
        <w:t xml:space="preserve">Следва да се търсят различни форми на </w:t>
      </w:r>
      <w:r>
        <w:rPr>
          <w:rFonts w:ascii="Times New Roman" w:hAnsi="Times New Roman"/>
          <w:b/>
          <w:noProof/>
          <w:sz w:val="24"/>
        </w:rPr>
        <w:t>сътрудничество с бизнеса</w:t>
      </w:r>
      <w:r>
        <w:rPr>
          <w:rFonts w:ascii="Times New Roman" w:hAnsi="Times New Roman"/>
          <w:noProof/>
          <w:sz w:val="24"/>
        </w:rPr>
        <w:t>, включително чрез обучение, обмен на добри практики и срещи с дружества, ангажирани с доброволно поети ангажименти.</w:t>
      </w:r>
      <w:r>
        <w:rPr>
          <w:rFonts w:ascii="Times New Roman" w:hAnsi="Times New Roman"/>
          <w:noProof/>
          <w:sz w:val="24"/>
          <w:szCs w:val="24"/>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hAnsi="Times New Roman" w:cs="Times New Roman"/>
          <w:noProof/>
          <w:spacing w:val="-4"/>
          <w:sz w:val="24"/>
          <w:szCs w:val="24"/>
        </w:rPr>
      </w:pPr>
      <w:r>
        <w:rPr>
          <w:rFonts w:ascii="Times New Roman" w:hAnsi="Times New Roman"/>
          <w:noProof/>
          <w:spacing w:val="-4"/>
          <w:sz w:val="24"/>
          <w:szCs w:val="24"/>
        </w:rPr>
        <w:t xml:space="preserve">Успоредно с това настоящият </w:t>
      </w:r>
      <w:r>
        <w:rPr>
          <w:rFonts w:ascii="Times New Roman" w:hAnsi="Times New Roman"/>
          <w:b/>
          <w:noProof/>
          <w:spacing w:val="-4"/>
          <w:sz w:val="24"/>
          <w:szCs w:val="24"/>
        </w:rPr>
        <w:t>Индекс на условията за потребителите</w:t>
      </w:r>
      <w:r>
        <w:rPr>
          <w:rFonts w:ascii="Times New Roman" w:hAnsi="Times New Roman"/>
          <w:noProof/>
          <w:spacing w:val="-4"/>
          <w:sz w:val="24"/>
          <w:szCs w:val="24"/>
        </w:rPr>
        <w:t xml:space="preserve"> за положението на потребителите в целия ЕС следва да бъде </w:t>
      </w:r>
      <w:r>
        <w:rPr>
          <w:rFonts w:ascii="Times New Roman" w:hAnsi="Times New Roman"/>
          <w:b/>
          <w:noProof/>
          <w:spacing w:val="-4"/>
          <w:sz w:val="24"/>
          <w:szCs w:val="24"/>
        </w:rPr>
        <w:t>доразвит</w:t>
      </w:r>
      <w:r>
        <w:rPr>
          <w:rFonts w:ascii="Times New Roman" w:hAnsi="Times New Roman"/>
          <w:noProof/>
          <w:spacing w:val="-4"/>
          <w:sz w:val="24"/>
          <w:szCs w:val="24"/>
        </w:rPr>
        <w:t>, за да отразява по-добре действителната ситуация на защитата на потребителите, безопасността на продуктите и устойчивото потребление на равнището на ЕС и на национално равнище въз основа на преразгледан набор от показатели. Той следва да се основава на засилена система за събиране на данни, обхващаща ситуацията на пазарите и в държавите, мнението и поведението на потребителите, както и капацитета във връзка с правоприлагането и действията на държавите членки. Въз основа на събраните чрез индекса данни и на тясното сътрудничество с всички заинтересовани страни мерките и действията на ЕС и на национално равнище могат да бъдат планирани, приведени в съответствие и използвани приоритетно за максимално въздействие в полза на потребителите в целия ЕС.</w:t>
      </w:r>
    </w:p>
    <w:p>
      <w:pPr>
        <w:numPr>
          <w:ilvl w:val="0"/>
          <w:numId w:val="5"/>
        </w:numPr>
        <w:pBdr>
          <w:top w:val="single" w:sz="4" w:space="1" w:color="auto"/>
          <w:left w:val="single" w:sz="4" w:space="4" w:color="auto"/>
          <w:bottom w:val="single" w:sz="4" w:space="6" w:color="auto"/>
          <w:right w:val="single" w:sz="4" w:space="4" w:color="auto"/>
        </w:pBdr>
        <w:spacing w:after="240" w:line="240" w:lineRule="auto"/>
        <w:jc w:val="both"/>
        <w:rPr>
          <w:rFonts w:ascii="Times New Roman" w:hAnsi="Times New Roman" w:cs="Times New Roman"/>
          <w:smallCaps/>
          <w:noProof/>
          <w:sz w:val="24"/>
          <w:szCs w:val="24"/>
        </w:rPr>
      </w:pPr>
      <w:r>
        <w:rPr>
          <w:rFonts w:ascii="Times New Roman" w:hAnsi="Times New Roman"/>
          <w:b/>
          <w:bCs/>
          <w:noProof/>
          <w:sz w:val="24"/>
          <w:szCs w:val="24"/>
        </w:rPr>
        <w:t xml:space="preserve">Действие 21: </w:t>
      </w:r>
      <w:r>
        <w:rPr>
          <w:rFonts w:ascii="Times New Roman" w:hAnsi="Times New Roman"/>
          <w:noProof/>
          <w:sz w:val="24"/>
          <w:szCs w:val="24"/>
        </w:rPr>
        <w:t xml:space="preserve">Комисията има за цел да създаде </w:t>
      </w:r>
      <w:r>
        <w:rPr>
          <w:rFonts w:ascii="Times New Roman" w:hAnsi="Times New Roman"/>
          <w:b/>
          <w:noProof/>
          <w:sz w:val="24"/>
          <w:szCs w:val="24"/>
        </w:rPr>
        <w:t>Консултативна група за политиката за защита на потребителите</w:t>
      </w:r>
      <w:r>
        <w:rPr>
          <w:rFonts w:ascii="Times New Roman" w:hAnsi="Times New Roman"/>
          <w:noProof/>
          <w:sz w:val="24"/>
          <w:szCs w:val="24"/>
        </w:rPr>
        <w:t>, обединяваща представители на потребителските организации, гражданското общество и промишлеността в подкрепа на програмата за потребителите</w:t>
      </w:r>
      <w:r>
        <w:rPr>
          <w:rFonts w:ascii="Times New Roman" w:hAnsi="Times New Roman" w:cs="Times New Roman"/>
          <w:noProof/>
          <w:sz w:val="24"/>
          <w:szCs w:val="24"/>
          <w:vertAlign w:val="superscript"/>
          <w:lang w:val="en-GB"/>
        </w:rPr>
        <w:footnoteReference w:id="105"/>
      </w:r>
      <w:r>
        <w:rPr>
          <w:rFonts w:ascii="Times New Roman" w:hAnsi="Times New Roman"/>
          <w:noProof/>
          <w:sz w:val="24"/>
          <w:szCs w:val="24"/>
        </w:rPr>
        <w:t>.</w:t>
      </w:r>
    </w:p>
    <w:p>
      <w:pPr>
        <w:numPr>
          <w:ilvl w:val="0"/>
          <w:numId w:val="5"/>
        </w:numPr>
        <w:pBdr>
          <w:top w:val="single" w:sz="4" w:space="1" w:color="auto"/>
          <w:left w:val="single" w:sz="4" w:space="4" w:color="auto"/>
          <w:bottom w:val="single" w:sz="4" w:space="6" w:color="auto"/>
          <w:right w:val="single" w:sz="4" w:space="4" w:color="auto"/>
        </w:pBdr>
        <w:spacing w:after="240" w:line="240" w:lineRule="auto"/>
        <w:jc w:val="both"/>
        <w:rPr>
          <w:rFonts w:ascii="Times New Roman" w:hAnsi="Times New Roman" w:cs="Times New Roman"/>
          <w:smallCaps/>
          <w:noProof/>
          <w:sz w:val="24"/>
          <w:szCs w:val="24"/>
        </w:rPr>
      </w:pPr>
      <w:r>
        <w:rPr>
          <w:rFonts w:ascii="Times New Roman" w:hAnsi="Times New Roman"/>
          <w:b/>
          <w:bCs/>
          <w:noProof/>
          <w:sz w:val="24"/>
          <w:szCs w:val="24"/>
        </w:rPr>
        <w:t xml:space="preserve">Действие 22: </w:t>
      </w:r>
      <w:r>
        <w:rPr>
          <w:rFonts w:ascii="Times New Roman" w:hAnsi="Times New Roman"/>
          <w:noProof/>
          <w:sz w:val="24"/>
          <w:szCs w:val="24"/>
        </w:rPr>
        <w:t xml:space="preserve">Комисията планира да преработи </w:t>
      </w:r>
      <w:r>
        <w:rPr>
          <w:rFonts w:ascii="Times New Roman" w:hAnsi="Times New Roman"/>
          <w:b/>
          <w:noProof/>
          <w:sz w:val="24"/>
          <w:szCs w:val="24"/>
        </w:rPr>
        <w:t>Индекса на условията за потребителите</w:t>
      </w:r>
      <w:r>
        <w:rPr>
          <w:rFonts w:ascii="Times New Roman" w:hAnsi="Times New Roman"/>
          <w:noProof/>
          <w:sz w:val="24"/>
          <w:szCs w:val="24"/>
        </w:rPr>
        <w:t xml:space="preserve"> през 2021 г., за да подобри неговата функция за мониторинг и сравнителен анализ, както и да засили значението му за укрепване на сътрудничеството в областта на правоприлагането в ЕС.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line="240" w:lineRule="auto"/>
        <w:jc w:val="both"/>
        <w:rPr>
          <w:rFonts w:ascii="Times New Roman" w:eastAsia="Calibri" w:hAnsi="Times New Roman" w:cs="Times New Roman"/>
          <w:noProof/>
          <w:sz w:val="24"/>
          <w:szCs w:val="24"/>
        </w:rPr>
      </w:pPr>
    </w:p>
    <w:p>
      <w:pPr>
        <w:numPr>
          <w:ilvl w:val="0"/>
          <w:numId w:val="3"/>
        </w:numPr>
        <w:spacing w:after="240" w:line="240" w:lineRule="auto"/>
        <w:contextualSpacing/>
        <w:rPr>
          <w:rFonts w:ascii="Times New Roman Bold" w:hAnsi="Times New Roman Bold" w:cs="Times New Roman"/>
          <w:b/>
          <w:smallCaps/>
          <w:noProof/>
          <w:sz w:val="28"/>
          <w:szCs w:val="28"/>
        </w:rPr>
      </w:pPr>
      <w:r>
        <w:rPr>
          <w:rFonts w:ascii="Times New Roman Bold" w:hAnsi="Times New Roman Bold"/>
          <w:b/>
          <w:smallCaps/>
          <w:noProof/>
          <w:sz w:val="28"/>
          <w:szCs w:val="28"/>
        </w:rPr>
        <w:t xml:space="preserve">Заключение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noProof/>
          <w:sz w:val="24"/>
          <w:szCs w:val="24"/>
          <w:lang w:val="en-G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eastAsia="Calibri" w:hAnsi="Times New Roman" w:cs="Times New Roman"/>
          <w:noProof/>
          <w:sz w:val="24"/>
          <w:szCs w:val="24"/>
        </w:rPr>
      </w:pPr>
      <w:r>
        <w:rPr>
          <w:rFonts w:ascii="Times New Roman" w:hAnsi="Times New Roman"/>
          <w:noProof/>
          <w:sz w:val="24"/>
          <w:szCs w:val="24"/>
        </w:rPr>
        <w:t>ЕС разполага със стабилна рамка за защита на потребителите, разработена в продължение на много години и наскоро подобрена чрез няколко законодателни инициативи, от които потребителите в ЕС ще се възползват през следващите години. В тази нова програма за потребителите се посочва как тези постижения могат да бъдат консолидирани чрез редица действия за справяне с предизвикателствата, много от които се откроиха по-ясно в контекста на настоящата пандемия, и за укрепване на общата рамка на ангажираност между институциите на ЕС, държавите членки и заинтересованите страни. Това ще допринесе като основен движещ фактор за устойчивото възстановяване и издръжливостта на икономиката на ЕС и на потребителите.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Комисията очаква широкообхватен диалог с всички заинтересовани страни относно приоритетите и действията, както и методите на сътрудничество за насърчаване на защитата на потребителите през следващите години, както е посочено в настоящата програма. </w:t>
      </w:r>
    </w:p>
    <w:sectPr>
      <w:headerReference w:type="even" r:id="rId19"/>
      <w:headerReference w:type="default" r:id="rId20"/>
      <w:footerReference w:type="even" r:id="rId21"/>
      <w:footerReference w:type="default" r:id="rId22"/>
      <w:headerReference w:type="first" r:id="rId23"/>
      <w:footerReference w:type="first" r:id="rId24"/>
      <w:pgSz w:w="11906" w:h="16838" w:code="9"/>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488483"/>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vertAlign w:val="superscript"/>
        </w:rPr>
        <w:t xml:space="preserve"> </w:t>
      </w:r>
      <w:hyperlink r:id="rId1" w:history="1">
        <w:r>
          <w:rPr>
            <w:rFonts w:ascii="Times New Roman" w:hAnsi="Times New Roman"/>
          </w:rPr>
          <w:t>https://ec.europa.eu/info/law/law-topic/consumers/review-eu-consumer-law-new-deal-consumers_en</w:t>
        </w:r>
      </w:hyperlink>
    </w:p>
  </w:footnote>
  <w:footnote w:id="3">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vertAlign w:val="superscript"/>
        </w:rPr>
        <w:t xml:space="preserve"> </w:t>
      </w:r>
      <w:r>
        <w:rPr>
          <w:rFonts w:ascii="Times New Roman" w:hAnsi="Times New Roman"/>
        </w:rPr>
        <w:t xml:space="preserve">Евростат: </w:t>
      </w:r>
      <w:hyperlink r:id="rId2" w:history="1">
        <w:r>
          <w:rPr>
            <w:rFonts w:ascii="Times New Roman" w:hAnsi="Times New Roman"/>
          </w:rPr>
          <w:t>https://ec.europa.eu/eurostat/statistics-explained/index.php/Household_consumption_by_purpose</w:t>
        </w:r>
      </w:hyperlink>
    </w:p>
  </w:footnote>
  <w:footnote w:id="4">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Стратегия на ЕС за мястото на МСП в устойчива и цифрова Европа, COM(2020) 103 final. </w:t>
      </w:r>
    </w:p>
  </w:footnote>
  <w:footnote w:id="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Член 12 от Договора за функционирането на Европейския съюз.</w:t>
      </w:r>
    </w:p>
  </w:footnote>
  <w:footnote w:id="6">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hyperlink r:id="rId3" w:history="1">
        <w:r>
          <w:rPr>
            <w:rFonts w:ascii="Times New Roman" w:hAnsi="Times New Roman"/>
          </w:rPr>
          <w:t>https://ec.europa.eu/info/strategy/priorities-2019-2024/european-green-deal_bg</w:t>
        </w:r>
      </w:hyperlink>
      <w:r>
        <w:rPr>
          <w:rFonts w:ascii="Times New Roman" w:hAnsi="Times New Roman"/>
        </w:rPr>
        <w:t>.</w:t>
      </w:r>
    </w:p>
  </w:footnote>
  <w:footnote w:id="7">
    <w:p>
      <w:pPr>
        <w:pStyle w:val="FootnoteText"/>
        <w:rPr>
          <w:rFonts w:ascii="Times New Roman" w:hAnsi="Times New Roman" w:cs="Times New Roman"/>
        </w:rPr>
      </w:pPr>
      <w:r>
        <w:rPr>
          <w:rFonts w:ascii="Times New Roman" w:hAnsi="Times New Roman" w:cs="Times New Roman"/>
          <w:vertAlign w:val="superscript"/>
        </w:rPr>
        <w:footnoteRef/>
      </w:r>
      <w:r>
        <w:rPr>
          <w:rFonts w:ascii="Times New Roman" w:hAnsi="Times New Roman"/>
          <w:vertAlign w:val="superscript"/>
        </w:rPr>
        <w:t xml:space="preserve"> </w:t>
      </w:r>
      <w:r>
        <w:rPr>
          <w:rFonts w:ascii="Times New Roman" w:hAnsi="Times New Roman"/>
        </w:rPr>
        <w:t>COM(2020) 98 final.</w:t>
      </w:r>
    </w:p>
  </w:footnote>
  <w:footnote w:id="8">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hyperlink r:id="rId4" w:history="1">
        <w:r>
          <w:rPr>
            <w:rFonts w:ascii="Times New Roman" w:hAnsi="Times New Roman"/>
          </w:rPr>
          <w:t>https://ec.europa.eu/info/publications/communication-shaping-europes-digital-future_en</w:t>
        </w:r>
      </w:hyperlink>
      <w:r>
        <w:rPr>
          <w:rFonts w:ascii="Times New Roman" w:hAnsi="Times New Roman"/>
        </w:rPr>
        <w:t>.</w:t>
      </w:r>
    </w:p>
  </w:footnote>
  <w:footnote w:id="9">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В програмата</w:t>
      </w:r>
      <w:r>
        <w:rPr>
          <w:rFonts w:ascii="Times New Roman" w:hAnsi="Times New Roman"/>
          <w:vertAlign w:val="superscript"/>
        </w:rPr>
        <w:t xml:space="preserve"> </w:t>
      </w:r>
      <w:r>
        <w:rPr>
          <w:rFonts w:ascii="Times New Roman" w:hAnsi="Times New Roman"/>
        </w:rPr>
        <w:t>са изброени действия по избирателен и неизчерпателен начин, за да бъдат подчертани основните работни направления и да се избегне припокриването с други стратегии и планове за действие, които вече са договорени.</w:t>
      </w:r>
    </w:p>
  </w:footnote>
  <w:footnote w:id="10">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spacing w:val="-4"/>
        </w:rPr>
        <w:t xml:space="preserve">Вж. </w:t>
      </w:r>
      <w:hyperlink r:id="rId5" w:history="1">
        <w:r>
          <w:rPr>
            <w:rFonts w:ascii="Times New Roman" w:hAnsi="Times New Roman"/>
            <w:spacing w:val="-4"/>
          </w:rPr>
          <w:t>https://ec.europa.eu/info/law/better-regulation/have-your-say/initiatives/12464-A-New-Consumer-Agenda</w:t>
        </w:r>
      </w:hyperlink>
      <w:r>
        <w:rPr>
          <w:rFonts w:ascii="Times New Roman" w:hAnsi="Times New Roman"/>
          <w:spacing w:val="-4"/>
        </w:rPr>
        <w:t>.</w:t>
      </w:r>
      <w:r>
        <w:rPr>
          <w:rFonts w:ascii="Times New Roman" w:hAnsi="Times New Roman"/>
        </w:rPr>
        <w:t xml:space="preserve"> </w:t>
      </w:r>
    </w:p>
  </w:footnote>
  <w:footnote w:id="11">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Съобщение на Комисията до Европейския парламент, Европейския съвет, Съвета и Европейската инвестиционна банка Стратегия на ЕС за ваксините срещу COVID-19, COM(2020) 245 final.</w:t>
      </w:r>
    </w:p>
  </w:footnote>
  <w:footnote w:id="12">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https://ec.europa.eu/info/live-work-travel-eu/health/coronavirus-response/public-health_bg.</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Съобщение на Комисията относно допълнителни мерки за отговор на COVID-19 от 28.10.2020 г., COM(2020) 687 final, и Препоръка на Комисията от 28.10.2020 г. относно стратегиите за тестване на COVID-19, включително използването на бързи тестове за антитела, C(2020) 7502 final.</w:t>
      </w:r>
    </w:p>
  </w:footnote>
  <w:footnote w:id="14">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vertAlign w:val="superscript"/>
        </w:rPr>
        <w:t xml:space="preserve"> </w:t>
      </w:r>
      <w:r>
        <w:rPr>
          <w:rFonts w:ascii="Times New Roman" w:hAnsi="Times New Roman"/>
          <w:spacing w:val="-4"/>
        </w:rPr>
        <w:t>Проучване на IPSOS за Комисията показва, че освен значителното увеличаване на онлайн пазаруването през първата половина на 2020 г. много потребители очакват да посетят по-малко спортни или културни събития през следващата година (40—60 %) и да пътуват по-рядко с обществен транспорт (24—43 %).</w:t>
      </w:r>
    </w:p>
  </w:footnote>
  <w:footnote w:id="15">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vertAlign w:val="superscript"/>
        </w:rPr>
        <w:t xml:space="preserve"> </w:t>
      </w:r>
      <w:r>
        <w:rPr>
          <w:rFonts w:ascii="Times New Roman" w:hAnsi="Times New Roman"/>
        </w:rPr>
        <w:t xml:space="preserve">Препоръка (ЕС) 2020/648 на Комисията от 13 май 2020 г. за предлагането на ваучери на пътниците и туристите като алтернатива на възстановяването на сумите, заплатени за отменени пакетни туристически и транспортни услуги в контекста на пандемията от COVID-19 (ОВ L 151, 14.5.2020 г.). </w:t>
      </w:r>
    </w:p>
  </w:footnote>
  <w:footnote w:id="16">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Регламенти за правата на пътниците (ЕО) 261/2004, (ЕО) 1371/2007, (ЕС) 1177/2010 и (ЕС) 181/2011 и Директива (ЕС) 2015/2302 относно пакетните туристически пътувания.</w:t>
      </w:r>
    </w:p>
  </w:footnote>
  <w:footnote w:id="17">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hyperlink r:id="rId6" w:history="1">
        <w:r>
          <w:rPr>
            <w:rFonts w:ascii="Times New Roman" w:hAnsi="Times New Roman"/>
          </w:rPr>
          <w:t>https://ec.europa.eu/info/live-work-travel-eu/consumers/enforcement-consumer-protection/scams-related-covid-19_bg</w:t>
        </w:r>
      </w:hyperlink>
      <w:r>
        <w:rPr>
          <w:rFonts w:ascii="Times New Roman" w:hAnsi="Times New Roman"/>
        </w:rPr>
        <w:t xml:space="preserve">. </w:t>
      </w:r>
    </w:p>
  </w:footnote>
  <w:footnote w:id="18">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vertAlign w:val="superscript"/>
        </w:rPr>
        <w:t xml:space="preserve"> </w:t>
      </w:r>
      <w:r>
        <w:rPr>
          <w:rFonts w:ascii="Times New Roman" w:hAnsi="Times New Roman"/>
          <w:spacing w:val="-4"/>
        </w:rPr>
        <w:t>В резултат на това платформите отчитат рязко намаление от поне 80 % на подвеждащото предлагане на маски за лице или други предпазни средства през лятото в сравнение със средните стойности през март.</w:t>
      </w:r>
    </w:p>
  </w:footnote>
  <w:footnote w:id="19">
    <w:p>
      <w:pPr>
        <w:spacing w:after="0" w:line="240" w:lineRule="auto"/>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sz w:val="20"/>
          <w:szCs w:val="20"/>
        </w:rPr>
        <w:t xml:space="preserve"> Вж. в този контекст наскоро публикуваните от Комисията насоки </w:t>
      </w:r>
      <w:hyperlink r:id="rId7" w:history="1">
        <w:r>
          <w:rPr>
            <w:rFonts w:ascii="Times New Roman" w:hAnsi="Times New Roman"/>
            <w:sz w:val="20"/>
            <w:szCs w:val="20"/>
          </w:rPr>
          <w:t>https://ec.europa.eu/info/sites/info/files/waste_management_guidance_dg-env.pdf.</w:t>
        </w:r>
      </w:hyperlink>
      <w:r>
        <w:rPr>
          <w:rFonts w:ascii="Times New Roman" w:hAnsi="Times New Roman"/>
          <w:sz w:val="20"/>
          <w:szCs w:val="20"/>
        </w:rPr>
        <w:t xml:space="preserve"> </w:t>
      </w:r>
    </w:p>
  </w:footnote>
  <w:footnote w:id="20">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vertAlign w:val="superscript"/>
        </w:rPr>
        <w:t xml:space="preserve"> </w:t>
      </w:r>
      <w:r>
        <w:rPr>
          <w:rFonts w:ascii="Times New Roman" w:hAnsi="Times New Roman"/>
        </w:rPr>
        <w:t xml:space="preserve">В съобщението на Комисията до Европейския парламент и до Съвета, озаглавено „Доклад за стратегическото прогнозиране от 2020 г.“ (COM(2020) 493 final), се посочва, че прогнозирането ще има ключова роля за това определянето на политиките в ЕС да бъде съобразено с бъдещето и краткосрочните инициативи да се основават на по-дългосрочна перспектива. Прогнозирането може да допринесе за изграждането на колективна интелигентност и да бъде очертан по-добре пътят напред към двойния екологичен и цифров преход, както и за възстановяване от сътресения. Наред с другите дейности по прогнозиране Съвместният изследователски център на Комисията наблюдава 14 мегатенденции като част от своя </w:t>
      </w:r>
      <w:hyperlink r:id="rId8" w:history="1">
        <w:r>
          <w:rPr>
            <w:rFonts w:ascii="Times New Roman" w:hAnsi="Times New Roman"/>
          </w:rPr>
          <w:t>Център за проучване на мегатенденциите</w:t>
        </w:r>
      </w:hyperlink>
      <w:r>
        <w:t xml:space="preserve">, </w:t>
      </w:r>
      <w:r>
        <w:rPr>
          <w:rFonts w:ascii="Times New Roman" w:hAnsi="Times New Roman"/>
        </w:rPr>
        <w:t>някои от които се отнасят в голяма степен до политиките за защита на потребителите.</w:t>
      </w:r>
    </w:p>
  </w:footnote>
  <w:footnote w:id="21">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Като се имат предвид съответните действия, предложени в съвместното съобщение до Европейския парламент, Европейския съвет, Съвета, Европейския икономически и социален комитет и Комитета на регионите — Борба с дезинформацията за COVID-19: боравене с точни факти, JOIN(2020) 8 final — вж. раздел 8.</w:t>
      </w:r>
    </w:p>
  </w:footnote>
  <w:footnote w:id="22">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vertAlign w:val="superscript"/>
        </w:rPr>
        <w:t xml:space="preserve"> </w:t>
      </w:r>
      <w:r>
        <w:rPr>
          <w:rFonts w:ascii="Times New Roman" w:hAnsi="Times New Roman"/>
        </w:rPr>
        <w:t>Това означава, че даден продукт не може да бъде използван за предвидената цел и се поврежда по-рано от очакваното.</w:t>
      </w:r>
    </w:p>
  </w:footnote>
  <w:footnote w:id="23">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Поведенческо проучване относно участието на потребителите в кръговата икономика (</w:t>
      </w:r>
      <w:hyperlink r:id="rId9" w:anchor="behaviouralstudyonconsumersengagementinthecirculareconomy" w:history="1">
        <w:r>
          <w:rPr>
            <w:rFonts w:ascii="Times New Roman" w:hAnsi="Times New Roman"/>
          </w:rPr>
          <w:t>https://ec.europa.eu/info/live-work-travel-eu/consumers/sustainable-consumption_en#behaviouralstudyonconsumersengagementinthecirculareconomy</w:t>
        </w:r>
      </w:hyperlink>
      <w:r>
        <w:rPr>
          <w:rFonts w:ascii="Times New Roman" w:hAnsi="Times New Roman"/>
        </w:rPr>
        <w:t>).</w:t>
      </w:r>
    </w:p>
  </w:footnote>
  <w:footnote w:id="24">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spacing w:val="-4"/>
        </w:rPr>
        <w:t xml:space="preserve">Специален Евробарометър 501 (март 2020 г.) Отношението на европейските граждани към околната среда </w:t>
      </w:r>
      <w:r>
        <w:rPr>
          <w:rFonts w:ascii="Times New Roman" w:hAnsi="Times New Roman"/>
        </w:rPr>
        <w:t>https://ec.europa.eu/commfrontoffice/publicopinion/index.cfm/survey/getSurveydetail/instruments/special/surveyky/2257.</w:t>
      </w:r>
    </w:p>
  </w:footnote>
  <w:footnote w:id="25">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spacing w:val="-4"/>
        </w:rPr>
        <w:t>В неотдавнашен доклад на Съвместния изследователски център относно показателите, основаващи се на оценката на жизнения цикъл, консумацията на храна, жилищата и мобилността се определят като съществени източници за цялостното въздействие на потребителите в ЕС върху околната среда. Sala S. et al. (2019 г.) Indicators and Assessment of the environmental impact of EU consumption. Consumption and Consumer Footprint for assessing and monitoring EU policies with Life Cycle Assessment (doi:10.2760/403263, JRC114814).</w:t>
      </w:r>
    </w:p>
  </w:footnote>
  <w:footnote w:id="26">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COM(2020) 381 final.</w:t>
      </w:r>
    </w:p>
  </w:footnote>
  <w:footnote w:id="27">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COM(2020) 380 final.</w:t>
      </w:r>
    </w:p>
  </w:footnote>
  <w:footnote w:id="28">
    <w:p>
      <w:pPr>
        <w:pStyle w:val="FootnoteText"/>
        <w:jc w:val="both"/>
        <w:rPr>
          <w:rFonts w:asciiTheme="majorHAnsi" w:hAnsiTheme="majorHAnsi" w:cstheme="majorHAnsi"/>
        </w:rPr>
      </w:pPr>
      <w:r>
        <w:rPr>
          <w:rFonts w:ascii="Times New Roman" w:hAnsi="Times New Roman" w:cs="Times New Roman"/>
          <w:vertAlign w:val="superscript"/>
        </w:rPr>
        <w:footnoteRef/>
      </w:r>
      <w:r>
        <w:rPr>
          <w:rFonts w:ascii="Times New Roman" w:hAnsi="Times New Roman"/>
        </w:rPr>
        <w:t xml:space="preserve"> Например предложение за законодателна уредба за устойчиви хранителни системи, предложение за уредба за етикетиране на храни, произведени по устойчив начин, с цел да се даде възможност на потребителите да избират такива храни.</w:t>
      </w:r>
    </w:p>
  </w:footnote>
  <w:footnote w:id="2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Промяната на потребителските навици в посока към здравословно хранене може да допринесе за намаляване на емисиите на парникови газове, както се отчита в съобщението относно Засилване на европейската амбиция в областта на климата за 2030 г. (COM/2020/562). За да се повиши достъпът на потребителите до информация и да се направи по-лесен изборът на здравословни и устойчиви храни, в стратегията „От фермата до трапезата“ се определя рамка за действие. Действията варират от задължително етикетиране върху лицевата страна на опаковката, етикетиране във връзка с хуманното отношение към животните, установяване на профили на хранителните съставки с цел да се ограничи популяризирането на храни с високо съдържание на мазнини, захари и сол, или проучване на разширяването на изискването за задължително посочване на произход за определени храни. </w:t>
      </w:r>
    </w:p>
  </w:footnote>
  <w:footnote w:id="30">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vertAlign w:val="superscript"/>
        </w:rPr>
        <w:t xml:space="preserve"> </w:t>
      </w:r>
      <w:r>
        <w:rPr>
          <w:rFonts w:ascii="Times New Roman" w:hAnsi="Times New Roman"/>
        </w:rPr>
        <w:t>https://ec.europa.eu/info/law/better-regulation/have-your-say/initiatives/12588-EU-Action-Plan-Towards-a-Zero-Pollution-Ambition-for-air-water-and-soil.</w:t>
      </w:r>
    </w:p>
  </w:footnote>
  <w:footnote w:id="31">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Наред с другото, може да се обмисли кампания за повишаване на осведомеността, която да насърчи потребителите по-често да прибягват до чиста и безопасна чешмяна вода, а не до бутилирана в пластмасови опаковки, да изхвърлят по безопасен начин неизползваните фармацевтични продукти, да играят роля за предотвратяване достигането на микропластмасите до прясна и морска вода, да избират по-чисти видове транспорт, както и по-чисти системи за отопление и охлаждане, за да допринасят за чистия въздух както на закрито, така и на открито, и да могат да идентифицират продукти, които допринасят за опазването на природата, като устойчиво се използват обектите по Натура 2000.</w:t>
      </w:r>
    </w:p>
  </w:footnote>
  <w:footnote w:id="32">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COM(2020) 667 final. </w:t>
      </w:r>
    </w:p>
  </w:footnote>
  <w:footnote w:id="33">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COM(2018) 097 final.</w:t>
      </w:r>
    </w:p>
  </w:footnote>
  <w:footnote w:id="34">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COM(2020) 662 final.</w:t>
      </w:r>
    </w:p>
  </w:footnote>
  <w:footnote w:id="35">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По-специално инициативите за политика за устойчиви продукти и за обосноваването на твърденията за екологосъобразност.</w:t>
      </w:r>
    </w:p>
  </w:footnote>
  <w:footnote w:id="3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Достъпността трябва да се разбира като премахването и предотвратяването на пречки, които възпрепятстват участието на лица с увреждания на равни начала с останалите. Тя допринася и за дълготрайността и повторното използване и е посочена в плана за действие относно кръговата икономика в съответствие с Директива (ЕС) 2019/882 на Европейския парламент и на Съвета от 17 април 2019 г. за изискванията за достъпност на продукти и услуги, ОВ L 151, 7.6.2019 г., стр. 70.</w:t>
      </w:r>
    </w:p>
  </w:footnote>
  <w:footnote w:id="3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0" w:history="1">
        <w:r>
          <w:rPr>
            <w:rStyle w:val="Hyperlink"/>
            <w:rFonts w:ascii="Times New Roman" w:hAnsi="Times New Roman"/>
            <w:spacing w:val="-4"/>
          </w:rPr>
          <w:t>https://ec.europa.eu/info/law/better-regulation/have-your-say/initiatives/12567-Sustainable-Products-Initiative</w:t>
        </w:r>
      </w:hyperlink>
      <w:r>
        <w:rPr>
          <w:rFonts w:ascii="Times New Roman" w:hAnsi="Times New Roman"/>
          <w:spacing w:val="-4"/>
        </w:rPr>
        <w:t>.</w:t>
      </w:r>
      <w:r>
        <w:rPr>
          <w:rFonts w:ascii="Times New Roman" w:hAnsi="Times New Roman"/>
        </w:rPr>
        <w:t xml:space="preserve"> </w:t>
      </w:r>
    </w:p>
  </w:footnote>
  <w:footnote w:id="38">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https://eur-lex.europa.eu/legal-content/EN-BG/TXT/?from=EN&amp;uri=CELEX%3A02009L0125-20121204.</w:t>
      </w:r>
    </w:p>
  </w:footnote>
  <w:footnote w:id="39">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Ключово действие, обявено в </w:t>
      </w:r>
      <w:hyperlink r:id="rId11" w:history="1">
        <w:r>
          <w:rPr>
            <w:rFonts w:ascii="Times New Roman" w:hAnsi="Times New Roman"/>
          </w:rPr>
          <w:t>Цифровата стратегия</w:t>
        </w:r>
      </w:hyperlink>
      <w:r>
        <w:rPr>
          <w:rFonts w:ascii="Times New Roman" w:hAnsi="Times New Roman"/>
        </w:rPr>
        <w:t xml:space="preserve">, Изграждането на цифровото бъдеще на Европа, COM(2020) 67 final, и в Плана за действие относно кръговата икономика, COM(2020) 98 final. </w:t>
      </w:r>
    </w:p>
  </w:footnote>
  <w:footnote w:id="40">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hyperlink r:id="rId12" w:history="1">
        <w:r>
          <w:rPr>
            <w:rFonts w:ascii="Times New Roman" w:hAnsi="Times New Roman"/>
          </w:rPr>
          <w:t>https://ec.europa.eu/growth/sectors/electrical-engineering/red-directive/common-charger_bg</w:t>
        </w:r>
      </w:hyperlink>
      <w:r>
        <w:rPr>
          <w:rFonts w:ascii="Times New Roman" w:hAnsi="Times New Roman"/>
        </w:rPr>
        <w:t>.</w:t>
      </w:r>
    </w:p>
  </w:footnote>
  <w:footnote w:id="4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Освен това Комисията ще разгледа и възможностите за схеми за връщане на малки електронни уреди в целия ЕС, за да се подобри събирането и обработката на отпадъците от електрическо и електронно оборудване и да се предоставят на потребителите повече информация и възможности за връщане на съхраняваната у дома използвана електроника и отпадъците от нея.</w:t>
      </w:r>
    </w:p>
  </w:footnote>
  <w:footnote w:id="4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3" w:history="1">
        <w:r>
          <w:rPr>
            <w:rStyle w:val="Hyperlink"/>
            <w:rFonts w:ascii="Times New Roman" w:hAnsi="Times New Roman"/>
          </w:rPr>
          <w:t>https://ec.europa.eu/info/files/factual-summary-report-public-consultation-new-consumer-agenda_bg</w:t>
        </w:r>
      </w:hyperlink>
      <w:r>
        <w:rPr>
          <w:rStyle w:val="Hyperlink"/>
          <w:rFonts w:ascii="Times New Roman" w:hAnsi="Times New Roman"/>
        </w:rPr>
        <w:t>.</w:t>
      </w:r>
    </w:p>
  </w:footnote>
  <w:footnote w:id="43">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vertAlign w:val="superscript"/>
        </w:rPr>
        <w:t xml:space="preserve"> </w:t>
      </w:r>
      <w:r>
        <w:rPr>
          <w:rFonts w:ascii="Times New Roman" w:hAnsi="Times New Roman"/>
        </w:rPr>
        <w:t>Директива (ЕС) 2019/771 на Европейския парламент и на Съвета от 20 май 2019 г. за някои аспекти на договорите за продажба на стоки, за изменение на Регламент (ЕС) 2017/2394 и на Директива 2009/22/ЕО и за отмяна на Директива 1999/44/ЕО (ОВ L 136, 22.5.2019 г., стр. 28).</w:t>
      </w:r>
    </w:p>
  </w:footnote>
  <w:footnote w:id="4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https://eur-lex.europa.eu/legal-content/EN-BG/TXT/?from=EN&amp;uri=LEGISSUM%3Aco0012.</w:t>
      </w:r>
    </w:p>
  </w:footnote>
  <w:footnote w:id="4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COM(2018) 097 final. </w:t>
      </w:r>
    </w:p>
  </w:footnote>
  <w:footnote w:id="46">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По-специално Регламентът относно оповестяването на информация във връзка с устойчивостта (https://eur-lex.europa.eu/legal-content/EN-BG/TXT/?from=EN&amp;uri=CELEX%3A32019R2088), Таксономия на ЕС (</w:t>
      </w:r>
      <w:hyperlink r:id="rId14" w:history="1">
        <w:r>
          <w:rPr>
            <w:rFonts w:ascii="Times New Roman" w:hAnsi="Times New Roman"/>
          </w:rPr>
          <w:t>https://eur-lex.europa.eu/legal-content/EN-BG/TXT/?from=EN&amp;uri=CELEX%3A32020R0852</w:t>
        </w:r>
      </w:hyperlink>
      <w:r>
        <w:rPr>
          <w:rFonts w:ascii="Times New Roman" w:hAnsi="Times New Roman"/>
        </w:rPr>
        <w:t>) и текущото преразглеждане на Директивата относно оповестяването на нефинансова информация.</w:t>
      </w:r>
    </w:p>
  </w:footnote>
  <w:footnote w:id="47">
    <w:p>
      <w:pPr>
        <w:pStyle w:val="FootnoteText"/>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Директива (ЕС) 2019/944 на Европейския парламент и на Съвета от 5 юни 2019 г. относно общите правила за вътрешния пазар на електроенергия и за изменение на Директива 2012/27/ЕС</w:t>
      </w:r>
      <w:r>
        <w:rPr>
          <w:rFonts w:ascii="Times New Roman" w:hAnsi="Times New Roman"/>
          <w:i/>
        </w:rPr>
        <w:t>(</w:t>
      </w:r>
      <w:r>
        <w:rPr>
          <w:rStyle w:val="Emphasis"/>
          <w:rFonts w:ascii="Times New Roman" w:hAnsi="Times New Roman"/>
          <w:i w:val="0"/>
        </w:rPr>
        <w:t>ОВ L 158, 14.6.2019 г., стр. 125)</w:t>
      </w:r>
      <w:r>
        <w:rPr>
          <w:rFonts w:ascii="Times New Roman" w:hAnsi="Times New Roman"/>
        </w:rPr>
        <w:t>.</w:t>
      </w:r>
    </w:p>
  </w:footnote>
  <w:footnote w:id="48">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Обявено също в Европейската стратегия за данните, COM(2020) 66 final.</w:t>
      </w:r>
    </w:p>
  </w:footnote>
  <w:footnote w:id="49">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https://eur-lex.europa.eu/legal-content/EN-BG/TXT/?from=EN&amp;uri=CELEX%3A52020PC0409.</w:t>
      </w:r>
    </w:p>
  </w:footnote>
  <w:footnote w:id="50">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През септември 2020 г. стартира покана по линия на Европейския зелен пакт за представяне на предложения, увеличаващи възможностите на гражданите, например чрез приложения за мобилни телефони, измерващи въглеродния им отпечатък въз основа на данни за техните потребителски навици и предпочитания за начин на живот и предоставящи персонализирани предложения за намаляване на отпечатъка.</w:t>
      </w:r>
    </w:p>
  </w:footnote>
  <w:footnote w:id="51">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Например разработеният от Комисията инструмент за потребителски отпечатък. </w:t>
      </w:r>
    </w:p>
  </w:footnote>
  <w:footnote w:id="52">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Вж. Работна програма на Комисията за 2021 г., COM(2020) 690 final.</w:t>
      </w:r>
    </w:p>
  </w:footnote>
  <w:footnote w:id="53">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Например </w:t>
      </w:r>
      <w:hyperlink r:id="rId15" w:history="1">
        <w:r>
          <w:rPr>
            <w:rFonts w:ascii="Times New Roman" w:hAnsi="Times New Roman"/>
          </w:rPr>
          <w:t>Препоръка 2013/179/ЕС</w:t>
        </w:r>
      </w:hyperlink>
      <w:r>
        <w:rPr>
          <w:rFonts w:ascii="Times New Roman" w:hAnsi="Times New Roman"/>
        </w:rPr>
        <w:t xml:space="preserve"> относно използването на общи методи за измерване и оповестяване на показатели за екологосъобразността на продукти и организации на база жизнен цикъл, както и предложения за актуализиране на методите за определяне на отпечатъка върху околната среда (https://eplca.jrc.ec.europa.eu/permalink/PEF_method.pdf), Регламент (ЕО) № 1221/2009 относно доброволното участие на организации в Схемата на Общността за управление по околна среда и одит (EMAS) или Регламент (ЕО) № 66/2010 за екомаркировката на ЕС. </w:t>
      </w:r>
    </w:p>
  </w:footnote>
  <w:footnote w:id="54">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Обединеното кралство, Дания, Нидерландия, Швеция и Германия.</w:t>
      </w:r>
    </w:p>
  </w:footnote>
  <w:footnote w:id="55">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Евростат — </w:t>
      </w:r>
      <w:hyperlink r:id="rId16" w:history="1">
        <w:r>
          <w:rPr>
            <w:rFonts w:ascii="Times New Roman" w:hAnsi="Times New Roman"/>
          </w:rPr>
          <w:t>Статистически данни за цифровата икономика и цифровото общество — домакинства и физически лица</w:t>
        </w:r>
      </w:hyperlink>
      <w:r>
        <w:rPr>
          <w:rFonts w:ascii="Times New Roman" w:hAnsi="Times New Roman"/>
        </w:rPr>
        <w:t xml:space="preserve"> — Поръчване или купуване на стоки и услуги..</w:t>
      </w:r>
    </w:p>
  </w:footnote>
  <w:footnote w:id="56">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Директива (ЕС) 2019/ 2161 на Европейския парламент и на Съвета от 27 ноември 2019 г. за изменение на Директива 93/13/ЕИО на Съвета и на директиви 98/6/ЕО, 2005/29/ЕО и 2011/83/ЕС на Европейския парламент и на Съвета по отношение на по-доброто прилагане и модернизирането на правилата за защита на потребителите в Съюза (ОВ L 328, 18.12.2019 г., стр. 7).</w:t>
      </w:r>
    </w:p>
  </w:footnote>
  <w:footnote w:id="57">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Директива (ЕС) 2019/770 на Европейския парламент и на Съвета от 20 май 2019 г. за някои аспекти на договорите за предоставяне на цифрово съдържание и цифрови услуги (ОВ L 136, 22.5.2019 г., стр. 1).</w:t>
      </w:r>
    </w:p>
  </w:footnote>
  <w:footnote w:id="58">
    <w:p>
      <w:pPr>
        <w:pStyle w:val="FootnoteText"/>
        <w:jc w:val="both"/>
        <w:rPr>
          <w:rFonts w:asciiTheme="majorHAnsi" w:hAnsiTheme="majorHAnsi" w:cstheme="majorHAnsi"/>
        </w:rPr>
      </w:pPr>
      <w:r>
        <w:rPr>
          <w:rFonts w:ascii="Times New Roman" w:hAnsi="Times New Roman" w:cs="Times New Roman"/>
          <w:vertAlign w:val="superscript"/>
        </w:rPr>
        <w:footnoteRef/>
      </w:r>
      <w:r>
        <w:rPr>
          <w:rFonts w:ascii="Times New Roman" w:hAnsi="Times New Roman"/>
        </w:rPr>
        <w:t xml:space="preserve"> Дизайни на потребителски интерфейс, насочени към манипулиране на потребителите.</w:t>
      </w:r>
    </w:p>
  </w:footnote>
  <w:footnote w:id="59">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Има риск алгоритмите и свързаното машинно самообучение, ако не са достатъчно прозрачни и стабилни, да могат например да мултиплицират, да усилят или да допринесат за пристрастния избор, за който програмистите може да не знаят или който е в резултат на определен избор на данни.</w:t>
      </w:r>
    </w:p>
  </w:footnote>
  <w:footnote w:id="60">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vertAlign w:val="superscript"/>
        </w:rPr>
        <w:t xml:space="preserve"> </w:t>
      </w:r>
      <w:r>
        <w:rPr>
          <w:rFonts w:ascii="Times New Roman" w:hAnsi="Times New Roman"/>
        </w:rPr>
        <w:t>Изкуствен интелект — Европа в търсене на високи постижения и атмосфера на доверие, COM(2020) 65 final.</w:t>
      </w:r>
    </w:p>
  </w:footnote>
  <w:footnote w:id="61">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Доклад на Комисията до Европейския парламент, Съвета и Европейския икономически и социален комитет — Доклад относно последиците от изкуствения интелект, интернета на нещата и роботиката за безопасността и отговорността, COM(2020) 64 final.</w:t>
      </w:r>
    </w:p>
  </w:footnote>
  <w:footnote w:id="62">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Първоначална оценка на въздействието за предложение за правен акт на Европейския парламент и на Съвета за определяне на изискванията за изкуствения интелект.</w:t>
      </w:r>
    </w:p>
  </w:footnote>
  <w:footnote w:id="63">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Директива 2006/42/ЕО на Европейския парламент и на Съвета от 17 май 2006 г. относно машините и за изменение на Директива 95/16/ЕО (ОВ L 157, 9.6.2006 г., стр. 24).</w:t>
      </w:r>
    </w:p>
  </w:footnote>
  <w:footnote w:id="64">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vertAlign w:val="superscript"/>
        </w:rPr>
        <w:t xml:space="preserve"> </w:t>
      </w:r>
      <w:r>
        <w:rPr>
          <w:rFonts w:ascii="Times New Roman" w:hAnsi="Times New Roman"/>
        </w:rPr>
        <w:t>Директива 2014/53/ЕС на Европейския парламент и на Съвета от 16 април 2014 г. за хармонизирането на законодателствата на държавите членки във връзка с предоставянето на пазара на радиосъоръжения и за отмяна на Директива 1999/5/ЕО (ОВ L 153, 22.5.2014 г., стр. 62).</w:t>
      </w:r>
    </w:p>
  </w:footnote>
  <w:footnote w:id="65">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hyperlink r:id="rId17" w:history="1">
        <w:r>
          <w:rPr>
            <w:rFonts w:ascii="Times New Roman" w:hAnsi="Times New Roman"/>
          </w:rPr>
          <w:t>Директива 2001/95/ЕО</w:t>
        </w:r>
      </w:hyperlink>
      <w:r>
        <w:rPr>
          <w:rFonts w:ascii="Times New Roman" w:hAnsi="Times New Roman"/>
        </w:rPr>
        <w:t xml:space="preserve"> на Европейския парламент и на Съвета от 3 декември 2001 г. относно общата безопасност на продуктите (ОВ L 11, 15.1.2002 г., стр. 4).</w:t>
      </w:r>
    </w:p>
  </w:footnote>
  <w:footnote w:id="66">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При отсъствието на по-специфични разпоредби Директивата се прилага в законодателството на ЕС с една и съща цел. </w:t>
      </w:r>
    </w:p>
  </w:footnote>
  <w:footnote w:id="67">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vertAlign w:val="superscript"/>
        </w:rPr>
        <w:t xml:space="preserve"> </w:t>
      </w:r>
      <w:r>
        <w:rPr>
          <w:rFonts w:ascii="Times New Roman" w:hAnsi="Times New Roman"/>
        </w:rPr>
        <w:t>Понастоящем Комисията прави оценка на</w:t>
      </w:r>
      <w:hyperlink r:id="rId18" w:history="1">
        <w:r>
          <w:rPr>
            <w:rFonts w:ascii="Times New Roman" w:hAnsi="Times New Roman"/>
          </w:rPr>
          <w:t xml:space="preserve"> </w:t>
        </w:r>
        <w:hyperlink r:id="rId19" w:history="1">
          <w:r>
            <w:rPr>
              <w:rFonts w:ascii="Times New Roman" w:hAnsi="Times New Roman"/>
              <w:u w:val="single"/>
              <w:shd w:val="clear" w:color="auto" w:fill="FFFFFF"/>
            </w:rPr>
            <w:t>Регламент (ЕС) № 910/2014</w:t>
          </w:r>
        </w:hyperlink>
        <w:r>
          <w:rPr>
            <w:rFonts w:ascii="Times New Roman" w:hAnsi="Times New Roman"/>
          </w:rPr>
          <w:t xml:space="preserve"> </w:t>
        </w:r>
      </w:hyperlink>
      <w:r>
        <w:rPr>
          <w:rFonts w:ascii="Times New Roman" w:hAnsi="Times New Roman"/>
        </w:rPr>
        <w:t>относно електронната идентификация и удостоверителните услуги при електронни трансакции на вътрешния пазар (Регламента eIDAS).</w:t>
      </w:r>
    </w:p>
  </w:footnote>
  <w:footnote w:id="68">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Регламент (EС) № 2018/302 на Европейския парламент и на Съвета от 28 февруари 2018 г. за преодоляване на необоснованото блокиране на географски принцип и на други форми на дискриминация въз основа на националността, местопребиваването или мястото на установяване на клиентите в рамките на вътрешния пазар и за изменение на регламенти (ЕО) № 2006/2004 и (ЕС) 2017/2394 и Директива 2009/22/ЕО (</w:t>
      </w:r>
      <w:r>
        <w:rPr>
          <w:rStyle w:val="Emphasis"/>
          <w:rFonts w:ascii="Times New Roman" w:hAnsi="Times New Roman"/>
          <w:i w:val="0"/>
        </w:rPr>
        <w:t>ОВ L 60 I, 2.3.2018 г., стр. 1).</w:t>
      </w:r>
      <w:r>
        <w:rPr>
          <w:rFonts w:ascii="Times New Roman" w:hAnsi="Times New Roman"/>
          <w:iCs/>
          <w:sz w:val="24"/>
          <w:szCs w:val="24"/>
        </w:rPr>
        <w:t xml:space="preserve"> </w:t>
      </w:r>
      <w:r>
        <w:rPr>
          <w:rFonts w:ascii="Times New Roman" w:hAnsi="Times New Roman"/>
          <w:iCs/>
        </w:rPr>
        <w:t>Скоро Комисията ще приеме доклада, в който са представени нейните заключения, включително необходимостта от внимателно наблюдение на прилагането на регламента от страна на компетентните органи, с цел да се гарантира, че потребителите и предприятията се ползват изцяло от пълния потенциал на цифровия единен пазар.</w:t>
      </w:r>
    </w:p>
  </w:footnote>
  <w:footnote w:id="69">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Съобщение „Европейска стратегия за данните“ (COM(2020) 66 final.</w:t>
      </w:r>
    </w:p>
  </w:footnote>
  <w:footnote w:id="70">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За да се гарантира, че потребителите и предприятията се възползват от предимствата на иновациите, като същевременно са защитени, през септември 2020 г. Комисията прие нов пакет за цифровите финансови услуги, </w:t>
      </w:r>
      <w:hyperlink r:id="rId20" w:history="1">
        <w:r>
          <w:rPr>
            <w:rStyle w:val="Hyperlink"/>
            <w:rFonts w:ascii="Times New Roman" w:hAnsi="Times New Roman"/>
            <w:color w:val="000000"/>
          </w:rPr>
          <w:t>https://ec.europa.eu/info/publications/200924-digital-finance-proposals_en</w:t>
        </w:r>
      </w:hyperlink>
      <w:r>
        <w:rPr>
          <w:rFonts w:ascii="Times New Roman" w:hAnsi="Times New Roman"/>
        </w:rPr>
        <w:t>.</w:t>
      </w:r>
    </w:p>
  </w:footnote>
  <w:footnote w:id="71">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Стратегия на ЕС за плащанията на дребно (COM(2020) 592 final). </w:t>
      </w:r>
    </w:p>
  </w:footnote>
  <w:footnote w:id="72">
    <w:p>
      <w:pPr>
        <w:pStyle w:val="FootnoteText"/>
      </w:pPr>
      <w:r>
        <w:rPr>
          <w:rStyle w:val="FootnoteReference"/>
          <w:rFonts w:ascii="Times New Roman" w:hAnsi="Times New Roman" w:cs="Times New Roman"/>
        </w:rPr>
        <w:footnoteRef/>
      </w:r>
      <w:r>
        <w:rPr>
          <w:rFonts w:ascii="Times New Roman" w:hAnsi="Times New Roman"/>
        </w:rPr>
        <w:t xml:space="preserve"> COM(2020) 592 final.</w:t>
      </w:r>
    </w:p>
  </w:footnote>
  <w:footnote w:id="73">
    <w:p>
      <w:pPr>
        <w:pStyle w:val="FootnoteText"/>
        <w:jc w:val="both"/>
        <w:rPr>
          <w:rFonts w:asciiTheme="majorHAnsi" w:hAnsiTheme="majorHAnsi" w:cstheme="majorHAnsi"/>
        </w:rPr>
      </w:pPr>
      <w:r>
        <w:rPr>
          <w:rFonts w:ascii="Times New Roman" w:hAnsi="Times New Roman" w:cs="Times New Roman"/>
          <w:vertAlign w:val="superscript"/>
        </w:rPr>
        <w:footnoteRef/>
      </w:r>
      <w:r>
        <w:rPr>
          <w:rFonts w:ascii="Times New Roman" w:hAnsi="Times New Roman"/>
        </w:rPr>
        <w:t xml:space="preserve"> Директива 2019/882 на Европейския парламент и на Съвета от 17 април 2019 г. за изискванията за достъпност на продукти и услуги (ОВ).</w:t>
      </w:r>
    </w:p>
  </w:footnote>
  <w:footnote w:id="74">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COM(2020)624 Съобщение План за действие в областта на цифровото образование за 2021—2027 г. Приспособяване на образованието и обучението към цифровата ера.</w:t>
      </w:r>
    </w:p>
  </w:footnote>
  <w:footnote w:id="75">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hyperlink r:id="rId21" w:history="1">
        <w:r>
          <w:rPr>
            <w:rFonts w:ascii="Times New Roman" w:hAnsi="Times New Roman"/>
          </w:rPr>
          <w:t>https://ec.europa.eu/info/live-work-travel-eu/consumers/enforcement-consumer-protection/sweeps_en</w:t>
        </w:r>
      </w:hyperlink>
      <w:r>
        <w:rPr>
          <w:rFonts w:ascii="Times New Roman" w:hAnsi="Times New Roman"/>
        </w:rPr>
        <w:t xml:space="preserve">. </w:t>
      </w:r>
    </w:p>
  </w:footnote>
  <w:footnote w:id="76">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spacing w:val="-4"/>
        </w:rPr>
        <w:t>Регламент (ЕС) 2017/2394 на Европейския парламент и на Съвета от 12 декември 2017 г. относно сътрудничеството между националните органи, отговорни за прилагането на законодателството за защита на потребителите и за отмяна на Регламент (ЕО) № 2006/2004, OB L 345, 27.12.2017 г., стр. 1—26.</w:t>
      </w:r>
    </w:p>
  </w:footnote>
  <w:footnote w:id="7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също Съвместно съобщение от 10 юни 2020 г. „Борба с дезинформацията за COVID-19 — боравене с точни факти“, JOIN(2020) 8 final.</w:t>
      </w:r>
    </w:p>
  </w:footnote>
  <w:footnote w:id="78">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Директива (ЕС) 2019/ 2161 на Европейския парламент и на Съвета от 27 ноември 2019 г. за изменение на Директива 93/13/ЕИО на Съвета и на директиви 98/6/ЕО, 2005/29/ЕО и 2011/83/ЕС на Европейския парламент и на Съвета по отношение на по-доброто прилагане и модернизирането на правилата за защита на потребителите в Съюза, ОВ L 328, 18.12.2019 г., стр. 7—28. </w:t>
      </w:r>
    </w:p>
  </w:footnote>
  <w:footnote w:id="79">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Текст на временното споразумение от съзаконодателите съгласно политическото споразумение относно предложението от 22 юни 2020 г.</w:t>
      </w:r>
    </w:p>
  </w:footnote>
  <w:footnote w:id="80">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vertAlign w:val="superscript"/>
        </w:rPr>
        <w:t xml:space="preserve"> </w:t>
      </w:r>
      <w:r>
        <w:rPr>
          <w:rFonts w:ascii="Times New Roman" w:hAnsi="Times New Roman"/>
        </w:rPr>
        <w:t>Технически спецификации за оперативна съвместимост (ТИОС) — предходни програми за подкрепа на структурните реформи; COM(2020) 409 final.</w:t>
      </w:r>
    </w:p>
  </w:footnote>
  <w:footnote w:id="8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2" w:history="1">
        <w:r>
          <w:rPr>
            <w:rStyle w:val="Hyperlink"/>
            <w:rFonts w:ascii="Times New Roman" w:hAnsi="Times New Roman"/>
            <w:color w:val="auto"/>
          </w:rPr>
          <w:t>https://ec.europa.eu/isa2/eif_en</w:t>
        </w:r>
      </w:hyperlink>
      <w:r>
        <w:rPr>
          <w:rFonts w:ascii="Times New Roman" w:hAnsi="Times New Roman"/>
        </w:rPr>
        <w:t>.</w:t>
      </w:r>
    </w:p>
  </w:footnote>
  <w:footnote w:id="82">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През май и юни 2020 г. Комисията организира кръгли маси за диалог със заинтересованите страни, за да бъдат обсъдени мерките за облекчение, предлагани от банки и небанкови заемодатели, след което през юли 2020 г. </w:t>
      </w:r>
      <w:hyperlink r:id="rId23" w:history="1">
        <w:r>
          <w:rPr>
            <w:rFonts w:ascii="Times New Roman" w:hAnsi="Times New Roman"/>
          </w:rPr>
          <w:t>беше публикуван документ с най-добри практики</w:t>
        </w:r>
      </w:hyperlink>
      <w:r>
        <w:rPr>
          <w:rFonts w:ascii="Times New Roman" w:hAnsi="Times New Roman"/>
        </w:rPr>
        <w:t>.</w:t>
      </w:r>
    </w:p>
  </w:footnote>
  <w:footnote w:id="83">
    <w:p>
      <w:pPr>
        <w:pStyle w:val="CommentText"/>
        <w:spacing w:after="0"/>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vertAlign w:val="superscript"/>
        </w:rPr>
        <w:t xml:space="preserve"> </w:t>
      </w:r>
      <w:r>
        <w:t xml:space="preserve">В </w:t>
      </w:r>
      <w:r>
        <w:rPr>
          <w:rFonts w:ascii="Times New Roman" w:hAnsi="Times New Roman"/>
        </w:rPr>
        <w:t xml:space="preserve">доклада </w:t>
      </w:r>
      <w:hyperlink r:id="rId24" w:history="1">
        <w:r>
          <w:rPr>
            <w:rFonts w:ascii="Times New Roman" w:hAnsi="Times New Roman"/>
          </w:rPr>
          <w:t>на BIT относно онлайн вредите и манипулациите се</w:t>
        </w:r>
      </w:hyperlink>
      <w:r>
        <w:rPr>
          <w:rFonts w:ascii="Times New Roman" w:hAnsi="Times New Roman"/>
        </w:rPr>
        <w:t xml:space="preserve"> описват няколко интересни варианта, включително предложения за използването на данни за идентифициране на уязвими потребители (стр. 52) и други мерки (например самоизключване). </w:t>
      </w:r>
    </w:p>
  </w:footnote>
  <w:footnote w:id="84">
    <w:p>
      <w:pPr>
        <w:pStyle w:val="FootnoteText"/>
        <w:jc w:val="both"/>
        <w:rPr>
          <w:rFonts w:ascii="Times New Roman" w:hAnsi="Times New Roman" w:cs="Times New Roman"/>
        </w:rPr>
      </w:pPr>
      <w:r>
        <w:rPr>
          <w:rFonts w:ascii="Times New Roman" w:hAnsi="Times New Roman" w:cs="Times New Roman"/>
          <w:vertAlign w:val="superscript"/>
        </w:rPr>
        <w:footnoteRef/>
      </w:r>
      <w:r>
        <w:t xml:space="preserve"> </w:t>
      </w:r>
      <w:hyperlink r:id="rId25" w:history="1">
        <w:r>
          <w:rPr>
            <w:rFonts w:ascii="Times New Roman" w:hAnsi="Times New Roman"/>
          </w:rPr>
          <w:t>https://www.europarl.europa.eu/news/en/press-room/20200525IPR79717/eu-citizens-want-more-competences-for-the-eu-to-deal-with-crises-like-covid-19</w:t>
        </w:r>
      </w:hyperlink>
      <w:r>
        <w:rPr>
          <w:rFonts w:ascii="Times New Roman" w:hAnsi="Times New Roman"/>
        </w:rPr>
        <w:t>.</w:t>
      </w:r>
    </w:p>
  </w:footnote>
  <w:footnote w:id="85">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Кодексът е замислен да служи като етикет за качество с единен набор от най-добри практики за европейските микрофинансови институции, които предоставят бизнес заеми до 25 000 EUR за микропредприемачи или самостоятелно заети лица. Вж.: </w:t>
      </w:r>
      <w:hyperlink r:id="rId26" w:history="1">
        <w:r>
          <w:rPr>
            <w:rFonts w:ascii="Times New Roman" w:hAnsi="Times New Roman"/>
          </w:rPr>
          <w:t>https://ec.europa.eu/social/main.jsp?catId=1482&amp;langId=en</w:t>
        </w:r>
      </w:hyperlink>
      <w:r>
        <w:rPr>
          <w:rFonts w:ascii="Times New Roman" w:hAnsi="Times New Roman"/>
        </w:rPr>
        <w:t xml:space="preserve">. </w:t>
      </w:r>
    </w:p>
  </w:footnote>
  <w:footnote w:id="86">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Вж. посоченото по-горе действие 10.</w:t>
      </w:r>
    </w:p>
  </w:footnote>
  <w:footnote w:id="87">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Вж. Директива (ЕС) 2019/1023 относно преструктурирането, несъстоятелността и опрощаването на задължения.</w:t>
      </w:r>
    </w:p>
  </w:footnote>
  <w:footnote w:id="88">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vertAlign w:val="superscript"/>
        </w:rPr>
        <w:t xml:space="preserve"> </w:t>
      </w:r>
      <w:r>
        <w:rPr>
          <w:rFonts w:ascii="Times New Roman" w:hAnsi="Times New Roman"/>
          <w:spacing w:val="-4"/>
        </w:rPr>
        <w:t>Baptista, I. и Marlier, E. (2020 г.), Access to essential services for people on low incomes in Europe. An analysis of policies in 35 countries (Достъп до основни услуги за хората с ниски доходи в Европа. Анализ на политиките в 35 държави), Европейска мрежа за социална политика (ESPN), Брюксел: Европейска комисия.</w:t>
      </w:r>
    </w:p>
  </w:footnote>
  <w:footnote w:id="89">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vertAlign w:val="superscript"/>
        </w:rPr>
        <w:t xml:space="preserve"> </w:t>
      </w:r>
      <w:r>
        <w:rPr>
          <w:rFonts w:ascii="Times New Roman" w:hAnsi="Times New Roman"/>
        </w:rPr>
        <w:t>C(2020) 9600 final, 14.10.2020 г. Препоръка на Комисията относно енергийната бедност, 14 октомври 2020 г.</w:t>
      </w:r>
    </w:p>
  </w:footnote>
  <w:footnote w:id="90">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Директива (ЕС) 2019/882 за изискванията за достъпност на продукти и услуги</w:t>
      </w:r>
      <w:hyperlink r:id="rId27" w:history="1">
        <w:r>
          <w:rPr>
            <w:rFonts w:ascii="Times New Roman" w:hAnsi="Times New Roman"/>
          </w:rPr>
          <w:t>https://eur-lex.europa.eu/legal-content/EN-BG/TXT/?from=EN&amp;uri=CELEX%3A32019L0882</w:t>
        </w:r>
      </w:hyperlink>
      <w:r>
        <w:rPr>
          <w:rFonts w:ascii="Times New Roman" w:hAnsi="Times New Roman"/>
        </w:rPr>
        <w:t xml:space="preserve"> </w:t>
      </w:r>
      <w:r>
        <w:rPr>
          <w:rFonts w:ascii="Times New Roman" w:hAnsi="Times New Roman"/>
          <w:shd w:val="clear" w:color="auto" w:fill="FFFFFF"/>
        </w:rPr>
        <w:t>(ОВ L 151, 7.6.2019 г., стр. 70.</w:t>
      </w:r>
    </w:p>
  </w:footnote>
  <w:footnote w:id="91">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Вж. напр.</w:t>
      </w:r>
      <w:r>
        <w:rPr>
          <w:rFonts w:ascii="Times New Roman" w:hAnsi="Times New Roman"/>
          <w:color w:val="222222"/>
          <w:bdr w:val="none" w:sz="0" w:space="0" w:color="auto" w:frame="1"/>
        </w:rPr>
        <w:t xml:space="preserve"> „Empowering consumers in the neighbourhood“ („Овластяване на потребителите в квартала“), съвместен проект на Федерацията на немските потребителски организации (vzbv) и потребителски центрове.</w:t>
      </w:r>
      <w:r>
        <w:tab/>
        <w:t xml:space="preserve"> </w:t>
      </w:r>
      <w:r>
        <w:br/>
      </w:r>
      <w:hyperlink r:id="rId28" w:history="1">
        <w:r>
          <w:rPr>
            <w:rStyle w:val="Hyperlink"/>
            <w:rFonts w:ascii="Times New Roman" w:hAnsi="Times New Roman"/>
          </w:rPr>
          <w:t>https://www.vzbv.de/pressemitteilung/verbraucher-staerken-im-quartier</w:t>
        </w:r>
      </w:hyperlink>
      <w:r>
        <w:rPr>
          <w:rStyle w:val="Hyperlink"/>
          <w:rFonts w:ascii="Times New Roman" w:hAnsi="Times New Roman"/>
        </w:rPr>
        <w:t>.</w:t>
      </w:r>
    </w:p>
  </w:footnote>
  <w:footnote w:id="92">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Вж. Съобщение на Комисията до Европейския парламент, Съвета, Европейския икономически и социален комитет и Комитета на регионите „Съюз на капиталовите пазари за хората и предприемачите — нов план за действие“, COM(2020) 590 final, Действие 7: Усъвършенстване на гражданското общество чрез финансово ограмотяване.</w:t>
      </w:r>
    </w:p>
  </w:footnote>
  <w:footnote w:id="93">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Данните за нараняванията показват, че децата и възрастните хора са най-уязвимите потребителски групи, що се отнася до безопасността на продуктите. Взети заедно те възлизат на 54 % от всички свързани с продукти наранявания, но само 35 % от населението на ЕС.</w:t>
      </w:r>
    </w:p>
  </w:footnote>
  <w:footnote w:id="94">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Проверката на безопасността на продадените онлайн и офлайн продукти, напр. наклонени детски люлки, бебешки люлки и бебешки проходилки.</w:t>
      </w:r>
    </w:p>
  </w:footnote>
  <w:footnote w:id="95">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Координирани дейности по безопасност на продуктите (член 10 от Директива 2001/95/EC относно общата безопасност на продуктите).</w:t>
      </w:r>
    </w:p>
  </w:footnote>
  <w:footnote w:id="96">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vertAlign w:val="superscript"/>
        </w:rPr>
        <w:t xml:space="preserve"> </w:t>
      </w:r>
      <w:r>
        <w:rPr>
          <w:rFonts w:ascii="Times New Roman" w:hAnsi="Times New Roman"/>
        </w:rPr>
        <w:t>Директива 2004/113/ЕО на Съвета от 13 декември 2004 г. относно прилагане на принципа на равното третиране на мъжете и жените по отношение на достъпа до стоки и услуги и предоставянето на стоки и услуги (ОВ L 373, 21.12.2004 г., стр. 37.</w:t>
      </w:r>
    </w:p>
  </w:footnote>
  <w:footnote w:id="9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Директива 2000/43/ЕО на Съвета от 29 юни 2000 г. относно прилагане на принципа на равно третиране на лица без разлика на расата или етническия произход </w:t>
      </w:r>
      <w:r>
        <w:rPr>
          <w:rFonts w:ascii="Times New Roman" w:hAnsi="Times New Roman"/>
          <w:i/>
        </w:rPr>
        <w:t>(</w:t>
      </w:r>
      <w:r>
        <w:rPr>
          <w:rStyle w:val="Emphasis"/>
          <w:rFonts w:ascii="Times New Roman" w:hAnsi="Times New Roman"/>
        </w:rPr>
        <w:t xml:space="preserve"> </w:t>
      </w:r>
      <w:r>
        <w:rPr>
          <w:rStyle w:val="Emphasis"/>
          <w:rFonts w:ascii="Times New Roman" w:hAnsi="Times New Roman"/>
          <w:i w:val="0"/>
        </w:rPr>
        <w:t>(ОВ L 180, 19.7.2000 г., стр. 22).</w:t>
      </w:r>
      <w:r>
        <w:rPr>
          <w:rStyle w:val="Emphasis"/>
          <w:rFonts w:ascii="Times New Roman" w:hAnsi="Times New Roman"/>
        </w:rPr>
        <w:t xml:space="preserve"> </w:t>
      </w:r>
    </w:p>
  </w:footnote>
  <w:footnote w:id="9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https://fra.europa.eu/sites/default/files/fra_uploads/fra-2018-focus-big-data_en.pdf</w:t>
      </w:r>
    </w:p>
  </w:footnote>
  <w:footnote w:id="99">
    <w:p>
      <w:pPr>
        <w:pStyle w:val="FootnoteText"/>
        <w:jc w:val="both"/>
        <w:rPr>
          <w:rFonts w:asciiTheme="majorHAnsi" w:hAnsiTheme="majorHAnsi" w:cstheme="majorHAnsi"/>
        </w:rPr>
      </w:pPr>
      <w:r>
        <w:rPr>
          <w:rFonts w:ascii="Times New Roman" w:hAnsi="Times New Roman" w:cs="Times New Roman"/>
          <w:vertAlign w:val="superscript"/>
        </w:rPr>
        <w:footnoteRef/>
      </w:r>
      <w:r>
        <w:rPr>
          <w:rFonts w:ascii="Times New Roman" w:hAnsi="Times New Roman"/>
          <w:vertAlign w:val="superscript"/>
        </w:rPr>
        <w:t xml:space="preserve"> </w:t>
      </w:r>
      <w:hyperlink r:id="rId29" w:history="1">
        <w:r>
          <w:rPr>
            <w:rFonts w:ascii="Times New Roman" w:hAnsi="Times New Roman"/>
          </w:rPr>
          <w:t>http://ec.europa.eu/consumers/consumer_evidence/market_studies/vulnerability/index_en.htm</w:t>
        </w:r>
      </w:hyperlink>
      <w:r>
        <w:rPr>
          <w:rFonts w:ascii="Times New Roman" w:hAnsi="Times New Roman"/>
        </w:rPr>
        <w:t>.</w:t>
      </w:r>
    </w:p>
  </w:footnote>
  <w:footnote w:id="100">
    <w:p>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sz w:val="20"/>
          <w:szCs w:val="20"/>
          <w:vertAlign w:val="superscript"/>
        </w:rPr>
        <w:t xml:space="preserve"> </w:t>
      </w:r>
      <w:r>
        <w:rPr>
          <w:rFonts w:ascii="Times New Roman" w:hAnsi="Times New Roman"/>
          <w:sz w:val="20"/>
          <w:szCs w:val="20"/>
        </w:rPr>
        <w:t xml:space="preserve">Евростат </w:t>
      </w:r>
      <w:hyperlink r:id="rId30" w:anchor="E-shopping_from_other_EU_countries" w:history="1">
        <w:r>
          <w:rPr>
            <w:rFonts w:ascii="Times New Roman" w:hAnsi="Times New Roman"/>
            <w:sz w:val="20"/>
            <w:szCs w:val="20"/>
          </w:rPr>
          <w:t>https://ec.europa.eu/eurostat/statistics-explained/index.php/E commerce_statistics_for_individuals#E-shopping_from_other_EU_countries</w:t>
        </w:r>
      </w:hyperlink>
      <w:r>
        <w:rPr>
          <w:rFonts w:ascii="Times New Roman" w:hAnsi="Times New Roman"/>
          <w:sz w:val="20"/>
          <w:szCs w:val="20"/>
        </w:rPr>
        <w:t>.</w:t>
      </w:r>
    </w:p>
  </w:footnote>
  <w:footnote w:id="10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Стратегия на ЕС с Африка — Съвместно съобщение на Европейската комисия и върховния представител на Съюза по въпросите на външните работи и политиката на сигурност до Европейския парламент и Съвета Брюксел JOIN(2020) 4 final, 9 март 2020 г.</w:t>
      </w:r>
    </w:p>
  </w:footnote>
  <w:footnote w:id="102">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Срещата на върха на потребителите обединява заинтересовани страни държавите — членки на ЕС, включително политици, национални правоприлагащи органи, академични среди, потребителски и бизнес организации, както и представители на младежта. </w:t>
      </w:r>
    </w:p>
  </w:footnote>
  <w:footnote w:id="103">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Той се празнува всяка година на 15 март.</w:t>
      </w:r>
    </w:p>
  </w:footnote>
  <w:footnote w:id="104">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Напр. мрежата за политика за защита на потребителите, която обединява висши служители на държавите членки и Комисията.</w:t>
      </w:r>
    </w:p>
  </w:footnote>
  <w:footnote w:id="105">
    <w:p>
      <w:pPr>
        <w:pStyle w:val="footnotedescription"/>
        <w:spacing w:line="240" w:lineRule="auto"/>
      </w:pPr>
      <w:r>
        <w:rPr>
          <w:rStyle w:val="FootnoteReference"/>
        </w:rPr>
        <w:footnoteRef/>
      </w:r>
      <w:r>
        <w:t xml:space="preserve"> Като неформална експертна група в съответствие с </w:t>
      </w:r>
      <w:r>
        <w:rPr>
          <w:color w:val="auto"/>
        </w:rPr>
        <w:t>Решение на Комисията от 30.05.2016 г. за установяване на хоризонтални правила за създаване и работа на експертни групи на Комисията (C(2016) 3301 final).</w:t>
      </w:r>
    </w:p>
    <w:p>
      <w:pPr>
        <w:pStyle w:val="FootnoteText"/>
        <w:jc w:val="both"/>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61559"/>
    <w:multiLevelType w:val="hybridMultilevel"/>
    <w:tmpl w:val="470E5CE0"/>
    <w:lvl w:ilvl="0" w:tplc="08090001">
      <w:start w:val="1"/>
      <w:numFmt w:val="bullet"/>
      <w:lvlText w:val=""/>
      <w:lvlJc w:val="left"/>
      <w:pPr>
        <w:ind w:left="-60" w:hanging="360"/>
      </w:pPr>
      <w:rPr>
        <w:rFonts w:ascii="Symbol" w:hAnsi="Symbol" w:hint="default"/>
      </w:rPr>
    </w:lvl>
    <w:lvl w:ilvl="1" w:tplc="080C0003" w:tentative="1">
      <w:start w:val="1"/>
      <w:numFmt w:val="bullet"/>
      <w:lvlText w:val="o"/>
      <w:lvlJc w:val="left"/>
      <w:pPr>
        <w:ind w:left="660" w:hanging="360"/>
      </w:pPr>
      <w:rPr>
        <w:rFonts w:ascii="Courier New" w:hAnsi="Courier New" w:cs="Courier New" w:hint="default"/>
      </w:rPr>
    </w:lvl>
    <w:lvl w:ilvl="2" w:tplc="080C0005" w:tentative="1">
      <w:start w:val="1"/>
      <w:numFmt w:val="bullet"/>
      <w:lvlText w:val=""/>
      <w:lvlJc w:val="left"/>
      <w:pPr>
        <w:ind w:left="1380" w:hanging="360"/>
      </w:pPr>
      <w:rPr>
        <w:rFonts w:ascii="Wingdings" w:hAnsi="Wingdings" w:hint="default"/>
      </w:rPr>
    </w:lvl>
    <w:lvl w:ilvl="3" w:tplc="080C0001" w:tentative="1">
      <w:start w:val="1"/>
      <w:numFmt w:val="bullet"/>
      <w:lvlText w:val=""/>
      <w:lvlJc w:val="left"/>
      <w:pPr>
        <w:ind w:left="2100" w:hanging="360"/>
      </w:pPr>
      <w:rPr>
        <w:rFonts w:ascii="Symbol" w:hAnsi="Symbol" w:hint="default"/>
      </w:rPr>
    </w:lvl>
    <w:lvl w:ilvl="4" w:tplc="080C0003" w:tentative="1">
      <w:start w:val="1"/>
      <w:numFmt w:val="bullet"/>
      <w:lvlText w:val="o"/>
      <w:lvlJc w:val="left"/>
      <w:pPr>
        <w:ind w:left="2820" w:hanging="360"/>
      </w:pPr>
      <w:rPr>
        <w:rFonts w:ascii="Courier New" w:hAnsi="Courier New" w:cs="Courier New" w:hint="default"/>
      </w:rPr>
    </w:lvl>
    <w:lvl w:ilvl="5" w:tplc="080C0005" w:tentative="1">
      <w:start w:val="1"/>
      <w:numFmt w:val="bullet"/>
      <w:lvlText w:val=""/>
      <w:lvlJc w:val="left"/>
      <w:pPr>
        <w:ind w:left="3540" w:hanging="360"/>
      </w:pPr>
      <w:rPr>
        <w:rFonts w:ascii="Wingdings" w:hAnsi="Wingdings" w:hint="default"/>
      </w:rPr>
    </w:lvl>
    <w:lvl w:ilvl="6" w:tplc="080C0001" w:tentative="1">
      <w:start w:val="1"/>
      <w:numFmt w:val="bullet"/>
      <w:lvlText w:val=""/>
      <w:lvlJc w:val="left"/>
      <w:pPr>
        <w:ind w:left="4260" w:hanging="360"/>
      </w:pPr>
      <w:rPr>
        <w:rFonts w:ascii="Symbol" w:hAnsi="Symbol" w:hint="default"/>
      </w:rPr>
    </w:lvl>
    <w:lvl w:ilvl="7" w:tplc="080C0003" w:tentative="1">
      <w:start w:val="1"/>
      <w:numFmt w:val="bullet"/>
      <w:lvlText w:val="o"/>
      <w:lvlJc w:val="left"/>
      <w:pPr>
        <w:ind w:left="4980" w:hanging="360"/>
      </w:pPr>
      <w:rPr>
        <w:rFonts w:ascii="Courier New" w:hAnsi="Courier New" w:cs="Courier New" w:hint="default"/>
      </w:rPr>
    </w:lvl>
    <w:lvl w:ilvl="8" w:tplc="080C0005" w:tentative="1">
      <w:start w:val="1"/>
      <w:numFmt w:val="bullet"/>
      <w:lvlText w:val=""/>
      <w:lvlJc w:val="left"/>
      <w:pPr>
        <w:ind w:left="5700" w:hanging="360"/>
      </w:pPr>
      <w:rPr>
        <w:rFonts w:ascii="Wingdings" w:hAnsi="Wingdings" w:hint="default"/>
      </w:rPr>
    </w:lvl>
  </w:abstractNum>
  <w:abstractNum w:abstractNumId="1">
    <w:nsid w:val="08F26E03"/>
    <w:multiLevelType w:val="hybridMultilevel"/>
    <w:tmpl w:val="612C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72339F"/>
    <w:multiLevelType w:val="hybridMultilevel"/>
    <w:tmpl w:val="56DE17FA"/>
    <w:lvl w:ilvl="0" w:tplc="6172DD86">
      <w:start w:val="1"/>
      <w:numFmt w:val="lowerLetter"/>
      <w:pStyle w:val="BMJNummerierung2"/>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7D540D9"/>
    <w:multiLevelType w:val="hybridMultilevel"/>
    <w:tmpl w:val="0B6C8396"/>
    <w:lvl w:ilvl="0" w:tplc="08090001">
      <w:start w:val="1"/>
      <w:numFmt w:val="bullet"/>
      <w:lvlText w:val=""/>
      <w:lvlJc w:val="left"/>
      <w:pPr>
        <w:ind w:left="-60" w:hanging="360"/>
      </w:pPr>
      <w:rPr>
        <w:rFonts w:ascii="Symbol" w:hAnsi="Symbol" w:hint="default"/>
      </w:rPr>
    </w:lvl>
    <w:lvl w:ilvl="1" w:tplc="080C0003" w:tentative="1">
      <w:start w:val="1"/>
      <w:numFmt w:val="bullet"/>
      <w:lvlText w:val="o"/>
      <w:lvlJc w:val="left"/>
      <w:pPr>
        <w:ind w:left="660" w:hanging="360"/>
      </w:pPr>
      <w:rPr>
        <w:rFonts w:ascii="Courier New" w:hAnsi="Courier New" w:cs="Courier New" w:hint="default"/>
      </w:rPr>
    </w:lvl>
    <w:lvl w:ilvl="2" w:tplc="080C0005" w:tentative="1">
      <w:start w:val="1"/>
      <w:numFmt w:val="bullet"/>
      <w:lvlText w:val=""/>
      <w:lvlJc w:val="left"/>
      <w:pPr>
        <w:ind w:left="1380" w:hanging="360"/>
      </w:pPr>
      <w:rPr>
        <w:rFonts w:ascii="Wingdings" w:hAnsi="Wingdings" w:hint="default"/>
      </w:rPr>
    </w:lvl>
    <w:lvl w:ilvl="3" w:tplc="080C0001" w:tentative="1">
      <w:start w:val="1"/>
      <w:numFmt w:val="bullet"/>
      <w:lvlText w:val=""/>
      <w:lvlJc w:val="left"/>
      <w:pPr>
        <w:ind w:left="2100" w:hanging="360"/>
      </w:pPr>
      <w:rPr>
        <w:rFonts w:ascii="Symbol" w:hAnsi="Symbol" w:hint="default"/>
      </w:rPr>
    </w:lvl>
    <w:lvl w:ilvl="4" w:tplc="080C0003" w:tentative="1">
      <w:start w:val="1"/>
      <w:numFmt w:val="bullet"/>
      <w:lvlText w:val="o"/>
      <w:lvlJc w:val="left"/>
      <w:pPr>
        <w:ind w:left="2820" w:hanging="360"/>
      </w:pPr>
      <w:rPr>
        <w:rFonts w:ascii="Courier New" w:hAnsi="Courier New" w:cs="Courier New" w:hint="default"/>
      </w:rPr>
    </w:lvl>
    <w:lvl w:ilvl="5" w:tplc="080C0005" w:tentative="1">
      <w:start w:val="1"/>
      <w:numFmt w:val="bullet"/>
      <w:lvlText w:val=""/>
      <w:lvlJc w:val="left"/>
      <w:pPr>
        <w:ind w:left="3540" w:hanging="360"/>
      </w:pPr>
      <w:rPr>
        <w:rFonts w:ascii="Wingdings" w:hAnsi="Wingdings" w:hint="default"/>
      </w:rPr>
    </w:lvl>
    <w:lvl w:ilvl="6" w:tplc="080C0001" w:tentative="1">
      <w:start w:val="1"/>
      <w:numFmt w:val="bullet"/>
      <w:lvlText w:val=""/>
      <w:lvlJc w:val="left"/>
      <w:pPr>
        <w:ind w:left="4260" w:hanging="360"/>
      </w:pPr>
      <w:rPr>
        <w:rFonts w:ascii="Symbol" w:hAnsi="Symbol" w:hint="default"/>
      </w:rPr>
    </w:lvl>
    <w:lvl w:ilvl="7" w:tplc="080C0003" w:tentative="1">
      <w:start w:val="1"/>
      <w:numFmt w:val="bullet"/>
      <w:lvlText w:val="o"/>
      <w:lvlJc w:val="left"/>
      <w:pPr>
        <w:ind w:left="4980" w:hanging="360"/>
      </w:pPr>
      <w:rPr>
        <w:rFonts w:ascii="Courier New" w:hAnsi="Courier New" w:cs="Courier New" w:hint="default"/>
      </w:rPr>
    </w:lvl>
    <w:lvl w:ilvl="8" w:tplc="080C0005" w:tentative="1">
      <w:start w:val="1"/>
      <w:numFmt w:val="bullet"/>
      <w:lvlText w:val=""/>
      <w:lvlJc w:val="left"/>
      <w:pPr>
        <w:ind w:left="5700" w:hanging="360"/>
      </w:pPr>
      <w:rPr>
        <w:rFonts w:ascii="Wingdings" w:hAnsi="Wingdings" w:hint="default"/>
      </w:rPr>
    </w:lvl>
  </w:abstractNum>
  <w:abstractNum w:abstractNumId="4">
    <w:nsid w:val="29FB363B"/>
    <w:multiLevelType w:val="hybridMultilevel"/>
    <w:tmpl w:val="76FE86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31680D95"/>
    <w:multiLevelType w:val="hybridMultilevel"/>
    <w:tmpl w:val="898C6820"/>
    <w:lvl w:ilvl="0" w:tplc="0809000D">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45297CB9"/>
    <w:multiLevelType w:val="hybridMultilevel"/>
    <w:tmpl w:val="BC0CA2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6CD5B87"/>
    <w:multiLevelType w:val="hybridMultilevel"/>
    <w:tmpl w:val="5E1E4142"/>
    <w:lvl w:ilvl="0" w:tplc="9774D40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48C166FF"/>
    <w:multiLevelType w:val="hybridMultilevel"/>
    <w:tmpl w:val="0C2096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C4C35EC"/>
    <w:multiLevelType w:val="hybridMultilevel"/>
    <w:tmpl w:val="9A402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73D13D0"/>
    <w:multiLevelType w:val="hybridMultilevel"/>
    <w:tmpl w:val="815AC7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D2766F1"/>
    <w:multiLevelType w:val="hybridMultilevel"/>
    <w:tmpl w:val="D55CDF64"/>
    <w:lvl w:ilvl="0" w:tplc="08090001">
      <w:start w:val="1"/>
      <w:numFmt w:val="bullet"/>
      <w:lvlText w:val=""/>
      <w:lvlJc w:val="left"/>
      <w:pPr>
        <w:ind w:left="-60" w:hanging="360"/>
      </w:pPr>
      <w:rPr>
        <w:rFonts w:ascii="Symbol" w:hAnsi="Symbol" w:hint="default"/>
      </w:rPr>
    </w:lvl>
    <w:lvl w:ilvl="1" w:tplc="080C0003" w:tentative="1">
      <w:start w:val="1"/>
      <w:numFmt w:val="bullet"/>
      <w:lvlText w:val="o"/>
      <w:lvlJc w:val="left"/>
      <w:pPr>
        <w:ind w:left="660" w:hanging="360"/>
      </w:pPr>
      <w:rPr>
        <w:rFonts w:ascii="Courier New" w:hAnsi="Courier New" w:cs="Courier New" w:hint="default"/>
      </w:rPr>
    </w:lvl>
    <w:lvl w:ilvl="2" w:tplc="080C0005" w:tentative="1">
      <w:start w:val="1"/>
      <w:numFmt w:val="bullet"/>
      <w:lvlText w:val=""/>
      <w:lvlJc w:val="left"/>
      <w:pPr>
        <w:ind w:left="1380" w:hanging="360"/>
      </w:pPr>
      <w:rPr>
        <w:rFonts w:ascii="Wingdings" w:hAnsi="Wingdings" w:hint="default"/>
      </w:rPr>
    </w:lvl>
    <w:lvl w:ilvl="3" w:tplc="080C0001" w:tentative="1">
      <w:start w:val="1"/>
      <w:numFmt w:val="bullet"/>
      <w:lvlText w:val=""/>
      <w:lvlJc w:val="left"/>
      <w:pPr>
        <w:ind w:left="2100" w:hanging="360"/>
      </w:pPr>
      <w:rPr>
        <w:rFonts w:ascii="Symbol" w:hAnsi="Symbol" w:hint="default"/>
      </w:rPr>
    </w:lvl>
    <w:lvl w:ilvl="4" w:tplc="080C0003" w:tentative="1">
      <w:start w:val="1"/>
      <w:numFmt w:val="bullet"/>
      <w:lvlText w:val="o"/>
      <w:lvlJc w:val="left"/>
      <w:pPr>
        <w:ind w:left="2820" w:hanging="360"/>
      </w:pPr>
      <w:rPr>
        <w:rFonts w:ascii="Courier New" w:hAnsi="Courier New" w:cs="Courier New" w:hint="default"/>
      </w:rPr>
    </w:lvl>
    <w:lvl w:ilvl="5" w:tplc="080C0005" w:tentative="1">
      <w:start w:val="1"/>
      <w:numFmt w:val="bullet"/>
      <w:lvlText w:val=""/>
      <w:lvlJc w:val="left"/>
      <w:pPr>
        <w:ind w:left="3540" w:hanging="360"/>
      </w:pPr>
      <w:rPr>
        <w:rFonts w:ascii="Wingdings" w:hAnsi="Wingdings" w:hint="default"/>
      </w:rPr>
    </w:lvl>
    <w:lvl w:ilvl="6" w:tplc="080C0001" w:tentative="1">
      <w:start w:val="1"/>
      <w:numFmt w:val="bullet"/>
      <w:lvlText w:val=""/>
      <w:lvlJc w:val="left"/>
      <w:pPr>
        <w:ind w:left="4260" w:hanging="360"/>
      </w:pPr>
      <w:rPr>
        <w:rFonts w:ascii="Symbol" w:hAnsi="Symbol" w:hint="default"/>
      </w:rPr>
    </w:lvl>
    <w:lvl w:ilvl="7" w:tplc="080C0003" w:tentative="1">
      <w:start w:val="1"/>
      <w:numFmt w:val="bullet"/>
      <w:lvlText w:val="o"/>
      <w:lvlJc w:val="left"/>
      <w:pPr>
        <w:ind w:left="4980" w:hanging="360"/>
      </w:pPr>
      <w:rPr>
        <w:rFonts w:ascii="Courier New" w:hAnsi="Courier New" w:cs="Courier New" w:hint="default"/>
      </w:rPr>
    </w:lvl>
    <w:lvl w:ilvl="8" w:tplc="080C0005" w:tentative="1">
      <w:start w:val="1"/>
      <w:numFmt w:val="bullet"/>
      <w:lvlText w:val=""/>
      <w:lvlJc w:val="left"/>
      <w:pPr>
        <w:ind w:left="5700" w:hanging="360"/>
      </w:pPr>
      <w:rPr>
        <w:rFonts w:ascii="Wingdings" w:hAnsi="Wingdings" w:hint="default"/>
      </w:rPr>
    </w:lvl>
  </w:abstractNum>
  <w:abstractNum w:abstractNumId="12">
    <w:nsid w:val="5DA9538D"/>
    <w:multiLevelType w:val="hybridMultilevel"/>
    <w:tmpl w:val="39E8E77E"/>
    <w:lvl w:ilvl="0" w:tplc="08090001">
      <w:start w:val="1"/>
      <w:numFmt w:val="bullet"/>
      <w:lvlText w:val=""/>
      <w:lvlJc w:val="left"/>
      <w:pPr>
        <w:ind w:left="720" w:hanging="360"/>
      </w:pPr>
      <w:rPr>
        <w:rFonts w:ascii="Symbol" w:hAnsi="Symbol" w:hint="default"/>
      </w:rPr>
    </w:lvl>
    <w:lvl w:ilvl="1" w:tplc="080C0003">
      <w:start w:val="1"/>
      <w:numFmt w:val="bullet"/>
      <w:lvlText w:val="o"/>
      <w:lvlJc w:val="left"/>
      <w:pPr>
        <w:ind w:left="360" w:hanging="360"/>
      </w:pPr>
      <w:rPr>
        <w:rFonts w:ascii="Courier New" w:hAnsi="Courier New" w:cs="Courier New" w:hint="default"/>
      </w:rPr>
    </w:lvl>
    <w:lvl w:ilvl="2" w:tplc="08090003">
      <w:start w:val="1"/>
      <w:numFmt w:val="bullet"/>
      <w:lvlText w:val="o"/>
      <w:lvlJc w:val="left"/>
      <w:pPr>
        <w:ind w:left="1636" w:hanging="360"/>
      </w:pPr>
      <w:rPr>
        <w:rFonts w:ascii="Courier New" w:hAnsi="Courier New" w:cs="Courier New" w:hint="default"/>
      </w:rPr>
    </w:lvl>
    <w:lvl w:ilvl="3" w:tplc="080C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F7002F"/>
    <w:multiLevelType w:val="hybridMultilevel"/>
    <w:tmpl w:val="8BCC8AF2"/>
    <w:lvl w:ilvl="0" w:tplc="08090001">
      <w:start w:val="1"/>
      <w:numFmt w:val="bullet"/>
      <w:lvlText w:val=""/>
      <w:lvlJc w:val="left"/>
      <w:pPr>
        <w:ind w:left="-60" w:hanging="360"/>
      </w:pPr>
      <w:rPr>
        <w:rFonts w:ascii="Symbol" w:hAnsi="Symbol" w:hint="default"/>
      </w:rPr>
    </w:lvl>
    <w:lvl w:ilvl="1" w:tplc="080C0003" w:tentative="1">
      <w:start w:val="1"/>
      <w:numFmt w:val="bullet"/>
      <w:lvlText w:val="o"/>
      <w:lvlJc w:val="left"/>
      <w:pPr>
        <w:ind w:left="660" w:hanging="360"/>
      </w:pPr>
      <w:rPr>
        <w:rFonts w:ascii="Courier New" w:hAnsi="Courier New" w:cs="Courier New" w:hint="default"/>
      </w:rPr>
    </w:lvl>
    <w:lvl w:ilvl="2" w:tplc="080C0005" w:tentative="1">
      <w:start w:val="1"/>
      <w:numFmt w:val="bullet"/>
      <w:lvlText w:val=""/>
      <w:lvlJc w:val="left"/>
      <w:pPr>
        <w:ind w:left="1380" w:hanging="360"/>
      </w:pPr>
      <w:rPr>
        <w:rFonts w:ascii="Wingdings" w:hAnsi="Wingdings" w:hint="default"/>
      </w:rPr>
    </w:lvl>
    <w:lvl w:ilvl="3" w:tplc="080C0001" w:tentative="1">
      <w:start w:val="1"/>
      <w:numFmt w:val="bullet"/>
      <w:lvlText w:val=""/>
      <w:lvlJc w:val="left"/>
      <w:pPr>
        <w:ind w:left="2100" w:hanging="360"/>
      </w:pPr>
      <w:rPr>
        <w:rFonts w:ascii="Symbol" w:hAnsi="Symbol" w:hint="default"/>
      </w:rPr>
    </w:lvl>
    <w:lvl w:ilvl="4" w:tplc="080C0003" w:tentative="1">
      <w:start w:val="1"/>
      <w:numFmt w:val="bullet"/>
      <w:lvlText w:val="o"/>
      <w:lvlJc w:val="left"/>
      <w:pPr>
        <w:ind w:left="2820" w:hanging="360"/>
      </w:pPr>
      <w:rPr>
        <w:rFonts w:ascii="Courier New" w:hAnsi="Courier New" w:cs="Courier New" w:hint="default"/>
      </w:rPr>
    </w:lvl>
    <w:lvl w:ilvl="5" w:tplc="080C0005" w:tentative="1">
      <w:start w:val="1"/>
      <w:numFmt w:val="bullet"/>
      <w:lvlText w:val=""/>
      <w:lvlJc w:val="left"/>
      <w:pPr>
        <w:ind w:left="3540" w:hanging="360"/>
      </w:pPr>
      <w:rPr>
        <w:rFonts w:ascii="Wingdings" w:hAnsi="Wingdings" w:hint="default"/>
      </w:rPr>
    </w:lvl>
    <w:lvl w:ilvl="6" w:tplc="080C0001" w:tentative="1">
      <w:start w:val="1"/>
      <w:numFmt w:val="bullet"/>
      <w:lvlText w:val=""/>
      <w:lvlJc w:val="left"/>
      <w:pPr>
        <w:ind w:left="4260" w:hanging="360"/>
      </w:pPr>
      <w:rPr>
        <w:rFonts w:ascii="Symbol" w:hAnsi="Symbol" w:hint="default"/>
      </w:rPr>
    </w:lvl>
    <w:lvl w:ilvl="7" w:tplc="080C0003" w:tentative="1">
      <w:start w:val="1"/>
      <w:numFmt w:val="bullet"/>
      <w:lvlText w:val="o"/>
      <w:lvlJc w:val="left"/>
      <w:pPr>
        <w:ind w:left="4980" w:hanging="360"/>
      </w:pPr>
      <w:rPr>
        <w:rFonts w:ascii="Courier New" w:hAnsi="Courier New" w:cs="Courier New" w:hint="default"/>
      </w:rPr>
    </w:lvl>
    <w:lvl w:ilvl="8" w:tplc="080C0005" w:tentative="1">
      <w:start w:val="1"/>
      <w:numFmt w:val="bullet"/>
      <w:lvlText w:val=""/>
      <w:lvlJc w:val="left"/>
      <w:pPr>
        <w:ind w:left="5700" w:hanging="360"/>
      </w:pPr>
      <w:rPr>
        <w:rFonts w:ascii="Wingdings" w:hAnsi="Wingdings" w:hint="default"/>
      </w:rPr>
    </w:lvl>
  </w:abstractNum>
  <w:abstractNum w:abstractNumId="14">
    <w:nsid w:val="66005D68"/>
    <w:multiLevelType w:val="hybridMultilevel"/>
    <w:tmpl w:val="2DC2E7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90E7F91"/>
    <w:multiLevelType w:val="multilevel"/>
    <w:tmpl w:val="787A7D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B6B436F"/>
    <w:multiLevelType w:val="hybridMultilevel"/>
    <w:tmpl w:val="57FA62C2"/>
    <w:lvl w:ilvl="0" w:tplc="B4F4966A">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71D71786"/>
    <w:multiLevelType w:val="hybridMultilevel"/>
    <w:tmpl w:val="701AED6E"/>
    <w:lvl w:ilvl="0" w:tplc="0809000D">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nsid w:val="7E5C5F70"/>
    <w:multiLevelType w:val="hybridMultilevel"/>
    <w:tmpl w:val="3E5A766E"/>
    <w:lvl w:ilvl="0" w:tplc="08090001">
      <w:start w:val="1"/>
      <w:numFmt w:val="bullet"/>
      <w:lvlText w:val=""/>
      <w:lvlJc w:val="left"/>
      <w:pPr>
        <w:ind w:left="720" w:hanging="360"/>
      </w:pPr>
      <w:rPr>
        <w:rFonts w:ascii="Symbol" w:hAnsi="Symbol" w:hint="default"/>
      </w:rPr>
    </w:lvl>
    <w:lvl w:ilvl="1" w:tplc="080C0003">
      <w:start w:val="1"/>
      <w:numFmt w:val="bullet"/>
      <w:lvlText w:val="o"/>
      <w:lvlJc w:val="left"/>
      <w:pPr>
        <w:ind w:left="360" w:hanging="360"/>
      </w:pPr>
      <w:rPr>
        <w:rFonts w:ascii="Courier New" w:hAnsi="Courier New" w:cs="Courier New" w:hint="default"/>
      </w:rPr>
    </w:lvl>
    <w:lvl w:ilvl="2" w:tplc="08090003">
      <w:start w:val="1"/>
      <w:numFmt w:val="bullet"/>
      <w:lvlText w:val="o"/>
      <w:lvlJc w:val="left"/>
      <w:pPr>
        <w:ind w:left="1636" w:hanging="360"/>
      </w:pPr>
      <w:rPr>
        <w:rFonts w:ascii="Courier New" w:hAnsi="Courier New" w:cs="Courier New" w:hint="default"/>
      </w:rPr>
    </w:lvl>
    <w:lvl w:ilvl="3" w:tplc="080C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6"/>
  </w:num>
  <w:num w:numId="4">
    <w:abstractNumId w:val="6"/>
  </w:num>
  <w:num w:numId="5">
    <w:abstractNumId w:val="9"/>
  </w:num>
  <w:num w:numId="6">
    <w:abstractNumId w:val="7"/>
  </w:num>
  <w:num w:numId="7">
    <w:abstractNumId w:val="8"/>
  </w:num>
  <w:num w:numId="8">
    <w:abstractNumId w:val="10"/>
  </w:num>
  <w:num w:numId="9">
    <w:abstractNumId w:val="5"/>
  </w:num>
  <w:num w:numId="10">
    <w:abstractNumId w:val="17"/>
  </w:num>
  <w:num w:numId="11">
    <w:abstractNumId w:val="4"/>
  </w:num>
  <w:num w:numId="12">
    <w:abstractNumId w:val="1"/>
  </w:num>
  <w:num w:numId="13">
    <w:abstractNumId w:val="18"/>
  </w:num>
  <w:num w:numId="14">
    <w:abstractNumId w:val="12"/>
  </w:num>
  <w:num w:numId="15">
    <w:abstractNumId w:val="13"/>
  </w:num>
  <w:num w:numId="16">
    <w:abstractNumId w:val="0"/>
  </w:num>
  <w:num w:numId="17">
    <w:abstractNumId w:val="3"/>
  </w:num>
  <w:num w:numId="18">
    <w:abstractNumId w:val="11"/>
  </w:num>
  <w:num w:numId="1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fr-BE"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en-GB" w:vendorID="64" w:dllVersion="131078" w:nlCheck="1" w:checkStyle="1"/>
  <w:activeWritingStyle w:appName="MSWord" w:lang="it-IT" w:vendorID="64" w:dllVersion="131078" w:nlCheck="1" w:checkStyle="0"/>
  <w:activeWritingStyle w:appName="MSWord" w:lang="de-DE" w:vendorID="64" w:dllVersion="131078" w:nlCheck="1" w:checkStyle="1"/>
  <w:activeWritingStyle w:appName="MSWord" w:lang="es-ES" w:vendorID="64" w:dllVersion="131078" w:nlCheck="1" w:checkStyle="0"/>
  <w:activeWritingStyle w:appName="MSWord" w:lang="pt-PT" w:vendorID="64" w:dllVersion="131078" w:nlCheck="1" w:checkStyle="0"/>
  <w:activeWritingStyle w:appName="MSWord" w:lang="nl-BE" w:vendorID="64" w:dllVersion="131078" w:nlCheck="1" w:checkStyle="0"/>
  <w:revisionView w:markup="0"/>
  <w:documentProtection w:edit="readOnly" w:enforcement="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2658CC0-18C3-4F93-A5CF-072076D8EDF9"/>
    <w:docVar w:name="LW_COVERPAGE_TYPE" w:val="1"/>
    <w:docVar w:name="LW_CROSSREFERENCE" w:val="&lt;UNUSED&gt;"/>
    <w:docVar w:name="LW_DocType" w:val="NORMAL"/>
    <w:docVar w:name="LW_EMISSION" w:val="13.11.2020"/>
    <w:docVar w:name="LW_EMISSION_ISODATE" w:val="2020-11-13"/>
    <w:docVar w:name="LW_EMISSION_LOCATION" w:val="BRX"/>
    <w:docVar w:name="LW_EMISSION_PREFIX" w:val="Брюксел, "/>
    <w:docVar w:name="LW_EMISSION_SUFFIX" w:val=" \u1075?."/>
    <w:docVar w:name="LW_ID_DOCTYPE_NONLW" w:val="CP-01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6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53?\u1086?\u1074?\u1072? \u1087?\u1088?\u1086?\u1075?\u1088?\u1072?\u1084?\u1072? \u1079?\u1072? \u1087?\u1086?\u1090?\u1088?\u1077?\u1073?\u1080?\u1090?\u1077?\u1083?\u1080?\u1090?\u1077? _x000d__x000d__x000d__x000d__x000d__x000b__x000d__x000d__x000d__x000b_\u1055?\u1086?\u1074?\u1080?\u1096?\u1072?\u1074?\u1072?\u1085?\u1077? \u1085?\u1072? \u1080?\u1079?\u1076?\u1088?\u1098?\u1078?\u1083?\u1080?\u1074?\u1086?\u1089?\u1090?\u1090?\u1072? \u1085?\u1072? \u1087?\u1086?\u1090?\u1088?\u1077?\u1073?\u1080?\u1090?\u1077?\u1083?\u1080?\u1090?\u1077? \u1079?\u1072? \u1087?\u1086?\u1089?\u1090?\u1080?\u1075?\u1072?\u1085?\u1077? \u1085?\u1072? \u1091?\u1089?\u1090?\u1086?\u1081?\u1095?\u1080?\u1074?\u1086? \u1074?\u1098?\u1079?\u1089?\u1090?\u1072?\u1085?\u1086?\u1074?\u1103?\u1074?\u1072?\u1085?\u1077?"/>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line="360" w:lineRule="auto"/>
      <w:outlineLvl w:val="0"/>
    </w:pPr>
    <w:rPr>
      <w:rFonts w:ascii="Arial" w:eastAsiaTheme="majorEastAsia" w:hAnsi="Arial" w:cstheme="majorBidi"/>
      <w:b/>
      <w:bCs/>
      <w:color w:val="2E74B5" w:themeColor="accent1" w:themeShade="BF"/>
      <w:sz w:val="28"/>
      <w:szCs w:val="28"/>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Bullet 1,2"/>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ußnote,FOOTNOTES"/>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qFormat/>
    <w:rPr>
      <w:sz w:val="20"/>
      <w:szCs w:val="20"/>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BVI fnr, Char Char, BVI fnr Zchn,BVI fnr Zchn"/>
    <w:basedOn w:val="DefaultParagraphFont"/>
    <w:link w:val="AppelnotedebasdepBVIfnrCarCarCarCar"/>
    <w:uiPriority w:val="99"/>
    <w:unhideWhenUsed/>
    <w:qFormat/>
    <w:rPr>
      <w:vertAlign w:val="superscript"/>
    </w:rPr>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2 Char"/>
    <w:link w:val="ListParagraph"/>
    <w:uiPriority w:val="34"/>
    <w:qFormat/>
    <w:locked/>
  </w:style>
  <w:style w:type="character" w:styleId="Hyperlink">
    <w:name w:val="Hyperlink"/>
    <w:basedOn w:val="DefaultParagraphFont"/>
    <w:uiPriority w:val="99"/>
    <w:unhideWhenUsed/>
    <w:rPr>
      <w:color w:val="0563C1"/>
      <w:u w:val="single"/>
    </w:rPr>
  </w:style>
  <w:style w:type="character" w:customStyle="1" w:styleId="Heading1Char">
    <w:name w:val="Heading 1 Char"/>
    <w:basedOn w:val="DefaultParagraphFont"/>
    <w:link w:val="Heading1"/>
    <w:uiPriority w:val="9"/>
    <w:rPr>
      <w:rFonts w:ascii="Arial" w:eastAsiaTheme="majorEastAsia" w:hAnsi="Arial" w:cstheme="majorBidi"/>
      <w:b/>
      <w:bCs/>
      <w:color w:val="2E74B5" w:themeColor="accent1" w:themeShade="BF"/>
      <w:sz w:val="28"/>
      <w:szCs w:val="28"/>
      <w:lang w:val="bg-BG"/>
    </w:rPr>
  </w:style>
  <w:style w:type="paragraph" w:customStyle="1" w:styleId="BMJNummerierung2">
    <w:name w:val="BMJ_Nummerierung_2"/>
    <w:basedOn w:val="Normal"/>
    <w:uiPriority w:val="1"/>
    <w:qFormat/>
    <w:pPr>
      <w:numPr>
        <w:numId w:val="2"/>
      </w:numPr>
      <w:spacing w:before="60" w:after="60" w:line="360" w:lineRule="auto"/>
      <w:ind w:left="357" w:hanging="357"/>
    </w:pPr>
    <w:rPr>
      <w:rFonts w:ascii="Arial" w:hAnsi="Arial" w:cstheme="majorBidi"/>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Pr>
      <w:i/>
      <w:iCs/>
    </w:rPr>
  </w:style>
  <w:style w:type="paragraph" w:customStyle="1" w:styleId="AppelnotedebasdepBVIfnrCarCarCarCar">
    <w:name w:val="Appel note de bas de p.;BVI fnr Car Car Car Car"/>
    <w:aliases w:val=" BVI fnr Car Car,BVI fnr Car, BVI fnr Car Car Car Car, BVI fnr Car Car Car Car Char,Appel note de bas de p..BVI fnr Car Car Car Car, BVI fnr, BVI fnr Char,Appel note de bas de p.,footnote reference"/>
    <w:basedOn w:val="Normal"/>
    <w:link w:val="FootnoteReference"/>
    <w:uiPriority w:val="99"/>
    <w:pPr>
      <w:spacing w:line="240" w:lineRule="exact"/>
    </w:pPr>
    <w:rPr>
      <w:vertAlign w:val="superscript"/>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Briefingtext">
    <w:name w:val="Briefing text"/>
    <w:basedOn w:val="Normal"/>
    <w:link w:val="BriefingtextChar"/>
    <w:autoRedefine/>
    <w:qFormat/>
    <w:pPr>
      <w:widowControl w:val="0"/>
      <w:spacing w:after="240" w:line="240" w:lineRule="auto"/>
      <w:jc w:val="both"/>
    </w:pPr>
    <w:rPr>
      <w:rFonts w:ascii="Times New Roman" w:eastAsia="Calibri" w:hAnsi="Times New Roman" w:cs="Arial"/>
      <w:color w:val="000000" w:themeColor="text1"/>
      <w:sz w:val="24"/>
    </w:rPr>
  </w:style>
  <w:style w:type="character" w:customStyle="1" w:styleId="BriefingtextChar">
    <w:name w:val="Briefing text Char"/>
    <w:link w:val="Briefingtext"/>
    <w:rPr>
      <w:rFonts w:ascii="Times New Roman" w:eastAsia="Calibri" w:hAnsi="Times New Roman" w:cs="Arial"/>
      <w:color w:val="000000" w:themeColor="text1"/>
      <w:sz w:val="24"/>
      <w:lang w:val="bg-BG"/>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qFormat/>
    <w:pPr>
      <w:spacing w:line="240" w:lineRule="exact"/>
      <w:jc w:val="both"/>
    </w:pPr>
    <w:rPr>
      <w:rFonts w:ascii="Times New Roman" w:eastAsia="Times New Roman" w:hAnsi="Times New Roman" w:cs="Times New Roman"/>
      <w:sz w:val="20"/>
      <w:szCs w:val="20"/>
      <w:vertAlign w:val="superscript"/>
      <w:lang w:eastAsia="en-GB"/>
    </w:rPr>
  </w:style>
  <w:style w:type="character" w:customStyle="1" w:styleId="normaltextrun">
    <w:name w:val="normaltextrun"/>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ighlight">
    <w:name w:val="highlight"/>
    <w:basedOn w:val="DefaultParagraphFont"/>
  </w:style>
  <w:style w:type="paragraph" w:styleId="NoSpacing">
    <w:name w:val="No Spacing"/>
    <w:uiPriority w:val="1"/>
    <w:qFormat/>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Text1">
    <w:name w:val="Text 1"/>
    <w:basedOn w:val="Normal"/>
    <w:uiPriority w:val="90"/>
    <w:qFormat/>
    <w:pPr>
      <w:spacing w:after="240" w:line="240" w:lineRule="auto"/>
      <w:ind w:left="482"/>
      <w:jc w:val="both"/>
    </w:pPr>
    <w:rPr>
      <w:rFonts w:ascii="Times New Roman" w:eastAsia="Times New Roman" w:hAnsi="Times New Roman" w:cs="Times New Roman"/>
      <w:sz w:val="24"/>
      <w:szCs w:val="20"/>
      <w:lang w:eastAsia="en-GB"/>
    </w:rPr>
  </w:style>
  <w:style w:type="paragraph" w:customStyle="1" w:styleId="RegisteredLetter">
    <w:name w:val="Registered Letter"/>
    <w:basedOn w:val="Normal"/>
    <w:pPr>
      <w:spacing w:after="240" w:line="240" w:lineRule="auto"/>
      <w:jc w:val="both"/>
    </w:pPr>
    <w:rPr>
      <w:rFonts w:ascii="Times New Roman" w:eastAsia="Times New Roman" w:hAnsi="Times New Roman" w:cs="Times New Roman"/>
      <w:sz w:val="24"/>
      <w:szCs w:val="20"/>
      <w:u w:val="single"/>
      <w:lang w:eastAsia="fr-BE"/>
    </w:rPr>
  </w:style>
  <w:style w:type="paragraph" w:customStyle="1" w:styleId="footnotedescription">
    <w:name w:val="footnote description"/>
    <w:next w:val="Normal"/>
    <w:link w:val="footnotedescriptionChar"/>
    <w:hidden/>
    <w:pPr>
      <w:spacing w:after="0" w:line="253" w:lineRule="auto"/>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line="360" w:lineRule="auto"/>
      <w:outlineLvl w:val="0"/>
    </w:pPr>
    <w:rPr>
      <w:rFonts w:ascii="Arial" w:eastAsiaTheme="majorEastAsia" w:hAnsi="Arial" w:cstheme="majorBidi"/>
      <w:b/>
      <w:bCs/>
      <w:color w:val="2E74B5" w:themeColor="accent1" w:themeShade="BF"/>
      <w:sz w:val="28"/>
      <w:szCs w:val="28"/>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Bullet 1,2"/>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ußnote,FOOTNOTES"/>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qFormat/>
    <w:rPr>
      <w:sz w:val="20"/>
      <w:szCs w:val="20"/>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BVI fnr, Char Char, BVI fnr Zchn,BVI fnr Zchn"/>
    <w:basedOn w:val="DefaultParagraphFont"/>
    <w:link w:val="AppelnotedebasdepBVIfnrCarCarCarCar"/>
    <w:uiPriority w:val="99"/>
    <w:unhideWhenUsed/>
    <w:qFormat/>
    <w:rPr>
      <w:vertAlign w:val="superscript"/>
    </w:rPr>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2 Char"/>
    <w:link w:val="ListParagraph"/>
    <w:uiPriority w:val="34"/>
    <w:qFormat/>
    <w:locked/>
  </w:style>
  <w:style w:type="character" w:styleId="Hyperlink">
    <w:name w:val="Hyperlink"/>
    <w:basedOn w:val="DefaultParagraphFont"/>
    <w:uiPriority w:val="99"/>
    <w:unhideWhenUsed/>
    <w:rPr>
      <w:color w:val="0563C1"/>
      <w:u w:val="single"/>
    </w:rPr>
  </w:style>
  <w:style w:type="character" w:customStyle="1" w:styleId="Heading1Char">
    <w:name w:val="Heading 1 Char"/>
    <w:basedOn w:val="DefaultParagraphFont"/>
    <w:link w:val="Heading1"/>
    <w:uiPriority w:val="9"/>
    <w:rPr>
      <w:rFonts w:ascii="Arial" w:eastAsiaTheme="majorEastAsia" w:hAnsi="Arial" w:cstheme="majorBidi"/>
      <w:b/>
      <w:bCs/>
      <w:color w:val="2E74B5" w:themeColor="accent1" w:themeShade="BF"/>
      <w:sz w:val="28"/>
      <w:szCs w:val="28"/>
      <w:lang w:val="bg-BG"/>
    </w:rPr>
  </w:style>
  <w:style w:type="paragraph" w:customStyle="1" w:styleId="BMJNummerierung2">
    <w:name w:val="BMJ_Nummerierung_2"/>
    <w:basedOn w:val="Normal"/>
    <w:uiPriority w:val="1"/>
    <w:qFormat/>
    <w:pPr>
      <w:numPr>
        <w:numId w:val="2"/>
      </w:numPr>
      <w:spacing w:before="60" w:after="60" w:line="360" w:lineRule="auto"/>
      <w:ind w:left="357" w:hanging="357"/>
    </w:pPr>
    <w:rPr>
      <w:rFonts w:ascii="Arial" w:hAnsi="Arial" w:cstheme="majorBidi"/>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Pr>
      <w:i/>
      <w:iCs/>
    </w:rPr>
  </w:style>
  <w:style w:type="paragraph" w:customStyle="1" w:styleId="AppelnotedebasdepBVIfnrCarCarCarCar">
    <w:name w:val="Appel note de bas de p.;BVI fnr Car Car Car Car"/>
    <w:aliases w:val=" BVI fnr Car Car,BVI fnr Car, BVI fnr Car Car Car Car, BVI fnr Car Car Car Car Char,Appel note de bas de p..BVI fnr Car Car Car Car, BVI fnr, BVI fnr Char,Appel note de bas de p.,footnote reference"/>
    <w:basedOn w:val="Normal"/>
    <w:link w:val="FootnoteReference"/>
    <w:uiPriority w:val="99"/>
    <w:pPr>
      <w:spacing w:line="240" w:lineRule="exact"/>
    </w:pPr>
    <w:rPr>
      <w:vertAlign w:val="superscript"/>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Briefingtext">
    <w:name w:val="Briefing text"/>
    <w:basedOn w:val="Normal"/>
    <w:link w:val="BriefingtextChar"/>
    <w:autoRedefine/>
    <w:qFormat/>
    <w:pPr>
      <w:widowControl w:val="0"/>
      <w:spacing w:after="240" w:line="240" w:lineRule="auto"/>
      <w:jc w:val="both"/>
    </w:pPr>
    <w:rPr>
      <w:rFonts w:ascii="Times New Roman" w:eastAsia="Calibri" w:hAnsi="Times New Roman" w:cs="Arial"/>
      <w:color w:val="000000" w:themeColor="text1"/>
      <w:sz w:val="24"/>
    </w:rPr>
  </w:style>
  <w:style w:type="character" w:customStyle="1" w:styleId="BriefingtextChar">
    <w:name w:val="Briefing text Char"/>
    <w:link w:val="Briefingtext"/>
    <w:rPr>
      <w:rFonts w:ascii="Times New Roman" w:eastAsia="Calibri" w:hAnsi="Times New Roman" w:cs="Arial"/>
      <w:color w:val="000000" w:themeColor="text1"/>
      <w:sz w:val="24"/>
      <w:lang w:val="bg-BG"/>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qFormat/>
    <w:pPr>
      <w:spacing w:line="240" w:lineRule="exact"/>
      <w:jc w:val="both"/>
    </w:pPr>
    <w:rPr>
      <w:rFonts w:ascii="Times New Roman" w:eastAsia="Times New Roman" w:hAnsi="Times New Roman" w:cs="Times New Roman"/>
      <w:sz w:val="20"/>
      <w:szCs w:val="20"/>
      <w:vertAlign w:val="superscript"/>
      <w:lang w:eastAsia="en-GB"/>
    </w:rPr>
  </w:style>
  <w:style w:type="character" w:customStyle="1" w:styleId="normaltextrun">
    <w:name w:val="normaltextrun"/>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ighlight">
    <w:name w:val="highlight"/>
    <w:basedOn w:val="DefaultParagraphFont"/>
  </w:style>
  <w:style w:type="paragraph" w:styleId="NoSpacing">
    <w:name w:val="No Spacing"/>
    <w:uiPriority w:val="1"/>
    <w:qFormat/>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Text1">
    <w:name w:val="Text 1"/>
    <w:basedOn w:val="Normal"/>
    <w:uiPriority w:val="90"/>
    <w:qFormat/>
    <w:pPr>
      <w:spacing w:after="240" w:line="240" w:lineRule="auto"/>
      <w:ind w:left="482"/>
      <w:jc w:val="both"/>
    </w:pPr>
    <w:rPr>
      <w:rFonts w:ascii="Times New Roman" w:eastAsia="Times New Roman" w:hAnsi="Times New Roman" w:cs="Times New Roman"/>
      <w:sz w:val="24"/>
      <w:szCs w:val="20"/>
      <w:lang w:eastAsia="en-GB"/>
    </w:rPr>
  </w:style>
  <w:style w:type="paragraph" w:customStyle="1" w:styleId="RegisteredLetter">
    <w:name w:val="Registered Letter"/>
    <w:basedOn w:val="Normal"/>
    <w:pPr>
      <w:spacing w:after="240" w:line="240" w:lineRule="auto"/>
      <w:jc w:val="both"/>
    </w:pPr>
    <w:rPr>
      <w:rFonts w:ascii="Times New Roman" w:eastAsia="Times New Roman" w:hAnsi="Times New Roman" w:cs="Times New Roman"/>
      <w:sz w:val="24"/>
      <w:szCs w:val="20"/>
      <w:u w:val="single"/>
      <w:lang w:eastAsia="fr-BE"/>
    </w:rPr>
  </w:style>
  <w:style w:type="paragraph" w:customStyle="1" w:styleId="footnotedescription">
    <w:name w:val="footnote description"/>
    <w:next w:val="Normal"/>
    <w:link w:val="footnotedescriptionChar"/>
    <w:hidden/>
    <w:pPr>
      <w:spacing w:after="0" w:line="253" w:lineRule="auto"/>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175">
      <w:bodyDiv w:val="1"/>
      <w:marLeft w:val="0"/>
      <w:marRight w:val="0"/>
      <w:marTop w:val="0"/>
      <w:marBottom w:val="0"/>
      <w:divBdr>
        <w:top w:val="none" w:sz="0" w:space="0" w:color="auto"/>
        <w:left w:val="none" w:sz="0" w:space="0" w:color="auto"/>
        <w:bottom w:val="none" w:sz="0" w:space="0" w:color="auto"/>
        <w:right w:val="none" w:sz="0" w:space="0" w:color="auto"/>
      </w:divBdr>
    </w:div>
    <w:div w:id="14043964">
      <w:bodyDiv w:val="1"/>
      <w:marLeft w:val="0"/>
      <w:marRight w:val="0"/>
      <w:marTop w:val="0"/>
      <w:marBottom w:val="0"/>
      <w:divBdr>
        <w:top w:val="none" w:sz="0" w:space="0" w:color="auto"/>
        <w:left w:val="none" w:sz="0" w:space="0" w:color="auto"/>
        <w:bottom w:val="none" w:sz="0" w:space="0" w:color="auto"/>
        <w:right w:val="none" w:sz="0" w:space="0" w:color="auto"/>
      </w:divBdr>
    </w:div>
    <w:div w:id="20060978">
      <w:bodyDiv w:val="1"/>
      <w:marLeft w:val="0"/>
      <w:marRight w:val="0"/>
      <w:marTop w:val="0"/>
      <w:marBottom w:val="0"/>
      <w:divBdr>
        <w:top w:val="none" w:sz="0" w:space="0" w:color="auto"/>
        <w:left w:val="none" w:sz="0" w:space="0" w:color="auto"/>
        <w:bottom w:val="none" w:sz="0" w:space="0" w:color="auto"/>
        <w:right w:val="none" w:sz="0" w:space="0" w:color="auto"/>
      </w:divBdr>
    </w:div>
    <w:div w:id="79837387">
      <w:bodyDiv w:val="1"/>
      <w:marLeft w:val="0"/>
      <w:marRight w:val="0"/>
      <w:marTop w:val="0"/>
      <w:marBottom w:val="0"/>
      <w:divBdr>
        <w:top w:val="none" w:sz="0" w:space="0" w:color="auto"/>
        <w:left w:val="none" w:sz="0" w:space="0" w:color="auto"/>
        <w:bottom w:val="none" w:sz="0" w:space="0" w:color="auto"/>
        <w:right w:val="none" w:sz="0" w:space="0" w:color="auto"/>
      </w:divBdr>
    </w:div>
    <w:div w:id="111100939">
      <w:bodyDiv w:val="1"/>
      <w:marLeft w:val="0"/>
      <w:marRight w:val="0"/>
      <w:marTop w:val="0"/>
      <w:marBottom w:val="0"/>
      <w:divBdr>
        <w:top w:val="none" w:sz="0" w:space="0" w:color="auto"/>
        <w:left w:val="none" w:sz="0" w:space="0" w:color="auto"/>
        <w:bottom w:val="none" w:sz="0" w:space="0" w:color="auto"/>
        <w:right w:val="none" w:sz="0" w:space="0" w:color="auto"/>
      </w:divBdr>
    </w:div>
    <w:div w:id="176165167">
      <w:bodyDiv w:val="1"/>
      <w:marLeft w:val="0"/>
      <w:marRight w:val="0"/>
      <w:marTop w:val="0"/>
      <w:marBottom w:val="0"/>
      <w:divBdr>
        <w:top w:val="none" w:sz="0" w:space="0" w:color="auto"/>
        <w:left w:val="none" w:sz="0" w:space="0" w:color="auto"/>
        <w:bottom w:val="none" w:sz="0" w:space="0" w:color="auto"/>
        <w:right w:val="none" w:sz="0" w:space="0" w:color="auto"/>
      </w:divBdr>
    </w:div>
    <w:div w:id="177668573">
      <w:bodyDiv w:val="1"/>
      <w:marLeft w:val="0"/>
      <w:marRight w:val="0"/>
      <w:marTop w:val="0"/>
      <w:marBottom w:val="0"/>
      <w:divBdr>
        <w:top w:val="none" w:sz="0" w:space="0" w:color="auto"/>
        <w:left w:val="none" w:sz="0" w:space="0" w:color="auto"/>
        <w:bottom w:val="none" w:sz="0" w:space="0" w:color="auto"/>
        <w:right w:val="none" w:sz="0" w:space="0" w:color="auto"/>
      </w:divBdr>
    </w:div>
    <w:div w:id="188448270">
      <w:bodyDiv w:val="1"/>
      <w:marLeft w:val="0"/>
      <w:marRight w:val="0"/>
      <w:marTop w:val="0"/>
      <w:marBottom w:val="0"/>
      <w:divBdr>
        <w:top w:val="none" w:sz="0" w:space="0" w:color="auto"/>
        <w:left w:val="none" w:sz="0" w:space="0" w:color="auto"/>
        <w:bottom w:val="none" w:sz="0" w:space="0" w:color="auto"/>
        <w:right w:val="none" w:sz="0" w:space="0" w:color="auto"/>
      </w:divBdr>
    </w:div>
    <w:div w:id="188833230">
      <w:bodyDiv w:val="1"/>
      <w:marLeft w:val="0"/>
      <w:marRight w:val="0"/>
      <w:marTop w:val="0"/>
      <w:marBottom w:val="0"/>
      <w:divBdr>
        <w:top w:val="none" w:sz="0" w:space="0" w:color="auto"/>
        <w:left w:val="none" w:sz="0" w:space="0" w:color="auto"/>
        <w:bottom w:val="none" w:sz="0" w:space="0" w:color="auto"/>
        <w:right w:val="none" w:sz="0" w:space="0" w:color="auto"/>
      </w:divBdr>
    </w:div>
    <w:div w:id="214127961">
      <w:bodyDiv w:val="1"/>
      <w:marLeft w:val="0"/>
      <w:marRight w:val="0"/>
      <w:marTop w:val="0"/>
      <w:marBottom w:val="0"/>
      <w:divBdr>
        <w:top w:val="none" w:sz="0" w:space="0" w:color="auto"/>
        <w:left w:val="none" w:sz="0" w:space="0" w:color="auto"/>
        <w:bottom w:val="none" w:sz="0" w:space="0" w:color="auto"/>
        <w:right w:val="none" w:sz="0" w:space="0" w:color="auto"/>
      </w:divBdr>
    </w:div>
    <w:div w:id="222178149">
      <w:bodyDiv w:val="1"/>
      <w:marLeft w:val="0"/>
      <w:marRight w:val="0"/>
      <w:marTop w:val="0"/>
      <w:marBottom w:val="0"/>
      <w:divBdr>
        <w:top w:val="none" w:sz="0" w:space="0" w:color="auto"/>
        <w:left w:val="none" w:sz="0" w:space="0" w:color="auto"/>
        <w:bottom w:val="none" w:sz="0" w:space="0" w:color="auto"/>
        <w:right w:val="none" w:sz="0" w:space="0" w:color="auto"/>
      </w:divBdr>
    </w:div>
    <w:div w:id="226035512">
      <w:bodyDiv w:val="1"/>
      <w:marLeft w:val="0"/>
      <w:marRight w:val="0"/>
      <w:marTop w:val="0"/>
      <w:marBottom w:val="0"/>
      <w:divBdr>
        <w:top w:val="none" w:sz="0" w:space="0" w:color="auto"/>
        <w:left w:val="none" w:sz="0" w:space="0" w:color="auto"/>
        <w:bottom w:val="none" w:sz="0" w:space="0" w:color="auto"/>
        <w:right w:val="none" w:sz="0" w:space="0" w:color="auto"/>
      </w:divBdr>
    </w:div>
    <w:div w:id="241108544">
      <w:bodyDiv w:val="1"/>
      <w:marLeft w:val="0"/>
      <w:marRight w:val="0"/>
      <w:marTop w:val="0"/>
      <w:marBottom w:val="0"/>
      <w:divBdr>
        <w:top w:val="none" w:sz="0" w:space="0" w:color="auto"/>
        <w:left w:val="none" w:sz="0" w:space="0" w:color="auto"/>
        <w:bottom w:val="none" w:sz="0" w:space="0" w:color="auto"/>
        <w:right w:val="none" w:sz="0" w:space="0" w:color="auto"/>
      </w:divBdr>
    </w:div>
    <w:div w:id="246501930">
      <w:bodyDiv w:val="1"/>
      <w:marLeft w:val="0"/>
      <w:marRight w:val="0"/>
      <w:marTop w:val="0"/>
      <w:marBottom w:val="0"/>
      <w:divBdr>
        <w:top w:val="none" w:sz="0" w:space="0" w:color="auto"/>
        <w:left w:val="none" w:sz="0" w:space="0" w:color="auto"/>
        <w:bottom w:val="none" w:sz="0" w:space="0" w:color="auto"/>
        <w:right w:val="none" w:sz="0" w:space="0" w:color="auto"/>
      </w:divBdr>
      <w:divsChild>
        <w:div w:id="423578333">
          <w:marLeft w:val="0"/>
          <w:marRight w:val="0"/>
          <w:marTop w:val="0"/>
          <w:marBottom w:val="0"/>
          <w:divBdr>
            <w:top w:val="none" w:sz="0" w:space="0" w:color="auto"/>
            <w:left w:val="none" w:sz="0" w:space="0" w:color="auto"/>
            <w:bottom w:val="none" w:sz="0" w:space="0" w:color="auto"/>
            <w:right w:val="none" w:sz="0" w:space="0" w:color="auto"/>
          </w:divBdr>
          <w:divsChild>
            <w:div w:id="20909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06228">
      <w:bodyDiv w:val="1"/>
      <w:marLeft w:val="0"/>
      <w:marRight w:val="0"/>
      <w:marTop w:val="0"/>
      <w:marBottom w:val="0"/>
      <w:divBdr>
        <w:top w:val="none" w:sz="0" w:space="0" w:color="auto"/>
        <w:left w:val="none" w:sz="0" w:space="0" w:color="auto"/>
        <w:bottom w:val="none" w:sz="0" w:space="0" w:color="auto"/>
        <w:right w:val="none" w:sz="0" w:space="0" w:color="auto"/>
      </w:divBdr>
    </w:div>
    <w:div w:id="310135813">
      <w:bodyDiv w:val="1"/>
      <w:marLeft w:val="0"/>
      <w:marRight w:val="0"/>
      <w:marTop w:val="0"/>
      <w:marBottom w:val="0"/>
      <w:divBdr>
        <w:top w:val="none" w:sz="0" w:space="0" w:color="auto"/>
        <w:left w:val="none" w:sz="0" w:space="0" w:color="auto"/>
        <w:bottom w:val="none" w:sz="0" w:space="0" w:color="auto"/>
        <w:right w:val="none" w:sz="0" w:space="0" w:color="auto"/>
      </w:divBdr>
    </w:div>
    <w:div w:id="329912371">
      <w:bodyDiv w:val="1"/>
      <w:marLeft w:val="0"/>
      <w:marRight w:val="0"/>
      <w:marTop w:val="0"/>
      <w:marBottom w:val="0"/>
      <w:divBdr>
        <w:top w:val="none" w:sz="0" w:space="0" w:color="auto"/>
        <w:left w:val="none" w:sz="0" w:space="0" w:color="auto"/>
        <w:bottom w:val="none" w:sz="0" w:space="0" w:color="auto"/>
        <w:right w:val="none" w:sz="0" w:space="0" w:color="auto"/>
      </w:divBdr>
    </w:div>
    <w:div w:id="368724101">
      <w:bodyDiv w:val="1"/>
      <w:marLeft w:val="0"/>
      <w:marRight w:val="0"/>
      <w:marTop w:val="0"/>
      <w:marBottom w:val="0"/>
      <w:divBdr>
        <w:top w:val="none" w:sz="0" w:space="0" w:color="auto"/>
        <w:left w:val="none" w:sz="0" w:space="0" w:color="auto"/>
        <w:bottom w:val="none" w:sz="0" w:space="0" w:color="auto"/>
        <w:right w:val="none" w:sz="0" w:space="0" w:color="auto"/>
      </w:divBdr>
    </w:div>
    <w:div w:id="371000072">
      <w:bodyDiv w:val="1"/>
      <w:marLeft w:val="0"/>
      <w:marRight w:val="0"/>
      <w:marTop w:val="0"/>
      <w:marBottom w:val="0"/>
      <w:divBdr>
        <w:top w:val="none" w:sz="0" w:space="0" w:color="auto"/>
        <w:left w:val="none" w:sz="0" w:space="0" w:color="auto"/>
        <w:bottom w:val="none" w:sz="0" w:space="0" w:color="auto"/>
        <w:right w:val="none" w:sz="0" w:space="0" w:color="auto"/>
      </w:divBdr>
    </w:div>
    <w:div w:id="430125423">
      <w:bodyDiv w:val="1"/>
      <w:marLeft w:val="0"/>
      <w:marRight w:val="0"/>
      <w:marTop w:val="0"/>
      <w:marBottom w:val="0"/>
      <w:divBdr>
        <w:top w:val="none" w:sz="0" w:space="0" w:color="auto"/>
        <w:left w:val="none" w:sz="0" w:space="0" w:color="auto"/>
        <w:bottom w:val="none" w:sz="0" w:space="0" w:color="auto"/>
        <w:right w:val="none" w:sz="0" w:space="0" w:color="auto"/>
      </w:divBdr>
    </w:div>
    <w:div w:id="449202536">
      <w:bodyDiv w:val="1"/>
      <w:marLeft w:val="0"/>
      <w:marRight w:val="0"/>
      <w:marTop w:val="0"/>
      <w:marBottom w:val="0"/>
      <w:divBdr>
        <w:top w:val="none" w:sz="0" w:space="0" w:color="auto"/>
        <w:left w:val="none" w:sz="0" w:space="0" w:color="auto"/>
        <w:bottom w:val="none" w:sz="0" w:space="0" w:color="auto"/>
        <w:right w:val="none" w:sz="0" w:space="0" w:color="auto"/>
      </w:divBdr>
    </w:div>
    <w:div w:id="465200454">
      <w:bodyDiv w:val="1"/>
      <w:marLeft w:val="0"/>
      <w:marRight w:val="0"/>
      <w:marTop w:val="0"/>
      <w:marBottom w:val="0"/>
      <w:divBdr>
        <w:top w:val="none" w:sz="0" w:space="0" w:color="auto"/>
        <w:left w:val="none" w:sz="0" w:space="0" w:color="auto"/>
        <w:bottom w:val="none" w:sz="0" w:space="0" w:color="auto"/>
        <w:right w:val="none" w:sz="0" w:space="0" w:color="auto"/>
      </w:divBdr>
    </w:div>
    <w:div w:id="472527854">
      <w:bodyDiv w:val="1"/>
      <w:marLeft w:val="0"/>
      <w:marRight w:val="0"/>
      <w:marTop w:val="0"/>
      <w:marBottom w:val="0"/>
      <w:divBdr>
        <w:top w:val="none" w:sz="0" w:space="0" w:color="auto"/>
        <w:left w:val="none" w:sz="0" w:space="0" w:color="auto"/>
        <w:bottom w:val="none" w:sz="0" w:space="0" w:color="auto"/>
        <w:right w:val="none" w:sz="0" w:space="0" w:color="auto"/>
      </w:divBdr>
    </w:div>
    <w:div w:id="524371681">
      <w:bodyDiv w:val="1"/>
      <w:marLeft w:val="0"/>
      <w:marRight w:val="0"/>
      <w:marTop w:val="0"/>
      <w:marBottom w:val="0"/>
      <w:divBdr>
        <w:top w:val="none" w:sz="0" w:space="0" w:color="auto"/>
        <w:left w:val="none" w:sz="0" w:space="0" w:color="auto"/>
        <w:bottom w:val="none" w:sz="0" w:space="0" w:color="auto"/>
        <w:right w:val="none" w:sz="0" w:space="0" w:color="auto"/>
      </w:divBdr>
    </w:div>
    <w:div w:id="565142938">
      <w:bodyDiv w:val="1"/>
      <w:marLeft w:val="0"/>
      <w:marRight w:val="0"/>
      <w:marTop w:val="0"/>
      <w:marBottom w:val="0"/>
      <w:divBdr>
        <w:top w:val="none" w:sz="0" w:space="0" w:color="auto"/>
        <w:left w:val="none" w:sz="0" w:space="0" w:color="auto"/>
        <w:bottom w:val="none" w:sz="0" w:space="0" w:color="auto"/>
        <w:right w:val="none" w:sz="0" w:space="0" w:color="auto"/>
      </w:divBdr>
    </w:div>
    <w:div w:id="580679308">
      <w:bodyDiv w:val="1"/>
      <w:marLeft w:val="0"/>
      <w:marRight w:val="0"/>
      <w:marTop w:val="0"/>
      <w:marBottom w:val="0"/>
      <w:divBdr>
        <w:top w:val="none" w:sz="0" w:space="0" w:color="auto"/>
        <w:left w:val="none" w:sz="0" w:space="0" w:color="auto"/>
        <w:bottom w:val="none" w:sz="0" w:space="0" w:color="auto"/>
        <w:right w:val="none" w:sz="0" w:space="0" w:color="auto"/>
      </w:divBdr>
    </w:div>
    <w:div w:id="589892012">
      <w:bodyDiv w:val="1"/>
      <w:marLeft w:val="0"/>
      <w:marRight w:val="0"/>
      <w:marTop w:val="0"/>
      <w:marBottom w:val="0"/>
      <w:divBdr>
        <w:top w:val="none" w:sz="0" w:space="0" w:color="auto"/>
        <w:left w:val="none" w:sz="0" w:space="0" w:color="auto"/>
        <w:bottom w:val="none" w:sz="0" w:space="0" w:color="auto"/>
        <w:right w:val="none" w:sz="0" w:space="0" w:color="auto"/>
      </w:divBdr>
    </w:div>
    <w:div w:id="596132210">
      <w:bodyDiv w:val="1"/>
      <w:marLeft w:val="0"/>
      <w:marRight w:val="0"/>
      <w:marTop w:val="0"/>
      <w:marBottom w:val="0"/>
      <w:divBdr>
        <w:top w:val="none" w:sz="0" w:space="0" w:color="auto"/>
        <w:left w:val="none" w:sz="0" w:space="0" w:color="auto"/>
        <w:bottom w:val="none" w:sz="0" w:space="0" w:color="auto"/>
        <w:right w:val="none" w:sz="0" w:space="0" w:color="auto"/>
      </w:divBdr>
    </w:div>
    <w:div w:id="600379408">
      <w:bodyDiv w:val="1"/>
      <w:marLeft w:val="0"/>
      <w:marRight w:val="0"/>
      <w:marTop w:val="0"/>
      <w:marBottom w:val="0"/>
      <w:divBdr>
        <w:top w:val="none" w:sz="0" w:space="0" w:color="auto"/>
        <w:left w:val="none" w:sz="0" w:space="0" w:color="auto"/>
        <w:bottom w:val="none" w:sz="0" w:space="0" w:color="auto"/>
        <w:right w:val="none" w:sz="0" w:space="0" w:color="auto"/>
      </w:divBdr>
    </w:div>
    <w:div w:id="600449630">
      <w:bodyDiv w:val="1"/>
      <w:marLeft w:val="0"/>
      <w:marRight w:val="0"/>
      <w:marTop w:val="0"/>
      <w:marBottom w:val="0"/>
      <w:divBdr>
        <w:top w:val="none" w:sz="0" w:space="0" w:color="auto"/>
        <w:left w:val="none" w:sz="0" w:space="0" w:color="auto"/>
        <w:bottom w:val="none" w:sz="0" w:space="0" w:color="auto"/>
        <w:right w:val="none" w:sz="0" w:space="0" w:color="auto"/>
      </w:divBdr>
    </w:div>
    <w:div w:id="628173899">
      <w:bodyDiv w:val="1"/>
      <w:marLeft w:val="0"/>
      <w:marRight w:val="0"/>
      <w:marTop w:val="0"/>
      <w:marBottom w:val="0"/>
      <w:divBdr>
        <w:top w:val="none" w:sz="0" w:space="0" w:color="auto"/>
        <w:left w:val="none" w:sz="0" w:space="0" w:color="auto"/>
        <w:bottom w:val="none" w:sz="0" w:space="0" w:color="auto"/>
        <w:right w:val="none" w:sz="0" w:space="0" w:color="auto"/>
      </w:divBdr>
    </w:div>
    <w:div w:id="663780522">
      <w:bodyDiv w:val="1"/>
      <w:marLeft w:val="0"/>
      <w:marRight w:val="0"/>
      <w:marTop w:val="0"/>
      <w:marBottom w:val="0"/>
      <w:divBdr>
        <w:top w:val="none" w:sz="0" w:space="0" w:color="auto"/>
        <w:left w:val="none" w:sz="0" w:space="0" w:color="auto"/>
        <w:bottom w:val="none" w:sz="0" w:space="0" w:color="auto"/>
        <w:right w:val="none" w:sz="0" w:space="0" w:color="auto"/>
      </w:divBdr>
    </w:div>
    <w:div w:id="669412221">
      <w:bodyDiv w:val="1"/>
      <w:marLeft w:val="0"/>
      <w:marRight w:val="0"/>
      <w:marTop w:val="0"/>
      <w:marBottom w:val="0"/>
      <w:divBdr>
        <w:top w:val="none" w:sz="0" w:space="0" w:color="auto"/>
        <w:left w:val="none" w:sz="0" w:space="0" w:color="auto"/>
        <w:bottom w:val="none" w:sz="0" w:space="0" w:color="auto"/>
        <w:right w:val="none" w:sz="0" w:space="0" w:color="auto"/>
      </w:divBdr>
    </w:div>
    <w:div w:id="737820995">
      <w:bodyDiv w:val="1"/>
      <w:marLeft w:val="0"/>
      <w:marRight w:val="0"/>
      <w:marTop w:val="0"/>
      <w:marBottom w:val="0"/>
      <w:divBdr>
        <w:top w:val="none" w:sz="0" w:space="0" w:color="auto"/>
        <w:left w:val="none" w:sz="0" w:space="0" w:color="auto"/>
        <w:bottom w:val="none" w:sz="0" w:space="0" w:color="auto"/>
        <w:right w:val="none" w:sz="0" w:space="0" w:color="auto"/>
      </w:divBdr>
    </w:div>
    <w:div w:id="746657072">
      <w:bodyDiv w:val="1"/>
      <w:marLeft w:val="0"/>
      <w:marRight w:val="0"/>
      <w:marTop w:val="0"/>
      <w:marBottom w:val="0"/>
      <w:divBdr>
        <w:top w:val="none" w:sz="0" w:space="0" w:color="auto"/>
        <w:left w:val="none" w:sz="0" w:space="0" w:color="auto"/>
        <w:bottom w:val="none" w:sz="0" w:space="0" w:color="auto"/>
        <w:right w:val="none" w:sz="0" w:space="0" w:color="auto"/>
      </w:divBdr>
    </w:div>
    <w:div w:id="772869449">
      <w:bodyDiv w:val="1"/>
      <w:marLeft w:val="0"/>
      <w:marRight w:val="0"/>
      <w:marTop w:val="0"/>
      <w:marBottom w:val="0"/>
      <w:divBdr>
        <w:top w:val="none" w:sz="0" w:space="0" w:color="auto"/>
        <w:left w:val="none" w:sz="0" w:space="0" w:color="auto"/>
        <w:bottom w:val="none" w:sz="0" w:space="0" w:color="auto"/>
        <w:right w:val="none" w:sz="0" w:space="0" w:color="auto"/>
      </w:divBdr>
    </w:div>
    <w:div w:id="791483463">
      <w:bodyDiv w:val="1"/>
      <w:marLeft w:val="0"/>
      <w:marRight w:val="0"/>
      <w:marTop w:val="0"/>
      <w:marBottom w:val="0"/>
      <w:divBdr>
        <w:top w:val="none" w:sz="0" w:space="0" w:color="auto"/>
        <w:left w:val="none" w:sz="0" w:space="0" w:color="auto"/>
        <w:bottom w:val="none" w:sz="0" w:space="0" w:color="auto"/>
        <w:right w:val="none" w:sz="0" w:space="0" w:color="auto"/>
      </w:divBdr>
    </w:div>
    <w:div w:id="801464864">
      <w:bodyDiv w:val="1"/>
      <w:marLeft w:val="0"/>
      <w:marRight w:val="0"/>
      <w:marTop w:val="0"/>
      <w:marBottom w:val="0"/>
      <w:divBdr>
        <w:top w:val="none" w:sz="0" w:space="0" w:color="auto"/>
        <w:left w:val="none" w:sz="0" w:space="0" w:color="auto"/>
        <w:bottom w:val="none" w:sz="0" w:space="0" w:color="auto"/>
        <w:right w:val="none" w:sz="0" w:space="0" w:color="auto"/>
      </w:divBdr>
    </w:div>
    <w:div w:id="808016263">
      <w:bodyDiv w:val="1"/>
      <w:marLeft w:val="0"/>
      <w:marRight w:val="0"/>
      <w:marTop w:val="0"/>
      <w:marBottom w:val="0"/>
      <w:divBdr>
        <w:top w:val="none" w:sz="0" w:space="0" w:color="auto"/>
        <w:left w:val="none" w:sz="0" w:space="0" w:color="auto"/>
        <w:bottom w:val="none" w:sz="0" w:space="0" w:color="auto"/>
        <w:right w:val="none" w:sz="0" w:space="0" w:color="auto"/>
      </w:divBdr>
    </w:div>
    <w:div w:id="816654063">
      <w:bodyDiv w:val="1"/>
      <w:marLeft w:val="0"/>
      <w:marRight w:val="0"/>
      <w:marTop w:val="0"/>
      <w:marBottom w:val="0"/>
      <w:divBdr>
        <w:top w:val="none" w:sz="0" w:space="0" w:color="auto"/>
        <w:left w:val="none" w:sz="0" w:space="0" w:color="auto"/>
        <w:bottom w:val="none" w:sz="0" w:space="0" w:color="auto"/>
        <w:right w:val="none" w:sz="0" w:space="0" w:color="auto"/>
      </w:divBdr>
    </w:div>
    <w:div w:id="872960813">
      <w:bodyDiv w:val="1"/>
      <w:marLeft w:val="0"/>
      <w:marRight w:val="0"/>
      <w:marTop w:val="0"/>
      <w:marBottom w:val="0"/>
      <w:divBdr>
        <w:top w:val="none" w:sz="0" w:space="0" w:color="auto"/>
        <w:left w:val="none" w:sz="0" w:space="0" w:color="auto"/>
        <w:bottom w:val="none" w:sz="0" w:space="0" w:color="auto"/>
        <w:right w:val="none" w:sz="0" w:space="0" w:color="auto"/>
      </w:divBdr>
    </w:div>
    <w:div w:id="918517416">
      <w:bodyDiv w:val="1"/>
      <w:marLeft w:val="0"/>
      <w:marRight w:val="0"/>
      <w:marTop w:val="0"/>
      <w:marBottom w:val="0"/>
      <w:divBdr>
        <w:top w:val="none" w:sz="0" w:space="0" w:color="auto"/>
        <w:left w:val="none" w:sz="0" w:space="0" w:color="auto"/>
        <w:bottom w:val="none" w:sz="0" w:space="0" w:color="auto"/>
        <w:right w:val="none" w:sz="0" w:space="0" w:color="auto"/>
      </w:divBdr>
    </w:div>
    <w:div w:id="920916208">
      <w:bodyDiv w:val="1"/>
      <w:marLeft w:val="0"/>
      <w:marRight w:val="0"/>
      <w:marTop w:val="0"/>
      <w:marBottom w:val="0"/>
      <w:divBdr>
        <w:top w:val="none" w:sz="0" w:space="0" w:color="auto"/>
        <w:left w:val="none" w:sz="0" w:space="0" w:color="auto"/>
        <w:bottom w:val="none" w:sz="0" w:space="0" w:color="auto"/>
        <w:right w:val="none" w:sz="0" w:space="0" w:color="auto"/>
      </w:divBdr>
    </w:div>
    <w:div w:id="944772200">
      <w:bodyDiv w:val="1"/>
      <w:marLeft w:val="0"/>
      <w:marRight w:val="0"/>
      <w:marTop w:val="0"/>
      <w:marBottom w:val="0"/>
      <w:divBdr>
        <w:top w:val="none" w:sz="0" w:space="0" w:color="auto"/>
        <w:left w:val="none" w:sz="0" w:space="0" w:color="auto"/>
        <w:bottom w:val="none" w:sz="0" w:space="0" w:color="auto"/>
        <w:right w:val="none" w:sz="0" w:space="0" w:color="auto"/>
      </w:divBdr>
    </w:div>
    <w:div w:id="971784831">
      <w:bodyDiv w:val="1"/>
      <w:marLeft w:val="0"/>
      <w:marRight w:val="0"/>
      <w:marTop w:val="0"/>
      <w:marBottom w:val="0"/>
      <w:divBdr>
        <w:top w:val="none" w:sz="0" w:space="0" w:color="auto"/>
        <w:left w:val="none" w:sz="0" w:space="0" w:color="auto"/>
        <w:bottom w:val="none" w:sz="0" w:space="0" w:color="auto"/>
        <w:right w:val="none" w:sz="0" w:space="0" w:color="auto"/>
      </w:divBdr>
    </w:div>
    <w:div w:id="997417575">
      <w:bodyDiv w:val="1"/>
      <w:marLeft w:val="0"/>
      <w:marRight w:val="0"/>
      <w:marTop w:val="0"/>
      <w:marBottom w:val="0"/>
      <w:divBdr>
        <w:top w:val="none" w:sz="0" w:space="0" w:color="auto"/>
        <w:left w:val="none" w:sz="0" w:space="0" w:color="auto"/>
        <w:bottom w:val="none" w:sz="0" w:space="0" w:color="auto"/>
        <w:right w:val="none" w:sz="0" w:space="0" w:color="auto"/>
      </w:divBdr>
    </w:div>
    <w:div w:id="1032533416">
      <w:bodyDiv w:val="1"/>
      <w:marLeft w:val="0"/>
      <w:marRight w:val="0"/>
      <w:marTop w:val="0"/>
      <w:marBottom w:val="0"/>
      <w:divBdr>
        <w:top w:val="none" w:sz="0" w:space="0" w:color="auto"/>
        <w:left w:val="none" w:sz="0" w:space="0" w:color="auto"/>
        <w:bottom w:val="none" w:sz="0" w:space="0" w:color="auto"/>
        <w:right w:val="none" w:sz="0" w:space="0" w:color="auto"/>
      </w:divBdr>
    </w:div>
    <w:div w:id="1103064309">
      <w:bodyDiv w:val="1"/>
      <w:marLeft w:val="0"/>
      <w:marRight w:val="0"/>
      <w:marTop w:val="0"/>
      <w:marBottom w:val="0"/>
      <w:divBdr>
        <w:top w:val="none" w:sz="0" w:space="0" w:color="auto"/>
        <w:left w:val="none" w:sz="0" w:space="0" w:color="auto"/>
        <w:bottom w:val="none" w:sz="0" w:space="0" w:color="auto"/>
        <w:right w:val="none" w:sz="0" w:space="0" w:color="auto"/>
      </w:divBdr>
    </w:div>
    <w:div w:id="1146239296">
      <w:bodyDiv w:val="1"/>
      <w:marLeft w:val="0"/>
      <w:marRight w:val="0"/>
      <w:marTop w:val="0"/>
      <w:marBottom w:val="0"/>
      <w:divBdr>
        <w:top w:val="none" w:sz="0" w:space="0" w:color="auto"/>
        <w:left w:val="none" w:sz="0" w:space="0" w:color="auto"/>
        <w:bottom w:val="none" w:sz="0" w:space="0" w:color="auto"/>
        <w:right w:val="none" w:sz="0" w:space="0" w:color="auto"/>
      </w:divBdr>
    </w:div>
    <w:div w:id="1146700955">
      <w:bodyDiv w:val="1"/>
      <w:marLeft w:val="0"/>
      <w:marRight w:val="0"/>
      <w:marTop w:val="0"/>
      <w:marBottom w:val="0"/>
      <w:divBdr>
        <w:top w:val="none" w:sz="0" w:space="0" w:color="auto"/>
        <w:left w:val="none" w:sz="0" w:space="0" w:color="auto"/>
        <w:bottom w:val="none" w:sz="0" w:space="0" w:color="auto"/>
        <w:right w:val="none" w:sz="0" w:space="0" w:color="auto"/>
      </w:divBdr>
    </w:div>
    <w:div w:id="1169061620">
      <w:bodyDiv w:val="1"/>
      <w:marLeft w:val="0"/>
      <w:marRight w:val="0"/>
      <w:marTop w:val="0"/>
      <w:marBottom w:val="0"/>
      <w:divBdr>
        <w:top w:val="none" w:sz="0" w:space="0" w:color="auto"/>
        <w:left w:val="none" w:sz="0" w:space="0" w:color="auto"/>
        <w:bottom w:val="none" w:sz="0" w:space="0" w:color="auto"/>
        <w:right w:val="none" w:sz="0" w:space="0" w:color="auto"/>
      </w:divBdr>
    </w:div>
    <w:div w:id="1174303802">
      <w:bodyDiv w:val="1"/>
      <w:marLeft w:val="0"/>
      <w:marRight w:val="0"/>
      <w:marTop w:val="0"/>
      <w:marBottom w:val="0"/>
      <w:divBdr>
        <w:top w:val="none" w:sz="0" w:space="0" w:color="auto"/>
        <w:left w:val="none" w:sz="0" w:space="0" w:color="auto"/>
        <w:bottom w:val="none" w:sz="0" w:space="0" w:color="auto"/>
        <w:right w:val="none" w:sz="0" w:space="0" w:color="auto"/>
      </w:divBdr>
    </w:div>
    <w:div w:id="1209687486">
      <w:bodyDiv w:val="1"/>
      <w:marLeft w:val="0"/>
      <w:marRight w:val="0"/>
      <w:marTop w:val="0"/>
      <w:marBottom w:val="0"/>
      <w:divBdr>
        <w:top w:val="none" w:sz="0" w:space="0" w:color="auto"/>
        <w:left w:val="none" w:sz="0" w:space="0" w:color="auto"/>
        <w:bottom w:val="none" w:sz="0" w:space="0" w:color="auto"/>
        <w:right w:val="none" w:sz="0" w:space="0" w:color="auto"/>
      </w:divBdr>
    </w:div>
    <w:div w:id="1217355577">
      <w:bodyDiv w:val="1"/>
      <w:marLeft w:val="0"/>
      <w:marRight w:val="0"/>
      <w:marTop w:val="0"/>
      <w:marBottom w:val="0"/>
      <w:divBdr>
        <w:top w:val="none" w:sz="0" w:space="0" w:color="auto"/>
        <w:left w:val="none" w:sz="0" w:space="0" w:color="auto"/>
        <w:bottom w:val="none" w:sz="0" w:space="0" w:color="auto"/>
        <w:right w:val="none" w:sz="0" w:space="0" w:color="auto"/>
      </w:divBdr>
    </w:div>
    <w:div w:id="1218933480">
      <w:bodyDiv w:val="1"/>
      <w:marLeft w:val="0"/>
      <w:marRight w:val="0"/>
      <w:marTop w:val="0"/>
      <w:marBottom w:val="0"/>
      <w:divBdr>
        <w:top w:val="none" w:sz="0" w:space="0" w:color="auto"/>
        <w:left w:val="none" w:sz="0" w:space="0" w:color="auto"/>
        <w:bottom w:val="none" w:sz="0" w:space="0" w:color="auto"/>
        <w:right w:val="none" w:sz="0" w:space="0" w:color="auto"/>
      </w:divBdr>
    </w:div>
    <w:div w:id="1237784861">
      <w:bodyDiv w:val="1"/>
      <w:marLeft w:val="0"/>
      <w:marRight w:val="0"/>
      <w:marTop w:val="0"/>
      <w:marBottom w:val="0"/>
      <w:divBdr>
        <w:top w:val="none" w:sz="0" w:space="0" w:color="auto"/>
        <w:left w:val="none" w:sz="0" w:space="0" w:color="auto"/>
        <w:bottom w:val="none" w:sz="0" w:space="0" w:color="auto"/>
        <w:right w:val="none" w:sz="0" w:space="0" w:color="auto"/>
      </w:divBdr>
    </w:div>
    <w:div w:id="1308363781">
      <w:bodyDiv w:val="1"/>
      <w:marLeft w:val="0"/>
      <w:marRight w:val="0"/>
      <w:marTop w:val="0"/>
      <w:marBottom w:val="0"/>
      <w:divBdr>
        <w:top w:val="none" w:sz="0" w:space="0" w:color="auto"/>
        <w:left w:val="none" w:sz="0" w:space="0" w:color="auto"/>
        <w:bottom w:val="none" w:sz="0" w:space="0" w:color="auto"/>
        <w:right w:val="none" w:sz="0" w:space="0" w:color="auto"/>
      </w:divBdr>
    </w:div>
    <w:div w:id="1392265363">
      <w:bodyDiv w:val="1"/>
      <w:marLeft w:val="0"/>
      <w:marRight w:val="0"/>
      <w:marTop w:val="0"/>
      <w:marBottom w:val="0"/>
      <w:divBdr>
        <w:top w:val="none" w:sz="0" w:space="0" w:color="auto"/>
        <w:left w:val="none" w:sz="0" w:space="0" w:color="auto"/>
        <w:bottom w:val="none" w:sz="0" w:space="0" w:color="auto"/>
        <w:right w:val="none" w:sz="0" w:space="0" w:color="auto"/>
      </w:divBdr>
    </w:div>
    <w:div w:id="1402369376">
      <w:bodyDiv w:val="1"/>
      <w:marLeft w:val="0"/>
      <w:marRight w:val="0"/>
      <w:marTop w:val="0"/>
      <w:marBottom w:val="0"/>
      <w:divBdr>
        <w:top w:val="none" w:sz="0" w:space="0" w:color="auto"/>
        <w:left w:val="none" w:sz="0" w:space="0" w:color="auto"/>
        <w:bottom w:val="none" w:sz="0" w:space="0" w:color="auto"/>
        <w:right w:val="none" w:sz="0" w:space="0" w:color="auto"/>
      </w:divBdr>
    </w:div>
    <w:div w:id="1402407506">
      <w:bodyDiv w:val="1"/>
      <w:marLeft w:val="0"/>
      <w:marRight w:val="0"/>
      <w:marTop w:val="0"/>
      <w:marBottom w:val="0"/>
      <w:divBdr>
        <w:top w:val="none" w:sz="0" w:space="0" w:color="auto"/>
        <w:left w:val="none" w:sz="0" w:space="0" w:color="auto"/>
        <w:bottom w:val="none" w:sz="0" w:space="0" w:color="auto"/>
        <w:right w:val="none" w:sz="0" w:space="0" w:color="auto"/>
      </w:divBdr>
    </w:div>
    <w:div w:id="1438255763">
      <w:bodyDiv w:val="1"/>
      <w:marLeft w:val="0"/>
      <w:marRight w:val="0"/>
      <w:marTop w:val="0"/>
      <w:marBottom w:val="0"/>
      <w:divBdr>
        <w:top w:val="none" w:sz="0" w:space="0" w:color="auto"/>
        <w:left w:val="none" w:sz="0" w:space="0" w:color="auto"/>
        <w:bottom w:val="none" w:sz="0" w:space="0" w:color="auto"/>
        <w:right w:val="none" w:sz="0" w:space="0" w:color="auto"/>
      </w:divBdr>
    </w:div>
    <w:div w:id="1489520719">
      <w:bodyDiv w:val="1"/>
      <w:marLeft w:val="0"/>
      <w:marRight w:val="0"/>
      <w:marTop w:val="0"/>
      <w:marBottom w:val="0"/>
      <w:divBdr>
        <w:top w:val="none" w:sz="0" w:space="0" w:color="auto"/>
        <w:left w:val="none" w:sz="0" w:space="0" w:color="auto"/>
        <w:bottom w:val="none" w:sz="0" w:space="0" w:color="auto"/>
        <w:right w:val="none" w:sz="0" w:space="0" w:color="auto"/>
      </w:divBdr>
    </w:div>
    <w:div w:id="1527909627">
      <w:bodyDiv w:val="1"/>
      <w:marLeft w:val="0"/>
      <w:marRight w:val="0"/>
      <w:marTop w:val="0"/>
      <w:marBottom w:val="0"/>
      <w:divBdr>
        <w:top w:val="none" w:sz="0" w:space="0" w:color="auto"/>
        <w:left w:val="none" w:sz="0" w:space="0" w:color="auto"/>
        <w:bottom w:val="none" w:sz="0" w:space="0" w:color="auto"/>
        <w:right w:val="none" w:sz="0" w:space="0" w:color="auto"/>
      </w:divBdr>
    </w:div>
    <w:div w:id="1530558591">
      <w:bodyDiv w:val="1"/>
      <w:marLeft w:val="0"/>
      <w:marRight w:val="0"/>
      <w:marTop w:val="0"/>
      <w:marBottom w:val="0"/>
      <w:divBdr>
        <w:top w:val="none" w:sz="0" w:space="0" w:color="auto"/>
        <w:left w:val="none" w:sz="0" w:space="0" w:color="auto"/>
        <w:bottom w:val="none" w:sz="0" w:space="0" w:color="auto"/>
        <w:right w:val="none" w:sz="0" w:space="0" w:color="auto"/>
      </w:divBdr>
    </w:div>
    <w:div w:id="1551182996">
      <w:bodyDiv w:val="1"/>
      <w:marLeft w:val="0"/>
      <w:marRight w:val="0"/>
      <w:marTop w:val="0"/>
      <w:marBottom w:val="0"/>
      <w:divBdr>
        <w:top w:val="none" w:sz="0" w:space="0" w:color="auto"/>
        <w:left w:val="none" w:sz="0" w:space="0" w:color="auto"/>
        <w:bottom w:val="none" w:sz="0" w:space="0" w:color="auto"/>
        <w:right w:val="none" w:sz="0" w:space="0" w:color="auto"/>
      </w:divBdr>
    </w:div>
    <w:div w:id="1564561538">
      <w:bodyDiv w:val="1"/>
      <w:marLeft w:val="0"/>
      <w:marRight w:val="0"/>
      <w:marTop w:val="0"/>
      <w:marBottom w:val="0"/>
      <w:divBdr>
        <w:top w:val="none" w:sz="0" w:space="0" w:color="auto"/>
        <w:left w:val="none" w:sz="0" w:space="0" w:color="auto"/>
        <w:bottom w:val="none" w:sz="0" w:space="0" w:color="auto"/>
        <w:right w:val="none" w:sz="0" w:space="0" w:color="auto"/>
      </w:divBdr>
    </w:div>
    <w:div w:id="1586648737">
      <w:bodyDiv w:val="1"/>
      <w:marLeft w:val="0"/>
      <w:marRight w:val="0"/>
      <w:marTop w:val="0"/>
      <w:marBottom w:val="0"/>
      <w:divBdr>
        <w:top w:val="none" w:sz="0" w:space="0" w:color="auto"/>
        <w:left w:val="none" w:sz="0" w:space="0" w:color="auto"/>
        <w:bottom w:val="none" w:sz="0" w:space="0" w:color="auto"/>
        <w:right w:val="none" w:sz="0" w:space="0" w:color="auto"/>
      </w:divBdr>
    </w:div>
    <w:div w:id="1588005041">
      <w:bodyDiv w:val="1"/>
      <w:marLeft w:val="0"/>
      <w:marRight w:val="0"/>
      <w:marTop w:val="0"/>
      <w:marBottom w:val="0"/>
      <w:divBdr>
        <w:top w:val="none" w:sz="0" w:space="0" w:color="auto"/>
        <w:left w:val="none" w:sz="0" w:space="0" w:color="auto"/>
        <w:bottom w:val="none" w:sz="0" w:space="0" w:color="auto"/>
        <w:right w:val="none" w:sz="0" w:space="0" w:color="auto"/>
      </w:divBdr>
    </w:div>
    <w:div w:id="1617369941">
      <w:bodyDiv w:val="1"/>
      <w:marLeft w:val="0"/>
      <w:marRight w:val="0"/>
      <w:marTop w:val="0"/>
      <w:marBottom w:val="0"/>
      <w:divBdr>
        <w:top w:val="none" w:sz="0" w:space="0" w:color="auto"/>
        <w:left w:val="none" w:sz="0" w:space="0" w:color="auto"/>
        <w:bottom w:val="none" w:sz="0" w:space="0" w:color="auto"/>
        <w:right w:val="none" w:sz="0" w:space="0" w:color="auto"/>
      </w:divBdr>
    </w:div>
    <w:div w:id="1655717116">
      <w:bodyDiv w:val="1"/>
      <w:marLeft w:val="0"/>
      <w:marRight w:val="0"/>
      <w:marTop w:val="0"/>
      <w:marBottom w:val="0"/>
      <w:divBdr>
        <w:top w:val="none" w:sz="0" w:space="0" w:color="auto"/>
        <w:left w:val="none" w:sz="0" w:space="0" w:color="auto"/>
        <w:bottom w:val="none" w:sz="0" w:space="0" w:color="auto"/>
        <w:right w:val="none" w:sz="0" w:space="0" w:color="auto"/>
      </w:divBdr>
    </w:div>
    <w:div w:id="1661808601">
      <w:bodyDiv w:val="1"/>
      <w:marLeft w:val="0"/>
      <w:marRight w:val="0"/>
      <w:marTop w:val="0"/>
      <w:marBottom w:val="0"/>
      <w:divBdr>
        <w:top w:val="none" w:sz="0" w:space="0" w:color="auto"/>
        <w:left w:val="none" w:sz="0" w:space="0" w:color="auto"/>
        <w:bottom w:val="none" w:sz="0" w:space="0" w:color="auto"/>
        <w:right w:val="none" w:sz="0" w:space="0" w:color="auto"/>
      </w:divBdr>
    </w:div>
    <w:div w:id="1696732616">
      <w:bodyDiv w:val="1"/>
      <w:marLeft w:val="0"/>
      <w:marRight w:val="0"/>
      <w:marTop w:val="0"/>
      <w:marBottom w:val="0"/>
      <w:divBdr>
        <w:top w:val="none" w:sz="0" w:space="0" w:color="auto"/>
        <w:left w:val="none" w:sz="0" w:space="0" w:color="auto"/>
        <w:bottom w:val="none" w:sz="0" w:space="0" w:color="auto"/>
        <w:right w:val="none" w:sz="0" w:space="0" w:color="auto"/>
      </w:divBdr>
    </w:div>
    <w:div w:id="1707178584">
      <w:bodyDiv w:val="1"/>
      <w:marLeft w:val="0"/>
      <w:marRight w:val="0"/>
      <w:marTop w:val="0"/>
      <w:marBottom w:val="0"/>
      <w:divBdr>
        <w:top w:val="none" w:sz="0" w:space="0" w:color="auto"/>
        <w:left w:val="none" w:sz="0" w:space="0" w:color="auto"/>
        <w:bottom w:val="none" w:sz="0" w:space="0" w:color="auto"/>
        <w:right w:val="none" w:sz="0" w:space="0" w:color="auto"/>
      </w:divBdr>
    </w:div>
    <w:div w:id="1743336560">
      <w:bodyDiv w:val="1"/>
      <w:marLeft w:val="0"/>
      <w:marRight w:val="0"/>
      <w:marTop w:val="0"/>
      <w:marBottom w:val="0"/>
      <w:divBdr>
        <w:top w:val="none" w:sz="0" w:space="0" w:color="auto"/>
        <w:left w:val="none" w:sz="0" w:space="0" w:color="auto"/>
        <w:bottom w:val="none" w:sz="0" w:space="0" w:color="auto"/>
        <w:right w:val="none" w:sz="0" w:space="0" w:color="auto"/>
      </w:divBdr>
    </w:div>
    <w:div w:id="1760760543">
      <w:bodyDiv w:val="1"/>
      <w:marLeft w:val="0"/>
      <w:marRight w:val="0"/>
      <w:marTop w:val="0"/>
      <w:marBottom w:val="0"/>
      <w:divBdr>
        <w:top w:val="none" w:sz="0" w:space="0" w:color="auto"/>
        <w:left w:val="none" w:sz="0" w:space="0" w:color="auto"/>
        <w:bottom w:val="none" w:sz="0" w:space="0" w:color="auto"/>
        <w:right w:val="none" w:sz="0" w:space="0" w:color="auto"/>
      </w:divBdr>
    </w:div>
    <w:div w:id="1790969124">
      <w:bodyDiv w:val="1"/>
      <w:marLeft w:val="0"/>
      <w:marRight w:val="0"/>
      <w:marTop w:val="0"/>
      <w:marBottom w:val="0"/>
      <w:divBdr>
        <w:top w:val="none" w:sz="0" w:space="0" w:color="auto"/>
        <w:left w:val="none" w:sz="0" w:space="0" w:color="auto"/>
        <w:bottom w:val="none" w:sz="0" w:space="0" w:color="auto"/>
        <w:right w:val="none" w:sz="0" w:space="0" w:color="auto"/>
      </w:divBdr>
    </w:div>
    <w:div w:id="1828857629">
      <w:bodyDiv w:val="1"/>
      <w:marLeft w:val="0"/>
      <w:marRight w:val="0"/>
      <w:marTop w:val="0"/>
      <w:marBottom w:val="0"/>
      <w:divBdr>
        <w:top w:val="none" w:sz="0" w:space="0" w:color="auto"/>
        <w:left w:val="none" w:sz="0" w:space="0" w:color="auto"/>
        <w:bottom w:val="none" w:sz="0" w:space="0" w:color="auto"/>
        <w:right w:val="none" w:sz="0" w:space="0" w:color="auto"/>
      </w:divBdr>
    </w:div>
    <w:div w:id="1874264404">
      <w:bodyDiv w:val="1"/>
      <w:marLeft w:val="0"/>
      <w:marRight w:val="0"/>
      <w:marTop w:val="0"/>
      <w:marBottom w:val="0"/>
      <w:divBdr>
        <w:top w:val="none" w:sz="0" w:space="0" w:color="auto"/>
        <w:left w:val="none" w:sz="0" w:space="0" w:color="auto"/>
        <w:bottom w:val="none" w:sz="0" w:space="0" w:color="auto"/>
        <w:right w:val="none" w:sz="0" w:space="0" w:color="auto"/>
      </w:divBdr>
    </w:div>
    <w:div w:id="1897009803">
      <w:bodyDiv w:val="1"/>
      <w:marLeft w:val="0"/>
      <w:marRight w:val="0"/>
      <w:marTop w:val="0"/>
      <w:marBottom w:val="0"/>
      <w:divBdr>
        <w:top w:val="none" w:sz="0" w:space="0" w:color="auto"/>
        <w:left w:val="none" w:sz="0" w:space="0" w:color="auto"/>
        <w:bottom w:val="none" w:sz="0" w:space="0" w:color="auto"/>
        <w:right w:val="none" w:sz="0" w:space="0" w:color="auto"/>
      </w:divBdr>
    </w:div>
    <w:div w:id="1906798917">
      <w:bodyDiv w:val="1"/>
      <w:marLeft w:val="0"/>
      <w:marRight w:val="0"/>
      <w:marTop w:val="0"/>
      <w:marBottom w:val="0"/>
      <w:divBdr>
        <w:top w:val="none" w:sz="0" w:space="0" w:color="auto"/>
        <w:left w:val="none" w:sz="0" w:space="0" w:color="auto"/>
        <w:bottom w:val="none" w:sz="0" w:space="0" w:color="auto"/>
        <w:right w:val="none" w:sz="0" w:space="0" w:color="auto"/>
      </w:divBdr>
    </w:div>
    <w:div w:id="1947957706">
      <w:bodyDiv w:val="1"/>
      <w:marLeft w:val="0"/>
      <w:marRight w:val="0"/>
      <w:marTop w:val="0"/>
      <w:marBottom w:val="0"/>
      <w:divBdr>
        <w:top w:val="none" w:sz="0" w:space="0" w:color="auto"/>
        <w:left w:val="none" w:sz="0" w:space="0" w:color="auto"/>
        <w:bottom w:val="none" w:sz="0" w:space="0" w:color="auto"/>
        <w:right w:val="none" w:sz="0" w:space="0" w:color="auto"/>
      </w:divBdr>
    </w:div>
    <w:div w:id="1984385263">
      <w:bodyDiv w:val="1"/>
      <w:marLeft w:val="0"/>
      <w:marRight w:val="0"/>
      <w:marTop w:val="0"/>
      <w:marBottom w:val="0"/>
      <w:divBdr>
        <w:top w:val="none" w:sz="0" w:space="0" w:color="auto"/>
        <w:left w:val="none" w:sz="0" w:space="0" w:color="auto"/>
        <w:bottom w:val="none" w:sz="0" w:space="0" w:color="auto"/>
        <w:right w:val="none" w:sz="0" w:space="0" w:color="auto"/>
      </w:divBdr>
    </w:div>
    <w:div w:id="2022777516">
      <w:bodyDiv w:val="1"/>
      <w:marLeft w:val="0"/>
      <w:marRight w:val="0"/>
      <w:marTop w:val="0"/>
      <w:marBottom w:val="0"/>
      <w:divBdr>
        <w:top w:val="none" w:sz="0" w:space="0" w:color="auto"/>
        <w:left w:val="none" w:sz="0" w:space="0" w:color="auto"/>
        <w:bottom w:val="none" w:sz="0" w:space="0" w:color="auto"/>
        <w:right w:val="none" w:sz="0" w:space="0" w:color="auto"/>
      </w:divBdr>
    </w:div>
    <w:div w:id="2053070584">
      <w:bodyDiv w:val="1"/>
      <w:marLeft w:val="0"/>
      <w:marRight w:val="0"/>
      <w:marTop w:val="0"/>
      <w:marBottom w:val="0"/>
      <w:divBdr>
        <w:top w:val="none" w:sz="0" w:space="0" w:color="auto"/>
        <w:left w:val="none" w:sz="0" w:space="0" w:color="auto"/>
        <w:bottom w:val="none" w:sz="0" w:space="0" w:color="auto"/>
        <w:right w:val="none" w:sz="0" w:space="0" w:color="auto"/>
      </w:divBdr>
    </w:div>
    <w:div w:id="2055300855">
      <w:bodyDiv w:val="1"/>
      <w:marLeft w:val="0"/>
      <w:marRight w:val="0"/>
      <w:marTop w:val="0"/>
      <w:marBottom w:val="0"/>
      <w:divBdr>
        <w:top w:val="none" w:sz="0" w:space="0" w:color="auto"/>
        <w:left w:val="none" w:sz="0" w:space="0" w:color="auto"/>
        <w:bottom w:val="none" w:sz="0" w:space="0" w:color="auto"/>
        <w:right w:val="none" w:sz="0" w:space="0" w:color="auto"/>
      </w:divBdr>
    </w:div>
    <w:div w:id="2058895435">
      <w:bodyDiv w:val="1"/>
      <w:marLeft w:val="0"/>
      <w:marRight w:val="0"/>
      <w:marTop w:val="0"/>
      <w:marBottom w:val="0"/>
      <w:divBdr>
        <w:top w:val="none" w:sz="0" w:space="0" w:color="auto"/>
        <w:left w:val="none" w:sz="0" w:space="0" w:color="auto"/>
        <w:bottom w:val="none" w:sz="0" w:space="0" w:color="auto"/>
        <w:right w:val="none" w:sz="0" w:space="0" w:color="auto"/>
      </w:divBdr>
    </w:div>
    <w:div w:id="2067870347">
      <w:bodyDiv w:val="1"/>
      <w:marLeft w:val="0"/>
      <w:marRight w:val="0"/>
      <w:marTop w:val="0"/>
      <w:marBottom w:val="0"/>
      <w:divBdr>
        <w:top w:val="none" w:sz="0" w:space="0" w:color="auto"/>
        <w:left w:val="none" w:sz="0" w:space="0" w:color="auto"/>
        <w:bottom w:val="none" w:sz="0" w:space="0" w:color="auto"/>
        <w:right w:val="none" w:sz="0" w:space="0" w:color="auto"/>
      </w:divBdr>
    </w:div>
    <w:div w:id="2083941672">
      <w:bodyDiv w:val="1"/>
      <w:marLeft w:val="0"/>
      <w:marRight w:val="0"/>
      <w:marTop w:val="0"/>
      <w:marBottom w:val="0"/>
      <w:divBdr>
        <w:top w:val="none" w:sz="0" w:space="0" w:color="auto"/>
        <w:left w:val="none" w:sz="0" w:space="0" w:color="auto"/>
        <w:bottom w:val="none" w:sz="0" w:space="0" w:color="auto"/>
        <w:right w:val="none" w:sz="0" w:space="0" w:color="auto"/>
      </w:divBdr>
    </w:div>
    <w:div w:id="2090030550">
      <w:bodyDiv w:val="1"/>
      <w:marLeft w:val="0"/>
      <w:marRight w:val="0"/>
      <w:marTop w:val="0"/>
      <w:marBottom w:val="0"/>
      <w:divBdr>
        <w:top w:val="none" w:sz="0" w:space="0" w:color="auto"/>
        <w:left w:val="none" w:sz="0" w:space="0" w:color="auto"/>
        <w:bottom w:val="none" w:sz="0" w:space="0" w:color="auto"/>
        <w:right w:val="none" w:sz="0" w:space="0" w:color="auto"/>
      </w:divBdr>
    </w:div>
    <w:div w:id="2111387306">
      <w:bodyDiv w:val="1"/>
      <w:marLeft w:val="0"/>
      <w:marRight w:val="0"/>
      <w:marTop w:val="0"/>
      <w:marBottom w:val="0"/>
      <w:divBdr>
        <w:top w:val="none" w:sz="0" w:space="0" w:color="auto"/>
        <w:left w:val="none" w:sz="0" w:space="0" w:color="auto"/>
        <w:bottom w:val="none" w:sz="0" w:space="0" w:color="auto"/>
        <w:right w:val="none" w:sz="0" w:space="0" w:color="auto"/>
      </w:divBdr>
    </w:div>
    <w:div w:id="213116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knowledge4policy/foresight_en" TargetMode="External"/><Relationship Id="rId13" Type="http://schemas.openxmlformats.org/officeDocument/2006/relationships/hyperlink" Target="https://ec.europa.eu/info/files/factual-summary-report-public-consultation-new-consumer-agenda_bg" TargetMode="External"/><Relationship Id="rId18" Type="http://schemas.openxmlformats.org/officeDocument/2006/relationships/hyperlink" Target="http://eur-lex.europa.eu/legal-content/EN/TXT/?uri=uriserv:OJ.L_.2014.257.01.0073.01.ENG" TargetMode="External"/><Relationship Id="rId26" Type="http://schemas.openxmlformats.org/officeDocument/2006/relationships/hyperlink" Target="https://ec.europa.eu/social/main.jsp?catId=1482&amp;langId=en" TargetMode="External"/><Relationship Id="rId3" Type="http://schemas.openxmlformats.org/officeDocument/2006/relationships/hyperlink" Target="https://ec.europa.eu/info/strategy/priorities-2019-2024/european-green-deal_bg" TargetMode="External"/><Relationship Id="rId21" Type="http://schemas.openxmlformats.org/officeDocument/2006/relationships/hyperlink" Target="https://ec.europa.eu/info/live-work-travel-eu/consumers/enforcement-consumer-protection/sweeps_en" TargetMode="External"/><Relationship Id="rId7" Type="http://schemas.openxmlformats.org/officeDocument/2006/relationships/hyperlink" Target="https://ec.europa.eu/info/sites/info/files/waste_management_guidance_dg-env.pdf" TargetMode="External"/><Relationship Id="rId12" Type="http://schemas.openxmlformats.org/officeDocument/2006/relationships/hyperlink" Target="https://ec.europa.eu/growth/sectors/electrical-engineering/red-directive/common-charger_bg" TargetMode="External"/><Relationship Id="rId17" Type="http://schemas.openxmlformats.org/officeDocument/2006/relationships/hyperlink" Target="https://eur-lex.europa.eu/legal-content/EN-BG/TXT/?from=EN&amp;uri=CELEX%3A32001L0095" TargetMode="External"/><Relationship Id="rId25" Type="http://schemas.openxmlformats.org/officeDocument/2006/relationships/hyperlink" Target="https://www.europarl.europa.eu/news/en/press-room/20200525IPR79717/eu-citizens-want-more-competences-for-the-eu-to-deal-with-crises-like-covid-19" TargetMode="External"/><Relationship Id="rId2" Type="http://schemas.openxmlformats.org/officeDocument/2006/relationships/hyperlink" Target="https://ec.europa.eu/eurostat/statistics-explained/index.php/Household_consumption_by_purpose" TargetMode="External"/><Relationship Id="rId16" Type="http://schemas.openxmlformats.org/officeDocument/2006/relationships/hyperlink" Target="https://ec.europa.eu/eurostat/statistics-explained/index.php/Digital_economy_and_society_statistics_-_households_and_individuals" TargetMode="External"/><Relationship Id="rId20" Type="http://schemas.openxmlformats.org/officeDocument/2006/relationships/hyperlink" Target="https://ec.europa.eu/info/publications/200924-digital-finance-proposals_en" TargetMode="External"/><Relationship Id="rId29" Type="http://schemas.openxmlformats.org/officeDocument/2006/relationships/hyperlink" Target="http://ec.europa.eu/consumers/consumer_evidence/market_studies/vulnerability/index_en.htm" TargetMode="External"/><Relationship Id="rId1" Type="http://schemas.openxmlformats.org/officeDocument/2006/relationships/hyperlink" Target="https://ec.europa.eu/info/law/law-topic/consumers/review-eu-consumer-law-new-deal-consumers_en" TargetMode="External"/><Relationship Id="rId6" Type="http://schemas.openxmlformats.org/officeDocument/2006/relationships/hyperlink" Target="https://ec.europa.eu/info/live-work-travel-eu/consumers/enforcement-consumer-protection/scams-related-covid-19_bg" TargetMode="External"/><Relationship Id="rId11" Type="http://schemas.openxmlformats.org/officeDocument/2006/relationships/hyperlink" Target="https://eur-lex.europa.eu/legal-content/EN-BG/TXT/?from=EN&amp;uri=CELEX%3A52020DC0067" TargetMode="External"/><Relationship Id="rId24" Type="http://schemas.openxmlformats.org/officeDocument/2006/relationships/hyperlink" Target="https://www.bi.team/publications/the-behavioural-science-of-online-harm-and-manipulation-and-what-to-do-about-it/" TargetMode="External"/><Relationship Id="rId5" Type="http://schemas.openxmlformats.org/officeDocument/2006/relationships/hyperlink" Target="https://ec.europa.eu/info/law/better-regulation/have-your-say/initiatives/12464-A-New-Consumer-Agenda" TargetMode="External"/><Relationship Id="rId15" Type="http://schemas.openxmlformats.org/officeDocument/2006/relationships/hyperlink" Target="https://eur-lex.europa.eu/legal-content/EN-BG/TXT/?from=EN&amp;uri=CELEX%3A32013H0179" TargetMode="External"/><Relationship Id="rId23" Type="http://schemas.openxmlformats.org/officeDocument/2006/relationships/hyperlink" Target="https://ec.europa.eu/info/sites/info/files/business_economy_euro/banking_and_finance/documents/200714-best-practices-mitigate-impact-pandemic_en.pdf" TargetMode="External"/><Relationship Id="rId28" Type="http://schemas.openxmlformats.org/officeDocument/2006/relationships/hyperlink" Target="https://www.vzbv.de/pressemitteilung/verbraucher-staerken-im-quartier" TargetMode="External"/><Relationship Id="rId10" Type="http://schemas.openxmlformats.org/officeDocument/2006/relationships/hyperlink" Target="https://ec.europa.eu/info/law/better-regulation/have-your-say/initiatives/12567-Sustainable-Products-Initiative" TargetMode="External"/><Relationship Id="rId19" Type="http://schemas.openxmlformats.org/officeDocument/2006/relationships/hyperlink" Target="https://eur-lex.europa.eu/legal-content/EN-BG/TXT/?from=EN&amp;uri=CELEX%3A32014R0910" TargetMode="External"/><Relationship Id="rId4" Type="http://schemas.openxmlformats.org/officeDocument/2006/relationships/hyperlink" Target="https://ec.europa.eu/info/publications/communication-shaping-europes-digital-future_en" TargetMode="External"/><Relationship Id="rId9" Type="http://schemas.openxmlformats.org/officeDocument/2006/relationships/hyperlink" Target="https://ec.europa.eu/info/live-work-travel-eu/consumers/sustainable-consumption_en" TargetMode="External"/><Relationship Id="rId14" Type="http://schemas.openxmlformats.org/officeDocument/2006/relationships/hyperlink" Target="https://eur-lex.europa.eu/legal-content/EN-BG/TXT/?from=EN&amp;uri=CELEX%3A32020R0852" TargetMode="External"/><Relationship Id="rId22" Type="http://schemas.openxmlformats.org/officeDocument/2006/relationships/hyperlink" Target="https://ec.europa.eu/isa2/eif_en" TargetMode="External"/><Relationship Id="rId27" Type="http://schemas.openxmlformats.org/officeDocument/2006/relationships/hyperlink" Target="https://eur-lex.europa.eu/legal-content/EN-BG/TXT/?from=EN&amp;uri=CELEX%3A32019L0882" TargetMode="External"/><Relationship Id="rId30" Type="http://schemas.openxmlformats.org/officeDocument/2006/relationships/hyperlink" Target="https://ec.europa.eu/eurostat/statistics-explained/index.php/E%20commerce_statistics_for_individu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E5E4C227C497E14E96B6482B2A9EBCB3" ma:contentTypeVersion="0" ma:contentTypeDescription="Create a new document in this library." ma:contentTypeScope="" ma:versionID="d09ee8987e78b76d352195be92b7c49a">
  <xsd:schema xmlns:xsd="http://www.w3.org/2001/XMLSchema" xmlns:xs="http://www.w3.org/2001/XMLSchema" xmlns:p="http://schemas.microsoft.com/office/2006/metadata/properties" xmlns:ns2="http://schemas.microsoft.com/sharepoint/v3/fields" xmlns:ns3="DF8243EC-BFF2-4588-B0EB-C10F86D37F2A" targetNamespace="http://schemas.microsoft.com/office/2006/metadata/properties" ma:root="true" ma:fieldsID="970dc4a14b355271bc338e92ce757500" ns2:_="" ns3:_="">
    <xsd:import namespace="http://schemas.microsoft.com/sharepoint/v3/fields"/>
    <xsd:import namespace="DF8243EC-BFF2-4588-B0EB-C10F86D37F2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F8243EC-BFF2-4588-B0EB-C10F86D37F2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DF8243EC-BFF2-4588-B0EB-C10F86D37F2A">EN</EC_Collab_DocumentLanguage>
    <_Status xmlns="http://schemas.microsoft.com/sharepoint/v3/fields">Not Started</_Status>
    <EC_Collab_Reference xmlns="DF8243EC-BFF2-4588-B0EB-C10F86D37F2A" xsi:nil="true"/>
    <EC_Collab_Status xmlns="DF8243EC-BFF2-4588-B0EB-C10F86D37F2A">Not Started</EC_Collab_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7DF25-D2F1-462F-89FB-B5D55B63EBE8}">
  <ds:schemaRefs>
    <ds:schemaRef ds:uri="http://schemas.microsoft.com/sharepoint/v3/contenttype/forms"/>
  </ds:schemaRefs>
</ds:datastoreItem>
</file>

<file path=customXml/itemProps2.xml><?xml version="1.0" encoding="utf-8"?>
<ds:datastoreItem xmlns:ds="http://schemas.openxmlformats.org/officeDocument/2006/customXml" ds:itemID="{A5153E7D-B7BC-4867-8589-9F4BD2C10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DF8243EC-BFF2-4588-B0EB-C10F86D37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6248C4-8BEA-4C13-971C-0EABED61F149}">
  <ds:schemaRefs>
    <ds:schemaRef ds:uri="http://schemas.microsoft.com/office/2006/metadata/properties"/>
    <ds:schemaRef ds:uri="http://schemas.microsoft.com/office/infopath/2007/PartnerControls"/>
    <ds:schemaRef ds:uri="DF8243EC-BFF2-4588-B0EB-C10F86D37F2A"/>
    <ds:schemaRef ds:uri="http://schemas.microsoft.com/sharepoint/v3/fields"/>
  </ds:schemaRefs>
</ds:datastoreItem>
</file>

<file path=customXml/itemProps4.xml><?xml version="1.0" encoding="utf-8"?>
<ds:datastoreItem xmlns:ds="http://schemas.openxmlformats.org/officeDocument/2006/customXml" ds:itemID="{C8AF11DC-1C3B-4DD0-8615-643FC0CA3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Pages>
  <Words>8897</Words>
  <Characters>54007</Characters>
  <Application>Microsoft Office Word</Application>
  <DocSecurity>0</DocSecurity>
  <Lines>900</Lines>
  <Paragraphs>154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skeleton agenda consumer</cp:keywords>
  <dc:description/>
  <cp:lastModifiedBy>WES PDFC Administrator</cp:lastModifiedBy>
  <cp:revision>32</cp:revision>
  <cp:lastPrinted>2020-11-06T10:54:00Z</cp:lastPrinted>
  <dcterms:created xsi:type="dcterms:W3CDTF">2020-11-09T17:15:00Z</dcterms:created>
  <dcterms:modified xsi:type="dcterms:W3CDTF">2020-11-13T11:30:00Z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CP-012</vt:lpwstr>
  </property>
  <property fmtid="{D5CDD505-2E9C-101B-9397-08002B2CF9AE}" pid="7" name="Created using">
    <vt:lpwstr>LW 7.0, Build 20190717</vt:lpwstr>
  </property>
  <property fmtid="{D5CDD505-2E9C-101B-9397-08002B2CF9AE}" pid="8" name="Last edited using">
    <vt:lpwstr>LW 7.0, Build 20190717</vt:lpwstr>
  </property>
  <property fmtid="{D5CDD505-2E9C-101B-9397-08002B2CF9AE}" pid="9" name="_LW_INVALIDATED__LW_INVALIDATED__LW_INVALIDATED__LW_INVALIDATED__LW_INVALIDATED__LW_INVALIDATED_ContentTypeId">
    <vt:lpwstr>0x010100258AA79CEB83498886A3A0868112325000E5E4C227C497E14E96B6482B2A9EBCB3</vt:lpwstr>
  </property>
  <property fmtid="{D5CDD505-2E9C-101B-9397-08002B2CF9AE}" pid="10" name="_LW_INVALIDATED__LW_INVALIDATED__LW_INVALIDATED__LW_INVALIDATED__LW_INVALIDATED_ContentTypeId">
    <vt:lpwstr>0x010100258AA79CEB83498886A3A0868112325000E5E4C227C497E14E96B6482B2A9EBCB3</vt:lpwstr>
  </property>
  <property fmtid="{D5CDD505-2E9C-101B-9397-08002B2CF9AE}" pid="11" name="_LW_INVALIDATED__LW_INVALIDATED_ContentTypeId">
    <vt:lpwstr>0x010100258AA79CEB83498886A3A0868112325000E5E4C227C497E14E96B6482B2A9EBCB3</vt:lpwstr>
  </property>
</Properties>
</file>