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1E39836-977F-4D78-8C48-DE0F2F2E9787" style="width:450.8pt;height:365.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 xml:space="preserve">На 27 октомври 2020 г. Ирландия поиска финансова помощ от Съюза по силата на Регламента за SURE. В изпълнение на член 6, параграф 2 от Регламента за SURE Комисията се консултира с ирландските власти, за да провери внезапното и съществено увеличение на извършените и планирани разходи, пряко свързани с временна схема за субсидиране на заплатите, приета в отговор на пандемията от COVID-19. По-специално схемата покрива част от разходите за заплати на работодателя при обстоятелства, при които стопанската дейност на работодателя е била засегната от ограниченията, въведени поради кризата с COVID-19. Схемата е отворена за работодатели, които запазват персонала си на щат, и има за цел да подпомогне жизнеспособността на предприятията и да запази отношенията между работодателя и служителя. Схемата е била в сила от 26 март 2020 г. до 31 август 2020 г. Първоначално и до 3 май 2020 г. схемата за субсидиране е възстановявала средства на работодателите до максимален размер от 410 EUR седмично за всеки отговарящ на условията служител. Считано от 4 май 2020 г., изплащането на субсидията преминава към система, основана на предходното нетно седмично възнаграждение за всеки служител, като на работодателите се възстановяват между 70 % и 85 % от нетните доходи на работника с горна граница от 350 EUR или 410 EUR седмично в зависимост от размера на заплатата. </w:t>
      </w:r>
    </w:p>
    <w:p>
      <w:pPr>
        <w:rPr>
          <w:noProof/>
        </w:rPr>
      </w:pPr>
      <w:r>
        <w:rPr>
          <w:noProof/>
        </w:rPr>
        <w:t xml:space="preserve">Ирландия предостави на Комисията необходимите сведения. </w:t>
      </w:r>
    </w:p>
    <w:p>
      <w:pPr>
        <w:rPr>
          <w:noProof/>
        </w:rPr>
      </w:pPr>
      <w:r>
        <w:rPr>
          <w:noProof/>
        </w:rPr>
        <w:t>Предвид наличните доказателства Комисията предлага на Съвета да приеме решение за изпълнение, с което на Ирландия по силата на Регламента за SURE да се предостави финансова помощ в подкрепа на горепосочената мярка.</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 </w:t>
      </w:r>
    </w:p>
    <w:p>
      <w:pPr>
        <w:pStyle w:val="ManualHeading2"/>
        <w:rPr>
          <w:rFonts w:eastAsia="Arial Unicode MS"/>
          <w:noProof/>
          <w:color w:val="000000" w:themeColor="text1"/>
        </w:rPr>
      </w:pPr>
      <w:r>
        <w:rPr>
          <w:noProof/>
          <w:color w:val="000000" w:themeColor="text1"/>
          <w:u w:color="000000"/>
          <w:bdr w:val="nil"/>
        </w:rPr>
        <w:lastRenderedPageBreak/>
        <w:t>•</w:t>
      </w:r>
      <w:r>
        <w:rPr>
          <w:noProof/>
        </w:rPr>
        <w:tab/>
      </w:r>
      <w:r>
        <w:rPr>
          <w:noProof/>
          <w:color w:val="000000" w:themeColor="text1"/>
        </w:rPr>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Правното основание на настоящия инструмент е Регламент (ЕС) 2020/672 на Съвета.</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Тази подкрепа ще е от полза на засегнатото население и ще смекчи прякото социално и икономическо въздействие, причинено от настоящата криза с COVID-19.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lastRenderedPageBreak/>
        <w:t>4.</w:t>
      </w:r>
      <w:r>
        <w:rPr>
          <w:noProof/>
        </w:rPr>
        <w:tab/>
      </w:r>
      <w:r>
        <w:rPr>
          <w:noProof/>
          <w:color w:val="000000" w:themeColor="text1"/>
        </w:rPr>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Ирландия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2020/672 на Съвета от 19 май 2020 г.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27 октомври 2020 г. Ирландия поиска финансова помощ от Съюза, с която да допълни националните си усилия за преодоляване на въздействието от избухването на COVID-19 и на социално-икономическите му последици за работниците и самостоятелно заетите лица.</w:t>
      </w:r>
    </w:p>
    <w:p>
      <w:pPr>
        <w:pStyle w:val="ManualConsidrant"/>
        <w:rPr>
          <w:noProof/>
        </w:rPr>
      </w:pPr>
      <w:r>
        <w:t>(2)</w:t>
      </w:r>
      <w:r>
        <w:tab/>
      </w:r>
      <w:r>
        <w:rPr>
          <w:noProof/>
        </w:rPr>
        <w:t>Избухването на COVID-19 и предприетите от Ирландия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от есента на 2020 г. дефицитът по консолидирания държавен бюджет и консолидираният държавен дълг на Ирландия се очакват да достигнат съответно 6,8 % и 63,1 % от брутния вътрешен продукт (БВП) към края на 2020 г., а прогнозата за ирландския БВП е, че той ще намалее с 2,3 % през 2020 г.</w:t>
      </w:r>
    </w:p>
    <w:p>
      <w:pPr>
        <w:pStyle w:val="ManualConsidrant"/>
        <w:rPr>
          <w:noProof/>
        </w:rPr>
      </w:pPr>
      <w:r>
        <w:t>(3)</w:t>
      </w:r>
      <w:r>
        <w:tab/>
      </w:r>
      <w:r>
        <w:rPr>
          <w:noProof/>
        </w:rPr>
        <w:t>Избухването на COVID-19 блокира значителна част от работната сила в Ирландия. Това доведе до внезапно и съществено увеличение на публичните разходи в Ирландия във връзка с временната схема за субсидиране на заплатите, както е посочено в съображение 4.</w:t>
      </w:r>
    </w:p>
    <w:p>
      <w:pPr>
        <w:pStyle w:val="ManualConsidrant"/>
        <w:rPr>
          <w:noProof/>
        </w:rPr>
      </w:pPr>
      <w:r>
        <w:t>(4)</w:t>
      </w:r>
      <w:r>
        <w:tab/>
      </w:r>
      <w:r>
        <w:rPr>
          <w:noProof/>
        </w:rPr>
        <w:t xml:space="preserve">Със Закона за спешните мерки от обществен интерес (Covid-19) от 2020 г. (член 28) „Covid-19: временни разпоредби за субсидиране на заплатите“, посочен в искането на Ирландия от 27 октомври 2020 г., се въвежда схема, която субсидира част от разходите за заплати на работодателя при обстоятелства, при които стопанската дейност на работодателя е била засегната от ограниченията, въведени поради кризата с COVID-19. Схемата е отворена за работодатели, които запазват персонала си на щат, и има за цел да подпомогне жизнеспособността на предприятията и да запази отношенията между работодателя и служителя. Схемата е била в сила от 26 март 2020 г. до 31 август </w:t>
      </w:r>
      <w:r>
        <w:rPr>
          <w:noProof/>
        </w:rPr>
        <w:lastRenderedPageBreak/>
        <w:t xml:space="preserve">2020 г. Първоначално, до 3 май 2020 г. схемата за субсидиране е възстановявала средства на работодателите до максимален размер от 410 EUR седмично за всеки отговарящ на условията служител. Считано от 4 май 2020 г., изплащането на субсидията преминава към система, основана на предходното нетно седмично възнаграждение за всеки служител, като на работодателите се възстановяват между 70 % и 85 % от нетните доходи на работника с горна граница от 350 EUR или 410 EUR седмично в зависимост от размера на заплатата. </w:t>
      </w:r>
    </w:p>
    <w:p>
      <w:pPr>
        <w:pStyle w:val="ManualConsidrant"/>
        <w:rPr>
          <w:noProof/>
        </w:rPr>
      </w:pPr>
      <w:r>
        <w:t>(5)</w:t>
      </w:r>
      <w:r>
        <w:tab/>
      </w:r>
      <w:r>
        <w:rPr>
          <w:noProof/>
        </w:rPr>
        <w:t xml:space="preserve">Ирландия удовлетворява условията по член 3 от Регламент (ЕС) 2020/672 за отпускане на финансова помощ. Ирландия предостави на Комисията подходящи доказателства, че извършените публични разходи са се увеличили с 2 473 887 900 EUR, считано от 1 февруари 2020 г., поради увеличената сума, пряко свързана с временната схема за субсидиране на заплатите. Това представлява внезапно и съществено увеличение, тъй като новата мярка обхваща значителна част от предприятията и работната сила в Ирландия. </w:t>
      </w:r>
    </w:p>
    <w:p>
      <w:pPr>
        <w:pStyle w:val="ManualConsidrant"/>
        <w:rPr>
          <w:noProof/>
        </w:rPr>
      </w:pPr>
      <w:r>
        <w:t>(6)</w:t>
      </w:r>
      <w:r>
        <w:tab/>
      </w:r>
      <w:r>
        <w:rPr>
          <w:noProof/>
        </w:rPr>
        <w:t>В изпълнение на член 6 от Регламент (ЕС) 2020/672 Комисията се консултира с Ирландия и провери внезапното и съществено увеличение на извършените публични разходи, пряко свързани със схеми за подпомагане на работата на непълно работно време и подобни мерки, посочени в искането от 27 октомври 2020 г.</w:t>
      </w:r>
    </w:p>
    <w:p>
      <w:pPr>
        <w:pStyle w:val="ManualConsidrant"/>
        <w:rPr>
          <w:noProof/>
        </w:rPr>
      </w:pPr>
      <w:r>
        <w:t>(7)</w:t>
      </w:r>
      <w:r>
        <w:tab/>
      </w:r>
      <w:r>
        <w:rPr>
          <w:noProof/>
        </w:rPr>
        <w:t>Поради това на Ирландия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 Комисията следва да взема решенията относно падежа, размера и отпускането на траншовете и вноските в тясно сътрудничество с националните органи.</w:t>
      </w:r>
    </w:p>
    <w:p>
      <w:pPr>
        <w:pStyle w:val="ManualConsidrant"/>
        <w:rPr>
          <w:noProof/>
        </w:rPr>
      </w:pPr>
      <w:r>
        <w:t>(8)</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от Договора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(9)</w:t>
      </w:r>
      <w:r>
        <w:tab/>
      </w:r>
      <w:r>
        <w:rPr>
          <w:noProof/>
        </w:rPr>
        <w:t>Решението за предоставяне на финансова помощ се взима с отчитане на съществуващите и очакваните нужди на Ирландия,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Ирландия удовлетворява условията по член 3 от Регламент (ЕС) 2020/672.</w:t>
      </w:r>
    </w:p>
    <w:p>
      <w:pPr>
        <w:pStyle w:val="Titrearticle"/>
        <w:rPr>
          <w:noProof/>
        </w:rPr>
      </w:pPr>
      <w:r>
        <w:rPr>
          <w:noProof/>
        </w:rPr>
        <w:t>Член 2</w:t>
      </w:r>
    </w:p>
    <w:p>
      <w:pPr>
        <w:pStyle w:val="ManualNumPar1"/>
        <w:rPr>
          <w:noProof/>
        </w:rPr>
      </w:pPr>
      <w:r>
        <w:t>1.</w:t>
      </w:r>
      <w:r>
        <w:tab/>
      </w:r>
      <w:r>
        <w:rPr>
          <w:noProof/>
        </w:rPr>
        <w:t>Съюзът отпуска на Ирландия заем с максимален размер 2 473 887 900 EUR. Неговият максимален среден срок до падежа е 15 години.</w:t>
      </w:r>
    </w:p>
    <w:p>
      <w:pPr>
        <w:pStyle w:val="ManualNumPar1"/>
        <w:rPr>
          <w:noProof/>
        </w:rPr>
      </w:pPr>
      <w:r>
        <w:lastRenderedPageBreak/>
        <w:t>2.</w:t>
      </w:r>
      <w:r>
        <w:tab/>
      </w:r>
      <w:r>
        <w:rPr>
          <w:noProof/>
        </w:rPr>
        <w:t>Срокът на разполагаемост на предоставената с настоящото решение финансова помощ е 18 месеца, считано от първия ден след датата, на която настоящото решение поражда действие.</w:t>
      </w:r>
    </w:p>
    <w:p>
      <w:pPr>
        <w:pStyle w:val="ManualNumPar1"/>
        <w:rPr>
          <w:noProof/>
        </w:rPr>
      </w:pPr>
      <w:r>
        <w:t>3.</w:t>
      </w:r>
      <w:r>
        <w:tab/>
      </w:r>
      <w:r>
        <w:rPr>
          <w:noProof/>
        </w:rPr>
        <w:t>Комисията предоставя на Ирландия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бъде спазен посоченият в параграф 1 максимален среден срок до падежа.</w:t>
      </w:r>
    </w:p>
    <w:p>
      <w:pPr>
        <w:pStyle w:val="ManualNumPar1"/>
        <w:rPr>
          <w:noProof/>
        </w:rPr>
      </w:pPr>
      <w:r>
        <w:t>4.</w:t>
      </w:r>
      <w:r>
        <w:tab/>
      </w:r>
      <w:r>
        <w:rPr>
          <w:noProof/>
        </w:rPr>
        <w:t xml:space="preserve">Отпускането на първия транш зависи от влизането в сила на споразумението за заем, посочено в член 8, параграф 2 от Регламент (ЕС) 2020/672. </w:t>
      </w:r>
    </w:p>
    <w:p>
      <w:pPr>
        <w:pStyle w:val="ManualNumPar1"/>
        <w:rPr>
          <w:noProof/>
        </w:rPr>
      </w:pPr>
      <w:r>
        <w:t>5.</w:t>
      </w:r>
      <w:r>
        <w:tab/>
      </w:r>
      <w:r>
        <w:rPr>
          <w:noProof/>
        </w:rPr>
        <w:t>Ирландия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финансирането на заема, предоставен в съответствие с параграф 1 от настоящия член.</w:t>
      </w:r>
    </w:p>
    <w:p>
      <w:pPr>
        <w:pStyle w:val="ManualNumPar1"/>
        <w:rPr>
          <w:noProof/>
        </w:rPr>
      </w:pPr>
      <w:r>
        <w:t>6.</w:t>
      </w:r>
      <w:r>
        <w:tab/>
      </w:r>
      <w:r>
        <w:rPr>
          <w:noProof/>
        </w:rPr>
        <w:t>Комисията определя размера и датата на отпускане на траншовете, както и размера на вноските.</w:t>
      </w:r>
    </w:p>
    <w:p>
      <w:pPr>
        <w:pStyle w:val="Titrearticle"/>
        <w:rPr>
          <w:noProof/>
        </w:rPr>
      </w:pPr>
      <w:r>
        <w:rPr>
          <w:noProof/>
        </w:rPr>
        <w:t>Член 3</w:t>
      </w:r>
    </w:p>
    <w:p>
      <w:pPr>
        <w:rPr>
          <w:noProof/>
        </w:rPr>
      </w:pPr>
      <w:r>
        <w:rPr>
          <w:noProof/>
        </w:rPr>
        <w:t>Ирландия може да финансира временната схема за субсидиране на заплатите, която покрива част от разходите за заплати на работодателя при обстоятелства, при които стопанската дейност на работодателя е била засегната от ограниченията, въведени поради кризата с COVID-19, и когато трудовото правоотношение се запазва, както е предвидено в Закона за спешните мерки от обществен интерес (Covid-19) от 2020 г. (член 28) „Covid-19: временни разпоредби за субсидиране на заплатите“.</w:t>
      </w:r>
    </w:p>
    <w:p>
      <w:pPr>
        <w:pStyle w:val="Titrearticle"/>
        <w:rPr>
          <w:noProof/>
        </w:rPr>
      </w:pPr>
      <w:r>
        <w:rPr>
          <w:noProof/>
        </w:rPr>
        <w:t>Член 4</w:t>
      </w:r>
    </w:p>
    <w:p>
      <w:pPr>
        <w:rPr>
          <w:noProof/>
        </w:rPr>
      </w:pPr>
      <w:r>
        <w:rPr>
          <w:noProof/>
        </w:rPr>
        <w:t>Адресат на настоящото решение е Република Ирландия.</w:t>
      </w:r>
    </w:p>
    <w:p>
      <w:pPr>
        <w:rPr>
          <w:noProof/>
        </w:rPr>
      </w:pPr>
      <w:r>
        <w:rPr>
          <w:noProof/>
        </w:rPr>
        <w:t>Настоящото решение поражда действие в деня на нотифицирането му на неговия адресат.</w:t>
      </w:r>
    </w:p>
    <w:p>
      <w:pPr>
        <w:pStyle w:val="Titrearticle"/>
        <w:rPr>
          <w:noProof/>
        </w:rPr>
      </w:pPr>
      <w:r>
        <w:rPr>
          <w:noProof/>
        </w:rPr>
        <w:t>Член 5</w:t>
      </w:r>
    </w:p>
    <w:p>
      <w:pPr>
        <w:rPr>
          <w:noProof/>
        </w:rPr>
      </w:pPr>
      <w:r>
        <w:rPr>
          <w:noProof/>
        </w:rPr>
        <w:t xml:space="preserve">Настоящото решение се публикува в </w:t>
      </w:r>
      <w:r>
        <w:rPr>
          <w:i/>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8C0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460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DEE7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9B087D4"/>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3 15:08: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1E39836-977F-4D78-8C48-DE0F2F2E9787"/>
    <w:docVar w:name="LW_COVERPAGE_TYPE" w:val="1"/>
    <w:docVar w:name="LW_CROSSREFERENCE" w:val="&lt;UNUSED&gt;"/>
    <w:docVar w:name="LW_DocType" w:val="COM"/>
    <w:docVar w:name="LW_EMISSION" w:val="16.11.2020"/>
    <w:docVar w:name="LW_EMISSION_ISODATE" w:val="2020-11-16"/>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33"/>
    <w:docVar w:name="LW_REF.II.NEW.CP_YEAR" w:val="2020"/>
    <w:docVar w:name="LW_REF.INST.NEW" w:val="COM"/>
    <w:docVar w:name="LW_REF.INST.NEW_ADOPTED" w:val="final"/>
    <w:docVar w:name="LW_REF.INST.NEW_TEXT" w:val="(2020) 7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48?\u1088?\u1083?\u1072?\u1085?\u1076?\u1080?\u1103?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8316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B14FFE-E752-45B3-BEF1-6C787C2F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1987</Words>
  <Characters>11230</Characters>
  <Application>Microsoft Office Word</Application>
  <DocSecurity>0</DocSecurity>
  <Lines>211</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2020-11-12T15:10:00Z</dcterms:created>
  <dcterms:modified xsi:type="dcterms:W3CDTF">2020-11-13T14:08:00Z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